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LV</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II PIELIKUMS</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“II PIELIKUMS</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II DAĻA. NORĀDĪJUMI SAISTĪBĀ AR VEIDNI</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Pārskats par kapitāla pietiekamību</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Vispārīgas piezīmes</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CA veidnēs ietverta informācija par pirmā pīlāra skaitītājiem (pašu kapitāls, pirmā līmeņa kapitāls, pirmā līmeņa pamata kapitāls), saucēju (pašu kapitāla prasības) un Regulas (ES) Nr. 575/2013 un Direktīvas 2013/36/ES pārejas noteikumu piemērošanu, un tā ir strukturēta piecās veidnēs: </w:t>
      </w:r>
    </w:p>
    <w:p w14:paraId="416DAF6C" w14:textId="1B51C790" w:rsidR="00CC7D2C" w:rsidRPr="002A677E" w:rsidRDefault="00CC7D2C" w:rsidP="00D1404A">
      <w:pPr>
        <w:pStyle w:val="InstructionsText2"/>
        <w:numPr>
          <w:ilvl w:val="0"/>
          <w:numId w:val="0"/>
        </w:numPr>
        <w:ind w:left="993"/>
      </w:pPr>
      <w:r>
        <w:t>a)</w:t>
      </w:r>
      <w:r>
        <w:tab/>
        <w:t xml:space="preserve">veidnē </w:t>
      </w:r>
      <w:r w:rsidR="00580581">
        <w:t xml:space="preserve">CA1 </w:t>
      </w:r>
      <w:r>
        <w:t>ietverta iestāžu pašu kapitāla summa, kas sadalīta pa posteņiem, kuri vajadzīgi, lai iegūtu minēto summu. Iegūtajā pašu kapitāla summā ietverta katra kapitāla veida Regulas (ES) Nr. 575/2013 un Direktīvas 2013/36/ES pārejas noteikumu piemērošanas kopējā ietekme;</w:t>
      </w:r>
    </w:p>
    <w:p w14:paraId="27EFA8F6" w14:textId="7AE1365E" w:rsidR="00CC7D2C" w:rsidRPr="002A677E" w:rsidRDefault="00CC7D2C" w:rsidP="00D1404A">
      <w:pPr>
        <w:pStyle w:val="InstructionsText2"/>
        <w:numPr>
          <w:ilvl w:val="0"/>
          <w:numId w:val="0"/>
        </w:numPr>
        <w:ind w:left="993"/>
      </w:pPr>
      <w:r>
        <w:t>b)</w:t>
      </w:r>
      <w:r>
        <w:tab/>
        <w:t>veidnē CA2 ir apkopotas kopējās riska darījumu vērtības – ar minimālo robežvērtību un tādas, kurām nav noteikta minimālā robežvērtība (TREA), un standartizētās kopējās riska darījumu vērtības (S-TREA), kā attiecīgi definēts Regulas (ES) Nr. 575/2013 92. panta 3., 4. un 5. punktā;</w:t>
      </w:r>
    </w:p>
    <w:p w14:paraId="3031C055" w14:textId="77777777" w:rsidR="00CC7D2C" w:rsidRPr="002A677E" w:rsidRDefault="00CC7D2C" w:rsidP="00D1404A">
      <w:pPr>
        <w:pStyle w:val="InstructionsText2"/>
        <w:numPr>
          <w:ilvl w:val="0"/>
          <w:numId w:val="0"/>
        </w:numPr>
        <w:ind w:left="993"/>
      </w:pPr>
      <w:r>
        <w:t>c)</w:t>
      </w:r>
      <w:r>
        <w:tab/>
        <w:t>veidnē CA3 ietverti rādītāji, kuriem Regulā (ES) Nr. 575/2013 noteikts minimālais līmenis, otrā pīlāra rādītāji un daži citi saistītie dati;</w:t>
      </w:r>
    </w:p>
    <w:p w14:paraId="7FAC43FB" w14:textId="16523CFF" w:rsidR="00CC7D2C" w:rsidRPr="002A677E" w:rsidRDefault="00CC7D2C" w:rsidP="00D1404A">
      <w:pPr>
        <w:pStyle w:val="InstructionsText2"/>
        <w:numPr>
          <w:ilvl w:val="0"/>
          <w:numId w:val="0"/>
        </w:numPr>
        <w:ind w:left="993"/>
      </w:pPr>
      <w:r>
        <w:t>d)</w:t>
      </w:r>
      <w:r>
        <w:tab/>
        <w:t xml:space="preserve">veidnē </w:t>
      </w:r>
      <w:r w:rsidR="00580581">
        <w:t xml:space="preserve">CA4 </w:t>
      </w:r>
      <w:r>
        <w:t xml:space="preserve">ietverti izziņas posteņi, kas citstarp vajadzīgi CA1 posteņu aprēķināšanai, kā arī informācija par Direktīvas 2013/36/ES kapitāla rezervēm; </w:t>
      </w:r>
    </w:p>
    <w:p w14:paraId="0EB902DA" w14:textId="77777777" w:rsidR="00CC7D2C" w:rsidRPr="002A677E" w:rsidRDefault="00CC7D2C" w:rsidP="00D1404A">
      <w:pPr>
        <w:pStyle w:val="InstructionsText2"/>
        <w:numPr>
          <w:ilvl w:val="0"/>
          <w:numId w:val="0"/>
        </w:numPr>
        <w:ind w:left="993"/>
      </w:pPr>
      <w:r>
        <w:t>e)</w:t>
      </w:r>
      <w:r>
        <w:tab/>
        <w:t>veidnē CA5 ietverti dati, kas vajadzīgi, lai aprēķinātu Regulas (ES) Nr. 575/2013 pārejas noteikumu piemērošanas ietekmi attiecībā uz pašu kapitālu. Veidne CA5 pārstās pastāvēt, kad minētie pārejas noteikumi zaudēs spēku.</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Visām pārskatus sniedzošajām sabiedrībām ir jāizmanto veidnes neatkarīgi no izmantotajiem grāmatvedības standartiem, tomēr daži posteņi skaitītājā ir specifiski sabiedrībām, kas piemēro SGS/SFPS veida vērtēšanas noteikumus. Parasti informācija saucējā ir saistīta ar galīgajiem rezultātiem, par kuriem sniegts pārskats attiecīgajās kopējās riska darījumu vērtības aprēķināšanas veidnēs.</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Kopējo pašu kapitālu veido dažādi kapitāla veidi: pirmā līmeņa kapitāls, kas ir pirmā līmeņa pamata kapitāla un pirmā līmeņa papildu kapitāla summa, un otrā līmeņa kapitāls. </w:t>
      </w:r>
    </w:p>
    <w:p w14:paraId="2CD8D0AB"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14</w:t>
      </w:r>
      <w:r>
        <w:fldChar w:fldCharType="end"/>
      </w:r>
      <w:r>
        <w:t>.</w:t>
      </w:r>
      <w:r>
        <w:tab/>
        <w:t>Regulas (ES) Nr. 575/2013 un Direktīvas 2013/36/ES pārejas noteikumu piemērošana CA veidnēs ir šāda:</w:t>
      </w:r>
    </w:p>
    <w:p w14:paraId="14CA06BE" w14:textId="10FDD599" w:rsidR="00CC7D2C" w:rsidRPr="002A677E" w:rsidRDefault="00CC7D2C" w:rsidP="00D1404A">
      <w:pPr>
        <w:pStyle w:val="InstructionsText2"/>
        <w:numPr>
          <w:ilvl w:val="0"/>
          <w:numId w:val="0"/>
        </w:numPr>
        <w:ind w:left="993"/>
      </w:pPr>
      <w:r>
        <w:t>a)</w:t>
      </w:r>
      <w:r>
        <w:tab/>
        <w:t xml:space="preserve">veidnes </w:t>
      </w:r>
      <w:r w:rsidR="00580581">
        <w:t xml:space="preserve">CA1 </w:t>
      </w:r>
      <w:r>
        <w:t>posteņos pārejas posma korekcijas parasti neņem vērā. Tas nozīmē, ka skaitļus CA1 posteņos aprēķina saskaņā ar nobeiguma noteikumiem (t. i., it kā nebūtu pārejas noteikumu), izņemot posteņus, kuros sniegts minēto pārejas noteikumu ietekmes kopsavilkums. Katram kapitāla veidam (t. i., pirmā līmeņa pamata kapitālam, pirmā līmeņa papildu kapitālam un otrā līmeņa kapitālam) ir trīs dažādi posteņi, kuros iekļautas visas korekcijas saistībā ar minētajiem pārejas noteikumiem;</w:t>
      </w:r>
    </w:p>
    <w:p w14:paraId="2571599A" w14:textId="77777777" w:rsidR="00CC7D2C" w:rsidRPr="002A677E" w:rsidRDefault="00CC7D2C" w:rsidP="00D1404A">
      <w:pPr>
        <w:pStyle w:val="InstructionsText2"/>
        <w:numPr>
          <w:ilvl w:val="0"/>
          <w:numId w:val="0"/>
        </w:numPr>
        <w:ind w:left="993"/>
      </w:pPr>
      <w:r>
        <w:t>b)</w:t>
      </w:r>
      <w:r>
        <w:tab/>
        <w:t>pārejas noteikumi var ietekmēt arī pirmā līmeņa papildu kapitāla un otrā līmeņa kapitāla deficītu (t. i., pirmā līmeņa papildu kapitāla vai otrā līmeņa kapitāla atskaitījuma pārsniegumu, kas reglamentēts attiecīgi Regulas (ES) Nr. 575/2013 36. panta 1. punkta j) apakšpunktā un 56. panta e) punktā), un tādējādi posteņi, kuros šis deficīts ietverts, var netieši atspoguļot pārejas noteikumu ietekmi;</w:t>
      </w:r>
    </w:p>
    <w:p w14:paraId="088733BA" w14:textId="77777777" w:rsidR="00CC7D2C" w:rsidRPr="002A677E" w:rsidRDefault="00CC7D2C" w:rsidP="00D1404A">
      <w:pPr>
        <w:pStyle w:val="InstructionsText2"/>
        <w:numPr>
          <w:ilvl w:val="0"/>
          <w:numId w:val="0"/>
        </w:numPr>
        <w:ind w:left="993"/>
      </w:pPr>
      <w:r>
        <w:t>c)</w:t>
      </w:r>
      <w:r>
        <w:tab/>
        <w:t xml:space="preserve">veidni CA5 izmanto tikai tam, lai paziņotu par ietekmi, ko rada Regulas (ES) Nr. 575/2013 pārejas noteikumu piemērošana, un ietekmi uz pašu kapitālu.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Otrā pīlāra prasības Savienībā var piemērot dažādi (Direktīvas 2013/36/ES 104.a panta 1. punkts ir jātransponē valsts regulējumā). Regulas (ES) Nr. 575/2013 pieprasītajā maksātspējas pārskatā iekļauj vienīgi otrā pīlāra prasību ietekmi uz maksātspējas koeficientu vai mērķa koeficientu. </w:t>
      </w:r>
    </w:p>
    <w:p w14:paraId="10043DAC" w14:textId="77777777" w:rsidR="00CC7D2C" w:rsidRPr="002A677E" w:rsidRDefault="00CC7D2C" w:rsidP="00D1404A">
      <w:pPr>
        <w:pStyle w:val="InstructionsText2"/>
        <w:numPr>
          <w:ilvl w:val="0"/>
          <w:numId w:val="0"/>
        </w:numPr>
        <w:ind w:left="993"/>
      </w:pPr>
      <w:r>
        <w:t>a)</w:t>
      </w:r>
      <w:r>
        <w:tab/>
        <w:t>CA1, CA2 vai CA5 veidnes ietver datus tikai saistībā ar pirmā pīlāra jautājumiem;</w:t>
      </w:r>
    </w:p>
    <w:p w14:paraId="0DBE98C6" w14:textId="77777777" w:rsidR="00CC7D2C" w:rsidRPr="002A677E" w:rsidRDefault="00CC7D2C" w:rsidP="00D1404A">
      <w:pPr>
        <w:pStyle w:val="InstructionsText2"/>
        <w:numPr>
          <w:ilvl w:val="0"/>
          <w:numId w:val="0"/>
        </w:numPr>
        <w:ind w:left="993"/>
      </w:pPr>
      <w:r>
        <w:t>b)</w:t>
      </w:r>
      <w:r>
        <w:tab/>
        <w:t>CA3 veidnē apkopotā veidā ietverta otrā pīlāra papildu prasību ietekme uz maksātspējas koeficientu. Tā galvenokārt koncentrējas uz pašiem mērķa koeficientiem. Nav turpmākas saistības ar CA1, CA2 vai CA5 veidnēm.</w:t>
      </w:r>
    </w:p>
    <w:p w14:paraId="63F79AA0" w14:textId="77777777" w:rsidR="00CC7D2C" w:rsidRDefault="00CC7D2C" w:rsidP="00D1404A">
      <w:pPr>
        <w:pStyle w:val="InstructionsText2"/>
        <w:numPr>
          <w:ilvl w:val="0"/>
          <w:numId w:val="0"/>
        </w:numPr>
        <w:ind w:left="993"/>
      </w:pPr>
      <w:r>
        <w:t>c)</w:t>
      </w:r>
      <w:r>
        <w:tab/>
        <w:t>CA4 veidnē ietverta viena šūna attiecībā uz papildu pašu kapitāla prasībām, kuras attiecas uz otro pīlāru. Minētā šūna nav caur validācijas noteikumiem saistīta ar CA3 veidnes kapitāla rādītājiem un atspoguļo Direktīvas 2013/36/ES 104.a panta 1. punktu, kurā skaidri minētas papildu pašu kapitāla prasības kā viena no iespējām otrā pīlāra lēmumiem.</w:t>
      </w:r>
    </w:p>
    <w:p w14:paraId="2CF3DCE5" w14:textId="22DB17A6" w:rsidR="00CC7D2C" w:rsidRDefault="00CC7D2C" w:rsidP="00D1404A">
      <w:pPr>
        <w:pStyle w:val="InstructionsText2"/>
        <w:numPr>
          <w:ilvl w:val="0"/>
          <w:numId w:val="0"/>
        </w:numPr>
      </w:pPr>
      <w:r>
        <w:t xml:space="preserve">15a. Pašu kapitāla minimālās robežvērtības prasību piemērošana var ietekmēt </w:t>
      </w:r>
      <w:r>
        <w:rPr>
          <w:i/>
          <w:iCs/>
        </w:rPr>
        <w:t>TREA</w:t>
      </w:r>
      <w:r>
        <w:t xml:space="preserve">, kā arī pašu kapitāla prasības, kuru aprēķināšana ir atkarīga no </w:t>
      </w:r>
      <w:r>
        <w:rPr>
          <w:i/>
          <w:iCs/>
        </w:rPr>
        <w:t>TREA</w:t>
      </w:r>
      <w:r>
        <w:t xml:space="preserve">: kapitāla rādītāji, 2. pīlāra prasības un kapitāla rezerves. Ja kompetentā iestāde ir piemērojusi Regulas (ES) Nr. 575/2013 92. panta 3. punkta otrajā daļā noteikto atkāpi, attiecīgi uzrāda informāciju par pašu kapitāla minimālās robežvērtības prasībām.  </w:t>
      </w:r>
    </w:p>
    <w:p w14:paraId="226DFED5" w14:textId="77777777" w:rsidR="00CC7D2C" w:rsidRPr="005B630F" w:rsidRDefault="00CC7D2C" w:rsidP="00D1404A">
      <w:pPr>
        <w:pStyle w:val="InstructionsText2"/>
        <w:numPr>
          <w:ilvl w:val="0"/>
          <w:numId w:val="0"/>
        </w:numPr>
        <w:ind w:left="993"/>
      </w:pPr>
      <w:r>
        <w:t>a)</w:t>
      </w:r>
      <w:r>
        <w:tab/>
        <w:t xml:space="preserve">CA2 veidnē ir ietvertas kopējās riska darījumu vērtības – ar minimālo robežvērtību un tādas, kurām nav noteikta minimālā robežvērtība, un standartizētās kopējās riska darījumu vērtības. Minimālā robežvērtība un standartizētā </w:t>
      </w:r>
      <w:r>
        <w:rPr>
          <w:i/>
          <w:iCs/>
        </w:rPr>
        <w:t>TREA</w:t>
      </w:r>
      <w:r>
        <w:t xml:space="preserve"> atspoguļo ietekmi, ko rada Regulas (ES) Nr. 575/2013 465. pantā definētie pārejas pasākumi attiecībā uz pašu kapitāla minimālo robežvērtību.</w:t>
      </w:r>
    </w:p>
    <w:p w14:paraId="70D5E959" w14:textId="77777777" w:rsidR="00CC7D2C" w:rsidRDefault="00CC7D2C" w:rsidP="00D1404A">
      <w:pPr>
        <w:pStyle w:val="InstructionsText2"/>
        <w:numPr>
          <w:ilvl w:val="0"/>
          <w:numId w:val="0"/>
        </w:numPr>
        <w:ind w:left="993"/>
      </w:pPr>
      <w:r>
        <w:lastRenderedPageBreak/>
        <w:t>b)</w:t>
      </w:r>
      <w:r>
        <w:tab/>
        <w:t xml:space="preserve">CA3 veidnē ir ietverti kapitāla rādītāji ar minimālo robežvērtību un bez minimālās robežvērtības un kopējā </w:t>
      </w:r>
      <w:r>
        <w:rPr>
          <w:i/>
          <w:iCs/>
        </w:rPr>
        <w:t>SREP</w:t>
      </w:r>
      <w:r>
        <w:t xml:space="preserve"> kapitāla prasība (</w:t>
      </w:r>
      <w:r>
        <w:rPr>
          <w:i/>
          <w:iCs/>
        </w:rPr>
        <w:t>TSCR</w:t>
      </w:r>
      <w:r>
        <w:t>) pirms un pēc Direktīvas 2013/36/ES 104.a pantā noteiktās maksimālās robežvērtības piemērošanas un kapitāla rādītāji, nepiemērojot pārejas pasākumus pašu kapitāla minimālajai robežvērtībai.</w:t>
      </w:r>
    </w:p>
    <w:p w14:paraId="5965EF78" w14:textId="77777777" w:rsidR="00CC7D2C" w:rsidRDefault="00CC7D2C" w:rsidP="00D1404A">
      <w:pPr>
        <w:pStyle w:val="InstructionsText2"/>
        <w:numPr>
          <w:ilvl w:val="0"/>
          <w:numId w:val="0"/>
        </w:numPr>
        <w:ind w:left="993"/>
      </w:pPr>
      <w:r>
        <w:t>15b. CA4 veidnē ir ietvertas minimālās robežvērtības korekciju summas, piemērojot un nepiemērojot pārejas pasākumus pašu kapitāla minimālajai robežvērtībai, kā arī piemērojamā pašu kapitāla minimālās robežvērtības procentuālā attiecība saskaņā ar Regulas (ES) Nr. 575/2013 465. panta 1. punktu.</w:t>
      </w:r>
    </w:p>
    <w:p w14:paraId="36A0BD6A" w14:textId="5DE2A828" w:rsidR="00CC7D2C" w:rsidRDefault="00DA32D5" w:rsidP="00A85510">
      <w:pPr>
        <w:pStyle w:val="InstructionsText2"/>
        <w:numPr>
          <w:ilvl w:val="0"/>
          <w:numId w:val="0"/>
        </w:numPr>
        <w:rPr>
          <w:noProof/>
        </w:rPr>
      </w:pPr>
      <w:r>
        <w:t xml:space="preserve">15c.  Veidnē C 06.02 ir ietverta konsolidācijas tvērumā ietilpstošo sabiedrību </w:t>
      </w:r>
      <w:r>
        <w:rPr>
          <w:i/>
          <w:iCs/>
        </w:rPr>
        <w:t>TREA</w:t>
      </w:r>
      <w:r>
        <w:t xml:space="preserve"> minimālās robežvērtības korekcija.</w:t>
      </w:r>
    </w:p>
    <w:p w14:paraId="4F8F57C9" w14:textId="572FD9C8" w:rsidR="00CC7D2C" w:rsidRPr="002A677E" w:rsidRDefault="00CC7D2C" w:rsidP="00A85510">
      <w:pPr>
        <w:pStyle w:val="InstructionsText2"/>
        <w:numPr>
          <w:ilvl w:val="0"/>
          <w:numId w:val="0"/>
        </w:numPr>
        <w:rPr>
          <w:noProof/>
        </w:rPr>
      </w:pPr>
      <w:r>
        <w:t xml:space="preserve">15d. Veidnes C10.00, C13.01, C14.01 un C34.02 ietver informāciju par standartizētajām riska darījumu vērtībām un standartizēto </w:t>
      </w:r>
      <w:r>
        <w:rPr>
          <w:i/>
          <w:iCs/>
        </w:rPr>
        <w:t>TREA</w:t>
      </w:r>
      <w:r>
        <w:t xml:space="preserve">, kas aprēķinātas saskaņā ar Regulas (ES) Nr. 575/2013 92. panta 5. punktu, un attiecīgā gadījumā par pārejas pasākumu ietekmi </w:t>
      </w:r>
      <w:r>
        <w:rPr>
          <w:i/>
          <w:iCs/>
        </w:rPr>
        <w:t>S-TREA</w:t>
      </w:r>
      <w:r>
        <w:t xml:space="preserve"> aprēķināšanai.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PAŠU KAPITĀLS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Norādes par konkrētām pozīcijām</w:t>
      </w:r>
      <w:bookmarkEnd w:id="14"/>
      <w:bookmarkEnd w:id="15"/>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Pašu kapitāls</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118) apakšpunkts un 72. pants.</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Iestādes pašu kapitālu veido tās pirmā līmeņa kapitāla un otrā līmeņa kapitāla summa.</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Pirmā līmeņa kapitāls</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25. pants</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Pirmā līmeņa kapitālu veido pirmā līmeņa pamata kapitāla un pirmā līmeņa papildu kapitāla summa.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Pirmā līmeņa pamata kapitāls</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50. pants</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Kapitāla instrumenti un akciju emisijas uzcenojums, kas ir atbilstoši, lai tos klasificētu kā pirmā līmeņa pamata kapitālu</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26. panta 1. punkta a) un b) apakšpunkts, 27. līdz 30. pants, 36. panta 1. punkta f) apakšpunkts un 42. pants.</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Pilnībā apmaksāti kapitāla instrumenti</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Regulas (ES) Nr. 575/2013</w:t>
            </w:r>
            <w:r>
              <w:t xml:space="preserve"> 26. panta 1. punkta a) apakšpunkts un 27. līdz 31. pants.</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t>Ietver savstarpēju sabiedrību, kooperatīvu sabiedrību vai līdzīgu iestāžu kapitāla instrumentus (</w:t>
            </w:r>
            <w:r>
              <w:rPr>
                <w:rStyle w:val="FormatvorlageInstructionsTabelleText"/>
                <w:rFonts w:ascii="Times New Roman" w:hAnsi="Times New Roman"/>
                <w:sz w:val="24"/>
              </w:rPr>
              <w:t>Regulas (ES) Nr. 575/2013 27. un 29. pants).</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Neietver ar instrumentiem saistīto akciju emisijas uzcenojumu.</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Ietver kapitāla instrumentus, uz ko parakstījušās valsts sektora iestādes ārkārtas situācijās, ja visi Regulas (ES) Nr. 575/2013 31. panta nosacījumi ir izpildīti.</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No kā: kapitāla instrumenti, uz ko valsts sektora iestādes parakstījušās ārkārtas situācijās</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31. pants</w:t>
            </w:r>
          </w:p>
          <w:p w14:paraId="3BA89906" w14:textId="77777777" w:rsidR="00CC7D2C" w:rsidRPr="002A677E" w:rsidRDefault="00CC7D2C" w:rsidP="00320EFD">
            <w:pPr>
              <w:pStyle w:val="InstructionsText"/>
              <w:rPr>
                <w:rStyle w:val="InstructionsTabelleberschrift"/>
                <w:rFonts w:ascii="Times New Roman" w:hAnsi="Times New Roman"/>
                <w:sz w:val="24"/>
              </w:rPr>
            </w:pPr>
            <w:r>
              <w:t>Pirmā līmeņa pamata kapitālā iekļauj kapitāla instrumentus, uz ko parakstījušas valsts sektora iestādes ārkārtas situācijās, ja visi Regulas (ES) Nr. 575/2013 31. panta nosacījumi ir izpildīti.</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Ārpusbilances postenis: neatbilstoši kapitāla instrumenti</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t>Regulas (ES) Nr. 575/2013 28. panta 1. punkta b), l) un m) apakšpunkts.</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Akciju emisijas uzcenojums</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124) apakšpunkts un 26. panta 1. punkta b) apakšpunkts.</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Akciju emisijas uzcenojums ir uzcenojums tādā nozīmē, kā definēts piemērojamā grāmatvedības standartā.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uzrādāmā summa ir daļa, kas saistīta ar “Pilnībā apmaksātiem kapitāla instrumentiem”.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Pašu pirmā līmeņa pamata kapitāla instrumenti</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f) apakšpunkts un 42. pants.</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Pašu pirmā līmeņa pamata kapitālu, ko pārskata sniegšanas datumā tur pārskatu sniedzošā iestāde vai grupa, un pirmā līmeņa pamata kapitāla instrumentu summas, kas jāatskaita saskaņā ar Komisijas Deleģētās regulas (ES) Nr. 241/2014</w:t>
            </w:r>
            <w:r w:rsidRPr="002A677E">
              <w:rPr>
                <w:rStyle w:val="FootnoteReference"/>
                <w:bCs/>
                <w:vertAlign w:val="superscript"/>
              </w:rPr>
              <w:footnoteReference w:id="1"/>
            </w:r>
            <w:r>
              <w:rPr>
                <w:rStyle w:val="FormatvorlageInstructionsTabelleText"/>
                <w:rFonts w:ascii="Times New Roman" w:hAnsi="Times New Roman"/>
                <w:sz w:val="24"/>
              </w:rPr>
              <w:t xml:space="preserve"> 28. panta 2. punktu. </w:t>
            </w:r>
            <w:r>
              <w:t>Piemērojami Regulas (ES) Nr. 575/2013 42. panta izņēmumi.</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Šajā rindā neuzrāda tādas līdzdalības akcijās, kas iekļautas kā “Neatbilstoši kapitāla instrumenti”.</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1.1.1.1.4.–1.1.1.1.4.3. postenis neietver faktiskās vai iespējamās saistības pirkt pašu pirmā līmeņa pamata kapitāla instrumentus. Faktiskās vai iespējamās saistības pirkt pašu pirmā līmeņa pamata kapitāla instrumentus atsevišķi uzrāda 1.1.1.1.5. postenī.</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Tiešas līdzdalības pirmā līmeņa pamata kapitāla instrumentos</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f) apakšpunkts un 42. pants.</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1.1.1.1. postenī iekļautie pirmā līmeņa pamata kapitāla instrumenti, kurus tur konsolidētās grupas iestādes, un pirmā līmeņa pamata kapitāla instrumentu summas, kas jāatskaita saskaņā ar Deleģētās regulas (ES) Nr. 241/2014 28. panta 2. punktu.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Uzrādāmā summa ietver tādas līdzdalības tirdzniecības portfelī, kas aprēķinātas, pamatojoties uz neto garo pozīciju, kā minēts Regulas (ES) Nr. 575/2013 42. panta a) punktā.</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Netiešas līdzdalības pirmā līmeņa pamata kapitāla instrumentos</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114) apakšpunkts un 36. panta 1. punkta f) apakšpunkts un 42. pants.</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Sintētiskas līdzdalības pirmā līmeņa pamata kapitāla instrumentos</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4. panta 1. punkta 126) apakšpunkts un 36. panta 1. punkta f) apakšpunkts un 42. pants.</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Faktiskās vai iespējamās saistības iegādāties pašu pirmā līmeņa pamata kapitāla instrumentus</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f) apakšpunkts un 42. pants.</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Atbilstoši Regulas (ES) Nr. 575/2013 36. panta 1. punkta f) apakšpunktam atskaita “pirmā līmeņa pamata kapitāla instrumentus, kurus iestādei ir jāiegādājas saskaņā ar esošu līgumsaistību faktiskām vai iespējamām saistībām”.</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Nesadalītā peļņa</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t>Regulas (ES) Nr. 575/2013 26. panta 1. punkta c) apakšpunkts un 26. panta 2. punkts.</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Nesadalītā peļņa ietver iepriekšējā gada nesadalīto peļņu, kā arī atbilstošo starpposma vai gada beigu peļņu.</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Iepriekšējo gadu nesadalītā peļņa</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Regulas (ES) Nr. 575/2013 4. panta 1. punkta 123) apakšpunkts un 26. panta 1. punkta c) apakšpunkts.</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123) apakšpunktā nesadalītā peļņa ir definēta kā “pārnestā peļņa un zaudējumi, kas izriet no peļņas vai zaudējumu galīgās piemērošanas saskaņā ar piemērojamo grāmatvedības regulējumu”.</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Atbilstošā peļņa vai zaudējumi</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121) apakšpunkts, 26. panta 2. punkts un 36. panta 1. punkta a) apakšpunkts.</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t>Regulas (ES) Nr. 575/2013 26. panta 2. punkts ļauj ar kompetento iestāžu iepriekšēju piekrišanu starpposma vai gada beigu peļņu iekļaut kā nesadalīto peļņu, ja ir izpildīti daži nosacījumi.</w:t>
            </w:r>
            <w:r>
              <w:rPr>
                <w:rStyle w:val="FormatvorlageInstructionsTabelleText"/>
                <w:rFonts w:ascii="Times New Roman" w:hAnsi="Times New Roman"/>
                <w:sz w:val="24"/>
              </w:rPr>
              <w:t xml:space="preserv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t>No otras puses, zaudējumus atskaita no pirmā līmeņa pamata kapitāla, kā norādīts Regulas (ES) Nr. 575/2013 36. panta 1. punkta a) apakšpunktā.</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Peļņa vai zaudējumi, kas attiecināmi uz mātesuzņēmuma īpašniekiem</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Regulas (ES) Nr. 575/2013 26. panta 2. punkts un 36. panta 1. punkta a) apakšpunkts.</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grāmatvedības peļņas vai zaudējumu aprēķinā uzradītā peļņa vai zaudējumi.</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Starpposma vai gada beigu peļņas daļa, kas nav atbilstoša</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Regulas (ES) Nr. 575/2013 26. panta 2. punktu</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nekādus skaitļus, ja atsauces periodā iestāde ir uzrādījusi zaudējumus, jo zaudējumus pilnībā atskaita no pirmā līmeņa pamata kapitāla.</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t>Ja iestāde uzrāda peļņu, uzrāda to daļu, kas nav uzskatāma par atbilstošu saskaņā ar Regulas (ES) Nr. 575/2013 26. panta 2. punktu (t. i., nerevidētā peļņa un paredzamās maksas vai dividendes).</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Jāņem vērā, ka peļņas gadījumā atskaitāmā summa ietver vismaz starpposma dividendes.</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Uzkrātie pārējie apvienotie ienākumi</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100) apakšpunkts un 26. panta 1. punkta d) apakšpunkts.</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Uzrādāmajā summā neietver jebkādus nodokļus, kuri paredzami aprēķināšanas laikā, un to uzrāda pirms prudenciālo filtru piemērošanas. Uzrādāmo summu nosaka saskaņā ar Komisijas Deleģētās regulas (ES) Nr. 241/2014 13. panta 4. punktu.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Citas rezerves</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117) apakšpunkts un 26. panta 1. punkta e) apakšpunkts.</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lastRenderedPageBreak/>
              <w:t>Citas rezerves Regulā (ES) Nr. 575/2013 ir definētas kā “rezerves, kā definēts piemērojamā grāmatvedības standartā, par kurām ir jāatklāj informācija saskaņā ar piemērojamo grāmatvedības standartu, izņemot summas, kas jau ir ietvertas uzkrātajos pārējos apvienotajos ienākumos vai nesadalītajā peļņā”.</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Rezerves vispārējiem banku riskiem</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112) apakšpunkts un 26. panta 1. punkta f) apakšpunkts.</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Rezerves vispārējiem banku riskiem Direktīvas 86/635/EEK 38. pantā ir definētas kā “summas, ko kredītiestāde nolemj rezervēt, lai nodrošinātos pret īpašajiem riskiem, kas ir saistīti ar banku darbību”.</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Pārejas posma korekcijas saistībā ar pirmā līmeņa pamata kapitāla instrumentiem, attiecībā uz kuriem piemērotas tiesības saglabāt iepriekš spēkā esošos nosacījumus</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t>Regulas (ES) Nr. 575/2013 483. panta 1., 2. un 3. punkts un 484. līdz 487. pants</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pirmā līmeņa pamata kapitālam. Uzrādāmo summu tieši iegūst no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Mazākuma līdzdalības daļas, kas atzītas pirmā līmeņa pamata kapitālā</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Regulas (ES) Nr. 575/2013</w:t>
            </w:r>
            <w:r>
              <w:t xml:space="preserve"> 4. panta 1. punkta 120) apakšpunkts un 84. pants.</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Visu mazākuma līdzdalības daļu meitasuzņēmumos summa, kas ietverta konsolidētajā pirmā līmeņa pamata kapitālā.</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Pārejas posma korekcijas saistībā ar papildu mazākuma līdzdalības daļām</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t>Regulas (ES) Nr. 575/2013 479. un 480. pants</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Mazākuma līdzdalības daļu korekcijas saistībā ar pārejas noteikumiem. Šo posteni tieši iegūst no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Pirmā līmeņa pamata kapitāla korekcijas saistībā ar prudenciālajiem filtriem</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32. līdz 35. pants.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Pašu kapitāla pieaugums vērtspapīrotu aktīvu dēļ</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Regulas (ES) Nr. 575/2013 32. panta 1. punkts</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saskaņā ar piemērojamiem grāmatvedības standartiem vērtspapīroto aktīvu radīts iestādes pašu kapitāla pieaugums.</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Piemēram, šis postenis ietver nākotnes maržinālos ienākumus, kas iestādei radušies kā peļņa no pārdošanas, vai — iniciatoru gadījumā — neto peļņu, ko nodrošina tādu nākotnes ienākumu kapitalizācija, ko rada vērtspapīrotie aktīvi, kuri uzlabo vērtspapīrošanas pozīciju kredītkvalitāti.</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Naudas plūsmu riska ierobežošanas rezerve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Regulas (ES) Nr. 575/2013 33. panta 1. punkta a) apakšpunkts.</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naudas plūsmas riska ierobežošanas rezultātā radušies zaudējumi (t. i., ja tā samazina uzskaites kapitāla vērtspapīrus) un otrādi. Tādējādi zīme ir pretēja tai, kas izmantota finanšu pārskatos.</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Kumulatīvā peļņa un zaudējumi no pašu kredītriska izmaiņām saistībās, kas vērtētas pēc patiesās vērtības</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Regulas (ES) Nr. 575/2013 33. panta 1. punkta b) apakšpunkts.</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(t. i., ja tās samazina uzskaites kapitāla vērtspapīrus) un otrādi. Tādējādi zīme ir pretēja tai, kas izmantota finanšu pārskatos.</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neiekļauj nerevidēto peļņu.</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Patiesās vērtības radītā peļņa un zaudējumi, kas rodas no iestādes pašas kredītriska saistībā ar no atvasinātajiem instrumentiem izrietošām saistībām</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Regulas (ES) Nr. 575/2013 33. panta 1. punkta c) apakšpunkts un 33. panta 2. punkts.</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un otrādi. Tādējādi zīme ir pretēja tai, kas izmantota finanšu pārskatos.</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Šajā postenī neiekļauj nerevidēto peļņu.</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Vērtības korekcijas saistībā ar piesardzīgas vērtēšanas prasībām</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t>Regulas (ES) Nr. 575/2013 34. un 105. pants</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t>Patiesās vērtības korekcijas riska darījumiem, kas iekļauti tirdzniecības portfelī vai netirdzniecības portfelī, saistībā ar Regulas (ES) Nr. 575/2013 105. pantā noteiktiem stingrākiem standartiem attiecībā uz piesardzīgu vērtēšanu.</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Nemateriālā vērtība</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113) apakšpunkts un 36. panta 1. punkta b) apakšpunkts un 37. pants.</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Nemateriālā vērtība, kas uzskaitīta kā nemateriāls aktīvs</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Regulas (ES) Nr. 575/2013 4. panta 1. punkta 113) apakšpunkts un 36. panta 1. punkta b) apakšpunkts.</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Nemateriālā vērtība ir vērtība tādā nozīmē, kā definēts piemērojamā grāmatvedības standartā.</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ir tāda pati kā bilancē uzrādītā.</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Nemateriālā vērtība, kas iekļauta būtisku ieguldījumu vērtējumā</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b) punkts un 43. pants.</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Atliktā nodokļa saistības, kas saistītas ar nemateriālo vērtību</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a) punkts.</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nemateriālā vērtība vai ja tiktu pārtraukta tās atzīšana saskaņā ar attiecīgo grāmatvedības standartu.</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No meitasuzņēmumu konsolidācijas radusies un uz trešām personām attiecināma meitasuzņēmumu nemateriālās vērtības summa uzskaites atkārtotas novērtēšanas rezultātā</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c) punkts.</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Uzskaites atkārtotas vērtēšanas rezultātā iegūtā summa, kas atspoguļo meitasuzņēmumu nemateriālo vērtību, kura radusies no to meitasuzņēmumu konsolidācijas, kuri attiecināmi uz citām personām, kas nav uzņēmumi, kuri iekļauti konsolidācijā saskaņā ar Pirmās daļas II sadaļas 2. nodaļu.</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Citi nemateriālie aktīvi</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115) apakšpunkts, 36. panta 1. punkta b) apakšpunkts un 37. panta a) un c) punkts.</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Citi nemateriālie aktīvi pirms atliktā nodokļa saistību atskaitīšanas</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115) apakšpunkts un 36. panta 1. punkta b) apakšpunkts.</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nemateriālo aktīvu summai, kas iekļauta bilancē saskaņā ar piemērojamo grāmatvedības standartu, izņemot nemateriālo vērtību un prudenciāli novērtēto programmatūras aktīvu summu, ko neatskaita no pirmā līmeņa pamata kapitāla posteņiem saskaņā ar Regulas (ES) Nr. 575/2013 36. panta 1. punkta b) apakšpunktu.</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tostarp programmatūras aktīvi, kas uzskaitīti kā citi nemateriālie aktīvi pirms atliktā nodokļa saistību atskaitīšanas</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115) apakšpunkts un 36. panta 1. punkta b) apakšpunkts.</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t>Programmatūras aktīvu summa, kas uzskaitīta kā nemateriālie aktīvi un ko atskaita no pirmā līmeņa pamata kapitāla posteņiem saskaņā ar Regulas (ES) Nr. 575/2013 36. panta 1. punkta b) apakšpunktu un Deleģētās regulas (ES) Nr. 241/2014 13.a pantu. Uzrādītajā summā neņem vērā ietekmi, kas saistīta ar Regulas (ES) Nr. 575/2013 37. panta a) punktā noteiktās procedūras piemērošanu, atsaucoties uz atliktā nodokļa saistībām, kas saistītas ar minētajiem programmatūras aktīviem.</w:t>
            </w:r>
          </w:p>
          <w:p w14:paraId="39783C08" w14:textId="77777777" w:rsidR="00CC7D2C" w:rsidRPr="002A677E" w:rsidRDefault="00CC7D2C" w:rsidP="00320EFD">
            <w:pPr>
              <w:pStyle w:val="InstructionsText"/>
              <w:rPr>
                <w:rStyle w:val="InstructionsTabelleberschrift"/>
                <w:rFonts w:ascii="Times New Roman" w:hAnsi="Times New Roman"/>
                <w:sz w:val="24"/>
              </w:rPr>
            </w:pPr>
            <w:r>
              <w:t>Ja iestāde nolemj pilnībā atskaitīt savus programmatūras aktīvus saskaņā ar Regulas (ES) Nr. 575/2013 3. pantu, tā vietā, lai piemērotu Deleģētās regulas (ES) Nr. 241/2014 13.a pantā paredzēto procedūru, šajā rindā uzrādītā summa atbilst programmatūras aktīvu summai, kas uzskaitīta kā nemateriālie aktīvi saskaņā ar piemērojamo grāmatvedības standartu.</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Atliktā nodokļa saistības, kas saistītas ar citiem nemateriālajiem aktīviem</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a) punkts.</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kas tiktu dzēsta, ja nemateriālo aktīvu vērtība, izņemot nemateriālo vērtību un piesardzīgi novērtētos programmatūras aktīvus, kas atbrīvoti no atskaitījuma no pirmā līmeņa pamata kapitāla posteņiem saskaņā ar Deleģētās regulas (ES) Nr. 241/2014 13.a pantu, būtu samazinājusies vai tiktu pārtraukta tās atzīšana saskaņā ar attiecīgo grāmatvedības standartu.</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Atliktā nodokļa saistības, kas saistītas ar programmatūras aktīviem, kuri uzskaitīti kā nemateriālie aktīvi</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a) punkts.</w:t>
            </w:r>
          </w:p>
          <w:p w14:paraId="0A9FF627" w14:textId="77777777" w:rsidR="00CC7D2C" w:rsidRPr="002A677E" w:rsidRDefault="00CC7D2C" w:rsidP="00320EFD">
            <w:pPr>
              <w:pStyle w:val="InstructionsText"/>
              <w:rPr>
                <w:rStyle w:val="InstructionsTabelleberschrift"/>
                <w:rFonts w:ascii="Times New Roman" w:hAnsi="Times New Roman"/>
                <w:sz w:val="24"/>
              </w:rPr>
            </w:pPr>
            <w:r>
              <w:t>Atliktā nodokļa saistību daļa, kas saistīta ar programmatūras aktīvu summu, kuri uzskaitīti kā nemateriālie aktīvi, ko atskaita no pirmā līmeņa pamata kapitāla posteņiem saskaņā ar Regulas (ES) Nr. 575/2013 36. panta 1. punkta b) apakšpunktu un Deleģētās regulas (ES) Nr. 241/2014 13.a pantu vai Regulas (ES) Nr. 575/2013 3. pantu.</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No meitasuzņēmumu konsolidācijas radusies un uz trešām personām attiecināma meitasuzņēmumu citu nemateriālo aktīvu summa uzskaites atkārtotas novērtēšanas rezultātā</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Regulas (ES) Nr. 575/2013 37. panta c) punkts.</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Uzskaites atkārtotas vērtēšanas rezultātā iegūtā summa, kas atspoguļo meitasuzņēmumu nemateriālos aktīvus, kas nav nemateriālā vērtība, kas radusies no to meitasuzņēmumu konsolidācijas, kuri attiecināmi uz citām personām, kas nav uzņēmumi, kuri iekļauti konsolidācijā saskaņā ar Pirmās daļas II sadaļas 2. nodaļu.</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Atliktā nodokļa aktīvi, kuru realizācija atkarīga no peļņas gūšanas nākotnē un kuri neizriet no laika noviržu izraisītas pagaidu starpības, atskaitot attiecīgas nodokļu saistības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c) apakšpunkts un 38. pants.</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IRB deficīts: summa, par kādu kredītriska korekcijas veido deficītu attiecībā pret paredzamajiem zaudējumiem</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d) apakšpunkts un 40., 158. un 159. pants.</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Uzrādāmo summu nesamazina atliktā nodokļa aktīvu, kuru realizācija ir atkarīga no peļņas gūšanas nākotnē, līmeņa paaugstināšanās vai cita papildu nodokļu ietekme, kas varētu rasties, ja uzkrājumi paaugstinātu paredzamo zaudējumu līmeni (Regulas (ES) Nr. 575/2013 40. pants).</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Definētu pabalstu pensiju fondu aktīvi</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109) apakšpunkts, 36. panta 1. punkta e) apakšpunkts un 41. pants.</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Definētu pabalstu pensiju fondu aktīvi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109) apakšpunkts un 36. panta 1. punkta e) apakšpunkts.</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Definētu pabalstu pensiju fondu aktīvi “atkarībā no situācijas ir definēta pensiju fonda vai plāna aktīvi, ko aprēķina pēc tam, kad tie ir samazināti par tā paša fonda vai plāna saistību vērtību”.</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bilancē (ja tā uzrādīta atsevišķi).</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Atliktā nodokļa saistības, kas saistītas ar definētu pabalstu pensiju fondu aktīviem</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108) un 109) apakšpunkts un 41. panta 1. punkta a) apakšpunkts.</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definētu pabalstu pensiju fondu aktīvu vērtība vai ja tiktu pārtraukta to atzīšana saskaņā ar attiecīgo grāmatvedības standartu.</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Definētu pabalstu pensiju fondu aktīvi, kurus iestāde var neierobežoti izmantot</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109) apakšpunkts un 41. panta 1. punkta b) apakšpunkts.</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jebkādu summu uzrāda tikai tad, ja kompetentā iestāde ir iepriekš piekritusi, ka tiek samazināta definētu pabalstu pensiju fondu aktīvu atskaitāmā summa.</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ietvertajiem aktīviem piemēro riska svērumu attiecībā uz kredītriska prasībām.</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Savstarpējas līdzdalības pirmā līmeņa pamata kapitālā</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Regulas (ES) Nr. 575/2013 4. panta 1. punkta 122) apakšpunkts, 36. panta 1. punkta g) apakšpunkts un 44. pants.</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Līdzdalības finanšu sektora sabiedrību (kā noteikts Regulas (ES) Nr. 575/2013 4. panta 1. punkta 27) apakšpunktā) pirmā līmeņa pamata kapitāla instrumentos, ja pastāv savstarpējas līdzdalības, kas, pēc kompetentās iestādes domām, ir izveidotas, lai mākslīgi palielinātu iestādes pašu kapitālu.</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ietver pirmā līmeņa pašu kapitāla apdrošināšanas posteņus.</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Pārsniegums: summa, par kādu atskaitījums no pirmā līmeņa papildu kapitāla posteņiem pārsniedz pirmā līmeņa papildu kapitālu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j) apakšpunkts.</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tieši ņem no CA1 posteņa “Pārsniegums: summa, par kādu atskaitījums no pirmā līmeņa papildu kapitāla posteņiem pārsniedz pirmā līmeņa papildu kapitālu”. Summa ir jāatskaita no pirmā līmeņa pamata kapitāla.</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Tādas būtiskas līdzdalības ārpus finanšu sektora, kurām alternatīvi var piemērot 1250 % riska svērumu</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36) apakšpunkts, 36. panta 1. punkta k) apakšpunkta i) punkts un 89. līdz 91 pants.</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Būtiskas līdzdalības ir definētas kā “tieša vai netieša līdzdalība sabiedrībā, kas ir vismaz 10 % vai vairāk no tās kapitāla vai balsstiesībām vai ļauj būtiski ietekmēt vadību minētajā sabiedrībā”.</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Saskaņā ar Regulas (ES) Nr. 575/2013 36. panta 1. punkta k) apakšpunkta i) punktu būtiskas līdzdalības (izmantojot šo posteni) alternatīvi var atskaitīt no pirmā līmeņa pamata kapitāla vai tām var piemērot 1250 % riska svērumu.</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Vērtspapīrošanas pozīcijas, kam alternatīvi var piemērot 1250 % riska svērumu</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Regulas (ES) Nr. 575/2013 244. panta 1. punkta b) apakšpunkts, 245. panta 1. punkta b) apakšpunkts un 253. panta 1. punkts.</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t>Šajā postenī uzrāda vērtspapīrošanas pozīcijas, kam piemēro 1250 % riska pakāpi, bet kuras alternatīvi ļauts atskaitīt no pirmā līmeņa pamata kapitāla (Regulas (ES) Nr. 575/2013 36. panta 1. punkta k) apakšpunkta ii) punkts).</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r>
            <w:r>
              <w:t>(-) Neapmaksātas piegādes, kurām alternatīvi var piemērot 1250 % riska svērumu</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k) apakšpunkta iii) punkts un 379. panta 3. punkts.</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Neapmaksātām piegādēm piemēro 1250 % riska svērumu pēc piecām dienām pēc otrā līguma maksājuma vai piegādes izsūtīšanas līdz darījuma izbeigšanai saskaņā ar pašu kapitāla prasībām attiecībā uz norēķinu risku.</w:t>
            </w:r>
            <w:r>
              <w:rPr>
                <w:rStyle w:val="FormatvorlageInstructionsTabelleText"/>
                <w:rFonts w:ascii="Times New Roman" w:hAnsi="Times New Roman"/>
                <w:sz w:val="24"/>
              </w:rPr>
              <w:t xml:space="preserve"> </w:t>
            </w:r>
            <w:r>
              <w:lastRenderedPageBreak/>
              <w:t>Alternatīvi tās var atskaitīt no pirmā līmeņa pamata kapitāla (Regulas (ES) Nr. 575/2013 36. panta 1. punkta k) apakšpunkta iii) punkts).</w:t>
            </w:r>
            <w:r>
              <w:rPr>
                <w:rStyle w:val="FormatvorlageInstructionsTabelleText"/>
                <w:rFonts w:ascii="Times New Roman" w:hAnsi="Times New Roman"/>
                <w:sz w:val="24"/>
              </w:rPr>
              <w:t xml:space="preserve"> Pēdējā gadījumā tās uzrāda šajā postenī.</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Pozīcijas, kuras ir grozā, attiecībā uz ko iestāde atbilstīgi IRB pieejai nevar noteikt riska svērumu, un kurām alternatīvi var piemērot 1250 % riska svērumu</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36. panta 1. punkta k) apakšpunkta iv) punkts un 153. panta 8. punkts.</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t>Saskaņā ar Regulas (ES) Nr. 575/2013 36. panta 1. punkta k) apakšpunkta iv) punktu pozīcijas grozā, attiecībā uz kuru iestāde atbilstīgi IRB pieejai nevar noteikt riska svērumu, alternatīvi var atskaitīt no pirmā līmeņa pamata kapitāla (izmantojot šo posteni) vai tām var piemērot 1250 % riska svērumu.</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r>
            <w:r>
              <w:t>(-) Tādi kapitāla vērtspapīru riska darījumi atbilstīgi iekšējo modeļu pieejai, kuriem alternatīvi var piemērot 1250 % riska svērumu</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36. panta 1. punkta k) apakšpunkta v) punkts un 155. panta 4. punkts.</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Saskaņā ar Regulas (ES) Nr. 575/2013 36. panta 1. punkta k) apakšpunkta v) punktu, kapitāla vērtspapīru riska darījumus atbilstīgi iekšējo modeļu pieejai alternatīvi var atskaitīt no pirmā līmeņa pamata kapitāla (izmantojot šo posteni) vai tām var piemērot 1250 % riska svērumu.</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Tādu finanšu sektora sabiedrību pirmā līmeņa pamata kapitāla instrumenti, kurās iestādei nav būtiska ieguldījuma</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27) apakšpunkts, 36. panta 1. punkta h) apakšpunkts, 43. līdz 46. pants, 49. panta 2. un 3. punkts un 79. pants.</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Tā daļa no iestādes līdzdalībām – tādu finanšu sektora sabiedrību (kā definēts Regulas (ES) Nr. 575/2013 4. panta 1. punkta 27) apakšpunktā) instrumentos, kurās iestādei nav būtiska ieguldījuma –, kas jāatskaita no pirmā līmeņa pamata kapitāla.</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alternatīvas atskaitīšanai, ja tiek piemērota konsolidācija (49. panta 2. un 3. punkts).</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Atskaitāmi atliktā nodokļa aktīvi, kuru realizācija atkarīga no peļņas gūšanas nākotnē un kuri izriet no pagaidu starpības</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36. panta 1. punkta c) apakšpunkts; </w:t>
            </w:r>
            <w:r>
              <w:t>Regulas (ES) Nr. 575/2013 38. pants un 48. panta 1. punkta a) apakšpunkts.</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Tā daļa no atliktā nodokļa aktīviem, kuru realizācija atkarīga no peļņas gūšanas nākotnē un kuri izriet no laika noviržu izraisītas pagaidu starpības (neņemot vērā to daļu no attiecīgajām atliktā nodokļa saistībām, kas iedalīta atliktā nodokļa aktīvos, kuri izriet no laika noviržu izraisītas pagaidu starpības), kas saskaņā ar Regulas (ES) Nr. 575/2013 38. panta 5. punkta b) apakšpunktu) jāatskaita, piemērojot minētās regulas 48. panta 1. punkta a) apakšpunktā minēto 10 % slieksni.</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Tādu finanšu sektora sabiedrību pirmā līmeņa pamata kapitāla instrumenti, kurās iestādei ir būtisks ieguldījums</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4. panta 1. punkta 27) apakšpunkts un 36. panta 1. punkta i) apakšpunkts </w:t>
            </w:r>
            <w:r>
              <w:t>Regulas (ES) Nr. 575/2013 43., 45., 47. pants, 48. panta 2. punkta b) apakšpunkts, 49. panta 1., 2. un 3. punkts un 79. pants</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Tā daļa no iestādes līdzdalībām – tādu finanšu sektora sabiedrību (kā noteikts Regulas (ES) Nr. 575/2013 4. panta 1. punkta 27.) apakšpunktā, pirmā līmeņa pamata kapitāla instrumentos, kurās iestādei ir būtisks ieguldījums –, kas jāatskaita, piemērojot minētās regulas 48. panta 1. punkta b) apakšpunktā noteikto 10 % slieksni.</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t>Sk. alternatīvas atskaitīšanai, ja tiek piemērota konsolidācija (Regulas (ES) Nr. 575/2013 49. panta 1., 2. un 3. punkts).</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Summa, kas pārsniedz 17,65 % slieksni</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Regulas (ES) Nr. 575/2013 48. panta 2. punkts</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Tā daļa no atliktā nodokļa aktīviem, kuru realizācija atkarīga no peļņas gūšanas nākotnē un kuri izriet no laika noviržu izraisītas pagaidu starpības, un no iestādes tiešām, netiešām un sintētiskām līdzdalībām – tādu finanšu sektora sabiedrību (kā noteikts Regulas (ES) Nr. 575/2013 4. panta 1. punkta 27) apakšpunktā) pirmā līmeņa pamata kapitāla instrumentos, kurās iestādei ir būtisks ieguldījums –, kas jāatskaita, piemērojot minētās regulas 48. panta 2. punkta 17,65 % slieksni.</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Summa, kas pārsniedz 17,65 % slieksni saistībā ar tādu finanšu sektora sabiedrību pirmā līmeņa pamata kapitāla instrumentiem, kurās iestādei ir būtisks ieguldījums</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Summa, kas pārsniedz 17,65 % slieksni atliktā nodokļa aktīviem, kuri izriet no pagaidu starpības</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Nepietiekams segums ieņēmumus nenesošiem riska darījumiem</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Regulas (ES) Nr. 575/2013 36. panta 1. punkta m) apakšpunkts un 47.c pants.</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Minimālās vērtības saistību deficīti</w:t>
            </w:r>
          </w:p>
          <w:p w14:paraId="5C5FE4E7" w14:textId="77777777" w:rsidR="00CC7D2C" w:rsidRPr="002A677E" w:rsidRDefault="00CC7D2C" w:rsidP="00320EFD">
            <w:pPr>
              <w:pStyle w:val="InstructionsText"/>
              <w:rPr>
                <w:rStyle w:val="InstructionsTabelleberschrift"/>
                <w:rFonts w:ascii="Times New Roman" w:hAnsi="Times New Roman"/>
                <w:sz w:val="24"/>
              </w:rPr>
            </w:pPr>
            <w:r>
              <w:t>Regulas (ES) Nr. 575/2013 36. panta 1. punkta n) apakšpunkts un 132.c panta 2. punkts.</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Citi paredzamie nodokļi</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Regulas (ES) Nr. 575/2013 36. panta 1. punkta l) apakšpunkts.</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Nodokļi, kuri attiecas uz pirmā līmeņa pamata kapitāla posteņiem un kuri paredzami aprēķināšanas laikā, kas nav nodokļi, kuri jau ir ņemti vērā jebkurā citā rindā, kurā atspoguļo pirmā līmeņa pamata kapitāla posteņus, atņemot attiecīgā pirmā līmeņa pamata kapitāla posteņa summu.</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Citas pārejas posma korekcijas attiecībā uz pirmā līmeņa pamata kapitālu</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t>Regulas (ES) Nr. 575/2013 469. līdz 478. pants un 481. pants.</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Korekcijas attiecībā uz atskaitījumiem pārejas noteikumu dēļ. Uzrādāmo summu tieši iegūst no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Pirmā līmeņa pamata kapitāla papildu atskaitījumi saskaņā ar Regulas (ES) Nr. 575/2013 3. pantu</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Ja iestāde nolemj pilnībā atskaitīt savus programmatūras aktīvus saskaņā ar Regulas (ES) Nr. 575/2013 3. pantu, tā vietā, lai piemērotu Deleģētās regulas (ES) Nr. 241/2014 13.a pantā noteikto procedūru, atskaitīto papildu summu uzrāda nevis šajā rindā, bet gan 0352. rindā.</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Pirmā līmeņa pamata kapitāla elementi vai atskaitījumi — citi</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CA1 veidnē. Līdz ar to šo rindu aizpilda tikai tad, ja pirmā līmeņa pamata kapitāla elementu vai atskaitījumu no pirmā līmeņa pamata kapitāla elementa – nevar iedalīt kādā no rindām, kas apzīmētas no 020–524.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Šo rindu neizmanto, lai kapitāla posteņus/atskaitījumus, uz kuriem neattiecas Regula (ES) Nr. 575/2013, iekļautu maksātspējas koeficientu aprēķinā (piemēram, tādu valsts kapitāla posteņu/atskaitījumu iekļaušana, uz kuriem neattiecas Regulas (ES) Nr. 575/2013 darbības joma).</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PIRMĀ LĪMEŅA PAPILDU KAPITĀLS</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61. pants</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Kapitāla instrumenti un akciju emisijas uzcenojums, kas ir atbilstoši, lai tos klasificētu kā pirmā līmeņa papildu kapitālu</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Regulas (ES) Nr. 575/2013 51. panta a) punkts, 52., 53. un 54. pants, 56. panta a) punkts, un 57. pants.</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Pilnībā apmaksāti, tieši emitēti kapitāla instrumenti</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Regulas (ES) Nr. 575/2013 51. panta a) punkts un 52., 53. un 54. pants.</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rPr>
                <w:rStyle w:val="InstructionsTabelleberschrift"/>
                <w:rFonts w:ascii="Times New Roman" w:hAnsi="Times New Roman"/>
                <w:sz w:val="24"/>
              </w:rPr>
              <w:tab/>
              <w:t>Ārpusbilances postenis: neatbilstoši kapitāla instrumenti</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Regulas (ES) Nr. 575/2013 52. panta 1. punkta c), e) un f) apakšpunkts.</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Akciju emisijas uzcenojums</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Regulas (ES) Nr. 575/2013 51. panta b) punkts.</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piemērojamā grāmatvedības standartā.</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Pašu pirmā līmeņa papildu kapitāla instrumenti</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Regulas (ES) Nr. 575/2013 52. panta 1. punkta b) apakšpunkts, 56. panta a) punkts un 57. pants.</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pirmā līmeņa papildu kapitāla instrumenti, ko pārskata sniegšanas datumā tur pārskatu sniedzošā iestāde vai grupa, un pirmā līmeņa papildu kapitāla instrumentu summas, kas jāatskaita saskaņā ar Deleģētās regulas (ES) Nr. 241/2014 28. panta 2. punktu. </w:t>
            </w:r>
            <w:r>
              <w:t>Piemērojami Regulas (ES) Nr. 575/2013 57. panta izņēmumi.</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1.1.2.1.4.–1.1.2.1.4.3. postenis neietver faktiskās vai iespējamās saistības iegādāties pašu pirmā līmeņa papildu kapitāla instrumentus. Faktiskās vai iespējamās saistības iegādāties pašu pirmā līmeņa papildu kapitāla instrumentus atsevišķi uzrāda 1.1.2.1.5. postenī.</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Tiešas līdzdalības pirmā līmeņa papildu kapitāla instrumentos</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Regulas (ES) Nr. 575/2013 4. panta 1. punkta 144) apakšpunkts, 52. panta 1. panta b) apakšpunkts, 56. panta a) punkts un 57. pants.</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1.1.2.1.1. postenī iekļautie pirmā līmeņa papildu kapitāla instrumenti, kurus tur konsolidētās grupas iestādes, un pirmā līmeņa papildu kapitāla instrumentu summas, kas jāatskaita saskaņā ar Deleģētās regulas (ES) Nr. 241/2014 28. panta 2. punktu.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Netiešas līdzdalības pirmā līmeņa papildu kapitāla instrumentos</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Regulas (ES) Nr. 575/2013 52. panta 1. punkta b) apakšpunkta ii) punkts, 56. panta a) punkts un 57. pants.</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Sintētiskas līdzdalības pirmā līmeņa papildu kapitāla instrumentos</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Regulas (ES) Nr. 575/2013 4. panta 1. punkta 126) apakšpunkts, 52. panta 1. panta b) apakšpunkts, 56. panta a) punkts un 57. pants.</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Faktiskās vai iespējamās saistības iegādāties pašu pirmā līmeņa papildu kapitāla instrumentus</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Regulas (ES) Nr. 575/2013 56. panta a) apakšpunkts un 57. pants.</w:t>
            </w:r>
          </w:p>
          <w:p w14:paraId="3E468850" w14:textId="77777777" w:rsidR="00CC7D2C" w:rsidRPr="002A677E" w:rsidRDefault="00CC7D2C" w:rsidP="00320EFD">
            <w:pPr>
              <w:pStyle w:val="InstructionsText"/>
              <w:rPr>
                <w:rStyle w:val="InstructionsTabelleberschrift"/>
                <w:rFonts w:ascii="Times New Roman" w:hAnsi="Times New Roman"/>
                <w:sz w:val="24"/>
              </w:rPr>
            </w:pPr>
            <w:r>
              <w:lastRenderedPageBreak/>
              <w:t>Saskaņā ar Regulas (ES) Nr. 575/2013 56. panta a) punktu atskaita “pašu pirmā līmeņa papildu kapitāla instrumentus, ko iestādei varētu nākties iegādāties spēkā esošo līgumsaistību rezultātā”.</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Pārejas posma korekcijas saistībā ar pirmā līmeņa papildu kapitāla instrumentiem, attiecībā uz kuriem piemērotas tiesības saglabāt iepriekš spēkā esošos nosacījumus</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t>Regulas (ES) Nr. 575/2013 483. panta 4. un 5. punkts, 484. līdz 487. pants, 489. un 491. pants.</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pirmā līmeņa papildu kapitāla nosacījumus. Uzrādāmo summu tieši iegūst no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Meitasuzņēmumu emitēti instrumenti, kuri ir atzīti pirmā līmeņa papildu kapitālā</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Regulas (ES) Nr. 575/2013 83., 85. un 86. pants</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pirmā līmeņa kapitāla summa, kas ietverta konsolidētajā pirmā līmeņa papildu kapitālā.</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t>Ietver atbilstīgu pirmā līmeņa papildu kapitālu, ko emitējusi īpašam nolūkam dibināta sabiedrība (Regulas (ES) Nr. 575/2013 83. pants).</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Pārejas posma korekcijas saistībā ar meitasuzņēmumu emitētu instrumentu papildu atzīšanu pirmā līmeņa papildu kapitālā</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480. pants</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atbilstīgo pirmā līmeņa kapitālu, kas saistībā ar pārejas noteikumiem ietverts konsolidētajā pirmā līmeņa papildu kapitālā. Šo posteni tieši iegūst no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Savstarpējas līdzdalības pirmā līmeņa papildu kapitālā</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Regulas (ES) Nr. 575/2013 4. panta 1. punkta 122) apakšpunkts, 56. panta b) punkts un 58. pants.</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Līdzdalības finanšu sektora sabiedrību (kā noteikts Regulas (ES) Nr. 575/2013 4. panta 1. punkta 27) apakšpunktā) pirmā līmeņa papildu kapitāla instrumentos, ja pastāv savstarpējas līdzdalības, kas, pēc kompetentās iestādes domām, ir izveidotas, lai mākslīgi palielinātu iestādes pašu kapitālu.</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pirmā līmeņa papildu pašu kapitāla apdrošināšanas posteņus.</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Tādu finanšu sektora sabiedrību pirmā līmeņa papildu kapitāla instrumenti, kurās iestādei nav būtiska ieguldījuma</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4. panta 1. punkta 27) apakšpunkts un 56. panta c) punkts </w:t>
            </w:r>
            <w:r>
              <w:t>Regulas (ES) Nr. 575/2013 59., 60. un 79. pants</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Tā daļa no iestādes līdzdalībām – tādu finanšu sektora sabiedrību (kā definēts Regulas (ES) Nr. 575/2013 4. panta 1. punkta 27) apakšpunktā) instrumentos, kurās iestādei nav būtiska ieguldījuma –, kas jāatskaita no pirmā līmeņa papildu kapitāla.</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Tādu finanšu sektora sabiedrību pirmā līmeņa papildu kapitāla instrumenti, kurās iestādei ir būtisks ieguldījums</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27) apakšpunkts, 56. panta d) punkts, 59. un 79. pants.</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t>Pilnībā atskaita iestādes līdzdalības tādu finanšu sektora sabiedrību (kā definēts Regulas (ES) Nr. 575/2013 4. panta 1. punkta 27. apakšpunktā) pirmā līmeņa papildu kapitāla instrumentos, kurās ieguldījumu brokeru sabiedrībai ir būtisks ieguldījums.</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Pārsniegums: summa, par kādu atskaitījumi no otrā līmeņa kapitāla posteņiem pārsniedz otrā līmeņa kapitālu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Regulas (ES) Nr. 575/2013 56. panta e) punkts.</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tieši iegūst no CA1 posteņa “Pārsniegums: summa, par kādu atskaitījumi no otrā līmeņa kapitāla posteņiem pārsniedz otrā līmeņa kapitālu (atskaita no pirmā līmeņa papildu kapitāla)”.</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Citas pārejas posma korekcijas attiecībā uz pirmā līmeņa papildu kapitālu</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(Regulas (ES) Nr. 575/2013 472., 474., 475., 478. un 481. pants.</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Pārsniegums: summa, par kādu atskaitījumi no pirmā līmeņa papildu kapitāla posteņiem pārsniedz pirmā līmeņa papildu kapitālu (atskaita no pirmā līmeņa pamata kapitāla)</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Regulas (ES) Nr. 575/2013 36. panta 1. punkta j) apakšpunkts.</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Pirmā līmeņa papildu kapitāls nevar būt negatīvs, tomēr ir iespējams, ka atskaitījumi no pirmā līmeņa papildu kapitāla ir lielāki nekā pirmā līmeņa papildu kapitāls plus saistītais akciju emisijas uzcenojums. Šādos gadījumos pirmā līmeņa papildu kapitālam ir jābūt vienādam ar nulli un pirmā līmeņa papildu kapitāla atskaitījumu pārpalikums ir jāatskaita no pirmā līmeņa pamata kapitāla.</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 šo posteni tiek panākts, ka 1.1.2.1.–1.1.2.12. posteņa summa nekad nav mazāka par nulli. Ja šis postenis uzrāda pozitīvu skaitli, 1.1.1.16. postenis ir pretējs šim skaitlim.</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Pirmā līmeņa pamata kapitāla papildu atskaitījumi saskaņā ar Regulas (ES) Nr. 575/2013 3. pantu</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Pirmā līmeņa papildu kapitāla elementi vai atskaitījumi — citi</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CA1 veidnē. Līdz ar to šo rindu aizpilda tikai tad, ja pirmā līmeņa papildu kapitāla elementu vai atskaitījumu no pirmā līmeņa </w:t>
            </w:r>
            <w:r>
              <w:rPr>
                <w:rStyle w:val="InstructionsTabelleberschrift"/>
                <w:rFonts w:ascii="Times New Roman" w:hAnsi="Times New Roman"/>
                <w:b w:val="0"/>
                <w:sz w:val="24"/>
                <w:u w:val="none"/>
              </w:rPr>
              <w:lastRenderedPageBreak/>
              <w:t xml:space="preserve">papildu kapitāla elementa nevar iedalīt kādā no rindām, kas apzīmētas no 530–744.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Šo rindu neizmanto, lai kapitāla posteņus/atskaitījumus, uz kuriem neattiecas Regula (ES) Nr. 575/2013, iekļautu maksātspējas koeficientu aprēķinā (piemēram, tādu valsts kapitāla posteņu/atskaitījumu iekļaušana, uz kuriem neattiecas minētās regulas darbības joma).</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OTRĀ LĪMEŅA KAPITĀLS</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71. pants</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Kapitāla instrumenti un akciju emisijas uzcenojums, kas ir atbilstoši, lai tos klasificētu kā otrā līmeņa kapitālu</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Regulas (ES) Nr. 575/2013 62. panta a) punkts, 63. līdz 65. pants, 66. panta a) punkts, un 67. pants.</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Pilnībā apmaksāti, tieši emitēti kapitāla instrumenti</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Regulas (ES) Nr. 575/2013 62. panta a) punkts, 63. un 65. pants.</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neietver ar instrumentiem saistīto akciju emisijas uzcenojumu.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 kas atbilst atbilstības kritērijiem.</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w:t>
            </w:r>
            <w:r>
              <w:rPr>
                <w:rStyle w:val="InstructionsTabelleberschrift"/>
                <w:rFonts w:ascii="Times New Roman" w:hAnsi="Times New Roman"/>
                <w:sz w:val="24"/>
              </w:rPr>
              <w:tab/>
              <w:t>Ārpusbilances postenis: neatbilstoši kapitāla instrumenti</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Regulas (ES) Nr. 575/2013 63. panta c), e) un f) punkts un 64. pants.</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ar instrumentiem saistīto akciju emisijas uzcenojumu.</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Akciju emisijas uzcenojums</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Regulas (ES) Nr. 575/2013 62. panta b) punkts un 65. pants.</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Akciju emisijas uzcenojums ir uzcenojums tādā nozīmē, kā definēts piemērojamā grāmatvedības standartā.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Pašu otrā līmeņa kapitāla instrumenti</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Regulas (ES) Nr. 575/2013 63. panta b) punkta i) apakšpunkts, 66. panta a) punkts un 67. pants.</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otrā līmeņa kapitāla instrumenti, ko pārskata sniegšanas datumā tur pārskatu sniedzošā iestāde vai grupa, un otrā līmeņa kapitāla instrumentu summas, kas jāatskaita saskaņā ar Deleģētās regulas (ES) Nr. 241/2014 </w:t>
            </w:r>
            <w:r>
              <w:rPr>
                <w:rStyle w:val="FormatvorlageInstructionsTabelleText"/>
                <w:rFonts w:ascii="Times New Roman" w:hAnsi="Times New Roman"/>
                <w:sz w:val="24"/>
              </w:rPr>
              <w:lastRenderedPageBreak/>
              <w:t xml:space="preserve">28. panta 2. punktu. </w:t>
            </w:r>
            <w:r>
              <w:t>Piemērojami Regulas (ES) Nr. 575/2013 67. panta izņēmumi.</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1.2.1.4.–1.2.1.4.3. postenis neietver faktiskās vai iespējamās saistības iegādāties pašu otrā līmeņa kapitāla instrumentus. Faktiskās vai iespējamās saistības iegādāties pašu otrā līmeņa kapitāla instrumentus atsevišķi uzrāda 1.2.1.5. postenī.</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Tiešas līdzdalības otrā līmeņa kapitāla instrumentos</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Regulas (ES) Nr. 575/2013 63. panta b) punkts, 66. panta a) punkts un 67. pants.</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1.2.1.1. postenī iekļautie otrā līmeņa kapitāla instrumenti, kurus tur konsolidētās grupas iestādes, un otrā līmeņa kapitāla instrumentu summas, kas jāatskaita saskaņā ar Deleģētās regulas (ES) Nr. 241/2014 28. panta 2. punktu.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Netiešas līdzdalības otrā līmeņa kapitāla instrumentos</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Regulas (ES) Nr. 575/2013 4. panta 1. punkta 114) apakšpunkts, 63. panta b) punkts, 66. panta a) punkts un 67. pants.</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Sintētiskas līdzdalības otrā līmeņa kapitāla instrumentos</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4. panta 1. punkta 126) apakšpunkts, 63. panta b) punkts, 66. panta a) punkts un 67. pants.</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Faktiskās vai iespējamās saistības iegādāties pašu otrā līmeņa kapitāla instrumentus</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Regulas (ES) Nr. 575/2013 66. panta a) apakšpunkts un 67. pants.</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Saskaņā ar Regulas (ES) Nr. 575/2013 66. panta a) punktu atskaita “pašu otrā līmeņa kapitāla instrumentus, ko iestādei varētu nākties iegādāties spēkā esošo līgumsaistību rezultātā”.</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Pārejas posma korekcijas saistībā ar otrā līmeņa kapitāla instrumentiem, attiecībā uz kuriem piemērotas tiesības saglabāt iepriekš spēkā esošos nosacījumus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Regulas (ES) Nr. 575/2013 483. panta 6. un 7. punkts, 484., 486., 488., 490. un 491. pants.</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otrā līmeņa kapitālam. Uzrādāmo summu tieši iegūst no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Meitasuzņēmumu emitēti instrumenti, kuri ir atzīti otrā līmeņa kapitālā</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Regulas (ES) Nr. 575/2013 83., 87. un 88. pants</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Visa meitasuzņēmumu atbilstīgā pašu kapitāla summu kopsumma, kas iekļauta konsolidētajā otrā līmeņa kapitālā.</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Ietver atbilstīgu otrā līmeņa kapitālu, ko emitējusi īpašam nolūkam dibināta sabiedrība (Regulas (ES) Nr. 575/2013 83. pants).</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Pārejas posma korekcijas saistībā ar meitasuzņēmumu emitētu instrumentu papildu atzīšanu otrā līmeņa kapitālā</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480. pants</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atbilstīgu pašu kapitālu, kas saistībā ar pārejas noteikumiem ietverts konsolidētajā otrā līmeņa kapitālā. Šo posteni tieši iegūst no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IRB pārsniegums: summa, par kādu uzkrājumi pārsniedz atbilstošos paredzamos zaudējumus</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Regulas (ES) Nr. 575/2013 62. panta d) punkts.</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IRB pieeju, šis postenis ietver tādas pozitīvās summas, kuras iegūst, salīdzinot uzkrājumus un paredzamos zaudējumus, kas ir atbilstošas kā otrā līmeņa kapitāls.</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SP Vispārējās kredītriska korekcijas</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t>Regulas (ES) Nr. 575/2013 62. panta c) punkts.</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standartizēto pieeju, šis postenis ietver vispārējās kredītriska korekcijas, kas ir atbilstošas kā otrā līmeņa kapitāls.</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Savstarpējas līdzdalības otrā līmeņa kapitālā</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122) apakšpunkts, 66. panta b) punkts un 68. pants.</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Līdzdalības finanšu sektora sabiedrību (kā noteikts Regulas (ES) Nr. 575/2013 4. panta 1. punkta 27) apakšpunktā) otrā līmeņa kapitāla instrumentos, ja pastāv savstarpējas līdzdalības, kas, pēc kompetentās iestādes domām, ir izveidotas, lai mākslīgi palielinātu iestādes pašu kapitālu.</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otrā un trešā līmeņa pašu kapitāla apdrošināšanas posteņus.</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Tādu finanšu sektora sabiedrību otrā līmeņa kapitāla instrumenti, kurās iestādei nav būtiska ieguldījuma</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Regulas (ES) Nr. 575/2013 4. panta 1. punkta 27) apakšpunkts, 66. panta c) punkts, 68. līdz 70. pants un 79. pants.</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Tā daļa no iestādes līdzdalībām – tādu finanšu sektora sabiedrību (kā definēts Regulas (ES) Nr. 575/2013 4. panta 1. punkta 27) apakšpunktā) instrumentos, kurās iestādei nav būtiska ieguldījuma –, kas jāatskaita no otrā līmeņa kapitāla.</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Tādu finanšu sektora sabiedrību otrā līmeņa kapitāla instrumenti, kurās iestādei ir būtisks ieguldījums</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Regulas (ES) Nr. 575/2013 4. panta 1. punkta 27) apakšpunkts, 66. panta d) punkts, 68., 69. un 79. pants.</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Pilnībā atskaita iestādes līdzdalības tādu finanšu sektora sabiedrību (kā definēts Regulas (ES) Nr. 575/2013 4. panta 1. punkta 27) apakšpunktā) otrā līmeņa kapitāla instrumentos, kurās iestādei ir būtisks ieguldījums.</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Summa, par kādu atskaitījumi no atbilstošām saistībām pārsniedz atbilstošās saistības</w:t>
            </w:r>
          </w:p>
          <w:p w14:paraId="4449F407" w14:textId="77777777" w:rsidR="00CC7D2C" w:rsidRPr="002A677E" w:rsidRDefault="00CC7D2C" w:rsidP="00320EFD">
            <w:pPr>
              <w:pStyle w:val="InstructionsText"/>
              <w:rPr>
                <w:rStyle w:val="InstructionsTabelleberschrift"/>
                <w:rFonts w:ascii="Times New Roman" w:hAnsi="Times New Roman"/>
                <w:sz w:val="24"/>
              </w:rPr>
            </w:pPr>
            <w:r>
              <w:t>Regulas (ES) Nr. 575/2013 66. panta e) punkts.</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Citas pārejas posma korekcijas attiecībā uz otrā līmeņa kapitālu</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(Regulas (ES) Nr. 575/2013 472., 476., 477., 478. un 481. pants.</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Summa, par kādu atskaitījumi no otrā līmeņa kapitāla posteņiem pārsniedz otrā līmeņa kapitālu (atskaita no pirmā līmeņa papildu kapitāla)</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Regulas (ES) Nr. 575/2013 56. panta e) punkts.</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Otrā līmeņa kapitāls nevar būt negatīvs, tomēr ir iespējams, ka atskaitījumi no otrā līmeņa kapitāla ir lielāki nekā otrā līmeņa kapitāls plus saistītais akciju emisijas uzcenojums. Šādos gadījumos otrā līmeņa kapitāls ir vienāds ar nulli, un otrā līmeņa atskaitījumu pārpalikumu atskaita no pirmā līmeņa papildu kapitāla.</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 šo posteni 1.2.1.–1.2.13. posteņa summa nekad nav mazāka par nulli. Ja šis postenis uzrāda pozitīvu skaitli, 1.1.2.8. postenis ir pretējs šim skaitlim.</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Otrā līmeņa kapitāla papildu atskaitījumi saskaņā ar Regulas (ES) Nr. 575/2013 3. pantu</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3. pants</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Otrā līmeņa kapitāla elementi vai atskaitījumi — citi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 rinda nodrošina elastīgumu vienīgi pārskata sniegšanas nolūkos. To aizpilda tikai tajos retajos gadījumos, kad nav galīga lēmuma par konkrētu kapitāla posteņu/atskaitījumu uzrādīšanu pašreizējā CA1 veidnē. Līdz ar to šo rindu aizpilda tikai tad, ja otrā līmeņa kapitāla elementu — attiecīgā gadījumā otrā līmeņa kapitāla elementa atskaitījumu — nevar iedalīt kādā no rindām, kas apzīmētas no 750–974.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Šo rindu neizmanto, lai kapitāla posteņus/atskaitījumus, uz kuriem neattiecas Regula (ES) Nr. 575/2013, iekļautu maksātspējas koeficientu aprēķinā (piemēram, tādu valsts kapitāla posteņu/atskaitījumu iekļaušana, uz kuriem neattiecas minētās regulas darbības joma).</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lastRenderedPageBreak/>
        <w:t>1.3.</w:t>
      </w:r>
      <w:r>
        <w:rPr>
          <w:u w:val="none"/>
        </w:rPr>
        <w:tab/>
      </w:r>
      <w:r>
        <w:t>C 02.00 – PAŠU KAPITĀLA PRASĪBAS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Norādes par konkrētām pozīcijām</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Slejas</w:t>
            </w:r>
          </w:p>
        </w:tc>
        <w:tc>
          <w:tcPr>
            <w:tcW w:w="7274" w:type="dxa"/>
            <w:shd w:val="clear" w:color="auto" w:fill="D9D9D9"/>
          </w:tcPr>
          <w:p w14:paraId="190CA9EE" w14:textId="77777777" w:rsidR="00CC7D2C" w:rsidRPr="002A677E" w:rsidRDefault="00CC7D2C" w:rsidP="00320EFD">
            <w:pPr>
              <w:pStyle w:val="InstructionsText"/>
            </w:pPr>
            <w:r>
              <w:t>Atsauces uz tiesību aktiem un norādes</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KOPĒJĀ RISKA DARĪJUMU VĒRTĪBA</w:t>
            </w:r>
          </w:p>
          <w:p w14:paraId="11658B1F" w14:textId="77777777" w:rsidR="00CC7D2C" w:rsidRPr="002A677E" w:rsidRDefault="00CC7D2C" w:rsidP="00320EFD">
            <w:pPr>
              <w:pStyle w:val="InstructionsText"/>
            </w:pPr>
            <w:r>
              <w:t>Regulas (ES) Nr. 575/2013 92. panta 3. punkts un 95., 96. un 98. pants.</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PAŠU KAPITĀLA MINIMĀLĀS ROBEŽVĒRTĪBAS S-TREA</w:t>
            </w:r>
          </w:p>
          <w:p w14:paraId="1D5124AF" w14:textId="2240D9CF" w:rsidR="00CC7D2C" w:rsidRDefault="00C32586" w:rsidP="00320EFD">
            <w:pPr>
              <w:pStyle w:val="InstructionsText"/>
            </w:pPr>
            <w:r>
              <w:t>Iestādes, kurām piemēro pašu kapitāla minimālo robežvērtību saskaņā ar Regulas (ES) Nr. 575/2013 92. panta 3. punktu, uzrāda standartizēto kopējo riska darījumu vērtību (S-TREA), kas aprēķināta saskaņā ar 92. panta 5. punktu. Šī sleja attiecas tikai uz iestādēm, kas izmanto iekšējos modeļus.</w:t>
            </w:r>
          </w:p>
          <w:p w14:paraId="4831FC09" w14:textId="08537DA3" w:rsidR="00585ABC" w:rsidRDefault="00585ABC" w:rsidP="00320EFD">
            <w:pPr>
              <w:pStyle w:val="InstructionsText"/>
            </w:pPr>
            <w:r>
              <w:t>Rindās, kurās RWEA aprēķināšanai izmanto iekšējo modeļu pieejas, uzrāda standartizētās summas par šiem riska darījumiem.</w:t>
            </w:r>
          </w:p>
          <w:p w14:paraId="708B2B94" w14:textId="2316755B" w:rsidR="00585ABC" w:rsidRPr="002A677E" w:rsidRDefault="00585ABC" w:rsidP="00320EFD">
            <w:pPr>
              <w:pStyle w:val="InstructionsText"/>
            </w:pPr>
            <w:r>
              <w:t>Rindās, kurās RWEA aprēķināšanai izmanto standartizētas pieejas, uzrāda tās pašas summas, kas attiecībā uz šiem riska darījumiem uzrādītas 0010. slejā.</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Rinda</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Atsauces uz tiesību aktiem un norādes</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KOPĒJĀ RISKA DARĪJUMU VĒRTĪBA</w:t>
            </w:r>
          </w:p>
          <w:p w14:paraId="633B0735" w14:textId="77777777" w:rsidR="00CC7D2C" w:rsidRPr="002A677E" w:rsidRDefault="00CC7D2C" w:rsidP="00320EFD">
            <w:pPr>
              <w:pStyle w:val="InstructionsText"/>
            </w:pPr>
            <w:r>
              <w:t>Regulas (ES) Nr. 575/2013 92. panta 3. punkts un 95., 96. un 98. pants.</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No kā: Ieguldījumu brokeru sabiedrības saskaņā ar Regulas (ES) Nr. 575/2013 95. panta 2. punktu un 98. pantu</w:t>
            </w:r>
          </w:p>
          <w:p w14:paraId="7A0F1D20" w14:textId="77777777" w:rsidR="00CC7D2C" w:rsidRPr="002A677E" w:rsidRDefault="00CC7D2C" w:rsidP="00320EFD">
            <w:pPr>
              <w:pStyle w:val="InstructionsText"/>
            </w:pPr>
            <w:r>
              <w:t>Ieguldījumu brokeru sabiedrībām saskaņā ar Regulas (ES) Nr. 575/2013 95. panta 2. punktu un 98. pantu.</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No kā: Ieguldījumu brokeru sabiedrības saskaņā ar Regulas (ES) Nr. 575/2013 96. panta 2. punktu un 97. pantu</w:t>
            </w:r>
          </w:p>
          <w:p w14:paraId="04608E0A" w14:textId="77777777" w:rsidR="00CC7D2C" w:rsidRPr="002A677E" w:rsidRDefault="00CC7D2C" w:rsidP="00320EFD">
            <w:pPr>
              <w:pStyle w:val="InstructionsText"/>
            </w:pPr>
            <w:r>
              <w:t>Ieguldījumu brokeru sabiedrībām saskaņā ar Regulas (ES) Nr. 575/2013 96. panta 2. punktu un 97. pantu.</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No kā: Minimālās robežvērtības korekcija</w:t>
            </w:r>
          </w:p>
          <w:p w14:paraId="1879A8CD" w14:textId="65429001" w:rsidR="00CC7D2C" w:rsidRPr="002A677E" w:rsidRDefault="00A8011A" w:rsidP="00320EFD">
            <w:pPr>
              <w:pStyle w:val="InstructionsText"/>
              <w:rPr>
                <w:rStyle w:val="InstructionsTabelleberschrift"/>
                <w:rFonts w:ascii="Times New Roman" w:hAnsi="Times New Roman"/>
                <w:sz w:val="24"/>
              </w:rPr>
            </w:pPr>
            <w:r>
              <w:t>Iestādes, kurām piemēro pašu kapitāla minimālo robežvērtību saskaņā ar Regulas (ES) Nr. 575/2013 92. panta 3. punktu, uzrāda starpību starp 0010. rindā uzrādīto summu un 0036. rindā uzrādīto summu. Šī summa ir pozitīva vai vienāda ar nulli.</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KOPĒJĀ RISKA DARĪJUMU VĒRTĪBA PIRMS MINIMĀLĀS ROBEŽVĒRTĪBAS PIEMĒROŠANAS</w:t>
            </w:r>
          </w:p>
          <w:p w14:paraId="7BCD0DA1" w14:textId="04714494" w:rsidR="00CC7D2C" w:rsidRPr="002A677E" w:rsidRDefault="00A8011A" w:rsidP="00320EFD">
            <w:pPr>
              <w:pStyle w:val="InstructionsText"/>
              <w:rPr>
                <w:rStyle w:val="InstructionsTabelleberschrift"/>
                <w:rFonts w:ascii="Times New Roman" w:hAnsi="Times New Roman"/>
                <w:sz w:val="24"/>
              </w:rPr>
            </w:pPr>
            <w:r>
              <w:t xml:space="preserve">Iestādes, uz kurām attiecas pašu kapitāla minimālā robežvērtība saskaņā ar Regulas (ES) Nr. 575/2013 92. panta 3. punktu, uzrāda </w:t>
            </w:r>
            <w:r>
              <w:rPr>
                <w:i/>
                <w:iCs/>
              </w:rPr>
              <w:lastRenderedPageBreak/>
              <w:t>TREA</w:t>
            </w:r>
            <w:r>
              <w:t xml:space="preserve"> pirms minimālās robežvērtības piemērošanas, kā noteikts Regulas (ES) Nr. 575/2013 92. panta 4. punktā.</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RISKA DARĪJUMU RISKA SVĒRTĀ VĒRTĪBA KREDĪTRISKAM, DARĪJUMA PARTNERA KREDĪTRISKAM UN ATGŪSTAMĀS VĒRTĪBAS SAMAZINĀJUMA RISKAM, UN NEAPMAKSĀTAJĀM PIEGĀDĒM</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Regulas (ES) Nr. 575/2013 92. panta 3. punkts un 92. panta 4. punkta a) apakšpunkts.</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Standartizētā pieeja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un SEC SA veidnes kopējo riska darījumu līmenī.</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No kā: stingrākas papildu prudenciālās prasības saskaņā ar Regulas (ES) Nr. 575/2013 124. pantu</w:t>
            </w:r>
          </w:p>
          <w:p w14:paraId="4A7F7245" w14:textId="3BCE1E49" w:rsidR="00CC7D2C" w:rsidRPr="002A677E" w:rsidRDefault="00CC7D2C" w:rsidP="00320EFD">
            <w:pPr>
              <w:pStyle w:val="InstructionsText"/>
              <w:rPr>
                <w:rStyle w:val="InstructionsTabelleberschrift"/>
                <w:rFonts w:ascii="Times New Roman" w:hAnsi="Times New Roman"/>
                <w:sz w:val="24"/>
              </w:rPr>
            </w:pPr>
            <w:r>
              <w:t>Iestādes saskaņā ar Regulas (ES) Nr. 575/2013 124. panta 8. līdz 13. punktu ziņo par papildu riska darījumu summām, kas nepieciešamas, lai nodrošinātu atbilstību stingrākām prudenciālajām prasībām, kā paziņots iestādēm pēc apspriešanās ar EBI.</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SA riska darījumu kategorijas, neskaitot vērtspapīrošanas pozīcijas</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veidne kopējo riska darījumu līmenī. </w:t>
            </w:r>
            <w:r>
              <w:t>SA riska darījumu kategorijas ir Regulas (ES) Nr. 575/2013 112. pantā minētās kategorijas, izņemot vērtspapīrošanas pozīcijas.</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Centrālās valdības vai centrālās bankas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 CR SA veidni.</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Reģionālās pašvaldības vai vietējās pašpārvaldes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Publiskā sektora struktūras</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Daudzpusējas attīstības bankas</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 CR SA veidni.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Starptautiskās organizācijas</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Iestādes</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Komercsabiedrības — citi</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Komercsabiedrības – specializētā kreditēšana</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Privātpersonas un MVU</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Nodrošināti ar nekustamā īpašuma hipotēku, un ADC riska darījumi</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sidRPr="00580581">
              <w:rPr>
                <w:rStyle w:val="InstructionsTabelleberschrift"/>
                <w:rFonts w:ascii="Times New Roman" w:hAnsi="Times New Roman"/>
                <w:sz w:val="24"/>
              </w:rPr>
              <w:t>.-Nodrošināti ar mājokļa nekustamā īpašuma hipotēku — ieņēmumus nenesošs (nodrošināts)</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sidRPr="00580581">
              <w:rPr>
                <w:rStyle w:val="InstructionsTabelleberschrift"/>
                <w:rFonts w:ascii="Times New Roman" w:hAnsi="Times New Roman"/>
                <w:sz w:val="24"/>
              </w:rPr>
              <w:t>.-Nodrošināti ar mājokļa nekustamā īpašuma hipotēku — ieņēmumus nenesošs (nenodrošināts)</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sidRPr="00580581">
              <w:rPr>
                <w:rStyle w:val="InstructionsTabelleberschrift"/>
                <w:rFonts w:ascii="Times New Roman" w:hAnsi="Times New Roman"/>
                <w:sz w:val="24"/>
              </w:rPr>
              <w:t>. Nodrošināti ar mājokļa nekustamā īpašuma hipotēku — Citi — ieņēmumus nenesošs</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sidRPr="00580581">
              <w:rPr>
                <w:rStyle w:val="InstructionsTabelleberschrift"/>
                <w:rFonts w:ascii="Times New Roman" w:hAnsi="Times New Roman"/>
                <w:sz w:val="24"/>
              </w:rPr>
              <w:t>. Nodrošināti ar mājokļa nekustamā īpašuma hipotēku — Citi — ieņēmumus nesošs</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sidRPr="00580581">
              <w:rPr>
                <w:rStyle w:val="InstructionsTabelleberschrift"/>
                <w:rFonts w:ascii="Times New Roman" w:hAnsi="Times New Roman"/>
                <w:sz w:val="24"/>
              </w:rPr>
              <w:t>. Nodrošināti ar mājokļa nekustamā īpašuma hipotēku — Citi — ieņēmumus nesošs</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sidRPr="00580581">
              <w:rPr>
                <w:rStyle w:val="InstructionsTabelleberschrift"/>
                <w:rFonts w:ascii="Times New Roman" w:hAnsi="Times New Roman"/>
                <w:sz w:val="24"/>
              </w:rPr>
              <w:t>.-Nodrošināti ar komerciālā nekustamā īpašuma hipotēku — ieņēmumus nenesošs (nodrošināts)</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sidRPr="00580581">
              <w:rPr>
                <w:rStyle w:val="InstructionsTabelleberschrift"/>
                <w:rFonts w:ascii="Times New Roman" w:hAnsi="Times New Roman"/>
                <w:sz w:val="24"/>
              </w:rPr>
              <w:t>.-Nodrošināti ar komerciālā nekustamā īpašuma hipotēku — ieņēmumus nenenesošs (nenodrošināts)</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Pr>
              <w:t>0158.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sidRPr="00580581">
              <w:rPr>
                <w:rStyle w:val="InstructionsTabelleberschrift"/>
                <w:rFonts w:ascii="Times New Roman" w:hAnsi="Times New Roman"/>
                <w:sz w:val="24"/>
              </w:rPr>
              <w:t>. Nodrošināti ar komerciālā nekustamā īpašuma hipotēku — Citi — ieņēmumus nenesošs</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sidRPr="00580581">
              <w:rPr>
                <w:rStyle w:val="InstructionsTabelleberschrift"/>
                <w:rFonts w:ascii="Times New Roman" w:hAnsi="Times New Roman"/>
                <w:sz w:val="24"/>
              </w:rPr>
              <w:t>. Nodrošināti ar komerciālā nekustamā īpašuma hipotēku — Citi — ieņēmumus nesošs</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sidRPr="00580581">
              <w:rPr>
                <w:rStyle w:val="InstructionsTabelleberschrift"/>
                <w:rFonts w:ascii="Times New Roman" w:hAnsi="Times New Roman"/>
                <w:sz w:val="24"/>
              </w:rPr>
              <w:t xml:space="preserve"> Nodrošināti ar komerciāla nekustamā īpašuma hipotēku — Citi — ieņēmumus nesošs</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sidRPr="00580581">
              <w:rPr>
                <w:rStyle w:val="InstructionsTabelleberschrift"/>
                <w:rFonts w:ascii="Times New Roman" w:hAnsi="Times New Roman"/>
                <w:sz w:val="24"/>
              </w:rPr>
              <w:t xml:space="preserve"> Iegāde, attīstība un būvniecība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Riska darījumi, kuros netiek pildītas saistības</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Sk. CR SA veidni.</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Pakārtoto parāda vērtspapīru riska darījumi</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SA veidni.</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Segtās obligācijas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Prasījumi pret iestādēm un komercsabiedrībām, kam ir noteikts īstermiņa kredītnovērtējums</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Kolektīvu ieguldījumu uzņēmumi (KIU)</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Kapitāla vērtspapīri</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Citi posteņi</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Sk. CR SA veidni.</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No kā: programmatūras aktīvi, kas uzskaitīti kā nemateriālie aktīvi</w:t>
            </w:r>
          </w:p>
          <w:p w14:paraId="665DD53E" w14:textId="77777777" w:rsidR="00CC7D2C" w:rsidRPr="002A677E" w:rsidRDefault="00CC7D2C" w:rsidP="00320EFD">
            <w:pPr>
              <w:pStyle w:val="InstructionsText"/>
              <w:rPr>
                <w:rStyle w:val="InstructionsTabelleberschrift"/>
                <w:rFonts w:ascii="Times New Roman" w:hAnsi="Times New Roman"/>
                <w:sz w:val="24"/>
              </w:rPr>
            </w:pPr>
            <w:r>
              <w:t>Riska darījumu riska svērtā vērtība, kas attiecas uz programmatūras aktīvu daļu, kura uzskaitīta kā nemateriālie aktīvi un kura netiek atskaitīta no pirmā līmeņa pamata kapitāla posteņiem saskaņā ar Regulas (ES) Nr. 575/2013 36. panta 1. punkta b) apakšpunktu, bet kurai ir riska pakāpe saskaņā ar minētās regulas 113. panta 5. punktu.</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Uz iekšējiem reitingiem balstītā pieeja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No kā: stingrākas papildu prudenciālās prasības saskaņā ar Regulas (ES) Nr. 575/2013 164. pantu</w:t>
            </w:r>
          </w:p>
          <w:p w14:paraId="6560C4C8" w14:textId="77777777" w:rsidR="00CC7D2C" w:rsidRPr="002A677E" w:rsidRDefault="00CC7D2C" w:rsidP="00320EFD">
            <w:pPr>
              <w:pStyle w:val="InstructionsText"/>
              <w:rPr>
                <w:rStyle w:val="InstructionsTabelleberschrift"/>
                <w:rFonts w:ascii="Times New Roman" w:hAnsi="Times New Roman"/>
                <w:sz w:val="24"/>
              </w:rPr>
            </w:pPr>
            <w:r>
              <w:t>Iestādes saskaņā ar Regulas (ES) Nr. 575/2013 164. panta 5. un 7. punktu ziņo par papildu riska darījumu summām, kas nepieciešamas, lai nodrošinātu atbilstību stingrākām prudenciālajām prasībām, kā paziņots iestādēm pēc paziņošanas EBI.</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No kā: stingrākas papildu prudenciālās prasības saskaņā ar Regulas (ES) Nr. 575/2013 124. pantu</w:t>
            </w:r>
          </w:p>
          <w:p w14:paraId="15832D3F" w14:textId="33F29755" w:rsidR="00CC7D2C" w:rsidRPr="002A677E" w:rsidRDefault="00CC7D2C" w:rsidP="00320EFD">
            <w:pPr>
              <w:pStyle w:val="InstructionsText"/>
              <w:rPr>
                <w:rStyle w:val="InstructionsTabelleberschrift"/>
                <w:rFonts w:ascii="Times New Roman" w:hAnsi="Times New Roman"/>
                <w:sz w:val="24"/>
              </w:rPr>
            </w:pPr>
            <w:r>
              <w:t>Iestādes ziņo par papildu riska darījumu summām, kas nepieciešamas, lai nodrošinātu atbilstību stingrākām prudenciālajām prasībām, kuras kompetentās iestādes noteikušas pēc apspriešanās ar EBI, kā noteikts Regulas (ES) Nr. 575/2013 124. panta 8. līdz 13. punktā, un kuras ir saistītas ar nodrošinājuma atbilstīgās tirgus vērtības ierobežojumiem, kā noteikts minētās regulas 125. panta 2. punkta d) apakšpunktā un 126. panta 2. punkta d) apakšpunktā.</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pieejas gadījumos, ja neizmanto ne pašu aplēses attiecībā uz saistību nepildīšanas zaudējumiem (LGD), ne korekcijas pakāpes</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veidne kopējo riska darījumu līmenī (ja neizmanto pašu aplēses attiecībā uz LGD vai korekcijas pakāpes).</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Centrālās valdības un centrālās bankas</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Reģionālās pašvaldības vai vietējās pašpārvaldes</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Publiskā sektora struktūras</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Iestādes</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Komercsabiedrības – specializētā kreditēšana</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Sk. CR IRB veidni.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Komercsabiedrības – nopirktie debitoru parādi</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Komercsabiedrības – citas</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Izziņas postenis: Komercsabiedrības — lielas komercsabiedrības</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IRB veidni.</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Izziņas postenis: Komercsabiedrības – MVU</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pieejas gadījumos, ja izmanto pašu aplēses attiecībā uz LGD un/vai korekcijas pakāpi</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veidne kopējo riska darījumu līmenī (ja izmanto pašu aplēses attiecībā uz LGD un/vai korekcijas pakāpes).</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Centrālās valdības un centrālās bankas</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Reģionālās pašvaldības vai vietējās pašpārvaldes</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Publiskā sektora struktūras</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Komercsabiedrības – specializētā kreditēšana</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Sk. CR IRB veidni.</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Komercsabiedrības – nopirktie debitoru parādi</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Komercsabiedrības – citas</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Izziņas postenis: Komercsabiedrības — lielas komercsabiedrības</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IRB veidni.</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Izziņas postenis: Komercsabiedrības – MVU</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Privātpersonas vai MVU – nodrošināti ar mājokļa nekustamo īpašumu</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Privātpersonas vai MVU – atbilstīgi, atjaunojami</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Privātpersonas vai MVU – nopirktie debitoru parādi</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Privātpersonas vai MVU — citi</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No kā: nodrošināti ar komerciālo nekustamo īpašumu</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Izziņas postenis: Privātpersonas vai MVU — ar nekustamo īpašumu nodrošināti, MVU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Izziņas postenis: Privātpersonas vai MVU — nodrošināti ar nekustamo īpašumu, nav MVU</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Izziņas postenis: Privātpersonas vai MVU – citi MVU</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Izziņas postenis: Privātpersonas vai MVU – citi, kas nav MVU</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Kapitāla vērtspapīri —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EQU IRB veidni.</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Kolektīvu ieguldījumu uzņēmumi (KIU)</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Citi aktīvi, kas nav kredītsaistības</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lastRenderedPageBreak/>
              <w:t>Uzrādāmā summa ir riska darījumu riska svērtā vērtība, kas aprēķināta saskaņā ar Regulas (ES) Nr. 575/2013 156. pantu.</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tostarp programmatūras aktīvi, kas uzskaitīti kā nemateriālie aktīvi</w:t>
            </w:r>
          </w:p>
          <w:p w14:paraId="725F0A16" w14:textId="77777777" w:rsidR="00CC7D2C" w:rsidRPr="002A677E" w:rsidRDefault="00CC7D2C" w:rsidP="00320EFD">
            <w:pPr>
              <w:pStyle w:val="InstructionsText"/>
              <w:rPr>
                <w:rStyle w:val="InstructionsTabelleberschrift"/>
                <w:rFonts w:ascii="Times New Roman" w:hAnsi="Times New Roman"/>
                <w:sz w:val="24"/>
              </w:rPr>
            </w:pPr>
            <w:r>
              <w:t>Riska darījumu riska svērtā vērtība, kas attiecas uz programmatūras aktīvu daļu, kura uzskaitīta kā nemateriālie aktīvi un kura netiek atskaitīta no pirmā līmeņa pamata kapitāla posteņiem saskaņā ar Regulas (ES) Nr. 575/2013 36. panta 1. punkta b) apakšpunktu, bet kurai ir riska pakāpe saskaņā ar minētās regulas 156. pantu.</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Riska darījumu vērtība iemaksām CCP saistību neizpildes fondā</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307., 308. un 309. pants</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Vērtspapīrošanas pozīcijas</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SEC veidni.</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KOPĒJĀ RISKA DARĪJUMU VĒRTĪBA NORĒĶINU/PIEGĀDES RISKAM</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92. panta 3. punkts un 92. panta 4. punkta ca) apakšpunkts.</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Norēķinu/piegādes risks netirdzniecības portfelī</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Norēķinu/piegādes risks tirdzniecības portfelī</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KOPĒJĀ RISKA DARĪJUMU VĒRTĪBA DARĪJUMIEM, KAS PAKĻAUTI TIRGUS RISKAM</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Regulas (ES) Nr. 575/2013 92. panta 4. punkta b) apakšpunkta i) punkts un c) apakšpunkts, 5. punkta b) apakšpunkts un 7. punkta b) apakšpunkts.</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Riska darījumu vērtība darījumiem, kas pakļauti tirgus riskam, ko aprēķinājušas vienības, kuras piemēro tikai vienkāršoto standartizēto pieeju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Tirgoti parāda instrumenti</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veidne kopējo valūtu līmenī.</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Kapitāla vērtspapīri</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veidne kopējo valstu tirgu līmenī.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Īpaša pieeja pozīcijas riskam kolektīvu ieguldījumu uzņēmumos</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Regulas (ES) Nr. 575/2013 348. panta 1. punkts, 350. panta 3. punkta c) apakšpunkts un 364. panta 2. punkta a) apakšpunkts.</w:t>
            </w:r>
          </w:p>
          <w:p w14:paraId="0F8EF050" w14:textId="77777777" w:rsidR="00CC7D2C" w:rsidRPr="002A677E" w:rsidRDefault="00CC7D2C" w:rsidP="00822842">
            <w:pPr>
              <w:rPr>
                <w:rStyle w:val="FormatvorlageInstructionsTabelleText"/>
                <w:rFonts w:ascii="Times New Roman" w:hAnsi="Times New Roman"/>
                <w:sz w:val="24"/>
              </w:rPr>
            </w:pPr>
            <w:r w:rsidRPr="00A67818">
              <w:rPr>
                <w:rStyle w:val="FormatvorlageInstructionsTabelleText"/>
                <w:rFonts w:ascii="Times New Roman" w:hAnsi="Times New Roman"/>
                <w:sz w:val="24"/>
              </w:rPr>
              <w:t xml:space="preserve">Kopējā riska darījumu vērtība pozīcijām attiecībā uz KIU, ja kapitāla prasības aprēķina saskaņā ar Regulas (ES) Nr. 575/2013 </w:t>
            </w:r>
            <w:r w:rsidRPr="00A67818">
              <w:rPr>
                <w:rStyle w:val="FormatvorlageInstructionsTabelleText"/>
                <w:rFonts w:ascii="Times New Roman" w:hAnsi="Times New Roman"/>
                <w:sz w:val="24"/>
              </w:rPr>
              <w:lastRenderedPageBreak/>
              <w:t>348. panta 1. punktu vai nu nekavējoties, vai minētās regulas 350. panta 3. punkta c) apakšpunktā definētā ierobežojuma rezultātā. Regulā (ES) Nr. 575/2013 minētās pozīcijas</w:t>
            </w:r>
            <w:r>
              <w:rPr>
                <w:rFonts w:ascii="Times New Roman" w:hAnsi="Times New Roman"/>
                <w:sz w:val="24"/>
              </w:rPr>
              <w:t xml:space="preserve"> nav skaidri iedalītas ne procentu likmju riskā, ne pašu kapitāla riskā.</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Ja piemēro īpašo pieeju, kas noteikta Regulas (ES) Nr. 575/2013 348. panta 1. punkta pirmajā teikumā, uzrādāmā summa ir 32 % no attiecīgā KIU riska darījuma neto pozīcijas, kas reizināta ar 12,5.</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sidRPr="00A67818">
              <w:rPr>
                <w:rFonts w:ascii="Times New Roman" w:hAnsi="Times New Roman"/>
                <w:sz w:val="24"/>
              </w:rPr>
              <w:t>Ja piemēro īpašo pieeju, kas noteikta Regulas (ES) Nr. 575/2013 348. panta 1. punkta otrajā teikumā, uzrādāmā summa ir zemāka par 32 % no attiecīgā KIU riska darījuma neto pozīcijas un starpība starp 40 % no šīs neto pozīcijas un pašu kapitāla prasībām, kas izriet no ārvalstu valūtas riska, kurš saistīts ar šo KIU riska darījumu, un kas attiecīgi reizināta ar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Izziņas postenis: kolektīvo ieguldījumu uzņēmumi, kas iegulda vienīgi tirgotajos parāda instrumentos</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tādos instrumentos, uz kuriem attiecas procenta likmju risks.</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kolektīvo ieguldījumu uzņēmumi, kas iegulda vienīgi kapitāla vērtspapīru instrumentos vai jauktos instrumentos</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vai nu instrumentos, uz kuriem attiecas kapitāla vērtspapīru risks, vai jauktos instrumentos, vai ja KIU komponentes nav zināmas.</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Ārvalstu valūta</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MKR SA FX veidni.</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Preces</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MKR SA COM veidni</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Riska darījumu vērtība pozīcijas riskam, ārvalstu valūtas riskam un preču riskam saskaņā ar iekšējiem modeļiem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Sk. MKR IM veidni.</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Skaidrojošs teksts konsultāciju vajadzībām</w:t>
                  </w:r>
                </w:p>
                <w:p w14:paraId="4B9D2A68" w14:textId="77777777" w:rsidR="00CC7D2C" w:rsidRDefault="00CC7D2C" w:rsidP="00822842">
                  <w:pPr>
                    <w:rPr>
                      <w:rStyle w:val="FormatvorlageInstructionsTabelleText"/>
                      <w:rFonts w:ascii="Times New Roman" w:hAnsi="Times New Roman"/>
                      <w:sz w:val="24"/>
                    </w:rPr>
                  </w:pPr>
                  <w:r>
                    <w:t>Šī rinda tiks dzēsta, tiklīdz pašreizējo iekšējo modeļu pieeju vairs nevarēs izmantot, lai aprēķinātu pašu kapitāla prasības tirgus riskiem.</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Bilances un ārpusbilances riska darījumu vērtība, kas pakļauta tādu sabiedrību tirgus riskam, kuras piemēro tikai alternatīvo standartizēto pieeju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Sk. MKR ASA SUM veidni.</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1.3.4. Bilances un ārpusbilances riska darījumu vērtība, kas pakļauta tādu sabiedrību tirgus riskam, kuras piemēro tikai </w:t>
            </w:r>
            <w:r>
              <w:rPr>
                <w:rStyle w:val="InstructionsTabelleberschrift"/>
                <w:rFonts w:ascii="Times New Roman" w:hAnsi="Times New Roman"/>
                <w:sz w:val="24"/>
              </w:rPr>
              <w:lastRenderedPageBreak/>
              <w:t>alternatīvo iekšējo modeļu pieeju (AIMA) vai AIMA un ASA kombināciju</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Sk. MKR AIMA SUM veidni.</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1.3.*RISKA DARĪJUMU VĒRTĪBA PĀRKLASIFICĒŠANAI STARP NETIRDZNIECĪBAS PORTFELI UN TIRDZNIECĪBAS PORTFELI</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Sk. MOV veidni.</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KOPĒJĀ RISKA DARĪJUMU VĒRTĪBA OPERACIONĀLAJAM RISKAM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Regulas (ES) Nr. 575/2013 92. panta 3. punkts un 92. panta 4. punkta e) apakšpunkts.</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Ieguldījumu brokeru sabiedrībām saskaņā ar Regulas (ES) Nr. 575/2013 95. panta 2. punktu, 96. panta 2. punktu un 98. pantu šis elements ir nulle.</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PAPILDU RISKA DARĪJUMU VĒRTĪBA SAISTĪBĀ AR FIKSĒTIEM PIESKAITĀMAJIEM IZDEVUMIEM</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Regulas (ES) Nr. 575/2013 95. panta 2. punkts, 96. panta 2. punkts, 97. pants un 98. panta 1. punkta a) apakšpunkts.</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Tikai ieguldījumu brokeru sabiedrībām saskaņā ar Regulas (ES) Nr. 575/2013 95. panta 2. punktu, 96. panta 2. punktu un 98. pantu.</w:t>
            </w:r>
            <w:r>
              <w:rPr>
                <w:rStyle w:val="FormatvorlageInstructionsTabelleText"/>
                <w:rFonts w:ascii="Times New Roman" w:hAnsi="Times New Roman"/>
                <w:sz w:val="24"/>
              </w:rPr>
              <w:t xml:space="preserve"> </w:t>
            </w:r>
            <w:r>
              <w:rPr>
                <w:rFonts w:ascii="Times New Roman" w:hAnsi="Times New Roman"/>
                <w:sz w:val="24"/>
              </w:rPr>
              <w:t>Skatīt arī Regulas (ES) Nr. 575/2013 97. pantu.</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Ieguldījumu brokeru sabiedrības saskaņā ar Regulas (ES) Nr. 575/2013 96. pantu uzrāda 97. pantā minēto summu, reizinot to ar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Ieguldījumu brokeru sabiedrības saskaņā ar Regulas (ES) Nr. 575/2013 95. pantu sniedz šādu informāciju:</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ja Regulas (ES) Nr. 575/2013 95. panta 2. punkta a) apakšpunktā minētā summa ir lielāka par summu, kas norādīta minētās regulas 95. panta 2. punkta b) apakšpunktā, uzrādāmā summa ir vienāda ar nulli.</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ja Regulas(ES) Nr. 575/2013 95. panta 2. punkta b) apakšpunktā minētā vērtība ir lielāka par summu, kas norādīta minētās regulas 95. panta 2. punkta a) apakšpunktā, uzrādāmo summu iegūst, pēdējo summu atņemot no pirmās.</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KOPĒJĀ RISKA DARĪJUMU VĒRTĪBA KREDĪTA VĒRTĪBAS KOREKCIJAI</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t>Regulas (ES) Nr. 575/2013 92. panta 4. punkta d) apakšpunkts.</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Sk. CVA veidni.</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Standartizētā pieeja (SA)</w:t>
            </w:r>
          </w:p>
          <w:p w14:paraId="52EE3666" w14:textId="77777777" w:rsidR="00CC7D2C" w:rsidRPr="002A677E" w:rsidRDefault="00CC7D2C" w:rsidP="00320EFD">
            <w:pPr>
              <w:pStyle w:val="InstructionsText"/>
              <w:rPr>
                <w:rStyle w:val="InstructionsTabelleberschrift"/>
                <w:rFonts w:ascii="Times New Roman" w:hAnsi="Times New Roman"/>
                <w:sz w:val="24"/>
              </w:rPr>
            </w:pPr>
            <w:r>
              <w:t>Regulas (ES) Nr. 575/2013 383. pants</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Pilnīga pamata pieeja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Regulas (ES) Nr. 575/2013 384. panta 3. punkts</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Samazinātā pamata pieeja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Regulas (ES) Nr. 575/2013 384. panta 2. punkts</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Vienkaršotā pieeja</w:t>
            </w:r>
          </w:p>
          <w:p w14:paraId="5D4966C6" w14:textId="77777777" w:rsidR="00CC7D2C" w:rsidRPr="002A677E" w:rsidRDefault="00CC7D2C" w:rsidP="00320EFD">
            <w:pPr>
              <w:pStyle w:val="InstructionsText"/>
              <w:rPr>
                <w:rStyle w:val="InstructionsTabelleberschrift"/>
                <w:rFonts w:ascii="Times New Roman" w:hAnsi="Times New Roman"/>
                <w:sz w:val="24"/>
              </w:rPr>
            </w:pPr>
            <w:r>
              <w:t>Regulas (ES) Nr. 575/2013 385. pants</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Vienkāršots režīms atvasināto instrumentu pozīcijām KIU</w:t>
            </w:r>
          </w:p>
          <w:p w14:paraId="745B756E" w14:textId="77777777" w:rsidR="00CC7D2C" w:rsidRPr="002A677E" w:rsidRDefault="00CC7D2C" w:rsidP="00320EFD">
            <w:pPr>
              <w:pStyle w:val="InstructionsText"/>
              <w:rPr>
                <w:rStyle w:val="InstructionsTabelleberschrift"/>
                <w:rFonts w:ascii="Times New Roman" w:hAnsi="Times New Roman"/>
                <w:sz w:val="24"/>
              </w:rPr>
            </w:pPr>
            <w:r>
              <w:t>Regulas (ES) Nr. 575/2013 132.a panta 3. punkts, 152. panta 3. punkts un 325.j panta l. punkts</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KOPĒJĀ RISKA DARĪJUMU VĒRTĪBA, KAS SAISTĪTA AR LIELIEM RISKA DARĪJUMIEM TIRDZNIECĪBAS PORTFELĪ</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t>Regulas (ES) Nr. 575/2013 92. panta 4. punkta b) apakšpunkta ii) punkts un 395. līdz 401. pants.</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CITAS RISKA DARĪJUMU VĒRTĪBAS</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3., 458. un 459. pants un riska darījumu vērtības, ko nevar iedalīt vienā no posteņiem, kas apzīmēti no 1.1 līdz 1.7.</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Iestādes sniedz pārskatu par vērtībām, kas vajadzīgas, lai ievērotu šādas prasības:</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Stingrākas prudenciālās prasības, ko Komisija noteikusi saskaņā ar Regulas (ES) Nr. 575/2013 458. un 459. pantu.</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Papildu riska darījumu summa saistībā ar Regulas (ES) Nr. 575/2013 3. pantu.</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Šim postenim nav saites uz sīkākas informācijas veidni.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No kā: stingrākas papildu prudenciālās prasības saskaņā ar Regulas (ES) Nr. 575/2013 458. pantu</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FormatvorlageInstructionsTabelleText"/>
                <w:rFonts w:ascii="Times New Roman" w:hAnsi="Times New Roman"/>
                <w:sz w:val="24"/>
              </w:rPr>
              <w:t>458. pants</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No kā: prasības attiecībā uz lieliem riska darījumiem</w:t>
            </w:r>
          </w:p>
          <w:p w14:paraId="242C94AC" w14:textId="77777777" w:rsidR="00CC7D2C" w:rsidRPr="002A677E" w:rsidRDefault="00CC7D2C" w:rsidP="00320EFD">
            <w:pPr>
              <w:pStyle w:val="InstructionsText"/>
              <w:rPr>
                <w:rStyle w:val="InstructionsTabelleberschrift"/>
                <w:rFonts w:ascii="Times New Roman" w:hAnsi="Times New Roman"/>
                <w:sz w:val="24"/>
              </w:rPr>
            </w:pPr>
            <w:r>
              <w:t>Regulas (ES) Nr. 575/2013 458. pants</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No kā: saistībā ar modificētiem riska svērumiem, lai ņemtu vērā mājokļu un komerciālo īpašumu aktīvu “burbuļus”</w:t>
            </w:r>
          </w:p>
          <w:p w14:paraId="6AE45898" w14:textId="77777777" w:rsidR="00CC7D2C" w:rsidRPr="002A677E" w:rsidRDefault="00CC7D2C" w:rsidP="00320EFD">
            <w:pPr>
              <w:pStyle w:val="InstructionsText"/>
              <w:rPr>
                <w:rStyle w:val="InstructionsTabelleberschrift"/>
                <w:rFonts w:ascii="Times New Roman" w:hAnsi="Times New Roman"/>
                <w:sz w:val="24"/>
              </w:rPr>
            </w:pPr>
            <w:r>
              <w:t>Regulas (ES) Nr. 575/2013 458. pants</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No kā: saistībā ar finanšu sektora iekšējiem riska darījumiem</w:t>
            </w:r>
          </w:p>
          <w:p w14:paraId="0AD2BF6F" w14:textId="77777777" w:rsidR="00CC7D2C" w:rsidRPr="002A677E" w:rsidRDefault="00CC7D2C" w:rsidP="00320EFD">
            <w:pPr>
              <w:pStyle w:val="InstructionsText"/>
              <w:rPr>
                <w:rStyle w:val="InstructionsTabelleberschrift"/>
                <w:rFonts w:ascii="Times New Roman" w:hAnsi="Times New Roman"/>
                <w:sz w:val="24"/>
              </w:rPr>
            </w:pPr>
            <w:r>
              <w:t>Regulas (ES) Nr. 575/2013 458. pants</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No kā: stingrākas papildu prudenciālās prasības saskaņā ar Regulas (ES) Nr. 575/2013 459. pantu</w:t>
            </w:r>
          </w:p>
          <w:p w14:paraId="4F93B1E4" w14:textId="77777777" w:rsidR="00CC7D2C" w:rsidRPr="002A677E" w:rsidRDefault="00CC7D2C" w:rsidP="00320EFD">
            <w:pPr>
              <w:pStyle w:val="InstructionsText"/>
              <w:rPr>
                <w:rStyle w:val="InstructionsTabelleberschrift"/>
                <w:rFonts w:ascii="Times New Roman" w:hAnsi="Times New Roman"/>
                <w:sz w:val="24"/>
              </w:rPr>
            </w:pPr>
            <w:r>
              <w:t xml:space="preserve">Regulas (ES) Nr. 575/2013 </w:t>
            </w:r>
            <w:r>
              <w:rPr>
                <w:rStyle w:val="FormatvorlageInstructionsTabelleText"/>
                <w:rFonts w:ascii="Times New Roman" w:hAnsi="Times New Roman"/>
                <w:sz w:val="24"/>
              </w:rPr>
              <w:t>459. pants</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1.8.3a       No kā: papildu RWEA tirgus riskam, ko noteicis uzraudzītājs, pamatojoties uz Direktīvas 2013/36/ES 110. pantu</w:t>
            </w:r>
          </w:p>
          <w:p w14:paraId="6AA689E0" w14:textId="70B9ABFD" w:rsidR="005F24EB" w:rsidRPr="003D5537" w:rsidRDefault="003D5537" w:rsidP="00320EFD">
            <w:pPr>
              <w:pStyle w:val="InstructionsText"/>
              <w:rPr>
                <w:b/>
                <w:bCs/>
              </w:rPr>
            </w:pPr>
            <w:r>
              <w:t>Direktīvas 2013/36/ES 101. pants un minētajā pantā noteiktie valstu īstenošanas pasākumi.</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No kā: (-) Papildu riska darījumu vērtība saistībā ar Regulas (ES) Nr. 575/2013 3. pantu</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t xml:space="preserve">Regulas (ES) Nr. 575/2013 </w:t>
            </w:r>
            <w:r>
              <w:rPr>
                <w:rStyle w:val="FormatvorlageInstructionsTabelleText"/>
                <w:rFonts w:ascii="Times New Roman" w:hAnsi="Times New Roman"/>
                <w:sz w:val="24"/>
              </w:rPr>
              <w:t>3. pants</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Ir jāuzrada papildu riska darījumu vērtība. </w:t>
            </w:r>
            <w:r>
              <w:t>Tā ietver tikai papildu vērtības (piemēram, ja riska darījuma vērtība ir 100 un ja riska svērums ir 20 % un iestāde, pamatojoties uz Regulas (ES) Nr. 575/2013 3. pantu, piemēro riska svērumu 50 % apmērā, uzrādāmā vērtība ir 30).</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No kā:  papildu RWEA tirgus riskam</w:t>
            </w:r>
          </w:p>
          <w:p w14:paraId="69E7A691" w14:textId="31285B3F" w:rsidR="003D5537" w:rsidRPr="002A677E" w:rsidRDefault="003D5537" w:rsidP="00320EFD">
            <w:pPr>
              <w:pStyle w:val="InstructionsText"/>
              <w:rPr>
                <w:rStyle w:val="InstructionsTabelleberschrift"/>
                <w:rFonts w:ascii="Times New Roman" w:hAnsi="Times New Roman"/>
                <w:sz w:val="24"/>
              </w:rPr>
            </w:pPr>
            <w:r>
              <w:t>Tostarp, bet ne tikai, “riski, kas nav modelī”.</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No kā: Riska darījumu pārejas summa saistībā ar kriptoaktīviem saskaņā ar Regulas (ES) Nr. 575/2013 501.d panta 2. punktu</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Sk. CRYPTO veidni.</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KAPITĀLA RĀDĪTĀJI UN KAPITĀLA LĪMEŅI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Norādes par konkrētām pozīcijām</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Rindas</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Pirmā līmeņa pamata kapitāla rādītājs</w:t>
            </w:r>
          </w:p>
          <w:p w14:paraId="1A204CA3" w14:textId="77777777" w:rsidR="00CC7D2C" w:rsidRPr="002A677E" w:rsidRDefault="00CC7D2C" w:rsidP="00320EFD">
            <w:pPr>
              <w:pStyle w:val="InstructionsText"/>
            </w:pPr>
            <w:r>
              <w:t>Regulas (ES) Nr. 575/2013 92. panta 2. punkta a) apakšpunkts.</w:t>
            </w:r>
          </w:p>
          <w:p w14:paraId="6428C1DC" w14:textId="77777777" w:rsidR="00CC7D2C" w:rsidRPr="002A677E" w:rsidRDefault="00CC7D2C" w:rsidP="00320EFD">
            <w:pPr>
              <w:pStyle w:val="InstructionsText"/>
            </w:pPr>
            <w:r>
              <w:t>Pirmā līmeņa pamata kapitāla rādītājs ir iestādes pirmā līmeņa pamata kapitāls, ko izsaka procentos no kopējās riska darījumu vērtības.</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Pirmā līmeņa pamata kapitāla pārpalikums (+)/deficīts (-)</w:t>
            </w:r>
          </w:p>
          <w:p w14:paraId="197B9EAB" w14:textId="77777777" w:rsidR="00CC7D2C" w:rsidRPr="002A677E" w:rsidRDefault="00CC7D2C" w:rsidP="00320EFD">
            <w:pPr>
              <w:pStyle w:val="InstructionsText"/>
            </w:pPr>
            <w:r>
              <w:t>Šis postenis absolūtos skaitļos parāda pirmā līmeņa pamata kapitāla pārpalikumu vai deficītu saistībā ar Regulas (ES) Nr. 575/2013 92. panta 1. punkta a) apakšpunktā noteikto prasību (4,5 %), t. i., neņemot vērā kapitāla rezerves un pārejas noteikumus attiecībā uz rādītāju.</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Pirmā līmeņa kapitāla rādītājs</w:t>
            </w:r>
          </w:p>
          <w:p w14:paraId="58F5E60A" w14:textId="77777777" w:rsidR="00CC7D2C" w:rsidRPr="002A677E" w:rsidRDefault="00CC7D2C" w:rsidP="00320EFD">
            <w:pPr>
              <w:pStyle w:val="InstructionsText"/>
            </w:pPr>
            <w:r>
              <w:t>Regulas (ES) Nr. 575/2013 92. panta 2. punkta b) apakšpunkts.</w:t>
            </w:r>
          </w:p>
          <w:p w14:paraId="6C86F22F" w14:textId="77777777" w:rsidR="00CC7D2C" w:rsidRPr="002A677E" w:rsidRDefault="00CC7D2C" w:rsidP="00320EFD">
            <w:pPr>
              <w:pStyle w:val="InstructionsText"/>
            </w:pPr>
            <w:r>
              <w:t>Pirmā līmeņa kapitāla rādītājs ir iestādes pirmā līmeņa kapitāls, ko izsaka procentos no kopējo riska darījumu vērtības.</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Pirmā līmeņa kapitāla pārpalikums (+)/deficīts (-)</w:t>
            </w:r>
          </w:p>
          <w:p w14:paraId="2757AF24" w14:textId="77777777" w:rsidR="00CC7D2C" w:rsidRPr="002A677E" w:rsidRDefault="00CC7D2C" w:rsidP="00320EFD">
            <w:pPr>
              <w:pStyle w:val="InstructionsText"/>
            </w:pPr>
            <w:r>
              <w:lastRenderedPageBreak/>
              <w:t>Šis postenis absolūtos skaitļos parāda pirmā līmeņa pamata kapitāla pārpalikumu vai deficītu saistībā ar Regulas (ES) Nr. 575/2013 92. panta 1. punkta b) apakšpunktā noteikto prasību (6 %), t. i., neņemot vērā kapitāla rezerves un pārejas noteikumus attiecībā uz rādītāju.</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lastRenderedPageBreak/>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Kopējais kapitāla rādītājs</w:t>
            </w:r>
          </w:p>
          <w:p w14:paraId="393A8CC4" w14:textId="77777777" w:rsidR="00CC7D2C" w:rsidRPr="002A677E" w:rsidRDefault="00CC7D2C" w:rsidP="00320EFD">
            <w:pPr>
              <w:pStyle w:val="InstructionsText"/>
            </w:pPr>
            <w:r>
              <w:t>Regulas (ES) Nr. 575/2013 92. panta 2. punkta c) apakšpunkts.</w:t>
            </w:r>
          </w:p>
          <w:p w14:paraId="163717AB" w14:textId="77777777" w:rsidR="00CC7D2C" w:rsidRPr="002A677E" w:rsidRDefault="00CC7D2C" w:rsidP="00320EFD">
            <w:pPr>
              <w:pStyle w:val="InstructionsText"/>
            </w:pPr>
            <w:r>
              <w:t>Kopējais kapitāla rādītājs ir iestādes pašu kapitāls, ko izsaka procentos no kopējās riska darījumu vērtības.</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Kopējā kapitāla pārpalikums (+)/deficīts (-)</w:t>
            </w:r>
          </w:p>
          <w:p w14:paraId="03A15BAC" w14:textId="77777777" w:rsidR="00CC7D2C" w:rsidRPr="002A677E" w:rsidRDefault="00CC7D2C" w:rsidP="00320EFD">
            <w:pPr>
              <w:pStyle w:val="InstructionsText"/>
            </w:pPr>
            <w:r>
              <w:t>Šis postenis absolūtos skaitļos parāda pašu kapitāla pārpalikuma vai deficīta summu saistībā ar Regulas (ES) Nr. 575/2013 92. panta 1. punkta c) apakšpunktā noteikto prasību (8 %), t. i., neņemot vērā kapitāla rezerves un pārejas noteikumus attiecībā uz rādītāju.</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Pirmā līmeņa pamata kapitāla rādītājs, ņemot vērā TREA pirms minimālās robežvērtības piemērošanas</w:t>
            </w:r>
          </w:p>
          <w:p w14:paraId="61978AA2" w14:textId="77777777" w:rsidR="00CC7D2C" w:rsidRPr="002A677E" w:rsidRDefault="00CC7D2C" w:rsidP="00320EFD">
            <w:pPr>
              <w:pStyle w:val="InstructionsText"/>
              <w:rPr>
                <w:rStyle w:val="InstructionsTabelleberschrift"/>
                <w:rFonts w:ascii="Times New Roman" w:hAnsi="Times New Roman"/>
                <w:sz w:val="24"/>
              </w:rPr>
            </w:pPr>
            <w:r>
              <w:rPr>
                <w:i/>
                <w:iCs/>
              </w:rPr>
              <w:t>CET1</w:t>
            </w:r>
            <w:r>
              <w:t xml:space="preserve"> kapitāla rādītājs, kā noteikts Regulas (ES) Nr. 575/2013 92. panta 2. punkta a) apakšpunktā, izteikts kā procentuālā daļa no kopējās riska darījumu vērtības, kas aprēķināta saskaņā ar Regulas (ES) Nr. 575/2013 92. panta 4. punktu.</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Pirmā līmeņa pamata kapitāla rādītājs, ņemot vērā TREA pirms minimālās robežvērtības piemērošanas</w:t>
            </w:r>
          </w:p>
          <w:p w14:paraId="1EA9C1BE" w14:textId="1AA1CC61" w:rsidR="00CC7D2C" w:rsidRPr="002A677E" w:rsidRDefault="00CC7D2C" w:rsidP="00320EFD">
            <w:pPr>
              <w:pStyle w:val="InstructionsText"/>
              <w:rPr>
                <w:rStyle w:val="InstructionsTabelleberschrift"/>
                <w:rFonts w:ascii="Times New Roman" w:hAnsi="Times New Roman"/>
                <w:sz w:val="24"/>
              </w:rPr>
            </w:pPr>
            <w:r>
              <w:rPr>
                <w:i/>
                <w:iCs/>
              </w:rPr>
              <w:t>T1</w:t>
            </w:r>
            <w:r>
              <w:t xml:space="preserve"> kapitāla rādītājs, kā noteikts Regulas (ES) Nr. 575/2013 92. panta 2. punkta b) apakšpunktā, izteikts kā procentuālā daļa no kopējās riska darījumu vērtības, kas aprēķināta saskaņā ar Regulas (ES) Nr. 575/2013 92. panta 4. punktu.</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9          Kopējais kapitāla rādītājs, ņemot vērā </w:t>
            </w:r>
            <w:r>
              <w:rPr>
                <w:rStyle w:val="InstructionsTabelleberschrift"/>
                <w:rFonts w:ascii="Times New Roman" w:hAnsi="Times New Roman"/>
                <w:i/>
                <w:iCs/>
                <w:sz w:val="24"/>
              </w:rPr>
              <w:t>TREA</w:t>
            </w:r>
            <w:r>
              <w:rPr>
                <w:rStyle w:val="InstructionsTabelleberschrift"/>
                <w:rFonts w:ascii="Times New Roman" w:hAnsi="Times New Roman"/>
                <w:sz w:val="24"/>
              </w:rPr>
              <w:t xml:space="preserve"> pirms minimālās robežvērtības piemērošanas</w:t>
            </w:r>
          </w:p>
          <w:p w14:paraId="79DB9F56" w14:textId="77777777" w:rsidR="00CC7D2C" w:rsidRPr="002A677E" w:rsidRDefault="00CC7D2C" w:rsidP="00320EFD">
            <w:pPr>
              <w:pStyle w:val="InstructionsText"/>
              <w:rPr>
                <w:rStyle w:val="InstructionsTabelleberschrift"/>
                <w:rFonts w:ascii="Times New Roman" w:hAnsi="Times New Roman"/>
                <w:sz w:val="24"/>
              </w:rPr>
            </w:pPr>
            <w:r>
              <w:t>Kopējais kapitāla rādītājs, kā noteikts Regulas (ES) Nr. 575/2013 92. panta 2. punkta c) apakšpunktā, izteikts kā procentuālā daļa no kopējās riska darījumu vērtības, kas aprēķināta saskaņā ar Regulas (ES) Nr. 575/2013 92. panta 4. punktu.</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Kopējās </w:t>
            </w:r>
            <w:r>
              <w:rPr>
                <w:rStyle w:val="InstructionsTabelleberschrift"/>
                <w:rFonts w:ascii="Times New Roman" w:hAnsi="Times New Roman"/>
                <w:i/>
                <w:iCs/>
                <w:sz w:val="24"/>
              </w:rPr>
              <w:t>SREP</w:t>
            </w:r>
            <w:r>
              <w:rPr>
                <w:rStyle w:val="InstructionsTabelleberschrift"/>
                <w:rFonts w:ascii="Times New Roman" w:hAnsi="Times New Roman"/>
                <w:sz w:val="24"/>
              </w:rPr>
              <w:t xml:space="preserve"> kapitāla prasības (</w:t>
            </w:r>
            <w:r>
              <w:rPr>
                <w:rStyle w:val="InstructionsTabelleberschrift"/>
                <w:rFonts w:ascii="Times New Roman" w:hAnsi="Times New Roman"/>
                <w:i/>
                <w:iCs/>
                <w:sz w:val="24"/>
              </w:rPr>
              <w:t>TSCR</w:t>
            </w:r>
            <w:r>
              <w:rPr>
                <w:rStyle w:val="InstructionsTabelleberschrift"/>
                <w:rFonts w:ascii="Times New Roman" w:hAnsi="Times New Roman"/>
                <w:sz w:val="24"/>
              </w:rPr>
              <w:t>) rādītājs</w:t>
            </w:r>
          </w:p>
          <w:p w14:paraId="422D18B0" w14:textId="77777777" w:rsidR="00CC7D2C" w:rsidRPr="002A677E" w:rsidRDefault="00CC7D2C" w:rsidP="00320EFD">
            <w:pPr>
              <w:pStyle w:val="InstructionsText"/>
            </w:pPr>
            <w:r>
              <w:t>Tā ir šo i) un ii) summa:</w:t>
            </w:r>
          </w:p>
          <w:p w14:paraId="5718EEA1" w14:textId="77777777" w:rsidR="00CC7D2C" w:rsidRPr="002A677E" w:rsidRDefault="00CC7D2C" w:rsidP="00320EFD">
            <w:pPr>
              <w:pStyle w:val="InstructionsText"/>
            </w:pPr>
            <w:r>
              <w:t xml:space="preserve">kopējais kapitāla rādītājs (8 %), kā minēts Regulas (ES) Nr. 575/2013 92. panta 1. punkta c) apakšpunktā; </w:t>
            </w:r>
          </w:p>
          <w:p w14:paraId="72877665" w14:textId="77777777" w:rsidR="00CC7D2C" w:rsidRPr="002A677E" w:rsidRDefault="00CC7D2C" w:rsidP="00320EFD">
            <w:pPr>
              <w:pStyle w:val="InstructionsText"/>
            </w:pPr>
            <w:r>
              <w:t>papildu pašu kapitāla prasības (otrā pīlāra prasības), kā minēts Direktīvas 2013/36/ES 104. panta 1. punkta a) apakšpunktā, kas uzrādītas kā rādītājs. Tās nosaka saskaņā ar kritērijiem, kuri izklāstīti EBI pamatnostādnēs par kopējām procedūrām un metodoloģiju attiecībā uz uzraudzības pārbaudes un novērtējuma procesu un stresa pārbaudēm (EBI SREP pamatnostādnes).</w:t>
            </w:r>
          </w:p>
          <w:p w14:paraId="51D5EDB6" w14:textId="77777777" w:rsidR="00CC7D2C" w:rsidRPr="002A677E" w:rsidRDefault="00CC7D2C" w:rsidP="00320EFD">
            <w:pPr>
              <w:pStyle w:val="InstructionsText"/>
            </w:pPr>
            <w:r>
              <w:lastRenderedPageBreak/>
              <w:t xml:space="preserve">Šis postenis atspoguļo kopējās </w:t>
            </w:r>
            <w:r>
              <w:rPr>
                <w:i/>
                <w:iCs/>
              </w:rPr>
              <w:t>SREP</w:t>
            </w:r>
            <w:r>
              <w:t xml:space="preserve"> kapitāla prasības (</w:t>
            </w:r>
            <w:r>
              <w:rPr>
                <w:i/>
                <w:iCs/>
              </w:rPr>
              <w:t>TSCR</w:t>
            </w:r>
            <w:r>
              <w:t xml:space="preserve">) rādītāju, ko iestādei paziņojusi kompetentā iestāde. </w:t>
            </w:r>
            <w:r>
              <w:rPr>
                <w:i/>
                <w:iCs/>
              </w:rPr>
              <w:t>TSCR</w:t>
            </w:r>
            <w:r>
              <w:t xml:space="preserve"> ir definēts EBI SREP pamatnostādņu 7.4. un 7.5. iedaļā.</w:t>
            </w:r>
          </w:p>
          <w:p w14:paraId="170D440C" w14:textId="77777777" w:rsidR="00CC7D2C" w:rsidRDefault="00CC7D2C" w:rsidP="00320EFD">
            <w:pPr>
              <w:pStyle w:val="InstructionsText"/>
            </w:pPr>
            <w:r>
              <w:t xml:space="preserve">Ja kompetentā iestāde nav paziņojusi par papildu pašu kapitāla prasībām, uzrāda tikai i) punktu. </w:t>
            </w:r>
          </w:p>
          <w:p w14:paraId="72F84D88" w14:textId="77777777" w:rsidR="00CC7D2C" w:rsidRDefault="00CC7D2C" w:rsidP="00320EFD">
            <w:pPr>
              <w:pStyle w:val="InstructionsText"/>
            </w:pPr>
            <w:r>
              <w:t xml:space="preserve">Ja iestādei ir saistoša pašu kapitāla minimālā robežvērtība, uzrādītie dati atspoguļo </w:t>
            </w:r>
            <w:r>
              <w:rPr>
                <w:i/>
                <w:iCs/>
              </w:rPr>
              <w:t>TSCR</w:t>
            </w:r>
            <w:r>
              <w:t>, kas vajadzīga, lai izpildītu prasības pārskata datumā, ņemot vērā Direktīvas 2013/36/ES 104.a panta 6. punkta noteikumus.</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r>
            <w:r>
              <w:rPr>
                <w:rStyle w:val="InstructionsTabelleberschrift"/>
                <w:rFonts w:ascii="Times New Roman" w:hAnsi="Times New Roman"/>
                <w:i/>
                <w:iCs/>
                <w:sz w:val="24"/>
              </w:rPr>
              <w:t>TSCR</w:t>
            </w:r>
            <w:r>
              <w:rPr>
                <w:rStyle w:val="InstructionsTabelleberschrift"/>
                <w:rFonts w:ascii="Times New Roman" w:hAnsi="Times New Roman"/>
                <w:sz w:val="24"/>
              </w:rPr>
              <w:t xml:space="preserve">: ko veido pirmā līmeņa pamata kapitāls </w:t>
            </w:r>
          </w:p>
          <w:p w14:paraId="28F90F3C" w14:textId="77777777" w:rsidR="00CC7D2C" w:rsidRPr="002A677E" w:rsidRDefault="00CC7D2C" w:rsidP="00320EFD">
            <w:pPr>
              <w:pStyle w:val="InstructionsText"/>
            </w:pPr>
            <w:r>
              <w:t>Tā ir šo i) un ii) summa:</w:t>
            </w:r>
          </w:p>
          <w:p w14:paraId="75CA447D" w14:textId="77777777" w:rsidR="00CC7D2C" w:rsidRPr="002A677E" w:rsidRDefault="00CC7D2C" w:rsidP="00320EFD">
            <w:pPr>
              <w:pStyle w:val="InstructionsText"/>
              <w:numPr>
                <w:ilvl w:val="0"/>
                <w:numId w:val="20"/>
              </w:numPr>
            </w:pPr>
            <w:r>
              <w:t>pirmā līmeņa pamata kapitāla rādītājs (4,5 %) saskaņā ar Regulas (ES) Nr. 575/2013 92. panta 1. punkta a) apakšpunktu;</w:t>
            </w:r>
          </w:p>
          <w:p w14:paraId="6BB26B7D" w14:textId="77777777" w:rsidR="00CC7D2C" w:rsidRPr="002A677E" w:rsidRDefault="00CC7D2C" w:rsidP="00320EFD">
            <w:pPr>
              <w:pStyle w:val="InstructionsText"/>
              <w:numPr>
                <w:ilvl w:val="0"/>
                <w:numId w:val="20"/>
              </w:numPr>
              <w:rPr>
                <w:b/>
                <w:bCs/>
                <w:u w:val="single"/>
              </w:rPr>
            </w:pPr>
            <w:r>
              <w:t>otrā pīlāra prasību rādītāja, kas minēts 0130. rindas ii) punktā, daļa, kuru kompetentā iestāde pieprasījusi turēt pirmā līmeņa pamata kapitāla formā.</w:t>
            </w:r>
          </w:p>
          <w:p w14:paraId="36D292D2" w14:textId="77777777" w:rsidR="00CC7D2C" w:rsidRDefault="00CC7D2C" w:rsidP="00320EFD">
            <w:pPr>
              <w:pStyle w:val="InstructionsText"/>
              <w:rPr>
                <w:rStyle w:val="InstructionsTabelleberschrift"/>
                <w:rFonts w:ascii="Times New Roman" w:hAnsi="Times New Roman"/>
                <w:b w:val="0"/>
                <w:sz w:val="24"/>
              </w:rPr>
            </w:pPr>
            <w:r>
              <w:t>Ja kompetentā iestāde nav paziņojusi par papildu pašu kapitāla prasībām, kas jātur pirmā līmeņa pamata kapitāla formā, uzrāda tikai i) punktu.</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 xml:space="preserve">Ja iestādei ir saistoša pašu kapitāla minimālā robežvērtība, uzrādītie dati atspoguļo </w:t>
            </w:r>
            <w:r>
              <w:rPr>
                <w:i/>
                <w:iCs/>
              </w:rPr>
              <w:t>TSCR</w:t>
            </w:r>
            <w:r>
              <w:t>, kas vajadzīga, lai izpildītu prasības pārskata datumā, ņemot vērā Direktīvas 2013/36/ES 104.a panta 6. punkta noteikumus.</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r>
            <w:r>
              <w:rPr>
                <w:rStyle w:val="InstructionsTabelleberschrift"/>
                <w:rFonts w:ascii="Times New Roman" w:hAnsi="Times New Roman"/>
                <w:i/>
                <w:iCs/>
                <w:sz w:val="24"/>
              </w:rPr>
              <w:t>TSCR</w:t>
            </w:r>
            <w:r>
              <w:rPr>
                <w:rStyle w:val="InstructionsTabelleberschrift"/>
                <w:rFonts w:ascii="Times New Roman" w:hAnsi="Times New Roman"/>
                <w:sz w:val="24"/>
              </w:rPr>
              <w:t>: ko veido pirmā līmeņa kapitāls</w:t>
            </w:r>
          </w:p>
          <w:p w14:paraId="58AEED52" w14:textId="77777777" w:rsidR="00CC7D2C" w:rsidRPr="002A677E" w:rsidRDefault="00CC7D2C" w:rsidP="00320EFD">
            <w:pPr>
              <w:pStyle w:val="InstructionsText"/>
            </w:pPr>
            <w:r>
              <w:t>Tā ir šo i) un ii) summa:</w:t>
            </w:r>
          </w:p>
          <w:p w14:paraId="49D34E50" w14:textId="77777777" w:rsidR="00CC7D2C" w:rsidRPr="002A677E" w:rsidRDefault="00CC7D2C" w:rsidP="00320EFD">
            <w:pPr>
              <w:pStyle w:val="InstructionsText"/>
              <w:numPr>
                <w:ilvl w:val="0"/>
                <w:numId w:val="21"/>
              </w:numPr>
            </w:pPr>
            <w:r>
              <w:t>pirmā līmeņa kapitāla rādītājs (6 %) saskaņā ar Regulas (ES) Nr. 575/2013 92. panta 1. punkta b) apakšpunktu;</w:t>
            </w:r>
          </w:p>
          <w:p w14:paraId="4A701FA4" w14:textId="77777777" w:rsidR="00CC7D2C" w:rsidRPr="002A677E" w:rsidRDefault="00CC7D2C" w:rsidP="00320EFD">
            <w:pPr>
              <w:pStyle w:val="InstructionsText"/>
              <w:numPr>
                <w:ilvl w:val="0"/>
                <w:numId w:val="21"/>
              </w:numPr>
              <w:rPr>
                <w:bCs/>
                <w:u w:val="single"/>
              </w:rPr>
            </w:pPr>
            <w:r>
              <w:t>otrā pīlāra prasību rādītāja, kas minēts 0130. rindas ii) punktā, daļa, kuru kompetentā iestāde pieprasījusi turēt pirmā līmeņa kapitāla formā.</w:t>
            </w:r>
          </w:p>
          <w:p w14:paraId="4A7AA27B" w14:textId="77777777" w:rsidR="00CC7D2C" w:rsidRDefault="00CC7D2C" w:rsidP="00320EFD">
            <w:pPr>
              <w:pStyle w:val="InstructionsText"/>
            </w:pPr>
            <w:r>
              <w:t>Ja kompetentā iestāde nav paziņojusi par papildu pašu kapitāla prasībām, kas jātur pirmā līmeņa kapitāla formā, uzrāda tikai i) punktu.</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 xml:space="preserve">Ja iestādei ir saistoša pašu kapitāla minimālā robežvērtība, uzrādītie dati atspoguļo </w:t>
            </w:r>
            <w:r>
              <w:rPr>
                <w:i/>
                <w:iCs/>
              </w:rPr>
              <w:t>TSCR</w:t>
            </w:r>
            <w:r>
              <w:t>, kas vajadzīga, lai izpildītu prasības pārskata datumā, ņemot vērā Direktīvas 2013/36/ES 104.a panta 6. punkta noteikumus.</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Kopējās SREP kapitāla prasības (TSCR) rādītājs bez Direktīvas 2013/36/ES 104.a panta 6. punkta a) apakšpunktā noteiktās maksimālās robežvērtības</w:t>
            </w:r>
          </w:p>
          <w:p w14:paraId="63F2FF34" w14:textId="7D1FAC05" w:rsidR="00CC7D2C" w:rsidRDefault="00CC7D2C" w:rsidP="00320EFD">
            <w:pPr>
              <w:pStyle w:val="InstructionsText"/>
            </w:pPr>
            <w:r>
              <w:t>Direktīvas 2013/36/ES 104.a. panta 6. punkta a) apakšpunkts.</w:t>
            </w:r>
          </w:p>
          <w:p w14:paraId="7C3569BE" w14:textId="77777777" w:rsidR="00CC7D2C" w:rsidRPr="002A677E" w:rsidRDefault="00CC7D2C" w:rsidP="00320EFD">
            <w:pPr>
              <w:pStyle w:val="InstructionsText"/>
              <w:rPr>
                <w:rStyle w:val="InstructionsTabelleberschrift"/>
                <w:rFonts w:ascii="Times New Roman" w:hAnsi="Times New Roman"/>
                <w:sz w:val="24"/>
              </w:rPr>
            </w:pPr>
            <w:r>
              <w:t>Iestādēm, kurām ir saistoša pašu kapitāla minimālā robežvērtība — TSCR rādītājs bez pagaidu maksimālās robežvērtības, kas noteikta Direktīvas 2013/36/ES 104.a panta 6. punkta b) apakšpunktā.</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Pr>
                <w:rStyle w:val="InstructionsTabelleberschrift"/>
                <w:rFonts w:ascii="Times New Roman" w:hAnsi="Times New Roman"/>
                <w:i/>
                <w:iCs/>
                <w:sz w:val="24"/>
              </w:rPr>
              <w:t>TSCR</w:t>
            </w:r>
            <w:r>
              <w:rPr>
                <w:rStyle w:val="InstructionsTabelleberschrift"/>
                <w:rFonts w:ascii="Times New Roman" w:hAnsi="Times New Roman"/>
                <w:sz w:val="24"/>
              </w:rPr>
              <w:t>: ko veido pirmā līmeņa pamata kapitāls</w:t>
            </w:r>
          </w:p>
          <w:p w14:paraId="15CE0D0B" w14:textId="43173606" w:rsidR="00CC7D2C" w:rsidRDefault="00CC7D2C" w:rsidP="00320EFD">
            <w:pPr>
              <w:pStyle w:val="InstructionsText"/>
            </w:pPr>
            <w:r>
              <w:lastRenderedPageBreak/>
              <w:t>Direktīvas 2013/36/ES 104.a. panta 6. punkta a) apakšpunkts.</w:t>
            </w:r>
          </w:p>
          <w:p w14:paraId="1CD71865" w14:textId="77777777" w:rsidR="00CC7D2C" w:rsidRPr="002A677E" w:rsidRDefault="00CC7D2C" w:rsidP="00320EFD">
            <w:pPr>
              <w:pStyle w:val="InstructionsText"/>
              <w:rPr>
                <w:rStyle w:val="InstructionsTabelleberschrift"/>
                <w:rFonts w:ascii="Times New Roman" w:hAnsi="Times New Roman"/>
                <w:sz w:val="24"/>
              </w:rPr>
            </w:pPr>
            <w:r>
              <w:t xml:space="preserve">Iestādēm, kurām ir saistoša pašu kapitāla minimālā robežvērtība — </w:t>
            </w:r>
            <w:r>
              <w:rPr>
                <w:i/>
                <w:iCs/>
              </w:rPr>
              <w:t>TSCR</w:t>
            </w:r>
            <w:r>
              <w:t xml:space="preserve"> rādītājs bez pagaidu maksimālās robežvērtības, kas noteikta Direktīvas 2013/36/ES 104.a panta 6. punkta b) apakšpunktā.</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lastRenderedPageBreak/>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Pr>
                <w:rStyle w:val="InstructionsTabelleberschrift"/>
                <w:rFonts w:ascii="Times New Roman" w:hAnsi="Times New Roman"/>
                <w:i/>
                <w:iCs/>
                <w:sz w:val="24"/>
              </w:rPr>
              <w:t>TSCR</w:t>
            </w:r>
            <w:r>
              <w:rPr>
                <w:rStyle w:val="InstructionsTabelleberschrift"/>
                <w:rFonts w:ascii="Times New Roman" w:hAnsi="Times New Roman"/>
                <w:sz w:val="24"/>
              </w:rPr>
              <w:t>: ko veido pirmā līmeņa kapitāls</w:t>
            </w:r>
          </w:p>
          <w:p w14:paraId="244808EF" w14:textId="6711A984" w:rsidR="00CC7D2C" w:rsidRDefault="00CC7D2C" w:rsidP="00320EFD">
            <w:pPr>
              <w:pStyle w:val="InstructionsText"/>
            </w:pPr>
            <w:r>
              <w:t>Direktīvas 2013/36/ES 104.a. panta 6. punkta a) apakšpunkts.</w:t>
            </w:r>
          </w:p>
          <w:p w14:paraId="7A8B6EB2" w14:textId="77777777" w:rsidR="00CC7D2C" w:rsidRPr="002A677E" w:rsidRDefault="00CC7D2C" w:rsidP="00320EFD">
            <w:pPr>
              <w:pStyle w:val="InstructionsText"/>
              <w:rPr>
                <w:rStyle w:val="InstructionsTabelleberschrift"/>
                <w:rFonts w:ascii="Times New Roman" w:hAnsi="Times New Roman"/>
                <w:sz w:val="24"/>
              </w:rPr>
            </w:pPr>
            <w:r>
              <w:t xml:space="preserve">Iestādēm, kurām ir saistoša pašu kapitāla minimālā robežvērtība — </w:t>
            </w:r>
            <w:r>
              <w:rPr>
                <w:i/>
                <w:iCs/>
              </w:rPr>
              <w:t>TSCR</w:t>
            </w:r>
            <w:r>
              <w:t xml:space="preserve"> rādītājs bez pagaidu maksimālās robežvērtības, kas noteikta Direktīvas 2013/36/ES 104.a panta 6. punkta b) apakšpunktā.</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Vispārējās kapitāla prasības (</w:t>
            </w:r>
            <w:r>
              <w:rPr>
                <w:rStyle w:val="InstructionsTabelleberschrift"/>
                <w:rFonts w:ascii="Times New Roman" w:hAnsi="Times New Roman"/>
                <w:i/>
                <w:iCs/>
                <w:sz w:val="24"/>
              </w:rPr>
              <w:t>OCR</w:t>
            </w:r>
            <w:r>
              <w:rPr>
                <w:rStyle w:val="InstructionsTabelleberschrift"/>
                <w:rFonts w:ascii="Times New Roman" w:hAnsi="Times New Roman"/>
                <w:sz w:val="24"/>
              </w:rPr>
              <w:t>) rādītājs</w:t>
            </w:r>
          </w:p>
          <w:p w14:paraId="5D827426" w14:textId="77777777" w:rsidR="00CC7D2C" w:rsidRPr="002A677E" w:rsidRDefault="00CC7D2C" w:rsidP="00320EFD">
            <w:pPr>
              <w:pStyle w:val="InstructionsText"/>
            </w:pPr>
            <w:r>
              <w:t>Tā ir šo i) un ii) summa:</w:t>
            </w:r>
          </w:p>
          <w:p w14:paraId="70AEC1C6" w14:textId="77777777" w:rsidR="00CC7D2C" w:rsidRPr="002A677E" w:rsidRDefault="00CC7D2C" w:rsidP="00320EFD">
            <w:pPr>
              <w:pStyle w:val="InstructionsText"/>
              <w:numPr>
                <w:ilvl w:val="0"/>
                <w:numId w:val="22"/>
              </w:numPr>
            </w:pPr>
            <w:r>
              <w:rPr>
                <w:i/>
                <w:iCs/>
              </w:rPr>
              <w:t>TSC</w:t>
            </w:r>
            <w:r>
              <w:t>R rādītājs, kas minēts 0130. rindā;</w:t>
            </w:r>
          </w:p>
          <w:p w14:paraId="7B4CBF50" w14:textId="77777777" w:rsidR="00CC7D2C" w:rsidRPr="002A677E" w:rsidRDefault="00CC7D2C" w:rsidP="00320EFD">
            <w:pPr>
              <w:pStyle w:val="InstructionsText"/>
              <w:numPr>
                <w:ilvl w:val="0"/>
                <w:numId w:val="22"/>
              </w:numPr>
            </w:pPr>
            <w:r>
              <w:t>ciktāl tas ir juridiski piemērojami, Direktīvas 2013/36/ES 128. panta 6. punktā minētais apvienoto rezervju prasības rādītājs.</w:t>
            </w:r>
          </w:p>
          <w:p w14:paraId="4A545FF7" w14:textId="77777777" w:rsidR="00CC7D2C" w:rsidRPr="002A677E" w:rsidRDefault="00CC7D2C" w:rsidP="00320EFD">
            <w:pPr>
              <w:pStyle w:val="InstructionsText"/>
            </w:pPr>
            <w:r>
              <w:t>Šis postenis atspoguļo vispārējās kapitāla prasības (</w:t>
            </w:r>
            <w:r>
              <w:rPr>
                <w:i/>
                <w:iCs/>
              </w:rPr>
              <w:t>OCR</w:t>
            </w:r>
            <w:r>
              <w:t>) rādītāju, kā noteikts EBI SREP pamatnostādņu 7.5. iedaļā.</w:t>
            </w:r>
          </w:p>
          <w:p w14:paraId="21F262F8" w14:textId="77777777" w:rsidR="00CC7D2C" w:rsidRPr="002A677E" w:rsidRDefault="00CC7D2C" w:rsidP="00320EFD">
            <w:pPr>
              <w:pStyle w:val="InstructionsText"/>
              <w:rPr>
                <w:rStyle w:val="InstructionsTabelleberschrift"/>
                <w:rFonts w:ascii="Times New Roman" w:hAnsi="Times New Roman"/>
                <w:sz w:val="24"/>
              </w:rPr>
            </w:pPr>
            <w:r>
              <w:t>Ja rezervju prasība nav piemērojama, uzrāda tikai i) punktu.</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Vispārējā kapitāla prasība: ko veido pirmā līmeņa pamata kapitāls </w:t>
            </w:r>
          </w:p>
          <w:p w14:paraId="3B6DAF93" w14:textId="77777777" w:rsidR="00CC7D2C" w:rsidRPr="002A677E" w:rsidRDefault="00CC7D2C" w:rsidP="00320EFD">
            <w:pPr>
              <w:pStyle w:val="InstructionsText"/>
            </w:pPr>
            <w:r>
              <w:t>Tā ir šo i) un ii) summa:</w:t>
            </w:r>
          </w:p>
          <w:p w14:paraId="79F55B10" w14:textId="77777777" w:rsidR="00CC7D2C" w:rsidRPr="002A677E" w:rsidRDefault="00CC7D2C" w:rsidP="00320EFD">
            <w:pPr>
              <w:pStyle w:val="InstructionsText"/>
              <w:numPr>
                <w:ilvl w:val="0"/>
                <w:numId w:val="23"/>
              </w:numPr>
            </w:pPr>
            <w:r>
              <w:rPr>
                <w:i/>
                <w:iCs/>
              </w:rPr>
              <w:t>TSCR</w:t>
            </w:r>
            <w:r>
              <w:t xml:space="preserve"> rādītājs, ko veido pirmā līmeņa pamata kapitāls, kas minēts 0140. rindā;</w:t>
            </w:r>
          </w:p>
          <w:p w14:paraId="54B36BA6" w14:textId="77777777" w:rsidR="00CC7D2C" w:rsidRPr="002A677E" w:rsidRDefault="00CC7D2C" w:rsidP="00320EFD">
            <w:pPr>
              <w:pStyle w:val="InstructionsText"/>
              <w:numPr>
                <w:ilvl w:val="0"/>
                <w:numId w:val="23"/>
              </w:numPr>
              <w:rPr>
                <w:bCs/>
                <w:u w:val="single"/>
              </w:rPr>
            </w:pPr>
            <w:r>
              <w:t>ciktāl tas ir juridiski piemērojami, Direktīvas 2013/36/ES 128. panta 6. punktā minētais apvienoto rezervju prasības rādītājs.</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Ja rezervju prasība nav piemērojama, uzrāda tikai i) punktu.</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Vispārējā kapitāla prasība: ko veido pirmā līmeņa kapitāls</w:t>
            </w:r>
          </w:p>
          <w:p w14:paraId="54EBB570" w14:textId="77777777" w:rsidR="00CC7D2C" w:rsidRPr="002A677E" w:rsidRDefault="00CC7D2C" w:rsidP="00320EFD">
            <w:pPr>
              <w:pStyle w:val="InstructionsText"/>
            </w:pPr>
            <w:r>
              <w:t>Tā ir šo i) un ii) summa:</w:t>
            </w:r>
          </w:p>
          <w:p w14:paraId="719C6493" w14:textId="77777777" w:rsidR="00CC7D2C" w:rsidRPr="002A677E" w:rsidRDefault="00CC7D2C" w:rsidP="00320EFD">
            <w:pPr>
              <w:pStyle w:val="InstructionsText"/>
              <w:numPr>
                <w:ilvl w:val="0"/>
                <w:numId w:val="24"/>
              </w:numPr>
            </w:pPr>
            <w:r>
              <w:rPr>
                <w:i/>
                <w:iCs/>
              </w:rPr>
              <w:t>TSCR</w:t>
            </w:r>
            <w:r>
              <w:t xml:space="preserve"> rādītājs, ko veido pirmā līmeņa kapitāls, kas minēts 0150. rindā;</w:t>
            </w:r>
          </w:p>
          <w:p w14:paraId="17CB41E8" w14:textId="77777777" w:rsidR="00CC7D2C" w:rsidRPr="002A677E" w:rsidRDefault="00CC7D2C" w:rsidP="00320EFD">
            <w:pPr>
              <w:pStyle w:val="InstructionsText"/>
              <w:numPr>
                <w:ilvl w:val="0"/>
                <w:numId w:val="24"/>
              </w:numPr>
              <w:rPr>
                <w:bCs/>
                <w:u w:val="single"/>
              </w:rPr>
            </w:pPr>
            <w:r>
              <w:t>ciktāl tas ir juridiski piemērojami, Direktīvas 2013/36/ES 128. panta 6. punktā minētais apvienoto rezervju prasības rādītājs.</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Ja rezervju prasība nav piemērojama, uzrāda tikai i) punktu.</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Vispārējās kapitāla prasības (</w:t>
            </w:r>
            <w:r>
              <w:rPr>
                <w:rStyle w:val="InstructionsTabelleberschrift"/>
                <w:rFonts w:ascii="Times New Roman" w:hAnsi="Times New Roman"/>
                <w:i/>
                <w:iCs/>
                <w:sz w:val="24"/>
              </w:rPr>
              <w:t>OCR</w:t>
            </w:r>
            <w:r>
              <w:rPr>
                <w:rStyle w:val="InstructionsTabelleberschrift"/>
                <w:rFonts w:ascii="Times New Roman" w:hAnsi="Times New Roman"/>
                <w:sz w:val="24"/>
              </w:rPr>
              <w:t>) un otrā pīlāra norādījumu (</w:t>
            </w:r>
            <w:r>
              <w:rPr>
                <w:rStyle w:val="InstructionsTabelleberschrift"/>
                <w:rFonts w:ascii="Times New Roman" w:hAnsi="Times New Roman"/>
                <w:i/>
                <w:iCs/>
                <w:sz w:val="24"/>
              </w:rPr>
              <w:t>P2G</w:t>
            </w:r>
            <w:r>
              <w:rPr>
                <w:rStyle w:val="InstructionsTabelleberschrift"/>
                <w:rFonts w:ascii="Times New Roman" w:hAnsi="Times New Roman"/>
                <w:sz w:val="24"/>
              </w:rPr>
              <w:t>) rādītājs</w:t>
            </w:r>
          </w:p>
          <w:p w14:paraId="35C8C660" w14:textId="77777777" w:rsidR="00CC7D2C" w:rsidRPr="002A677E" w:rsidRDefault="00CC7D2C" w:rsidP="00320EFD">
            <w:pPr>
              <w:pStyle w:val="InstructionsText"/>
            </w:pPr>
            <w:r>
              <w:t>Tā ir šo i) un ii) summa:</w:t>
            </w:r>
          </w:p>
          <w:p w14:paraId="726F15CE" w14:textId="77777777" w:rsidR="00CC7D2C" w:rsidRPr="002A677E" w:rsidRDefault="00CC7D2C" w:rsidP="00320EFD">
            <w:pPr>
              <w:pStyle w:val="InstructionsText"/>
              <w:numPr>
                <w:ilvl w:val="0"/>
                <w:numId w:val="25"/>
              </w:numPr>
            </w:pPr>
            <w:r>
              <w:rPr>
                <w:i/>
                <w:iCs/>
              </w:rPr>
              <w:t>OCR</w:t>
            </w:r>
            <w:r>
              <w:t xml:space="preserve"> rādītājs, kas minēts 160. rindā;</w:t>
            </w:r>
          </w:p>
          <w:p w14:paraId="2AA4843C" w14:textId="77777777" w:rsidR="00CC7D2C" w:rsidRPr="002A677E" w:rsidRDefault="00CC7D2C" w:rsidP="00320EFD">
            <w:pPr>
              <w:pStyle w:val="InstructionsText"/>
              <w:numPr>
                <w:ilvl w:val="0"/>
                <w:numId w:val="25"/>
              </w:numPr>
              <w:rPr>
                <w:bCs/>
                <w:u w:val="single"/>
              </w:rPr>
            </w:pPr>
            <w:r>
              <w:t xml:space="preserve">attiecīgā gadījumā norādījumi par papildu pašu kapitāla prasībām, par ko paziņojusi kompetentā iestāde (otrā pīlāra norādījumi), kā minēts Direktīvas 2013/36/ES 104.b panta 3. punktā, kas norādītas kā rādītājs. Tās tiks noteiktas saskaņā ar 7.7.1. nodaļu EBI </w:t>
            </w:r>
            <w:r>
              <w:rPr>
                <w:i/>
                <w:iCs/>
              </w:rPr>
              <w:t>SREP</w:t>
            </w:r>
            <w:r>
              <w:t xml:space="preserve"> </w:t>
            </w:r>
            <w:r>
              <w:lastRenderedPageBreak/>
              <w:t>pamatnostādnēs. Otrā pīlāra norādījumus iekļauj tikai tad, ja par tiem iestādei paziņojusi kompetentā iestāde.</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Ja kompetentā iestāde nav paziņojusi par otrā pīlāra norādījumiem, uzrāda tikai i) punktu.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lastRenderedPageBreak/>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r>
            <w:r>
              <w:rPr>
                <w:rStyle w:val="InstructionsTabelleberschrift"/>
                <w:rFonts w:ascii="Times New Roman" w:hAnsi="Times New Roman"/>
                <w:i/>
                <w:iCs/>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P2G</w:t>
            </w:r>
            <w:r>
              <w:rPr>
                <w:rStyle w:val="InstructionsTabelleberschrift"/>
                <w:rFonts w:ascii="Times New Roman" w:hAnsi="Times New Roman"/>
                <w:sz w:val="24"/>
              </w:rPr>
              <w:t xml:space="preserve">: ko veido pirmā līmeņa pamata kapitāls </w:t>
            </w:r>
          </w:p>
          <w:p w14:paraId="13795065" w14:textId="77777777" w:rsidR="00CC7D2C" w:rsidRPr="002A677E" w:rsidRDefault="00CC7D2C" w:rsidP="00320EFD">
            <w:pPr>
              <w:pStyle w:val="InstructionsText"/>
            </w:pPr>
            <w:r>
              <w:t>Tā ir šo i) un ii) summa:</w:t>
            </w:r>
          </w:p>
          <w:p w14:paraId="300DF4C8" w14:textId="77777777" w:rsidR="00CC7D2C" w:rsidRPr="002A677E" w:rsidRDefault="00CC7D2C" w:rsidP="00320EFD">
            <w:pPr>
              <w:pStyle w:val="InstructionsText"/>
              <w:numPr>
                <w:ilvl w:val="0"/>
                <w:numId w:val="26"/>
              </w:numPr>
            </w:pPr>
            <w:r>
              <w:rPr>
                <w:i/>
                <w:iCs/>
              </w:rPr>
              <w:t>OCR</w:t>
            </w:r>
            <w:r>
              <w:t xml:space="preserve"> rādītājs, ko veido pirmā līmeņa pamata kapitāls, kas minēts 0170. rindā;</w:t>
            </w:r>
          </w:p>
          <w:p w14:paraId="22745814" w14:textId="77777777" w:rsidR="00CC7D2C" w:rsidRPr="002A677E" w:rsidRDefault="00CC7D2C" w:rsidP="00320EFD">
            <w:pPr>
              <w:pStyle w:val="InstructionsText"/>
              <w:numPr>
                <w:ilvl w:val="0"/>
                <w:numId w:val="26"/>
              </w:numPr>
              <w:rPr>
                <w:bCs/>
                <w:u w:val="single"/>
              </w:rPr>
            </w:pPr>
            <w:r>
              <w:t xml:space="preserve">ja piemērojams, 0190. rindas ii) punktā minētā P2G rādītāja daļa, ko kompetentā iestāde liek turēt kā pirmā līmeņa pamata kapitālu. </w:t>
            </w:r>
            <w:r>
              <w:rPr>
                <w:i/>
                <w:iCs/>
              </w:rPr>
              <w:t>P2G</w:t>
            </w:r>
            <w:r>
              <w:t xml:space="preserve"> iekļauj tikai tad, ja kompetentā iestāde to ir paziņojusi iestādei.</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Ja kompetentā iestāde nav paziņojusi par otrā pīlāra norādījumiem, uzrāda tikai i) punktu.</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r>
            <w:r>
              <w:rPr>
                <w:rStyle w:val="InstructionsTabelleberschrift"/>
                <w:rFonts w:ascii="Times New Roman" w:hAnsi="Times New Roman"/>
                <w:i/>
                <w:iCs/>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P2G</w:t>
            </w:r>
            <w:r>
              <w:rPr>
                <w:rStyle w:val="InstructionsTabelleberschrift"/>
                <w:rFonts w:ascii="Times New Roman" w:hAnsi="Times New Roman"/>
                <w:sz w:val="24"/>
              </w:rPr>
              <w:t xml:space="preserve">: ko veido pirmā līmeņa kapitāls </w:t>
            </w:r>
          </w:p>
          <w:p w14:paraId="4156D090" w14:textId="77777777" w:rsidR="00CC7D2C" w:rsidRPr="002A677E" w:rsidRDefault="00CC7D2C" w:rsidP="00320EFD">
            <w:pPr>
              <w:pStyle w:val="InstructionsText"/>
            </w:pPr>
            <w:r>
              <w:t>Tā ir šo i) un ii) summa:</w:t>
            </w:r>
          </w:p>
          <w:p w14:paraId="3A8C0BF0" w14:textId="77777777" w:rsidR="00CC7D2C" w:rsidRPr="002A677E" w:rsidRDefault="00CC7D2C" w:rsidP="00320EFD">
            <w:pPr>
              <w:pStyle w:val="InstructionsText"/>
              <w:numPr>
                <w:ilvl w:val="0"/>
                <w:numId w:val="27"/>
              </w:numPr>
            </w:pPr>
            <w:r>
              <w:rPr>
                <w:i/>
                <w:iCs/>
              </w:rPr>
              <w:t>OCR</w:t>
            </w:r>
            <w:r>
              <w:t xml:space="preserve"> rādītājs, ko veido pirmā līmeņa kapitāls, kas minēts 0180. rindā;</w:t>
            </w:r>
          </w:p>
          <w:p w14:paraId="29B2D80C" w14:textId="77777777" w:rsidR="00CC7D2C" w:rsidRPr="002A677E" w:rsidRDefault="00CC7D2C" w:rsidP="00320EFD">
            <w:pPr>
              <w:pStyle w:val="InstructionsText"/>
              <w:numPr>
                <w:ilvl w:val="0"/>
                <w:numId w:val="27"/>
              </w:numPr>
            </w:pPr>
            <w:r>
              <w:t xml:space="preserve">ja piemērojams, 0190. rindas ii) punktā minētā </w:t>
            </w:r>
            <w:r>
              <w:rPr>
                <w:i/>
                <w:iCs/>
              </w:rPr>
              <w:t>P2G</w:t>
            </w:r>
            <w:r>
              <w:t xml:space="preserve"> rādītāja daļa, ko kompetentā iestāde liek turēt kā pirmā līmeņa kapitālu. </w:t>
            </w:r>
            <w:r>
              <w:rPr>
                <w:i/>
                <w:iCs/>
              </w:rPr>
              <w:t>P2G</w:t>
            </w:r>
            <w:r>
              <w:t xml:space="preserve"> iekļauj tikai tad, ja kompetentā iestāde to ir paziņojusi iestādei.</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Ja kompetentā iestāde nav paziņojusi par otrā pīlāra norādījumiem, uzrāda tikai i) punktu.</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pārpalikums (+)/deficīts (-), ņemot vērā Regulas (ES) Nr. 575/2013 92. panta un Direktīvas 2013/36/ES 104.a panta prasības</w:t>
            </w:r>
          </w:p>
          <w:p w14:paraId="372BA67A" w14:textId="77777777" w:rsidR="00CC7D2C" w:rsidRPr="002A677E" w:rsidRDefault="00CC7D2C" w:rsidP="00320EFD">
            <w:pPr>
              <w:pStyle w:val="InstructionsText"/>
            </w:pPr>
            <w:r>
              <w:t>Šis postenis absolūtos skaitļos parāda pirmā līmeņa pamata kapitāla pārpalikumu vai deficītu saistībā ar prasībām, kas noteiktas Regulas (ES) Nr. 575/2013 92. panta 1. punkta a) apakšpunktā (4,5 %) un Direktīvas 2013/36/ES 104.a pantā, izņemot papildu pašu kapitālu, kas nepieciešams, lai novērstu pārmērīgas sviras risku saskaņā ar minētā panta 3. punktu, ciktāl minētās direktīvas 104.a panta prasība ir jāizpilda ar pirmā līmeņa pamata kapitālu. Ja iestādei ir jāizmanto savs pirmā līmeņa pamata kapitāls, lai izpildītu Regulas (ES) Nr. 575/2013 92. panta 1. punkta b) apakšpunkta un/vai c) apakšpunkta, un/vai Direktīvas 2013/36/ES 104.a panta prasības tiktāl, ciktāl tās ir jāizpilda attiecībā uz pirmā līmeņa pamata kapitālu, to ņem vērā uzrādītajā pārpalikumā vai deficītā.</w:t>
            </w:r>
          </w:p>
          <w:p w14:paraId="209E5975" w14:textId="77777777" w:rsidR="00CC7D2C" w:rsidRPr="002A677E" w:rsidRDefault="00CC7D2C" w:rsidP="00320EFD">
            <w:pPr>
              <w:pStyle w:val="InstructionsText"/>
              <w:rPr>
                <w:rStyle w:val="InstructionsTabelleberschrift"/>
                <w:rFonts w:ascii="Times New Roman" w:hAnsi="Times New Roman"/>
                <w:sz w:val="24"/>
              </w:rPr>
            </w:pPr>
            <w:r>
              <w:t>Šī summa atspoguļo pieejamo pirmā līmeņa pamata kapitālu, lai izpildītu apvienoto rezervju prasību un pārējās prasības.</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Pilnībā uzskaitīts pirmā līmeņa pamata kapitāla rādītājs </w:t>
            </w:r>
          </w:p>
          <w:p w14:paraId="2949E777" w14:textId="77777777" w:rsidR="00CC7D2C" w:rsidRPr="009A3DD3" w:rsidRDefault="00CC7D2C" w:rsidP="00822842">
            <w:pPr>
              <w:rPr>
                <w:rFonts w:ascii="Times New Roman" w:hAnsi="Times New Roman"/>
                <w:sz w:val="24"/>
              </w:rPr>
            </w:pPr>
            <w:r>
              <w:rPr>
                <w:rFonts w:ascii="Times New Roman" w:hAnsi="Times New Roman"/>
                <w:sz w:val="24"/>
              </w:rPr>
              <w:t>Regulas (ES) Nr. 575/2013 92. panta 2. punkta a) apakšpunkts, nepiemērojot minētās regulas 465. punktu.</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Pilnībā uzskaitīts pirmā līmeņa kapitāla rādītājs </w:t>
            </w:r>
          </w:p>
          <w:p w14:paraId="39EB4D1F" w14:textId="77777777" w:rsidR="00CC7D2C" w:rsidRPr="009A3DD3" w:rsidRDefault="00CC7D2C" w:rsidP="00822842">
            <w:pPr>
              <w:rPr>
                <w:rFonts w:ascii="Times New Roman" w:hAnsi="Times New Roman"/>
                <w:sz w:val="24"/>
              </w:rPr>
            </w:pPr>
            <w:r>
              <w:rPr>
                <w:rFonts w:ascii="Times New Roman" w:hAnsi="Times New Roman"/>
                <w:sz w:val="24"/>
              </w:rPr>
              <w:lastRenderedPageBreak/>
              <w:t>Regulas (ES) Nr. 575/2013 92. panta 2. punkta b) apakšpunkts, nepiemērojot minētās regulas 465. punktu.</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lastRenderedPageBreak/>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Pilnībā uzskaitīts kopējais kapitāla rādītājs </w:t>
            </w:r>
          </w:p>
          <w:p w14:paraId="45149E78" w14:textId="77777777" w:rsidR="00CC7D2C" w:rsidRPr="009A3DD3" w:rsidRDefault="00CC7D2C" w:rsidP="00822842">
            <w:pPr>
              <w:rPr>
                <w:rFonts w:ascii="Times New Roman" w:hAnsi="Times New Roman"/>
                <w:sz w:val="24"/>
              </w:rPr>
            </w:pPr>
            <w:r>
              <w:rPr>
                <w:rFonts w:ascii="Times New Roman" w:hAnsi="Times New Roman"/>
                <w:sz w:val="24"/>
              </w:rPr>
              <w:t>Regulas (ES) Nr. 575/2013 92. panta 2. punkta c) apakšpunkts, nepiemērojot minētās regulas 465. punktu.</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Pirmā līmeņa pamata kapitāla rādītājs, nepiemērojot pārejas noteikumus pašu kapitāla minimālajai robežvērtībai S-TREA (Regulas (ES) Nr. 575/2013 465. panta 3., 4., 5. un 7. punkts)</w:t>
            </w:r>
          </w:p>
          <w:p w14:paraId="0881DD8C" w14:textId="551C71D4" w:rsidR="00CC7D2C" w:rsidRPr="009A3DD3" w:rsidRDefault="00CC7D2C" w:rsidP="00822842">
            <w:pPr>
              <w:rPr>
                <w:rFonts w:ascii="Times New Roman" w:hAnsi="Times New Roman"/>
                <w:sz w:val="24"/>
              </w:rPr>
            </w:pPr>
            <w:r>
              <w:rPr>
                <w:rFonts w:ascii="Times New Roman" w:hAnsi="Times New Roman"/>
                <w:sz w:val="24"/>
              </w:rPr>
              <w:t>Regulas (ES) Nr. 575/2013 92. panta 2. punkta a) apakšpunkts, nepiemērojot minētās regulas 465. panta 3., 4., 5. un 7. punktu.</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Pirmā līmeņa kapitāla rādītājs, nepiemērojot pārejas noteikumus pašu kapitāla minimālajai robežvērtībai </w:t>
            </w:r>
            <w:r>
              <w:rPr>
                <w:rFonts w:ascii="Times New Roman" w:hAnsi="Times New Roman"/>
                <w:b/>
                <w:i/>
                <w:iCs/>
                <w:sz w:val="24"/>
                <w:u w:val="single"/>
              </w:rPr>
              <w:t>S-TREA</w:t>
            </w:r>
            <w:r>
              <w:rPr>
                <w:rFonts w:ascii="Times New Roman" w:hAnsi="Times New Roman"/>
                <w:b/>
                <w:sz w:val="24"/>
                <w:u w:val="single"/>
              </w:rPr>
              <w:t xml:space="preserve"> (Regulas (ES) Nr. 575/2013 465. panta 3., 4., 5. un 7. punkts)</w:t>
            </w:r>
          </w:p>
          <w:p w14:paraId="33AE485B" w14:textId="77A464ED" w:rsidR="00CC7D2C" w:rsidRPr="009A3DD3" w:rsidRDefault="00CC7D2C" w:rsidP="00822842">
            <w:pPr>
              <w:rPr>
                <w:rFonts w:ascii="Times New Roman" w:hAnsi="Times New Roman"/>
                <w:sz w:val="24"/>
              </w:rPr>
            </w:pPr>
            <w:r>
              <w:rPr>
                <w:rFonts w:ascii="Times New Roman" w:hAnsi="Times New Roman"/>
                <w:sz w:val="24"/>
              </w:rPr>
              <w:t>Regulas (ES) Nr. 575/2013 92. panta 2. punkta b) apakšpunkts, nepiemērojot minētās regulas 465. panta 3., 4., 5. un 7. punktu.</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Kopējais kapitāla rādītājs, nepiemērojot pārejas noteikumus pašu kapitāla minimālajai robežvērtībai </w:t>
            </w:r>
            <w:r>
              <w:rPr>
                <w:rFonts w:ascii="Times New Roman" w:hAnsi="Times New Roman"/>
                <w:b/>
                <w:i/>
                <w:iCs/>
                <w:sz w:val="24"/>
                <w:u w:val="single"/>
              </w:rPr>
              <w:t>S-TREA</w:t>
            </w:r>
            <w:r>
              <w:rPr>
                <w:rFonts w:ascii="Times New Roman" w:hAnsi="Times New Roman"/>
                <w:b/>
                <w:sz w:val="24"/>
                <w:u w:val="single"/>
              </w:rPr>
              <w:t xml:space="preserve"> (Regulas (ES) Nr. 575/2013 465. panta 3., 4., 5. un 7. punkts)</w:t>
            </w:r>
          </w:p>
          <w:p w14:paraId="116A4C8A" w14:textId="03344BD5" w:rsidR="00CC7D2C" w:rsidRPr="009A3DD3" w:rsidRDefault="00CC7D2C" w:rsidP="00822842">
            <w:pPr>
              <w:rPr>
                <w:rFonts w:ascii="Times New Roman" w:hAnsi="Times New Roman"/>
                <w:sz w:val="24"/>
              </w:rPr>
            </w:pPr>
            <w:r>
              <w:rPr>
                <w:rFonts w:ascii="Times New Roman" w:hAnsi="Times New Roman"/>
                <w:sz w:val="24"/>
              </w:rPr>
              <w:t>Regulas (ES) Nr. 575/2013 92. panta 2. punkta c) apakšpunkts, nepiemērojot minētās regulas 465. panta 3., 4., 5. un 7. punktu.</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 IZZIŅAS POSTEŅI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Norādes par konkrētām pozīcijām</w:t>
      </w:r>
      <w:bookmarkEnd w:id="41"/>
      <w:bookmarkEnd w:id="42"/>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Rindas</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Kopējie atliktā nodokļa aktīvi</w:t>
            </w:r>
          </w:p>
          <w:p w14:paraId="245EEDA1" w14:textId="77777777" w:rsidR="00CC7D2C" w:rsidRPr="002A677E" w:rsidRDefault="00CC7D2C" w:rsidP="00320EFD">
            <w:pPr>
              <w:pStyle w:val="InstructionsText"/>
            </w:pPr>
            <w:r>
              <w:t>Šajā postenī uzrādītā summa ir vienāda ar summu, kas uzrādīta visnesenākajā pārbaudītajā/revidētajā grāmatvedības bilancē.</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Atliktā nodokļa aktīvi, kuru realizācija nav atkarīga no peļņas gūšanas nākotnē</w:t>
            </w:r>
          </w:p>
          <w:p w14:paraId="119E6584" w14:textId="77777777" w:rsidR="00CC7D2C" w:rsidRPr="002A677E" w:rsidRDefault="00CC7D2C" w:rsidP="00320EFD">
            <w:pPr>
              <w:pStyle w:val="InstructionsText"/>
            </w:pPr>
            <w:r>
              <w:t>Regulas (ES) Nr. 575/2013 39. panta 2. punkts.</w:t>
            </w:r>
          </w:p>
          <w:p w14:paraId="04A932CD" w14:textId="77777777" w:rsidR="00CC7D2C" w:rsidRPr="002A677E" w:rsidRDefault="00CC7D2C" w:rsidP="00320EFD">
            <w:pPr>
              <w:pStyle w:val="InstructionsText"/>
            </w:pPr>
            <w:r>
              <w:t>Atliktā nodokļa aktīvi, kuri tika izveidoti līdz 2016. gada 23. novembrim un kuru realizācija nav atkarīga no peļņas gūšanas nākotnē, un kuriem līdz ar to ir piemērojams riska svērums.</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Atliktā nodokļa aktīvi, kuru realizācija atkarīga no peļņas gūšanas nākotnē un kuri neizriet no laika noviržu izraisītas pagaidu starpības</w:t>
            </w:r>
          </w:p>
          <w:p w14:paraId="477958DE" w14:textId="77777777" w:rsidR="00CC7D2C" w:rsidRPr="002A677E" w:rsidRDefault="00CC7D2C" w:rsidP="00320EFD">
            <w:pPr>
              <w:pStyle w:val="InstructionsText"/>
            </w:pPr>
            <w:r>
              <w:lastRenderedPageBreak/>
              <w:t>Regulas (ES) Nr. 575/2013 36. panta 1. punkta c) apakšpunkts un 38. pants.</w:t>
            </w:r>
          </w:p>
          <w:p w14:paraId="155315E4" w14:textId="77777777" w:rsidR="00CC7D2C" w:rsidRPr="002A677E" w:rsidRDefault="00CC7D2C" w:rsidP="00320EFD">
            <w:pPr>
              <w:pStyle w:val="InstructionsText"/>
            </w:pPr>
            <w:r>
              <w:t>Atliktā nodokļa aktīvi, kuru realizācija ir atkarīga no peļņas gūšanas nākotnē, bet kuri neizriet no laika noviržu izraisītas pagaidu starpības un uz kuriem līdz ar to neattiecas nekādi sliekšņi (t. i., tos pilnībā atskaita no pirmā līmeņa pamata kapitāla).</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lastRenderedPageBreak/>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Atliktā nodokļa aktīvi, kuru realizācija atkarīga no peļņas gūšanas nākotnē un kuri izriet no laika noviržu izraisītas pagaidu starpības</w:t>
            </w:r>
          </w:p>
          <w:p w14:paraId="084F3ACD" w14:textId="77777777" w:rsidR="00CC7D2C" w:rsidRPr="002A677E" w:rsidRDefault="00CC7D2C" w:rsidP="00320EFD">
            <w:pPr>
              <w:pStyle w:val="InstructionsText"/>
            </w:pPr>
            <w:r>
              <w:t>36. panta 1. punkta c) apakšpunkts; Regulas (ES) Nr. 575/2013 38. pants un 48. panta 1. punkta a) apakšpunkts.</w:t>
            </w:r>
          </w:p>
          <w:p w14:paraId="628F7B8D" w14:textId="77777777" w:rsidR="00CC7D2C" w:rsidRPr="002A677E" w:rsidRDefault="00CC7D2C" w:rsidP="00320EFD">
            <w:pPr>
              <w:pStyle w:val="InstructionsText"/>
            </w:pPr>
            <w:r>
              <w:t>Atliktā nodokļa aktīvi, kuru realizācija ir atkarīga peļņas gūšanas nākotnē un kuri izriet no laika noviržu izraisītas pagaidu starpības, un kuru atskaitījumiem no pirmā līmeņa pamata kapitāla līdz ar to piemēro Regulas (ES) Nr. 575/2013 48. panta sliekšņus 10 % un 17,65 % apmērā.</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Kopējās atliktā nodokļa saistības</w:t>
            </w:r>
          </w:p>
          <w:p w14:paraId="7EEBFB46" w14:textId="77777777" w:rsidR="00CC7D2C" w:rsidRPr="002A677E" w:rsidRDefault="00CC7D2C" w:rsidP="00320EFD">
            <w:pPr>
              <w:pStyle w:val="InstructionsText"/>
            </w:pPr>
            <w:r>
              <w:t>Šajā postenī uzrādītā summa ir vienāda ar summu, kas uzrādīta pēdējā pārbaudītajā/revidētajā grāmatvedības bilancē.</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Atliktā nodokļa aktīvi, kas nav atskaitāmi no atliktā nodokļa aktīviem, kuru realizācija atkarīga no peļņas gūšanas nākotnē</w:t>
            </w:r>
          </w:p>
          <w:p w14:paraId="03F91C81" w14:textId="77777777" w:rsidR="00CC7D2C" w:rsidRPr="002A677E" w:rsidRDefault="00CC7D2C" w:rsidP="00320EFD">
            <w:pPr>
              <w:pStyle w:val="InstructionsText"/>
            </w:pPr>
            <w:r>
              <w:t>Regulas (ES) Nr. 575/2013 38. panta 3. un 4. punkts.</w:t>
            </w:r>
          </w:p>
          <w:p w14:paraId="06C72D86" w14:textId="77777777" w:rsidR="00CC7D2C" w:rsidRPr="002A677E" w:rsidRDefault="00CC7D2C" w:rsidP="00320EFD">
            <w:pPr>
              <w:pStyle w:val="InstructionsText"/>
            </w:pPr>
            <w:r>
              <w:t>Atliktā nodokļa saistības, attiecībā uz kurām nav ievērotas Regulas (ES) Nr. 575/2013 38. panta 3. un 4. punkta nosacījumi. Līdz ar to šajā postenī iekļauj atliktā nodokļa saistības, kas samazina nemateriālo vērtību, citus nemateriālos aktīvus vai definētu pabalstu pensiju fondu aktīvu atskaitāmo summu un kas tiek uzrādītas CA1 veidnes 1.1.1.10.3., 1.1.1.11.2. un 1.1.1.14.2. postenī.</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Atliktā nodokļa aktīvi, kas atskaitāmi no atliktā nodokļa aktīviem, kuru realizācija atkarīga no peļņas gūšanas nākotnē</w:t>
            </w:r>
          </w:p>
          <w:p w14:paraId="52387C25" w14:textId="77777777" w:rsidR="00CC7D2C" w:rsidRPr="002A677E" w:rsidRDefault="00CC7D2C" w:rsidP="00320EFD">
            <w:pPr>
              <w:pStyle w:val="InstructionsText"/>
            </w:pPr>
            <w:r>
              <w:t>Regulas (ES) Nr. 575/2013 38. pants</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Atskaitāmas atliktā nodokļa saistības, kas saistītas ar atliktā nodokļa aktīviem, kuru realizācija atkarīga no peļņas gūšanas nākotnē un kuri neizriet no laika noviržu izraisītas pagaidu starpības</w:t>
            </w:r>
          </w:p>
          <w:p w14:paraId="57B5679C" w14:textId="77777777" w:rsidR="00CC7D2C" w:rsidRPr="002A677E" w:rsidRDefault="00CC7D2C" w:rsidP="00320EFD">
            <w:pPr>
              <w:pStyle w:val="InstructionsText"/>
            </w:pPr>
            <w:r>
              <w:t>Regulas (ES) Nr. 575/2013 38. panta 3., 4. un 5. punkts.</w:t>
            </w:r>
          </w:p>
          <w:p w14:paraId="6554BBC3" w14:textId="77777777" w:rsidR="00CC7D2C" w:rsidRPr="002A677E" w:rsidRDefault="00CC7D2C" w:rsidP="00320EFD">
            <w:pPr>
              <w:pStyle w:val="InstructionsText"/>
            </w:pPr>
            <w:r>
              <w:t xml:space="preserve">Atliktā nodokļa saistības, kas var samazināt to atliktā nodokļa aktīvu summu, kuru realizācija ir atkarīga no peļņas gūšanas nākotnē saskaņā ar Regulas (ES) Nr. 575/2013 38. panta 3. un 4. punktu, un kas netiek iedalītas atliktā nodokļa aktīvos, kuru realizācija ir atkarīga peļņas gūšanas nākotnē un kuri izriet no </w:t>
            </w:r>
            <w:r>
              <w:lastRenderedPageBreak/>
              <w:t>pagaidu starpības, kā noteikts Regulas (ES) Nr. 575/2013 38. panta 5. punktā.</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lastRenderedPageBreak/>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Atskaitāmas atliktā nodokļa saistības, kas saistītas ar atliktā nodokļa aktīviem, kuru realizācija atkarīga no peļņas gūšanas nākotnē un kuri izriet no laika noviržu izraisītas pagaidu starpības</w:t>
            </w:r>
          </w:p>
          <w:p w14:paraId="5386BFFB" w14:textId="77777777" w:rsidR="00CC7D2C" w:rsidRPr="002A677E" w:rsidRDefault="00CC7D2C" w:rsidP="00320EFD">
            <w:pPr>
              <w:pStyle w:val="InstructionsText"/>
            </w:pPr>
            <w:r>
              <w:t>Regulas (ES) Nr. 575/2013 38. panta 3., 4. un 5. punkts.</w:t>
            </w:r>
          </w:p>
          <w:p w14:paraId="737FD646" w14:textId="77777777" w:rsidR="00CC7D2C" w:rsidRPr="002A677E" w:rsidRDefault="00CC7D2C" w:rsidP="00320EFD">
            <w:pPr>
              <w:pStyle w:val="InstructionsText"/>
            </w:pPr>
            <w:r>
              <w:t>Atliktā nodokļa saistības, kas var samazināt to atliktā nodokļa aktīvu summu, kuru realizācija ir atkarīga no peļņas gūšanas nākotnē saskaņā ar Regulas (ES) Nr. 575/2013 38. panta 3. un 4. punktu, un kas tiek iedalītas atliktā nodokļa aktīvos, kuru realizācija ir atkarīga peļņas gūšanas nākotnē un kuri izriet no pagaidu starpības, kā noteikts Regulas (ES) Nr. 575/2013 38. panta 5. punktā.</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Nodokļu pārmaksa un nodokļu zaudējumu pārnese uz iepriekšēju periodu</w:t>
            </w:r>
          </w:p>
          <w:p w14:paraId="64C3A725" w14:textId="77777777" w:rsidR="00CC7D2C" w:rsidRPr="002A677E" w:rsidRDefault="00CC7D2C" w:rsidP="00320EFD">
            <w:pPr>
              <w:pStyle w:val="InstructionsText"/>
            </w:pPr>
            <w:r>
              <w:t>Regulas (ES) Nr. 575/2013 39. panta 1. punkts.</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Nodokļu pārmaksas un nodokļu zaudējumu pārneses uz iepriekšēju periodu summa, ko neatskaita no pašu kapitāla saskaņā ar Regulas (ES) Nr. 575/2013 39. panta 1. punktu; uzrādītā summa ir summa pirms riska svērumu piemērošanas.</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Atliktā nodokļa aktīvi, kam piemēro 250</w:t>
            </w:r>
            <w:r>
              <w:t> </w:t>
            </w:r>
            <w:r>
              <w:rPr>
                <w:rStyle w:val="InstructionsTabelleberschrift"/>
                <w:rFonts w:ascii="Times New Roman" w:hAnsi="Times New Roman"/>
                <w:sz w:val="24"/>
              </w:rPr>
              <w:t> % riska svērumu</w:t>
            </w:r>
          </w:p>
          <w:p w14:paraId="34D369D6" w14:textId="77777777" w:rsidR="00CC7D2C" w:rsidRPr="002A677E" w:rsidRDefault="00CC7D2C" w:rsidP="00320EFD">
            <w:pPr>
              <w:pStyle w:val="InstructionsText"/>
            </w:pPr>
            <w:r>
              <w:t>Regulas (ES) Nr. 575/2013 48. panta 4. punkts</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Atliktā nodokļa aktīvu summa, kuru realizācija ir atkarīga no peļņas gūšanas nākotnē un kuri izriet no pagaidu starpības, ko neatskaita saskaņā ar Regulas (ES) Nr. 575/2013 48. panta 1. punktu, bet kam saskaņā ar minētās regulas 48. panta 4. punktu piemēro 250 % riska svērumu, ņemot vērā tās pašas regulas 470. panta un 478. panta 2. punkta ietekmi. Uzrādītā summa ir atliktā nodokļa aktīvu summa pirms riska pakāpes piemērošanas.</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Atliktā nodokļa aktīvi, kam piemēro 0</w:t>
            </w:r>
            <w:r>
              <w:t> </w:t>
            </w:r>
            <w:r>
              <w:rPr>
                <w:rStyle w:val="InstructionsTabelleberschrift"/>
                <w:rFonts w:ascii="Times New Roman" w:hAnsi="Times New Roman"/>
                <w:sz w:val="24"/>
              </w:rPr>
              <w:t> % riska svērumu</w:t>
            </w:r>
          </w:p>
          <w:p w14:paraId="4E521C1C" w14:textId="77777777" w:rsidR="00CC7D2C" w:rsidRPr="002A677E" w:rsidRDefault="00CC7D2C" w:rsidP="00320EFD">
            <w:pPr>
              <w:pStyle w:val="InstructionsText"/>
            </w:pPr>
            <w:r>
              <w:t>Regulas (ES) Nr. 575/2013 469. panta 1. punkta d) apakšpunkts, 470. pants, 472. panta 5. punkts un 478. pants.</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Atliktā nodokļa aktīvu summa, kuru realizācija ir atkarīga no peļņas gūšanas nākotnē un kuri izriet no pagaidu starpības, ko neatskaita saskaņā ar Regulas (ES) Nr. 575/2013 469. panta 1. punkta d) apakšpunktu, 470. pantu, minētās regulas 478. panta 2. punktu, bet kam saskaņā ar tās pašas regulas 472. panta 5. punktu piemēro 0 % riska svērumu. Uzrādītā summa ir atliktā nodokļa aktīvu summa pirms riska pakāpes piemērošanas.</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Programmatūras aktīvi, kas uzskaitīti kā nemateriālie aktīvi, kuri ir atbrīvoti no atskaitījuma no pirmā līmeņa pamata kapitāla</w:t>
            </w:r>
          </w:p>
          <w:p w14:paraId="5C8FA893" w14:textId="77777777" w:rsidR="00CC7D2C" w:rsidRPr="002A677E" w:rsidRDefault="00CC7D2C" w:rsidP="00320EFD">
            <w:pPr>
              <w:pStyle w:val="InstructionsText"/>
            </w:pPr>
            <w:r>
              <w:lastRenderedPageBreak/>
              <w:t>Regulas (ES) Nr. 575/2013 36. panta 1. punkta b) apakšpunkts.</w:t>
            </w:r>
          </w:p>
          <w:p w14:paraId="0E43062B" w14:textId="77777777" w:rsidR="00CC7D2C" w:rsidRPr="002A677E" w:rsidRDefault="00CC7D2C" w:rsidP="00320EFD">
            <w:pPr>
              <w:pStyle w:val="InstructionsText"/>
              <w:rPr>
                <w:rStyle w:val="InstructionsTabelleberschrift"/>
                <w:rFonts w:ascii="Times New Roman" w:hAnsi="Times New Roman"/>
                <w:sz w:val="24"/>
              </w:rPr>
            </w:pPr>
            <w:r>
              <w:t>Iestādes uzrāda prudenciāli novērtēto programmatūras aktīvu summu, kas ir atbrīvoti no atskaitījuma no pirmā līmeņa pamata kapitāla posteņiem saskaņā ar Deleģētās regulas (ES) Nr. 241/2014 13.a pantu.</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lastRenderedPageBreak/>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Pirmā līmeņa papildu kapitāla instrumenti un saistītie akciju emisijas uzcenojuma konti, ko saskaņā ar piemērojamajiem grāmatvedības standartiem klasificē kā pašu kapitālu</w:t>
            </w:r>
          </w:p>
          <w:p w14:paraId="461168E6" w14:textId="77777777" w:rsidR="00CC7D2C" w:rsidRPr="002A677E" w:rsidRDefault="00CC7D2C" w:rsidP="00320EFD">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pašu kapitālu saskaņā ar piemērojamajiem grāmatvedības standartiem.</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Pirmā līmeņa papildu kapitāla instrumenti un saistītie akciju emisijas uzcenojuma konti, ko saskaņā ar piemērojamajiem grāmatvedības standartiem klasificē kā saistības</w:t>
            </w:r>
          </w:p>
          <w:p w14:paraId="7B3EED9F" w14:textId="77777777" w:rsidR="00CC7D2C" w:rsidRPr="002A677E" w:rsidRDefault="00CC7D2C" w:rsidP="00320EFD">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saistības saskaņā ar piemērojamajiem grāmatvedības standartiem.</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IRB pārsniegums (+) vai deficīts (-): summa, par kādu kredītriska korekcijas, papildu vērtības korekcijas un citi pašu kapitāla samazinājumi pārsniedz vai veido deficītu attiecībā pret paredzamajiem zaudējumiem riska darījumos, kuros nav saistību neizpildes</w:t>
            </w:r>
          </w:p>
          <w:p w14:paraId="281DFA69" w14:textId="77777777" w:rsidR="00CC7D2C" w:rsidRPr="002A677E" w:rsidRDefault="00CC7D2C" w:rsidP="00320EFD">
            <w:pPr>
              <w:pStyle w:val="InstructionsText"/>
            </w:pPr>
            <w:r>
              <w:t>Regulas (ES) Nr. 575/2013 36. panta 1. punkta d) apakšpunkts, 62. panta d) punkts, 158. un 159. pants.</w:t>
            </w:r>
          </w:p>
          <w:p w14:paraId="211C61EB" w14:textId="77777777" w:rsidR="00CC7D2C" w:rsidRPr="002A677E" w:rsidRDefault="00CC7D2C" w:rsidP="00320EFD">
            <w:pPr>
              <w:pStyle w:val="InstructionsText"/>
            </w:pPr>
            <w:r>
              <w:t>Šo posteni uzrāda tikai IRB iestādes.</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Kopējās kredītriska korekcijas, papildu vērtības korekcijas un citi pašu kapitāla samazinājumi, kas ir atbilstoši, lai tos iekļautu paredzamo zaudējumu summas aprēķinā</w:t>
            </w:r>
          </w:p>
          <w:p w14:paraId="1AF7728C" w14:textId="77777777" w:rsidR="00CC7D2C" w:rsidRPr="002A677E" w:rsidRDefault="00CC7D2C" w:rsidP="00320EFD">
            <w:pPr>
              <w:pStyle w:val="InstructionsText"/>
            </w:pPr>
            <w:r>
              <w:t>Regulas (ES) Nr. 575/2013 159. pants</w:t>
            </w:r>
          </w:p>
          <w:p w14:paraId="21F21DE2" w14:textId="77777777" w:rsidR="00CC7D2C" w:rsidRPr="002A677E" w:rsidRDefault="00CC7D2C" w:rsidP="00320EFD">
            <w:pPr>
              <w:pStyle w:val="InstructionsText"/>
            </w:pPr>
            <w:r>
              <w:t>Šo posteni uzrāda tikai IRB iestādes.</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Vispārējās kredītriska korekcijas</w:t>
            </w:r>
          </w:p>
          <w:p w14:paraId="6F03085D" w14:textId="77777777" w:rsidR="00CC7D2C" w:rsidRPr="002A677E" w:rsidRDefault="00CC7D2C" w:rsidP="00320EFD">
            <w:pPr>
              <w:pStyle w:val="InstructionsText"/>
            </w:pPr>
            <w:r>
              <w:t>Regulas (ES) Nr. 575/2013 159. pants</w:t>
            </w:r>
          </w:p>
          <w:p w14:paraId="6264BB70" w14:textId="77777777" w:rsidR="00CC7D2C" w:rsidRPr="002A677E" w:rsidRDefault="00CC7D2C" w:rsidP="00320EFD">
            <w:pPr>
              <w:pStyle w:val="InstructionsText"/>
            </w:pPr>
            <w:r>
              <w:t>Šo posteni uzrāda tikai IRB iestādes.</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Specifiskās kredītriska korekcijas</w:t>
            </w:r>
          </w:p>
          <w:p w14:paraId="66E78811" w14:textId="77777777" w:rsidR="00CC7D2C" w:rsidRPr="002A677E" w:rsidRDefault="00CC7D2C" w:rsidP="00320EFD">
            <w:pPr>
              <w:pStyle w:val="InstructionsText"/>
            </w:pPr>
            <w:r>
              <w:t>Regulas (ES) Nr. 575/2013 159. pants</w:t>
            </w:r>
          </w:p>
          <w:p w14:paraId="5B5BE89D" w14:textId="77777777" w:rsidR="00CC7D2C" w:rsidRPr="002A677E" w:rsidRDefault="00CC7D2C" w:rsidP="00320EFD">
            <w:pPr>
              <w:pStyle w:val="InstructionsText"/>
            </w:pPr>
            <w:r>
              <w:t>Šo posteni uzrāda tikai IRB iestādes.</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Papildu vērtības korekcijas un citi pašu kapitāla samazinājumi</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34., 110. un 159. pants</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Šo posteni uzrāda tikai IRB iestādes.</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lastRenderedPageBreak/>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Kopējie paredzamie zaudējumi, kas ir atbilstoši </w:t>
            </w:r>
          </w:p>
          <w:p w14:paraId="4A89299A" w14:textId="77777777" w:rsidR="00CC7D2C" w:rsidRPr="002A677E" w:rsidRDefault="00CC7D2C" w:rsidP="00320EFD">
            <w:pPr>
              <w:pStyle w:val="InstructionsText"/>
            </w:pPr>
            <w:r>
              <w:t>Regulas (ES) Nr. 575/2013 158. panta 5., 6. un 10. punkts un 159. pants.</w:t>
            </w:r>
          </w:p>
          <w:p w14:paraId="0B0DDB08" w14:textId="77777777" w:rsidR="00CC7D2C" w:rsidRPr="002A677E" w:rsidRDefault="00CC7D2C" w:rsidP="00320EFD">
            <w:pPr>
              <w:pStyle w:val="InstructionsText"/>
            </w:pPr>
            <w:r>
              <w:t>Šo posteni uzrāda tikai IRB iestādes. Uzrāda tikai paredzamos zaudējumus, kas saistīti ar riska darījumiem, kuros nav saistību neizpildes.</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IRB pārsniegums (+) vai deficīts (-): summa, par kādu specifiskās kredītriska korekcijas pārsniedz vai veido deficītu attiecībā pret paredzamajiem zaudējumiem riska darījumos, kuros nav izpildītas saistības</w:t>
            </w:r>
          </w:p>
          <w:p w14:paraId="2528CE63" w14:textId="77777777" w:rsidR="00CC7D2C" w:rsidRPr="002A677E" w:rsidRDefault="00CC7D2C" w:rsidP="00320EFD">
            <w:pPr>
              <w:pStyle w:val="InstructionsText"/>
            </w:pPr>
            <w:r>
              <w:t>Regulas (ES) Nr. 575/2013 36. panta 1. punkta d) apakšpunkts, 62. panta d) punkts, 158. un 159. pants.</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Šo posteni uzrāda tikai IRB iestādes.</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Specifiskās kredītriska korekcijas un pozīcijas, kurām piemēro līdzīgu procedūru</w:t>
            </w:r>
          </w:p>
          <w:p w14:paraId="1E7B4C7D" w14:textId="77777777" w:rsidR="00CC7D2C" w:rsidRPr="002A677E" w:rsidRDefault="00CC7D2C" w:rsidP="00320EFD">
            <w:pPr>
              <w:pStyle w:val="InstructionsText"/>
            </w:pPr>
            <w:r>
              <w:t>Regulas (ES) Nr. 575/2013 159. pants</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Šo posteni uzrāda tikai IRB iestādes.</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Kopējie paredzamie zaudējumi, kas ir atbilstoši</w:t>
            </w:r>
          </w:p>
          <w:p w14:paraId="30E1E0B6" w14:textId="77777777" w:rsidR="00CC7D2C" w:rsidRPr="002A677E" w:rsidRDefault="00CC7D2C" w:rsidP="00320EFD">
            <w:pPr>
              <w:pStyle w:val="InstructionsText"/>
              <w:rPr>
                <w:rStyle w:val="InstructionsTabelleberschrift"/>
                <w:rFonts w:ascii="Times New Roman" w:hAnsi="Times New Roman"/>
                <w:sz w:val="24"/>
              </w:rPr>
            </w:pPr>
            <w:r>
              <w:t>Regulas (ES) Nr. 575/2013 158. panta 5., 6. un 10. punkts un 159. pants.</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Šo posteni uzrāda tikai IRB iestādes. Uzrāda tikai paredzamos zaudējumus, kas saistīti ar riska darījumiem, kuros nav izpildītas saistības.</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Riska darījumu riska svērtās vērtības, ko izmanto, lai aprēķinātu maksimālo robežvērtību tādam uzkrājumu pārsniegumam, kas ir atbilstošs kā otrā līmeņa kapitāls</w:t>
            </w:r>
          </w:p>
          <w:p w14:paraId="563E7C9E" w14:textId="77777777" w:rsidR="00CC7D2C" w:rsidRPr="002A677E" w:rsidRDefault="00CC7D2C" w:rsidP="00320EFD">
            <w:pPr>
              <w:pStyle w:val="InstructionsText"/>
            </w:pPr>
            <w:r>
              <w:t>Regulas (ES) Nr. 575/2013 62. panta d) punkts.</w:t>
            </w:r>
          </w:p>
          <w:p w14:paraId="363FA5D2" w14:textId="77777777" w:rsidR="00CC7D2C" w:rsidRPr="002A677E" w:rsidRDefault="00CC7D2C" w:rsidP="00320EFD">
            <w:pPr>
              <w:pStyle w:val="InstructionsText"/>
            </w:pPr>
            <w:r>
              <w:t>IRB iestādēm saskaņā ar Regulas (ES) Nr. 575/2013 62. panta d) punktu uzkrājumu pārsniegumam (pār paredzamajiem zaudējumiem), kas atbilst iekļaušanai otrā līmeņa kapitālā, ir noteikta maksimālā robežvērtība 0,6 % apmērā no riska darījumu riska svērtajām vērtībām, kuras aprēķinātas ar IRB pieeju.</w:t>
            </w:r>
          </w:p>
          <w:p w14:paraId="42C93CC2" w14:textId="77777777" w:rsidR="00CC7D2C" w:rsidRPr="002A677E" w:rsidRDefault="00CC7D2C" w:rsidP="00320EFD">
            <w:pPr>
              <w:pStyle w:val="InstructionsText"/>
            </w:pPr>
            <w:r>
              <w:t>Šajā postenī uzrādāmā summa ir riska darījumu riska svērtās vērtības (t. i., kas nav reizinātas ar 0,6 %), kas ir bāze maksimālās robežvērtības aprēķināšanai.</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Kopējie bruto uzkrājumi, kas ir atbilstoši, lai tos iekļautu otrā līmeņa kapitālā</w:t>
            </w:r>
          </w:p>
          <w:p w14:paraId="79DEE159" w14:textId="77777777" w:rsidR="00CC7D2C" w:rsidRPr="002A677E" w:rsidRDefault="00CC7D2C" w:rsidP="00320EFD">
            <w:pPr>
              <w:pStyle w:val="InstructionsText"/>
            </w:pPr>
            <w:r>
              <w:t>Regulas (ES) Nr. 575/2013 62. panta c) punkts.</w:t>
            </w:r>
          </w:p>
          <w:p w14:paraId="7677FF60" w14:textId="77777777" w:rsidR="00CC7D2C" w:rsidRPr="002A677E" w:rsidRDefault="00CC7D2C" w:rsidP="00320EFD">
            <w:pPr>
              <w:pStyle w:val="InstructionsText"/>
            </w:pPr>
            <w:r>
              <w:lastRenderedPageBreak/>
              <w:t>Šis postenis ietver vispārīgas kredītriska korekcijas, kas ir atbilstošas, lai tās iekļautu otrā līmeņa kapitālā, zem maksimālās robežvērtības.</w:t>
            </w:r>
          </w:p>
          <w:p w14:paraId="748D0361" w14:textId="77777777" w:rsidR="00CC7D2C" w:rsidRPr="002A677E" w:rsidRDefault="00CC7D2C" w:rsidP="00320EFD">
            <w:pPr>
              <w:pStyle w:val="InstructionsText"/>
            </w:pPr>
            <w:r>
              <w:t>Summu uzrāda, ņemot vērā nodokļu ietekmi.</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lastRenderedPageBreak/>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Riska darījumu riska svērtās vērtības, ko izmanto, lai aprēķinātu maksimālo robežvērtību tādiem uzkrājumiem, kas ir atbilstoši kā otrā līmeņa kapitāls</w:t>
            </w:r>
          </w:p>
          <w:p w14:paraId="345CC1D6" w14:textId="77777777" w:rsidR="00CC7D2C" w:rsidRPr="002A677E" w:rsidRDefault="00CC7D2C" w:rsidP="00320EFD">
            <w:pPr>
              <w:pStyle w:val="InstructionsText"/>
            </w:pPr>
            <w:r>
              <w:t>Regulas (ES) Nr. 575/2013 62. panta c) punkts.</w:t>
            </w:r>
          </w:p>
          <w:p w14:paraId="65850475" w14:textId="77777777" w:rsidR="00CC7D2C" w:rsidRPr="002A677E" w:rsidRDefault="00CC7D2C" w:rsidP="00320EFD">
            <w:pPr>
              <w:pStyle w:val="InstructionsText"/>
            </w:pPr>
            <w:r>
              <w:t>Saskaņā ar Regulas (ES) Nr. 575/2013 62. panta c) punktu kredītriska korekcijām, kas atbilst iekļaušanai otrā līmeņa kapitālā, nosaka maksimālo robežvērtību 1,25 % apmērā no riska darījumu riska svērtajām vērtībām.</w:t>
            </w:r>
          </w:p>
          <w:p w14:paraId="3B08F4EA" w14:textId="77777777" w:rsidR="00CC7D2C" w:rsidRPr="002A677E" w:rsidRDefault="00CC7D2C" w:rsidP="00320EFD">
            <w:pPr>
              <w:pStyle w:val="InstructionsText"/>
            </w:pPr>
            <w:r>
              <w:t>Šajā postenī uzrādāmā summa ir riska darījumu riska svērtās vērtības (t. i., kas nav reizinātas ar 1,25 %), kas ir bāze maksimālās robežvērtības aprēķināšanai.</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Slieksnis, līdz kuram neatskaita līdzdalības tādās finanšu sektora sabiedrībās, kurās iestādei nav būtiska ieguldījuma</w:t>
            </w:r>
          </w:p>
          <w:p w14:paraId="281FF318" w14:textId="77777777" w:rsidR="00CC7D2C" w:rsidRPr="002A677E" w:rsidRDefault="00CC7D2C" w:rsidP="00320EFD">
            <w:pPr>
              <w:pStyle w:val="InstructionsText"/>
            </w:pPr>
            <w:r>
              <w:t>Regulas (ES) Nr. 575/2013 46. panta 1. punkta a) apakšpunkts.</w:t>
            </w:r>
          </w:p>
          <w:p w14:paraId="6CBDA660" w14:textId="77777777" w:rsidR="00CC7D2C" w:rsidRPr="002A677E" w:rsidRDefault="00CC7D2C" w:rsidP="00320EFD">
            <w:pPr>
              <w:pStyle w:val="InstructionsText"/>
            </w:pPr>
            <w:r>
              <w:t>Šajā postenī ietverts slieksnis, līdz kuram neatskaita līdzdalības tādās finanšu sektora sabiedrībās, kurās iestādei nav būtiska ieguldījuma. Summu iegūst, saskaitot visus posteņus, kas ir sliekšņa bāze, un reizinot iegūto summu ar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Pirmā līmeņa pamata kapitāla </w:t>
            </w:r>
            <w:r>
              <w:t> </w:t>
            </w:r>
            <w:r>
              <w:rPr>
                <w:rStyle w:val="InstructionsTabelleberschrift"/>
                <w:rFonts w:ascii="Times New Roman" w:hAnsi="Times New Roman"/>
                <w:sz w:val="24"/>
              </w:rPr>
              <w:t xml:space="preserve">10 % slieksnis </w:t>
            </w:r>
          </w:p>
          <w:p w14:paraId="59F6CAC3" w14:textId="77777777" w:rsidR="00CC7D2C" w:rsidRPr="002A677E" w:rsidRDefault="00CC7D2C" w:rsidP="00320EFD">
            <w:pPr>
              <w:pStyle w:val="InstructionsText"/>
            </w:pPr>
            <w:r>
              <w:t>Regulas (ES) Nr. 575/2013 48. panta 1) punkta a) un b) apakšpunkts.</w:t>
            </w:r>
          </w:p>
          <w:p w14:paraId="6BCD7ABF" w14:textId="77777777" w:rsidR="00CC7D2C" w:rsidRPr="002A677E" w:rsidRDefault="00CC7D2C" w:rsidP="00320EFD">
            <w:pPr>
              <w:pStyle w:val="InstructionsText"/>
            </w:pPr>
            <w:r>
              <w:t>Šis postenis ietver 10 % slieksni attiecībā uz līdzdalībām tādās finanšu sektora sabiedrībās, kurās iestādei ir būtisks ieguldījums, un atliktā nodokļa aktīviem, kuru realizācija ir atkarīga no peļņas gūšanas nākotnē un kuri izriet no laika noviržu izraisītas pagaidu starpības.</w:t>
            </w:r>
          </w:p>
          <w:p w14:paraId="44EADE68" w14:textId="77777777" w:rsidR="00CC7D2C" w:rsidRPr="002A677E" w:rsidRDefault="00CC7D2C" w:rsidP="00320EFD">
            <w:pPr>
              <w:pStyle w:val="InstructionsText"/>
            </w:pPr>
            <w:r>
              <w:t>Summu iegūst, saskaitot visus posteņus, kas ir sliekšņa bāze, un reizinot iegūto summu ar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Pirmā līmeņa pamata kapitāla 17,65 % slieksnis </w:t>
            </w:r>
          </w:p>
          <w:p w14:paraId="742C492D" w14:textId="77777777" w:rsidR="00CC7D2C" w:rsidRPr="002A677E" w:rsidRDefault="00CC7D2C" w:rsidP="00320EFD">
            <w:pPr>
              <w:pStyle w:val="InstructionsText"/>
            </w:pPr>
            <w:r>
              <w:t>Regulas (ES) Nr. 575/2013 48. panta 1. punkts</w:t>
            </w:r>
          </w:p>
          <w:p w14:paraId="62003D54" w14:textId="77777777" w:rsidR="00CC7D2C" w:rsidRPr="002A677E" w:rsidRDefault="00CC7D2C" w:rsidP="00320EFD">
            <w:pPr>
              <w:pStyle w:val="InstructionsText"/>
            </w:pPr>
            <w:r>
              <w:t>Šis postenis ietver tādu 17,65 % slieksni — attiecībā uz līdzdalībām tādās finanšu sektora sabiedrībās, kurās iestādei ir būtisks ieguldījums, un atliktā nodokļa aktīviem, kuru realizācija ir atkarīga no peļņas gūšanas nākotnē un kuri izriet no laika noviržu izraisītas pagaidu starpības —, kas piemērojams pēc 10 % sliekšņa.</w:t>
            </w:r>
          </w:p>
          <w:p w14:paraId="3E3DB4A1" w14:textId="77777777" w:rsidR="00CC7D2C" w:rsidRPr="002A677E" w:rsidRDefault="00CC7D2C" w:rsidP="00320EFD">
            <w:pPr>
              <w:pStyle w:val="InstructionsText"/>
            </w:pPr>
            <w:r>
              <w:t xml:space="preserve">Slieksnis jāaprēķina tā, lai divu posteņu atzītā summa nepārsniegtu 15 % no galīgā pirmā līmeņa pamata kapitāla, proti, pirmā līmeņa </w:t>
            </w:r>
            <w:r>
              <w:lastRenderedPageBreak/>
              <w:t>pamata kapitāla, kas aprēķināts pēc visiem atskaitījumiem, neiekļaujot korekcijas saistībā ar pārejas noteikumiem.</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lastRenderedPageBreak/>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Atbilstošs kapitāls būtisku līdzdalību ārpus finanšu sektora un lielo riska darījumu vajadzībām</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Regulas (ES) Nr. 575/2013 4. panta 1. punkta 71) apakšpunkta a) punkts.</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Līdzdalības tādu finanšu sektora sabiedrību pirmā līmeņa pamata kapitālā, kurās iestādei nav būtiska ieguldījuma, atskaitot īsās pozīcijas</w:t>
            </w:r>
          </w:p>
          <w:p w14:paraId="05E6C89B" w14:textId="77777777" w:rsidR="00CC7D2C" w:rsidRPr="002A677E" w:rsidRDefault="00CC7D2C" w:rsidP="00320EFD">
            <w:pPr>
              <w:pStyle w:val="InstructionsText"/>
            </w:pPr>
            <w:r>
              <w:t>Regulas (ES) Nr. 575/2013 44., 45., 46. un 49. pants.</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Tiešas līdzdalības tādu finanšu sektora sabiedrību pirmā līmeņa pamata kapitālā, kurās iestādei nav būtiska ieguldījuma</w:t>
            </w:r>
          </w:p>
          <w:p w14:paraId="07F396F8" w14:textId="77777777" w:rsidR="00CC7D2C" w:rsidRPr="002A677E" w:rsidRDefault="00CC7D2C" w:rsidP="00320EFD">
            <w:pPr>
              <w:pStyle w:val="InstructionsText"/>
            </w:pPr>
            <w:r>
              <w:t>Regulas (ES) Nr. 575/2013 44., 45., 46. un 49. pants.</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Bruto tiešas līdzdalības tādu finanšu sektora sabiedrību pirmā līmeņa pamata kapitālā, kurās iestādei nav būtiska ieguldījuma</w:t>
            </w:r>
          </w:p>
          <w:p w14:paraId="35734353" w14:textId="77777777" w:rsidR="00CC7D2C" w:rsidRPr="002A677E" w:rsidRDefault="00CC7D2C" w:rsidP="00320EFD">
            <w:pPr>
              <w:pStyle w:val="InstructionsText"/>
            </w:pPr>
            <w:r>
              <w:t>Regulas (ES) Nr. 575/2013 44., 46. un 49. pants</w:t>
            </w:r>
          </w:p>
          <w:p w14:paraId="21EA9B4D" w14:textId="77777777" w:rsidR="00CC7D2C" w:rsidRPr="002A677E" w:rsidRDefault="00CC7D2C" w:rsidP="00320EFD">
            <w:pPr>
              <w:pStyle w:val="InstructionsText"/>
            </w:pPr>
            <w:r>
              <w:t>Tiešas līdzdalības tādu finanšu sektora sabiedrību pirmā līmeņa pamata kapitālā, kurās iestādei nav būtiska ieguldījuma, izņemot:</w:t>
            </w:r>
          </w:p>
          <w:p w14:paraId="40548BC6" w14:textId="77777777" w:rsidR="00CC7D2C" w:rsidRPr="002A677E" w:rsidRDefault="00CC7D2C" w:rsidP="00320EFD">
            <w:pPr>
              <w:pStyle w:val="InstructionsText"/>
            </w:pPr>
            <w:r>
              <w:t>a)</w:t>
            </w:r>
            <w:r>
              <w:tab/>
              <w:t xml:space="preserve">sākotnējās izvietošanas pozīcijas, kas tiek turētas piecas vai mazāk darbdienas; </w:t>
            </w:r>
          </w:p>
          <w:p w14:paraId="06830A9E" w14:textId="77777777" w:rsidR="00CC7D2C" w:rsidRPr="002A677E" w:rsidRDefault="00CC7D2C" w:rsidP="00320EFD">
            <w:pPr>
              <w:pStyle w:val="InstructionsText"/>
            </w:pPr>
            <w:r>
              <w:t>b)</w:t>
            </w:r>
            <w:r>
              <w:tab/>
              <w:t xml:space="preserve">summas, kas attiecas uz ieguldījumiem, kuriem tiek piemērota jebkura 49. panta alternatīva; kā arī </w:t>
            </w:r>
          </w:p>
          <w:p w14:paraId="6C3B0126" w14:textId="77777777" w:rsidR="00CC7D2C" w:rsidRPr="002A677E" w:rsidRDefault="00CC7D2C" w:rsidP="00320EFD">
            <w:pPr>
              <w:pStyle w:val="InstructionsText"/>
            </w:pPr>
            <w:r>
              <w:t>c)</w:t>
            </w:r>
            <w:r>
              <w:tab/>
              <w:t>līdzdalības, ko pielīdzina savstarpējām līdzdalībām saskaņā ar Regulas (ES) Nr. 575/2013 36. panta 1. punkta g) apakšpunktu.</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Atļautās izlīdzinošās īsās pozīcijas attiecībā uz iepriekš iekļautajām bruto tiešajām līdzdalībām</w:t>
            </w:r>
          </w:p>
          <w:p w14:paraId="5C7CD820" w14:textId="77777777" w:rsidR="00CC7D2C" w:rsidRPr="002A677E" w:rsidRDefault="00CC7D2C" w:rsidP="00320EFD">
            <w:pPr>
              <w:pStyle w:val="InstructionsText"/>
            </w:pPr>
            <w:r>
              <w:t>Regulas (ES) Nr. 575/2013 45. pants</w:t>
            </w:r>
          </w:p>
          <w:p w14:paraId="3C7C2B7A" w14:textId="77777777" w:rsidR="00CC7D2C" w:rsidRPr="002A677E" w:rsidRDefault="00CC7D2C" w:rsidP="00320EFD">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Netiešas līdzdalības tādu finanšu sektora sabiedrību pirmā līmeņa pamata kapitālā, kurās iestādei nav būtiska ieguldījuma</w:t>
            </w:r>
          </w:p>
          <w:p w14:paraId="5B60A6DB" w14:textId="77777777" w:rsidR="00CC7D2C" w:rsidRPr="002A677E" w:rsidRDefault="00CC7D2C" w:rsidP="00320EFD">
            <w:pPr>
              <w:pStyle w:val="InstructionsText"/>
            </w:pPr>
            <w:r>
              <w:t>Regulas (ES) Nr. 575/2013 4. panta 1. punkta 114) apakšpunkts un 44. un 45. pants.</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lastRenderedPageBreak/>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Bruto netiešas līdzdalības tādu finanšu sektora sabiedrību pirmā līmeņa pamata kapitālā, kurās iestādei nav būtiska ieguldījuma</w:t>
            </w:r>
          </w:p>
          <w:p w14:paraId="1712D6BE" w14:textId="77777777" w:rsidR="00CC7D2C" w:rsidRPr="002A677E" w:rsidRDefault="00CC7D2C" w:rsidP="00320EFD">
            <w:pPr>
              <w:pStyle w:val="InstructionsText"/>
            </w:pPr>
            <w:r>
              <w:t>Regulas (ES) Nr. 575/2013 4. panta 1. punkta 114) apakšpunkts un 44. un 45. pants.</w:t>
            </w:r>
          </w:p>
          <w:p w14:paraId="48C4F8F6"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478FC936" w14:textId="77777777" w:rsidR="00CC7D2C" w:rsidRPr="002A677E" w:rsidRDefault="00CC7D2C" w:rsidP="00320EFD">
            <w:pPr>
              <w:pStyle w:val="InstructionsText"/>
            </w:pPr>
            <w:r>
              <w:t>Neiekļauj līdzdalības, ko pielīdzina savstarpējām līdzdalībām saskaņā ar Regulas (ES) Nr. 575/2013 36. panta 1. punkta g) apakšpunktu.</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Atļautās izlīdzinošās īsās pozīcijas attiecībā uz iepriekš iekļautajām bruto tiešajām līdzdalībām</w:t>
            </w:r>
          </w:p>
          <w:p w14:paraId="4FFA5E51" w14:textId="77777777" w:rsidR="00CC7D2C" w:rsidRPr="002A677E" w:rsidRDefault="00CC7D2C" w:rsidP="00320EFD">
            <w:pPr>
              <w:pStyle w:val="InstructionsText"/>
            </w:pPr>
            <w:r>
              <w:t>Regulas (ES) Nr. 575/2013 4. panta 1. punkta 114) apakšpunkts un 45. pants.</w:t>
            </w:r>
          </w:p>
          <w:p w14:paraId="53013672" w14:textId="77777777" w:rsidR="00CC7D2C" w:rsidRPr="002A677E" w:rsidRDefault="00CC7D2C" w:rsidP="00320EFD">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Sintētiskas līdzdalības tādu finanšu sektora sabiedrību pirmā līmeņa pamata kapitālā, kurās iestādei nav būtiska ieguldījuma</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4. panta 1. punkta 126) apakšpunkts un 44. un 45. pants.</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Bruto sintētiskas līdzdalības tādu finanšu sektora sabiedrību pirmā līmeņa pamata kapitālā, kurās iestādei nav būtiska ieguldījuma</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4. panta 1. punkta 126) apakšpunkts un 44. un 45. pants.</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Atļautās izlīdzinošās īsās pozīcijas attiecībā uz iepriekš iekļautajām bruto sintētiskajām līdzdalībām</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Regulas (ES) Nr. 575/2013</w:t>
            </w:r>
            <w:r>
              <w:t xml:space="preserve"> 4. panta 1. punkta 126) apakšpunkts un 45. pants.</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lastRenderedPageBreak/>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Līdzdalības tādu finanšu sektora sabiedrību pirmā līmeņa papildu kapitālā, kurās iestādei nav būtiska ieguldījuma, atskaitot īsās pozīcijas</w:t>
            </w:r>
          </w:p>
          <w:p w14:paraId="2446C324" w14:textId="77777777" w:rsidR="00CC7D2C" w:rsidRPr="002A677E" w:rsidRDefault="00CC7D2C" w:rsidP="00320EFD">
            <w:pPr>
              <w:pStyle w:val="InstructionsText"/>
            </w:pPr>
            <w:r>
              <w:t>Regulas (ES) Nr. 575/2013 58., 59. un 60. pants</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Tiešas līdzdalības tādu finanšu sektora sabiedrību pirmā līmeņa papildu kapitālā, kurās iestādei nav būtiska ieguldījuma</w:t>
            </w:r>
          </w:p>
          <w:p w14:paraId="2BC29626" w14:textId="77777777" w:rsidR="00CC7D2C" w:rsidRPr="002A677E" w:rsidRDefault="00CC7D2C" w:rsidP="00320EFD">
            <w:pPr>
              <w:pStyle w:val="InstructionsText"/>
            </w:pPr>
            <w:r>
              <w:t>Regulas (ES) Nr. 575/2013 58., 59. pants un 60. panta 2. punkts.</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Bruto tiešas līdzdalības tādu finanšu sektora sabiedrību pirmā līmeņa papildu kapitālā, kurās iestādei nav būtiska ieguldījuma</w:t>
            </w:r>
          </w:p>
          <w:p w14:paraId="75E43435" w14:textId="77777777" w:rsidR="00CC7D2C" w:rsidRPr="002A677E" w:rsidRDefault="00CC7D2C" w:rsidP="00320EFD">
            <w:pPr>
              <w:pStyle w:val="InstructionsText"/>
            </w:pPr>
            <w:r>
              <w:t>Regulas (ES) Nr. 575/2013 58. pants un 60. panta 2. punkts</w:t>
            </w:r>
          </w:p>
          <w:p w14:paraId="4EB3C9FE" w14:textId="77777777" w:rsidR="00CC7D2C" w:rsidRPr="002A677E" w:rsidRDefault="00CC7D2C" w:rsidP="00320EFD">
            <w:pPr>
              <w:pStyle w:val="InstructionsText"/>
            </w:pPr>
            <w:r>
              <w:t>Tiešas līdzdalības tādu finanšu sektora sabiedrību pirmā līmeņa papildu kapitālā, kurās iestādei nav būtiska ieguldījuma, izņemot:</w:t>
            </w:r>
          </w:p>
          <w:p w14:paraId="6258EF1C" w14:textId="77777777" w:rsidR="00CC7D2C" w:rsidRPr="002A677E" w:rsidRDefault="00CC7D2C" w:rsidP="00320EFD">
            <w:pPr>
              <w:pStyle w:val="InstructionsText"/>
            </w:pPr>
            <w:r>
              <w:t>a)</w:t>
            </w:r>
            <w:r>
              <w:tab/>
              <w:t xml:space="preserve">sākotnējās izvietošanas pozīcijas, kas tiek turētas piecas vai mazāk darbdienas; kā arī </w:t>
            </w:r>
          </w:p>
          <w:p w14:paraId="08D9FD36" w14:textId="77777777" w:rsidR="00CC7D2C" w:rsidRPr="002A677E" w:rsidRDefault="00CC7D2C" w:rsidP="00320EFD">
            <w:pPr>
              <w:pStyle w:val="InstructionsText"/>
            </w:pPr>
            <w:r>
              <w:t>b)</w:t>
            </w:r>
            <w:r>
              <w:tab/>
              <w:t>līdzdalības, ko pielīdzina savstarpējām līdzdalībām saskaņā ar Regulas (ES) Nr. 575/2013 56. panta b) punktu.</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Atļautās izlīdzinošās īsās pozīcijas attiecībā uz iepriekš iekļautajām bruto tiešajām līdzdalībām</w:t>
            </w:r>
          </w:p>
          <w:p w14:paraId="1C009EDB" w14:textId="77777777" w:rsidR="00CC7D2C" w:rsidRPr="002A677E" w:rsidRDefault="00CC7D2C" w:rsidP="00320EFD">
            <w:pPr>
              <w:pStyle w:val="InstructionsText"/>
            </w:pPr>
            <w:r>
              <w:t>Regulas (ES) Nr. 575/2013 59. pants</w:t>
            </w:r>
          </w:p>
          <w:p w14:paraId="5EDAF213" w14:textId="77777777" w:rsidR="00CC7D2C" w:rsidRPr="002A677E" w:rsidRDefault="00CC7D2C" w:rsidP="00320EFD">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Netiešas līdzdalības tādu finanšu sektora sabiedrību pirmā līmeņa papildu kapitālā, kurās iestādei nav būtiska ieguldījuma</w:t>
            </w:r>
          </w:p>
          <w:p w14:paraId="524DE4E1" w14:textId="77777777" w:rsidR="00CC7D2C" w:rsidRPr="002A677E" w:rsidRDefault="00CC7D2C" w:rsidP="00320EFD">
            <w:pPr>
              <w:pStyle w:val="InstructionsText"/>
            </w:pPr>
            <w:r>
              <w:t>Regulas (ES) Nr. 575/2013 4. panta 1. punkta 114) apakšpunkts un 58. un 59. pants.</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Bruto netiešas līdzdalības tādu finanšu sektora sabiedrību pirmā līmeņa papildu kapitālā, kurās iestādei nav būtiska ieguldījuma</w:t>
            </w:r>
          </w:p>
          <w:p w14:paraId="18873CD2" w14:textId="77777777" w:rsidR="00CC7D2C" w:rsidRPr="002A677E" w:rsidRDefault="00CC7D2C" w:rsidP="00320EFD">
            <w:pPr>
              <w:pStyle w:val="InstructionsText"/>
            </w:pPr>
            <w:r>
              <w:t>Regulas (ES) Nr. 575/2013 4. panta 1. punkta 114) apakšpunkts un 58. un 59. pants.</w:t>
            </w:r>
          </w:p>
          <w:p w14:paraId="17350A93"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68E36B69" w14:textId="77777777" w:rsidR="00CC7D2C" w:rsidRPr="002A677E" w:rsidRDefault="00CC7D2C" w:rsidP="00320EFD">
            <w:pPr>
              <w:pStyle w:val="InstructionsText"/>
            </w:pPr>
            <w:r>
              <w:lastRenderedPageBreak/>
              <w:t>Neiekļauj līdzdalības, ko pielīdzina savstarpējām līdzdalībām saskaņā ar Regulas (ES) Nr. 575/2013 56. panta b) punktu.</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lastRenderedPageBreak/>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Atļautās izlīdzinošās īsās pozīcijas attiecībā uz iepriekš iekļautajām bruto tiešajām līdzdalībām</w:t>
            </w:r>
          </w:p>
          <w:p w14:paraId="66D7BED8" w14:textId="77777777" w:rsidR="00CC7D2C" w:rsidRPr="002A677E" w:rsidRDefault="00CC7D2C" w:rsidP="00320EFD">
            <w:pPr>
              <w:pStyle w:val="InstructionsText"/>
            </w:pPr>
            <w:r>
              <w:t>Regulas (ES) Nr. 575/2013 4. panta 1. punkta 114) apakšpunkts un 59. pants.</w:t>
            </w:r>
          </w:p>
          <w:p w14:paraId="7DC14B0B" w14:textId="77777777" w:rsidR="00CC7D2C" w:rsidRPr="002A677E" w:rsidRDefault="00CC7D2C" w:rsidP="00320EFD">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Sintētiskas līdzdalības tādu finanšu sektora sabiedrību pirmā līmeņa papildu kapitālā, kurās iestādei nav būtiska ieguldījuma</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Bruto sintētiskas līdzdalības tādu finanšu sektora sabiedrību pirmā līmeņa papildu kapitālā, kurās iestādei nav būtiska ieguldījuma</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Atļautās izlīdzinošās īsās pozīcijas attiecībā uz iepriekš iekļautajām bruto sintētiskajām līdzdalībām</w:t>
            </w:r>
          </w:p>
          <w:p w14:paraId="072D1CD4" w14:textId="77777777" w:rsidR="00CC7D2C" w:rsidRPr="002A677E" w:rsidRDefault="00CC7D2C" w:rsidP="00320EFD">
            <w:pPr>
              <w:pStyle w:val="InstructionsText"/>
            </w:pPr>
            <w:r>
              <w:t>Regulas (ES) Nr. 575/2013 4. panta 1. punkta 126) apakšpunkts un 59. pants.</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Līdzdalības tādu finanšu sektora sabiedrību otrā līmeņa kapitālā, kurās iestādei nav būtiska ieguldījuma, atskaitot īsās pozīcijas</w:t>
            </w:r>
          </w:p>
          <w:p w14:paraId="7F7CE21E" w14:textId="77777777" w:rsidR="00CC7D2C" w:rsidRPr="002A677E" w:rsidRDefault="00CC7D2C" w:rsidP="00320EFD">
            <w:pPr>
              <w:pStyle w:val="InstructionsText"/>
            </w:pPr>
            <w:r>
              <w:t>Regulas (ES) Nr. 575/2013 68., 69. un 70. pants</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Tiešas līdzdalības tādu finanšu sektora sabiedrību otrā līmeņa kapitālā, kurās iestādei nav būtiska ieguldījuma</w:t>
            </w:r>
          </w:p>
          <w:p w14:paraId="27A664CA" w14:textId="77777777" w:rsidR="00CC7D2C" w:rsidRPr="002A677E" w:rsidRDefault="00CC7D2C" w:rsidP="00320EFD">
            <w:pPr>
              <w:pStyle w:val="InstructionsText"/>
            </w:pPr>
            <w:r>
              <w:t>Regulas (ES) Nr. 575/2013 68. un 69. pants un 70. panta 2. punkts.</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Bruto tiešas līdzdalības tādu finanšu sektora sabiedrību otrā līmeņa kapitālā, kurās iestādei nav būtiska ieguldījuma</w:t>
            </w:r>
          </w:p>
          <w:p w14:paraId="65520E33" w14:textId="77777777" w:rsidR="00CC7D2C" w:rsidRPr="002A677E" w:rsidRDefault="00CC7D2C" w:rsidP="00320EFD">
            <w:pPr>
              <w:pStyle w:val="InstructionsText"/>
            </w:pPr>
            <w:r>
              <w:t>Regulas (ES) Nr. 575/2013 68. pants un 70. panta 2. punkts</w:t>
            </w:r>
          </w:p>
          <w:p w14:paraId="17F7ABF9" w14:textId="77777777" w:rsidR="00CC7D2C" w:rsidRPr="002A677E" w:rsidRDefault="00CC7D2C" w:rsidP="00320EFD">
            <w:pPr>
              <w:pStyle w:val="InstructionsText"/>
            </w:pPr>
            <w:r>
              <w:lastRenderedPageBreak/>
              <w:t>Tiešas līdzdalības tādu finanšu sektora sabiedrību otrā līmeņa kapitālā, kurās iestādei nav būtiska ieguldījuma, izņemot:</w:t>
            </w:r>
          </w:p>
          <w:p w14:paraId="138D2316" w14:textId="77777777" w:rsidR="00CC7D2C" w:rsidRPr="002A677E" w:rsidRDefault="00CC7D2C" w:rsidP="00320EFD">
            <w:pPr>
              <w:pStyle w:val="InstructionsText"/>
            </w:pPr>
            <w:r>
              <w:t>a)</w:t>
            </w:r>
            <w:r>
              <w:tab/>
              <w:t xml:space="preserve">sākotnējās izvietošanas pozīcijas, kas tiek turētas piecas vai mazāk darbdienas; kā arī </w:t>
            </w:r>
          </w:p>
          <w:p w14:paraId="2887BC3D" w14:textId="77777777" w:rsidR="00CC7D2C" w:rsidRPr="002A677E" w:rsidRDefault="00CC7D2C" w:rsidP="00320EFD">
            <w:pPr>
              <w:pStyle w:val="InstructionsText"/>
            </w:pPr>
            <w:r>
              <w:t>b)</w:t>
            </w:r>
            <w:r>
              <w:tab/>
              <w:t>līdzdalības, ko pielīdzina savstarpējām līdzdalībām saskaņā ar Regulas (ES) Nr. 575/2013 66. panta b) punktu.</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lastRenderedPageBreak/>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Atļautās izlīdzinošās īsās pozīcijas attiecībā uz iepriekš iekļautajām bruto tiešajām līdzdalībām</w:t>
            </w:r>
          </w:p>
          <w:p w14:paraId="1AF115D3" w14:textId="77777777" w:rsidR="00CC7D2C" w:rsidRPr="002A677E" w:rsidRDefault="00CC7D2C" w:rsidP="00320EFD">
            <w:pPr>
              <w:pStyle w:val="InstructionsText"/>
            </w:pPr>
            <w:r>
              <w:t>Regulas (ES) Nr. 575/2013 69. pants</w:t>
            </w:r>
          </w:p>
          <w:p w14:paraId="2DDF012E" w14:textId="77777777" w:rsidR="00CC7D2C" w:rsidRPr="002A677E" w:rsidRDefault="00CC7D2C" w:rsidP="00320EFD">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Netiešas līdzdalības tādu finanšu sektora sabiedrību otrā līmeņa kapitālā, kurās iestādei nav būtiska ieguldījuma</w:t>
            </w:r>
          </w:p>
          <w:p w14:paraId="2E9A4143" w14:textId="77777777" w:rsidR="00CC7D2C" w:rsidRPr="002A677E" w:rsidRDefault="00CC7D2C" w:rsidP="00320EFD">
            <w:pPr>
              <w:pStyle w:val="InstructionsText"/>
            </w:pPr>
            <w:r>
              <w:t>Regulas (ES) Nr. 575/2013 4. panta 1. punkta 114) apakšpunkts un 68. un 69. pants.</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Bruto netiešas līdzdalības tādu finanšu sektora sabiedrību otrā līmeņa kapitālā, kurās iestādei nav būtiska ieguldījuma</w:t>
            </w:r>
          </w:p>
          <w:p w14:paraId="661ED498" w14:textId="77777777" w:rsidR="00CC7D2C" w:rsidRPr="002A677E" w:rsidRDefault="00CC7D2C" w:rsidP="00320EFD">
            <w:pPr>
              <w:pStyle w:val="InstructionsText"/>
            </w:pPr>
            <w:r>
              <w:t>Regulas (ES) Nr. 575/2013 4. panta 1. punkta 114) apakšpunkts un 68. un 69. pants.</w:t>
            </w:r>
          </w:p>
          <w:p w14:paraId="47CEB0E6"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5F653926" w14:textId="77777777" w:rsidR="00CC7D2C" w:rsidRPr="002A677E" w:rsidRDefault="00CC7D2C" w:rsidP="00320EFD">
            <w:pPr>
              <w:pStyle w:val="InstructionsText"/>
            </w:pPr>
            <w:r>
              <w:t>Neiekļauj līdzdalības, ko pielīdzina savstarpējām līdzdalībām saskaņā ar Regulas (ES) Nr. 575/2013 66. panta b) punktu.</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Atļautās izlīdzinošās īsās pozīcijas attiecībā uz iepriekš iekļautajām bruto tiešajām līdzdalībām</w:t>
            </w:r>
          </w:p>
          <w:p w14:paraId="3D51CA91" w14:textId="77777777" w:rsidR="00CC7D2C" w:rsidRPr="002A677E" w:rsidRDefault="00CC7D2C" w:rsidP="00320EFD">
            <w:pPr>
              <w:pStyle w:val="InstructionsText"/>
            </w:pPr>
            <w:r>
              <w:t>Regulas (ES) Nr. 575/2013 4. panta 1. punkta 114) apakšpunkts un 69. pants.</w:t>
            </w:r>
          </w:p>
          <w:p w14:paraId="05D4EBCE" w14:textId="77777777" w:rsidR="00CC7D2C" w:rsidRPr="002A677E" w:rsidRDefault="00CC7D2C" w:rsidP="00320EFD">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Sintētiskas līdzdalības tādu finanšu sektora sabiedrību otrā līmeņa kapitālā, kurās iestādei nav būtiska ieguldījuma</w:t>
            </w:r>
          </w:p>
          <w:p w14:paraId="51085EB2" w14:textId="77777777" w:rsidR="00CC7D2C" w:rsidRPr="002A677E" w:rsidRDefault="00CC7D2C" w:rsidP="00320EFD">
            <w:pPr>
              <w:pStyle w:val="InstructionsText"/>
              <w:rPr>
                <w:rStyle w:val="InstructionsTabelleberschrift"/>
                <w:rFonts w:ascii="Times New Roman" w:hAnsi="Times New Roman"/>
                <w:sz w:val="24"/>
              </w:rPr>
            </w:pPr>
            <w:r>
              <w:lastRenderedPageBreak/>
              <w:t>Regulas (ES) Nr. 575/2013 4. panta 1. punkta 126) apakšpunkts un 68. un 69. pants.</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lastRenderedPageBreak/>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Bruto sintētiskas līdzdalības tādu finanšu sektora sabiedrību otrā līmeņa kapitālā, kurās iestādei nav būtiska ieguldījuma</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68. un 69. pants.</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Atļautās izlīdzinošās īsās pozīcijas attiecībā uz iepriekš iekļautajām bruto sintētiskajām līdzdalībām</w:t>
            </w:r>
          </w:p>
          <w:p w14:paraId="3DB92575" w14:textId="77777777" w:rsidR="00CC7D2C" w:rsidRPr="002A677E" w:rsidRDefault="00CC7D2C" w:rsidP="00320EFD">
            <w:pPr>
              <w:pStyle w:val="InstructionsText"/>
            </w:pPr>
            <w:r>
              <w:t>Regulas (ES) Nr. 575/2013 4. panta 1. punkta 126) apakšpunkts un 69. pants.</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Līdzdalības tādu finanšu sektora sabiedrību pirmā līmeņa pamata kapitālā, kurās iestādei ir būtisks ieguldījums, atskaitot īsās pozīcijas</w:t>
            </w:r>
          </w:p>
          <w:p w14:paraId="7C875F9C" w14:textId="77777777" w:rsidR="00CC7D2C" w:rsidRPr="002A677E" w:rsidRDefault="00CC7D2C" w:rsidP="00320EFD">
            <w:pPr>
              <w:pStyle w:val="InstructionsText"/>
            </w:pPr>
            <w:r>
              <w:t>Regulas (ES) Nr. 575/2013 44., 45., 47. un 49. pants.</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Tiešas līdzdalības tādu finanšu sektora sabiedrību pirmā līmeņa pamata kapitālā, kurās iestādei ir būtisks ieguldījums</w:t>
            </w:r>
          </w:p>
          <w:p w14:paraId="741527BD" w14:textId="77777777" w:rsidR="00CC7D2C" w:rsidRPr="002A677E" w:rsidRDefault="00CC7D2C" w:rsidP="00320EFD">
            <w:pPr>
              <w:pStyle w:val="InstructionsText"/>
            </w:pPr>
            <w:r>
              <w:t>Regulas (ES) Nr. 575/2013 44., 45., 47. un 49. pants.</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Bruto tiešas līdzdalības tādu finanšu sektora sabiedrību pirmā līmeņa pamata kapitālā, kurās iestādei ir būtisks ieguldījums</w:t>
            </w:r>
          </w:p>
          <w:p w14:paraId="036661F9" w14:textId="77777777" w:rsidR="00CC7D2C" w:rsidRPr="002A677E" w:rsidRDefault="00CC7D2C" w:rsidP="00320EFD">
            <w:pPr>
              <w:pStyle w:val="InstructionsText"/>
            </w:pPr>
            <w:r>
              <w:t>Regulas (ES) Nr. 575/2013 44., 45., 47. un 49. pants.</w:t>
            </w:r>
          </w:p>
          <w:p w14:paraId="09C948F4" w14:textId="77777777" w:rsidR="00CC7D2C" w:rsidRPr="002A677E" w:rsidRDefault="00CC7D2C" w:rsidP="00320EFD">
            <w:pPr>
              <w:pStyle w:val="InstructionsText"/>
            </w:pPr>
            <w:r>
              <w:t>Tiešas līdzdalības tādu finanšu sektora sabiedrību pirmā līmeņa pamata kapitālā, kurās iestādei ir būtisks ieguldījums, izņemot:</w:t>
            </w:r>
          </w:p>
          <w:p w14:paraId="0A0074A9" w14:textId="77777777" w:rsidR="00CC7D2C" w:rsidRPr="002A677E" w:rsidRDefault="00CC7D2C" w:rsidP="00320EFD">
            <w:pPr>
              <w:pStyle w:val="InstructionsText"/>
            </w:pPr>
            <w:r>
              <w:t>a)</w:t>
            </w:r>
            <w:r>
              <w:tab/>
              <w:t xml:space="preserve">sākotnējās izvietošanas pozīcijas, kas tiek turētas piecas vai mazāk darbdienas; </w:t>
            </w:r>
          </w:p>
          <w:p w14:paraId="4E883DD4" w14:textId="77777777" w:rsidR="00CC7D2C" w:rsidRPr="002A677E" w:rsidRDefault="00CC7D2C" w:rsidP="00320EFD">
            <w:pPr>
              <w:pStyle w:val="InstructionsText"/>
            </w:pPr>
            <w:r>
              <w:t>b)</w:t>
            </w:r>
            <w:r>
              <w:tab/>
              <w:t xml:space="preserve">summas, kas attiecas uz ieguldījumiem, kuriem tiek piemērota jebkura 49. panta alternatīva; kā arī </w:t>
            </w:r>
          </w:p>
          <w:p w14:paraId="5BB8BDF6" w14:textId="77777777" w:rsidR="00CC7D2C" w:rsidRPr="002A677E" w:rsidRDefault="00CC7D2C" w:rsidP="00320EFD">
            <w:pPr>
              <w:pStyle w:val="InstructionsText"/>
            </w:pPr>
            <w:r>
              <w:t>c)</w:t>
            </w:r>
            <w:r>
              <w:tab/>
              <w:t>līdzdalības, ko pielīdzina savstarpējām līdzdalībām saskaņā ar Regulas (ES) Nr. 575/2013 36. panta 1. punkta g) apakšpunktu.</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Atļautās izlīdzinošās īsās pozīcijas attiecībā uz iepriekš iekļautajām bruto tiešajām līdzdalībām</w:t>
            </w:r>
          </w:p>
          <w:p w14:paraId="608988C8" w14:textId="77777777" w:rsidR="00CC7D2C" w:rsidRPr="002A677E" w:rsidRDefault="00CC7D2C" w:rsidP="00320EFD">
            <w:pPr>
              <w:pStyle w:val="InstructionsText"/>
            </w:pPr>
            <w:r>
              <w:t>Regulas (ES) Nr. 575/2013 45. pants</w:t>
            </w:r>
          </w:p>
          <w:p w14:paraId="17514F1A" w14:textId="77777777" w:rsidR="00CC7D2C" w:rsidRPr="002A677E" w:rsidRDefault="00CC7D2C" w:rsidP="00320EFD">
            <w:pPr>
              <w:pStyle w:val="InstructionsText"/>
            </w:pPr>
            <w:r>
              <w:t xml:space="preserve">Regulas (ES) Nr. 575/2013 45. panta a) punktā atļautas izlīdzinošās īsās pozīcijas tajā pašā pamatā esošajā riska darījumā ar noteikumu, ka īsās pozīcijas termiņš ir vai nu vienāds ar garās pozīcijas termiņu, </w:t>
            </w:r>
            <w:r>
              <w:lastRenderedPageBreak/>
              <w:t>vai vēlāks par to, vai ka īsās pozīcijas atlikušais termiņš ir vismaz viens gads.</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lastRenderedPageBreak/>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Netiešas līdzdalības tādu finanšu sektora sabiedrību pirmā līmeņa pamata kapitālā, kurās iestādei ir būtisks ieguldījums</w:t>
            </w:r>
          </w:p>
          <w:p w14:paraId="6E5583DA" w14:textId="77777777" w:rsidR="00CC7D2C" w:rsidRPr="002A677E" w:rsidRDefault="00CC7D2C" w:rsidP="00320EFD">
            <w:pPr>
              <w:pStyle w:val="InstructionsText"/>
            </w:pPr>
            <w:r>
              <w:t>Regulas (ES) Nr. 575/2013 4. panta 1. punkta 114) apakšpunkts un 44. un 45. pants.</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Bruto netiešas līdzdalības tādu finanšu sektora sabiedrību pirmā līmeņa pamata kapitālā, kurās iestādei ir būtisks ieguldījums</w:t>
            </w:r>
          </w:p>
          <w:p w14:paraId="794C9AFE" w14:textId="77777777" w:rsidR="00CC7D2C" w:rsidRPr="002A677E" w:rsidRDefault="00CC7D2C" w:rsidP="00320EFD">
            <w:pPr>
              <w:pStyle w:val="InstructionsText"/>
            </w:pPr>
            <w:r>
              <w:t>Regulas (ES) Nr. 575/2013 4. panta 1. punkta 114) apakšpunkts un 44. un 45. pants.</w:t>
            </w:r>
          </w:p>
          <w:p w14:paraId="0AE2F25F"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3F78CFCC" w14:textId="77777777" w:rsidR="00CC7D2C" w:rsidRPr="002A677E" w:rsidRDefault="00CC7D2C" w:rsidP="00320EFD">
            <w:pPr>
              <w:pStyle w:val="InstructionsText"/>
            </w:pPr>
            <w:r>
              <w:t>Neiekļauj līdzdalības, ko pielīdzina savstarpējām līdzdalībām saskaņā ar Regulas (ES) Nr. 575/2013 36. panta 1. punkta g) apakšpunktu.</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Atļautās izlīdzinošās īsās pozīcijas attiecībā uz iepriekš iekļautajām bruto tiešajām līdzdalībām</w:t>
            </w:r>
          </w:p>
          <w:p w14:paraId="0260A712" w14:textId="77777777" w:rsidR="00CC7D2C" w:rsidRPr="002A677E" w:rsidRDefault="00CC7D2C" w:rsidP="00320EFD">
            <w:pPr>
              <w:pStyle w:val="InstructionsText"/>
            </w:pPr>
            <w:r>
              <w:t>Regulas (ES) Nr. 575/2013 4. panta 1. punkta 114) apakšpunkts un 45. pants.</w:t>
            </w:r>
          </w:p>
          <w:p w14:paraId="50F604F3" w14:textId="77777777" w:rsidR="00CC7D2C" w:rsidRPr="002A677E" w:rsidRDefault="00CC7D2C" w:rsidP="00320EFD">
            <w:pPr>
              <w:pStyle w:val="InstructionsText"/>
            </w:pPr>
            <w:r>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Sintētiskas līdzdalības tādu finanšu sektora sabiedrību pirmā līmeņa pamata kapitālā, kurās iestādei ir būtisks ieguldījums</w:t>
            </w:r>
          </w:p>
          <w:p w14:paraId="4FDA5923" w14:textId="77777777" w:rsidR="00CC7D2C" w:rsidRPr="002A677E" w:rsidRDefault="00CC7D2C" w:rsidP="00320EFD">
            <w:pPr>
              <w:pStyle w:val="InstructionsText"/>
            </w:pPr>
            <w:r>
              <w:t>Regulas (ES) Nr. 575/2013 4. panta 1. punkta 126) apakšpunkts un 44. un 45. pants.</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Bruto sintētiskas līdzdalības tādu finanšu sektora sabiedrību pirmā līmeņa pamata kapitālā, kurās iestādei ir būtisks ieguldījums</w:t>
            </w:r>
          </w:p>
          <w:p w14:paraId="324270A6" w14:textId="77777777" w:rsidR="00CC7D2C" w:rsidRPr="002A677E" w:rsidRDefault="00CC7D2C" w:rsidP="00320EFD">
            <w:pPr>
              <w:pStyle w:val="InstructionsText"/>
            </w:pPr>
            <w:r>
              <w:t>Regulas (ES) Nr. 575/2013 4. panta 1. punkta 126) apakšpunkts un 44. un 45. pants.</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Atļautās izlīdzinošās īsās pozīcijas attiecībā uz iepriekš iekļautajām bruto sintētiskajām līdzdalībām</w:t>
            </w:r>
          </w:p>
          <w:p w14:paraId="514B205E" w14:textId="77777777" w:rsidR="00CC7D2C" w:rsidRPr="002A677E" w:rsidRDefault="00CC7D2C" w:rsidP="00320EFD">
            <w:pPr>
              <w:pStyle w:val="InstructionsText"/>
            </w:pPr>
            <w:r>
              <w:t>Regulas (ES) Nr. 575/2013 4. panta 1. punkta 126) apakšpunkts un 45. pants.</w:t>
            </w:r>
          </w:p>
          <w:p w14:paraId="4A259B9A" w14:textId="77777777" w:rsidR="00CC7D2C" w:rsidRPr="002A677E" w:rsidRDefault="00CC7D2C" w:rsidP="00320EFD">
            <w:pPr>
              <w:pStyle w:val="InstructionsText"/>
            </w:pPr>
            <w:r>
              <w:lastRenderedPageBreak/>
              <w:t>Regulas (ES) Nr. 575/2013 45.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lastRenderedPageBreak/>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Ieguldījumi tādu finanšu sektora sabiedrību pirmā līmeņa pamata kapitālā, kurās iestādei ir būtisks ieguldījums, kuriem piemēro 250</w:t>
            </w:r>
            <w:r>
              <w:t> </w:t>
            </w:r>
            <w:r>
              <w:rPr>
                <w:rStyle w:val="InstructionsTabelleberschrift"/>
                <w:rFonts w:ascii="Times New Roman" w:hAnsi="Times New Roman"/>
                <w:sz w:val="24"/>
              </w:rPr>
              <w:t>% riska pakāpi</w:t>
            </w:r>
          </w:p>
          <w:p w14:paraId="7F700D84" w14:textId="77777777" w:rsidR="00CC7D2C" w:rsidRPr="002A677E" w:rsidRDefault="00CC7D2C" w:rsidP="00320EFD">
            <w:pPr>
              <w:pStyle w:val="InstructionsText"/>
            </w:pPr>
            <w:r>
              <w:t>Regulas (ES) Nr. 575/2013 48. panta 4. punkts</w:t>
            </w:r>
          </w:p>
          <w:p w14:paraId="08C3709A" w14:textId="77777777" w:rsidR="00CC7D2C" w:rsidRPr="002A677E" w:rsidRDefault="00CC7D2C" w:rsidP="00320EFD">
            <w:pPr>
              <w:pStyle w:val="InstructionsText"/>
            </w:pPr>
            <w:r>
              <w:t>To būtisko ieguldījumu summa finanšu sektora sabiedrību pirmā līmeņa pamata kapitālā, kuru neatskaita saskaņā ar Regulas (ES) Nr. 575/2013 48. panta 1. punktu, bet kurai piemēro 250 % riska svērumu saskaņā ar minētās regulas 48. panta 4. punktu.</w:t>
            </w:r>
          </w:p>
          <w:p w14:paraId="4CC369EF" w14:textId="77777777" w:rsidR="00CC7D2C" w:rsidRPr="002A677E" w:rsidRDefault="00CC7D2C" w:rsidP="00320EFD">
            <w:pPr>
              <w:pStyle w:val="InstructionsText"/>
              <w:rPr>
                <w:rStyle w:val="InstructionsTabelleberschrift"/>
                <w:rFonts w:ascii="Times New Roman" w:hAnsi="Times New Roman"/>
                <w:sz w:val="24"/>
              </w:rPr>
            </w:pPr>
            <w:r>
              <w:t>Uzrādītā summa ir būtisko ieguldījumu summa pirms riska svēruma piemērošanas.</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Līdzdalības tādu finanšu sektora sabiedrību pirmā līmeņa papildu kapitālā, kurās iestādei ir būtisks ieguldījums, atskaitot īsās pozīcijas</w:t>
            </w:r>
          </w:p>
          <w:p w14:paraId="0B60B353" w14:textId="77777777" w:rsidR="00CC7D2C" w:rsidRPr="002A677E" w:rsidRDefault="00CC7D2C" w:rsidP="00320EFD">
            <w:pPr>
              <w:pStyle w:val="InstructionsText"/>
            </w:pPr>
            <w:r>
              <w:t>Regulas (ES) Nr. 575/2013 58. un 59. pants</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Tiešas līdzdalības tādu finanšu sektora sabiedrību pirmā līmeņa papildu kapitālā, kurās iestādei ir būtisks ieguldījums</w:t>
            </w:r>
          </w:p>
          <w:p w14:paraId="615CAEA4" w14:textId="77777777" w:rsidR="00CC7D2C" w:rsidRPr="002A677E" w:rsidRDefault="00CC7D2C" w:rsidP="00320EFD">
            <w:pPr>
              <w:pStyle w:val="InstructionsText"/>
            </w:pPr>
            <w:r>
              <w:t>Regulas (ES) Nr. 575/2013 58. un 59. pants</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Bruto tiešas līdzdalības tādu finanšu sektora sabiedrību pirmā līmeņa pamata kapitālā, kurās iestādei ir būtisks ieguldījums</w:t>
            </w:r>
          </w:p>
          <w:p w14:paraId="12F44F50" w14:textId="77777777" w:rsidR="00CC7D2C" w:rsidRPr="002A677E" w:rsidRDefault="00CC7D2C" w:rsidP="00320EFD">
            <w:pPr>
              <w:pStyle w:val="InstructionsText"/>
            </w:pPr>
            <w:r>
              <w:t>Regulas (ES) Nr. 575/2013 58. pants</w:t>
            </w:r>
          </w:p>
          <w:p w14:paraId="41935DD8" w14:textId="77777777" w:rsidR="00CC7D2C" w:rsidRPr="002A677E" w:rsidRDefault="00CC7D2C" w:rsidP="00320EFD">
            <w:pPr>
              <w:pStyle w:val="InstructionsText"/>
            </w:pPr>
            <w:r>
              <w:t>Tiešas līdzdalības tādu finanšu sektora sabiedrību pirmā līmeņa papildu kapitālā, kurās iestādei ir būtisks ieguldījums, izņemot:</w:t>
            </w:r>
          </w:p>
          <w:p w14:paraId="4D8400A2" w14:textId="77777777" w:rsidR="00CC7D2C" w:rsidRPr="002A677E" w:rsidRDefault="00CC7D2C" w:rsidP="00320EFD">
            <w:pPr>
              <w:pStyle w:val="InstructionsText"/>
            </w:pPr>
            <w:r>
              <w:t>a)</w:t>
            </w:r>
            <w:r>
              <w:tab/>
              <w:t>sākotnējās izvietošanas pozīcijas, kas tiek turētas piecas vai mazāk darbdienas (Regulas (ES) Nr. 575/2013 56. panta d) punkts); kā arī</w:t>
            </w:r>
          </w:p>
          <w:p w14:paraId="5C192689" w14:textId="77777777" w:rsidR="00CC7D2C" w:rsidRPr="002A677E" w:rsidRDefault="00CC7D2C" w:rsidP="00320EFD">
            <w:pPr>
              <w:pStyle w:val="InstructionsText"/>
            </w:pPr>
            <w:r>
              <w:t>b)</w:t>
            </w:r>
            <w:r>
              <w:tab/>
              <w:t>līdzdalības, ko pielīdzina savstarpējām līdzdalībām saskaņā ar Regulas (ES) Nr. 575/2013 56. panta b) punktu.</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Atļautās izlīdzinošās īsās pozīcijas attiecībā uz iepriekš iekļautajām bruto tiešajām līdzdalībām</w:t>
            </w:r>
          </w:p>
          <w:p w14:paraId="78A0D4FB" w14:textId="77777777" w:rsidR="00CC7D2C" w:rsidRPr="002A677E" w:rsidRDefault="00CC7D2C" w:rsidP="00320EFD">
            <w:pPr>
              <w:pStyle w:val="InstructionsText"/>
            </w:pPr>
            <w:r>
              <w:t>Regulas (ES) Nr. 575/2013 59. pants</w:t>
            </w:r>
          </w:p>
          <w:p w14:paraId="4D179792" w14:textId="77777777" w:rsidR="00CC7D2C" w:rsidRPr="002A677E" w:rsidRDefault="00CC7D2C" w:rsidP="00320EFD">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lastRenderedPageBreak/>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Netiešas līdzdalības tādu finanšu sektora sabiedrību pirmā līmeņa papildu kapitālā, kurās iestādei ir būtisks ieguldījums</w:t>
            </w:r>
          </w:p>
          <w:p w14:paraId="541FB02F" w14:textId="77777777" w:rsidR="00CC7D2C" w:rsidRPr="002A677E" w:rsidRDefault="00CC7D2C" w:rsidP="00320EFD">
            <w:pPr>
              <w:pStyle w:val="InstructionsText"/>
            </w:pPr>
            <w:r>
              <w:t>Regulas (ES) Nr. 575/2013 4. panta 1. punkta 114) apakšpunkts un 58. un 59. pants.</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Bruto netiešas līdzdalības tādu finanšu sektora sabiedrību pirmā līmeņa papildu kapitālā, kurās iestādei ir būtisks ieguldījums</w:t>
            </w:r>
          </w:p>
          <w:p w14:paraId="7AF4342B" w14:textId="77777777" w:rsidR="00CC7D2C" w:rsidRPr="002A677E" w:rsidRDefault="00CC7D2C" w:rsidP="00320EFD">
            <w:pPr>
              <w:pStyle w:val="InstructionsText"/>
            </w:pPr>
            <w:r>
              <w:t>Regulas (ES) Nr. 575/2013 4. panta 1. punkta 114) apakšpunkts un 58. un 59. pants.</w:t>
            </w:r>
          </w:p>
          <w:p w14:paraId="058247BE"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7206E9B6" w14:textId="77777777" w:rsidR="00CC7D2C" w:rsidRPr="002A677E" w:rsidRDefault="00CC7D2C" w:rsidP="00320EFD">
            <w:pPr>
              <w:pStyle w:val="InstructionsText"/>
            </w:pPr>
            <w:r>
              <w:t>Neiekļauj līdzdalības, ko pielīdzina savstarpējām līdzdalībām saskaņā ar Regulas (ES) Nr. 575/2013 56. panta b) punktu.</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Atļautās izlīdzinošās īsās pozīcijas attiecībā uz iepriekš iekļautajām bruto tiešajām līdzdalībām</w:t>
            </w:r>
          </w:p>
          <w:p w14:paraId="4E8AE615" w14:textId="77777777" w:rsidR="00CC7D2C" w:rsidRPr="002A677E" w:rsidRDefault="00CC7D2C" w:rsidP="00320EFD">
            <w:pPr>
              <w:pStyle w:val="InstructionsText"/>
            </w:pPr>
            <w:r>
              <w:t>Regulas (ES) Nr. 575/2013 4. panta 1. punkta 114) apakšpunkts un 59. pants.</w:t>
            </w:r>
          </w:p>
          <w:p w14:paraId="41A9A020" w14:textId="77777777" w:rsidR="00CC7D2C" w:rsidRPr="002A677E" w:rsidRDefault="00CC7D2C" w:rsidP="00320EFD">
            <w:pPr>
              <w:pStyle w:val="InstructionsText"/>
            </w:pPr>
            <w:r>
              <w:t>Regulas (ES) Nr. 575/2013 59.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Sintētiskas līdzdalības tādu finanšu sektora sabiedrību pirmā līmeņa papildu kapitālā, kurās iestādei ir būtisks ieguldījums</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Bruto sintētiskas līdzdalības tādu finanšu sektora sabiedrību pirmā līmeņa papildu kapitālā, kurās iestādei ir būtisks ieguldījums</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58. un 59. pants.</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Atļautās izlīdzinošās īsās pozīcijas attiecībā uz iepriekš iekļautajām bruto sintētiskajām līdzdalībām</w:t>
            </w:r>
          </w:p>
          <w:p w14:paraId="0EC24D17" w14:textId="77777777" w:rsidR="00CC7D2C" w:rsidRPr="002A677E" w:rsidRDefault="00CC7D2C" w:rsidP="00320EFD">
            <w:pPr>
              <w:pStyle w:val="InstructionsText"/>
            </w:pPr>
            <w:r>
              <w:t>Regulas (ES) Nr. 575/2013 4. panta 1. punkta 126) apakšpunkts un 59. pants.</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Regulas (ES) Nr. 575/2013 59. panta a) punktā atļautas izlīdzinošās īsās pozīcijas tajā pašā pamatā esošajā riska darījumā ar noteikumu, ka īsās pozīcijas termiņš ir vai nu vienāds ar garās pozīcijas termiņu, </w:t>
            </w:r>
            <w:r>
              <w:lastRenderedPageBreak/>
              <w:t>vai vēlāks par to, vai ka īsās pozīcijas atlikušais termiņš ir vismaz viens gads.</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lastRenderedPageBreak/>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Līdzdalības tādu finanšu sektora sabiedrību otrā līmeņa kapitālā, kurās iestādei ir būtisks ieguldījums, atskaitot īsās pozīcijas</w:t>
            </w:r>
          </w:p>
          <w:p w14:paraId="2AB15F70" w14:textId="77777777" w:rsidR="00CC7D2C" w:rsidRPr="002A677E" w:rsidRDefault="00CC7D2C" w:rsidP="00320EFD">
            <w:pPr>
              <w:pStyle w:val="InstructionsText"/>
            </w:pPr>
            <w:r>
              <w:t>Regulas (ES) Nr. 575/2013 68. un 69. pants</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Tiešas līdzdalības tādu finanšu sektora sabiedrību otrā līmeņa kapitālā, kurās iestādei ir būtisks ieguldījums</w:t>
            </w:r>
          </w:p>
          <w:p w14:paraId="6AED8073" w14:textId="77777777" w:rsidR="00CC7D2C" w:rsidRPr="002A677E" w:rsidRDefault="00CC7D2C" w:rsidP="00320EFD">
            <w:pPr>
              <w:pStyle w:val="InstructionsText"/>
            </w:pPr>
            <w:r>
              <w:t>Regulas (ES) Nr. 575/2013 68. un 69. pants</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Bruto tiešas līdzdalības tādu finanšu sektora sabiedrību otrā līmeņa kapitālā, kurās iestādei ir būtisks ieguldījums</w:t>
            </w:r>
          </w:p>
          <w:p w14:paraId="16D79134" w14:textId="77777777" w:rsidR="00CC7D2C" w:rsidRPr="002A677E" w:rsidRDefault="00CC7D2C" w:rsidP="00320EFD">
            <w:pPr>
              <w:pStyle w:val="InstructionsText"/>
            </w:pPr>
            <w:r>
              <w:t>Regulas (ES) Nr. 575/2013 68. pants</w:t>
            </w:r>
          </w:p>
          <w:p w14:paraId="66EA3661" w14:textId="77777777" w:rsidR="00CC7D2C" w:rsidRPr="002A677E" w:rsidRDefault="00CC7D2C" w:rsidP="00320EFD">
            <w:pPr>
              <w:pStyle w:val="InstructionsText"/>
            </w:pPr>
            <w:r>
              <w:t>Tiešas līdzdalības tādu finanšu sektora sabiedrību otrā līmeņa kapitālā, kurās iestādei ir būtisks ieguldījums, izņemot:</w:t>
            </w:r>
          </w:p>
          <w:p w14:paraId="423513CF" w14:textId="77777777" w:rsidR="00CC7D2C" w:rsidRPr="002A677E" w:rsidRDefault="00CC7D2C" w:rsidP="00320EFD">
            <w:pPr>
              <w:pStyle w:val="InstructionsText"/>
            </w:pPr>
            <w:r>
              <w:t>a)</w:t>
            </w:r>
            <w:r>
              <w:tab/>
              <w:t xml:space="preserve">sākotnējās izvietošanas pozīcijas, kas tiek turētas piecas vai mazāk darbdienas (Regulas (ES) Nr. 575/2013 66. panta d) punkts); kā arī </w:t>
            </w:r>
          </w:p>
          <w:p w14:paraId="0945CD9C" w14:textId="77777777" w:rsidR="00CC7D2C" w:rsidRPr="002A677E" w:rsidRDefault="00CC7D2C" w:rsidP="00320EFD">
            <w:pPr>
              <w:pStyle w:val="InstructionsText"/>
            </w:pPr>
            <w:r>
              <w:t>b)</w:t>
            </w:r>
            <w:r>
              <w:tab/>
              <w:t>līdzdalības, ko pielīdzina savstarpējām līdzdalībām saskaņā ar Regulas (ES) Nr. 575/2013 66. panta b) punktu.</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Atļautās izlīdzinošās īsās pozīcijas attiecībā uz iepriekš iekļautajām bruto tiešajām līdzdalībām</w:t>
            </w:r>
          </w:p>
          <w:p w14:paraId="18ADFB22" w14:textId="77777777" w:rsidR="00CC7D2C" w:rsidRPr="002A677E" w:rsidRDefault="00CC7D2C" w:rsidP="00320EFD">
            <w:pPr>
              <w:pStyle w:val="InstructionsText"/>
            </w:pPr>
            <w:r>
              <w:t>Regulas (ES) Nr. 575/2013 69. pants</w:t>
            </w:r>
          </w:p>
          <w:p w14:paraId="658809D0" w14:textId="77777777" w:rsidR="00CC7D2C" w:rsidRPr="002A677E" w:rsidRDefault="00CC7D2C" w:rsidP="00320EFD">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Netiešas līdzdalības tādu finanšu sektora sabiedrību otrā līmeņa kapitālā, kurās iestādei ir būtisks ieguldījums</w:t>
            </w:r>
          </w:p>
          <w:p w14:paraId="0C6BA394" w14:textId="77777777" w:rsidR="00CC7D2C" w:rsidRPr="002A677E" w:rsidRDefault="00CC7D2C" w:rsidP="00320EFD">
            <w:pPr>
              <w:pStyle w:val="InstructionsText"/>
            </w:pPr>
            <w:r>
              <w:t>Regulas (ES) Nr. 575/2013 4. panta 1. punkta 114) apakšpunkts un 68. un 69. pants.</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Bruto netiešas līdzdalības tādu finanšu sektora sabiedrību otrā līmeņa kapitālā, kurās iestādei ir būtisks ieguldījums</w:t>
            </w:r>
          </w:p>
          <w:p w14:paraId="6C79EB51" w14:textId="77777777" w:rsidR="00CC7D2C" w:rsidRPr="002A677E" w:rsidRDefault="00CC7D2C" w:rsidP="00320EFD">
            <w:pPr>
              <w:pStyle w:val="InstructionsText"/>
            </w:pPr>
            <w:r>
              <w:t>Regulas (ES) Nr. 575/2013 4. panta 1. punkta 114) apakšpunkts un 68. un 69. pants.</w:t>
            </w:r>
          </w:p>
          <w:p w14:paraId="1C456D47" w14:textId="77777777" w:rsidR="00CC7D2C" w:rsidRPr="002A677E" w:rsidRDefault="00CC7D2C" w:rsidP="00320EFD">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2E7DF12B" w14:textId="77777777" w:rsidR="00CC7D2C" w:rsidRPr="002A677E" w:rsidRDefault="00CC7D2C" w:rsidP="00320EFD">
            <w:pPr>
              <w:pStyle w:val="InstructionsText"/>
            </w:pPr>
            <w:r>
              <w:lastRenderedPageBreak/>
              <w:t>Neiekļauj līdzdalības, ko pielīdzina savstarpējām līdzdalībām saskaņā ar Regulas (ES) Nr. 575/2013 66. panta b) punktu.</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lastRenderedPageBreak/>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Atļautās izlīdzinošās īsās pozīcijas attiecībā uz iepriekš iekļautajām bruto tiešajām līdzdalībām</w:t>
            </w:r>
          </w:p>
          <w:p w14:paraId="337B5275" w14:textId="77777777" w:rsidR="00CC7D2C" w:rsidRPr="002A677E" w:rsidRDefault="00CC7D2C" w:rsidP="00320EFD">
            <w:pPr>
              <w:pStyle w:val="InstructionsText"/>
            </w:pPr>
            <w:r>
              <w:t>Regulas (ES) Nr. 575/2013 4. panta 1. punkta 114) apakšpunkts un 69. pants.</w:t>
            </w:r>
          </w:p>
          <w:p w14:paraId="1D1733C3" w14:textId="77777777" w:rsidR="00CC7D2C" w:rsidRPr="002A677E" w:rsidRDefault="00CC7D2C" w:rsidP="00320EFD">
            <w:pPr>
              <w:pStyle w:val="InstructionsText"/>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Sintētiskas līdzdalības tādu finanšu sektora sabiedrību otrā līmeņa kapitālā, kurās iestādei ir būtisks ieguldījums</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68. un 69. pants.</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Bruto sintētiskas līdzdalības tādu finanšu sektora sabiedrību otrā līmeņa kapitālā, kurās iestādei ir būtisks ieguldījums</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4. panta 1. punkta 126) apakšpunkts un 68. un 69. pants.</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Atļautās izlīdzinošās īsās pozīcijas attiecībā uz iepriekš iekļautajām bruto sintētiskajām līdzdalībām</w:t>
            </w:r>
          </w:p>
          <w:p w14:paraId="4F4571E8" w14:textId="77777777" w:rsidR="00CC7D2C" w:rsidRPr="002A677E" w:rsidRDefault="00CC7D2C" w:rsidP="00320EFD">
            <w:pPr>
              <w:pStyle w:val="InstructionsText"/>
            </w:pPr>
            <w:r>
              <w:t>Regulas (ES) Nr. 575/2013 4. panta 1. punkta 126) apakšpunkts un 69. pants.</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Regulas (ES) Nr. 575/2013 69.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Riska darījumu riska svērtās vērtības tām līdzdalībām finanšu sektora sabiedrību pirmā līmeņa pamata kapitālā, ko neatskaita no iestādes pirmā līmeņa pamata kapitāla</w:t>
            </w:r>
          </w:p>
          <w:p w14:paraId="2A1347E7" w14:textId="77777777" w:rsidR="00CC7D2C" w:rsidRPr="002A677E" w:rsidRDefault="00CC7D2C" w:rsidP="00320EFD">
            <w:pPr>
              <w:pStyle w:val="InstructionsText"/>
            </w:pPr>
            <w:r>
              <w:t>Regulas (ES) Nr. 575/2013 46. panta 4. punkts un 48. panta 4. punkts un 49. panta 4. punkts</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Riska darījumu riska svērtās vērtības tām līdzdalībām finanšu sektora sabiedrību pirmā līmeņa papildu kapitālā, ko neatskaita no iestādes pirmā līmeņa papildu kapitāla</w:t>
            </w:r>
          </w:p>
          <w:p w14:paraId="30C320BB" w14:textId="77777777" w:rsidR="00CC7D2C" w:rsidRPr="002A677E" w:rsidRDefault="00CC7D2C" w:rsidP="00320EFD">
            <w:pPr>
              <w:pStyle w:val="InstructionsText"/>
            </w:pPr>
            <w:r>
              <w:t>Regulas (ES) Nr. 575/2013 60. panta 4. punkts</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Riska darījumu riska svērtās vērtības tām līdzdalībām finanšu sektora sabiedrību otrā līmeņa kapitālā, ko neatskaita no iestādes otrā līmeņa kapitāla</w:t>
            </w:r>
          </w:p>
          <w:p w14:paraId="78BD6DA2" w14:textId="77777777" w:rsidR="00CC7D2C" w:rsidRPr="002A677E" w:rsidRDefault="00CC7D2C" w:rsidP="00320EFD">
            <w:pPr>
              <w:pStyle w:val="InstructionsText"/>
            </w:pPr>
            <w:r>
              <w:lastRenderedPageBreak/>
              <w:t>Regulas (ES) Nr. 575/2013 70. panta 4. punkts</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lastRenderedPageBreak/>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Pagaidu nepiemērošana attiecībā uz līdzdalību tādu finanšu sektora sabiedrību pirmā līmeņa pamata kapitāla instrumentos, kurās iestādei nav būtiska ieguldījuma</w:t>
            </w:r>
          </w:p>
          <w:p w14:paraId="2FF787C2" w14:textId="77777777" w:rsidR="00CC7D2C" w:rsidRPr="002A677E" w:rsidRDefault="00CC7D2C" w:rsidP="00320EFD">
            <w:pPr>
              <w:pStyle w:val="InstructionsText"/>
            </w:pPr>
            <w:r>
              <w:t>Regulas (ES) Nr. 575/2013 79. pants</w:t>
            </w:r>
          </w:p>
          <w:p w14:paraId="461FF48B" w14:textId="77777777" w:rsidR="00CC7D2C" w:rsidRPr="002A677E" w:rsidRDefault="00CC7D2C" w:rsidP="00320EFD">
            <w:pPr>
              <w:pStyle w:val="InstructionsText"/>
            </w:pPr>
            <w:r>
              <w:t>Attiecībā uz līdzdalībām specifiskas finanšu sektora sabiedrības instrumentos kompetentā iestāde var uz laiku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52F554E2" w14:textId="77777777" w:rsidR="00CC7D2C" w:rsidRPr="002A677E" w:rsidRDefault="00CC7D2C" w:rsidP="00320EFD">
            <w:pPr>
              <w:pStyle w:val="InstructionsText"/>
            </w:pPr>
            <w:r>
              <w:t>Jāņem vērā, ka minētos instrumentus uzrāda arī 12.1. postenī.</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Pagaidu nepiemērošana attiecībā uz līdzdalību tādu finanšu sektora sabiedrību pirmā līmeņa pamata kapitāla instrumentos, kurās iestādei ir būtisks ieguldījums</w:t>
            </w:r>
          </w:p>
          <w:p w14:paraId="75D9BB74" w14:textId="77777777" w:rsidR="00CC7D2C" w:rsidRPr="002A677E" w:rsidRDefault="00CC7D2C" w:rsidP="00320EFD">
            <w:pPr>
              <w:pStyle w:val="InstructionsText"/>
            </w:pPr>
            <w:r>
              <w:t>Regulas (ES) Nr. 575/2013 79. pants</w:t>
            </w:r>
          </w:p>
          <w:p w14:paraId="3CF93984" w14:textId="77777777" w:rsidR="00CC7D2C" w:rsidRPr="002A677E" w:rsidRDefault="00CC7D2C" w:rsidP="00320EFD">
            <w:pPr>
              <w:pStyle w:val="InstructionsText"/>
            </w:pPr>
            <w:r>
              <w:t>Attiecībā uz līdzdalībām specifiskas finanšu sektora sabiedrības instrumentos kompetentā iestāde var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402057D7" w14:textId="77777777" w:rsidR="00CC7D2C" w:rsidRPr="002A677E" w:rsidRDefault="00CC7D2C" w:rsidP="00320EFD">
            <w:pPr>
              <w:pStyle w:val="InstructionsText"/>
            </w:pPr>
            <w:r>
              <w:t>Jāņem vērā, ka šos instrumentus uzrāda arī 15.1. postenī.</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Pagaidu nepiemērošana attiecībā uz līdzdalību tādu finanšu sektora sabiedrību pirmā līmeņa pamata kapitāla instrumentos, kurās iestādei nav būtiska ieguldījuma</w:t>
            </w:r>
          </w:p>
          <w:p w14:paraId="21529E99" w14:textId="77777777" w:rsidR="00CC7D2C" w:rsidRPr="002A677E" w:rsidRDefault="00CC7D2C" w:rsidP="00320EFD">
            <w:pPr>
              <w:pStyle w:val="InstructionsText"/>
            </w:pPr>
            <w:r>
              <w:t>Regulas (ES) Nr. 575/2013 79. pants</w:t>
            </w:r>
          </w:p>
          <w:p w14:paraId="799B0BA0" w14:textId="77777777" w:rsidR="00CC7D2C" w:rsidRPr="002A677E" w:rsidRDefault="00CC7D2C" w:rsidP="00320EFD">
            <w:pPr>
              <w:pStyle w:val="InstructionsText"/>
            </w:pPr>
            <w:r>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14:paraId="4C19F43B" w14:textId="77777777" w:rsidR="00CC7D2C" w:rsidRPr="002A677E" w:rsidRDefault="00CC7D2C" w:rsidP="00320EFD">
            <w:pPr>
              <w:pStyle w:val="InstructionsText"/>
            </w:pPr>
            <w:r>
              <w:t>Jāņem vērā, ka šos instrumentus uzrāda arī 13.1. postenī.</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Pagaidu nepiemērošana attiecībā uz līdzdalību tādu finanšu sektora sabiedrību pirmā līmeņa pamata kapitāla instrumentos, kurās iestādei ir būtisks ieguldījums</w:t>
            </w:r>
          </w:p>
          <w:p w14:paraId="29ECC364" w14:textId="77777777" w:rsidR="00CC7D2C" w:rsidRPr="002A677E" w:rsidRDefault="00CC7D2C" w:rsidP="00320EFD">
            <w:pPr>
              <w:pStyle w:val="InstructionsText"/>
            </w:pPr>
            <w:r>
              <w:t>Regulas (ES) Nr. 575/2013 79. pants</w:t>
            </w:r>
          </w:p>
          <w:p w14:paraId="7B10897F" w14:textId="77777777" w:rsidR="00CC7D2C" w:rsidRPr="002A677E" w:rsidRDefault="00CC7D2C" w:rsidP="00320EFD">
            <w:pPr>
              <w:pStyle w:val="InstructionsText"/>
            </w:pPr>
            <w:r>
              <w:t xml:space="preserve">Attiecībā uz līdzdalībām specifiskas finanšu sektora sabiedrības instrumentos kompetentā iestāde var uz laiku nepiemērot noteikumus par atskaitījumiem no pirmā līmeņa papildu kapitāla, ja kompetentā iestāde attiecībā uz šīm līdzdalībām atzīst, ka tās </w:t>
            </w:r>
            <w:r>
              <w:lastRenderedPageBreak/>
              <w:t>finansiālas palīdzības operācijas vajadzībām ir izveidotas, lai reorganizētu un glābtu šo sabiedrību.</w:t>
            </w:r>
          </w:p>
          <w:p w14:paraId="4477D9DA" w14:textId="77777777" w:rsidR="00CC7D2C" w:rsidRPr="002A677E" w:rsidRDefault="00CC7D2C" w:rsidP="00320EFD">
            <w:pPr>
              <w:pStyle w:val="InstructionsText"/>
            </w:pPr>
            <w:r>
              <w:t>Jāņem vērā, ka šos instrumentus uzrāda arī 16.1. postenī.</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lastRenderedPageBreak/>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Pagaidu nepiemērošana attiecībā uz līdzdalību tādu finanšu sektora sabiedrību otrā līmeņa kapitāla instrumentos, kurās iestādei nav būtiska ieguldījuma</w:t>
            </w:r>
          </w:p>
          <w:p w14:paraId="11A612C2" w14:textId="77777777" w:rsidR="00CC7D2C" w:rsidRPr="002A677E" w:rsidRDefault="00CC7D2C" w:rsidP="00320EFD">
            <w:pPr>
              <w:pStyle w:val="InstructionsText"/>
            </w:pPr>
            <w:r>
              <w:t>Regulas (ES) Nr. 575/2013 79. pants</w:t>
            </w:r>
          </w:p>
          <w:p w14:paraId="2B2A46AA" w14:textId="77777777" w:rsidR="00CC7D2C" w:rsidRPr="002A677E" w:rsidRDefault="00CC7D2C" w:rsidP="00320EFD">
            <w:pPr>
              <w:pStyle w:val="InstructionsText"/>
            </w:pPr>
            <w:r>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14:paraId="0FE5A55A" w14:textId="77777777" w:rsidR="00CC7D2C" w:rsidRPr="002A677E" w:rsidRDefault="00CC7D2C" w:rsidP="00320EFD">
            <w:pPr>
              <w:pStyle w:val="InstructionsText"/>
            </w:pPr>
            <w:r>
              <w:t>Jāņem vērā, ka šos instrumentus uzrāda arī 14.1. postenī.</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Pagaidu nepiemērošana attiecībā uz līdzdalību tādu finanšu sektora sabiedrību otrā līmeņa kapitāla instrumentos, kurās iestādei ir būtisks ieguldījums</w:t>
            </w:r>
          </w:p>
          <w:p w14:paraId="208EC193" w14:textId="77777777" w:rsidR="00CC7D2C" w:rsidRPr="002A677E" w:rsidRDefault="00CC7D2C" w:rsidP="00320EFD">
            <w:pPr>
              <w:pStyle w:val="InstructionsText"/>
            </w:pPr>
            <w:r>
              <w:t>Regulas (ES) Nr. 575/2013 79. pants</w:t>
            </w:r>
          </w:p>
          <w:p w14:paraId="1FA4E3CB" w14:textId="77777777" w:rsidR="00CC7D2C" w:rsidRPr="002A677E" w:rsidRDefault="00CC7D2C" w:rsidP="00320EFD">
            <w:pPr>
              <w:pStyle w:val="InstructionsText"/>
            </w:pPr>
            <w:r>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14:paraId="13C3AFDA" w14:textId="77777777" w:rsidR="00CC7D2C" w:rsidRPr="002A677E" w:rsidRDefault="00CC7D2C" w:rsidP="00320EFD">
            <w:pPr>
              <w:pStyle w:val="InstructionsText"/>
            </w:pPr>
            <w:r>
              <w:t>Jāņem vērā, ka šos instrumentus uzrāda arī 17.1. postenī.</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Apvienoto rezervju prasība</w:t>
            </w:r>
          </w:p>
          <w:p w14:paraId="0AF29A6F" w14:textId="77777777" w:rsidR="00CC7D2C" w:rsidRPr="002A677E" w:rsidRDefault="00CC7D2C" w:rsidP="00320EFD">
            <w:pPr>
              <w:pStyle w:val="InstructionsText"/>
            </w:pPr>
            <w:r>
              <w:t>Direktīvas 2013/36/ES 128. panta 6. punkts.</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Kapitāla saglabāšanas rezerves</w:t>
            </w:r>
          </w:p>
          <w:p w14:paraId="1304A556" w14:textId="77777777" w:rsidR="00CC7D2C" w:rsidRPr="002A677E" w:rsidRDefault="00CC7D2C" w:rsidP="00320EFD">
            <w:pPr>
              <w:pStyle w:val="InstructionsText"/>
            </w:pPr>
            <w:r>
              <w:t xml:space="preserve">Direktīvas 2013/36/ES 128. panta 1. punkts un 129. pants. </w:t>
            </w:r>
          </w:p>
          <w:p w14:paraId="34478878" w14:textId="77777777" w:rsidR="00CC7D2C" w:rsidRPr="002A677E" w:rsidRDefault="00CC7D2C" w:rsidP="00320EFD">
            <w:pPr>
              <w:pStyle w:val="InstructionsText"/>
            </w:pPr>
            <w:r>
              <w:t>Saskaņā ar Direktīvas 2013/36/ES 129. panta 1. punktu kapitāla saglabāšanas rezerves ir papildus pirmā līmeņa pamata kapitālam turēta summa. Tā kā kapitāla saglabāšanas rezervju likme 2,5 % apmērā ir stabila, summu uzrāda šajā rindā.</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Saglabāšanas rezerves saistībā ar dalībvalsts līmenī konstatēto makroprudenciālo vai sistēmisko risku </w:t>
            </w:r>
          </w:p>
          <w:p w14:paraId="6B9D8D9B" w14:textId="77777777" w:rsidR="00CC7D2C" w:rsidRPr="002A677E" w:rsidRDefault="00CC7D2C" w:rsidP="00320EFD">
            <w:pPr>
              <w:pStyle w:val="InstructionsText"/>
            </w:pPr>
            <w:r>
              <w:t>Regulas (ES) Nr. 575/2013 458. panta 2. punkta d) apakšpunkta iv) punkts.</w:t>
            </w:r>
          </w:p>
          <w:p w14:paraId="164E576A" w14:textId="77777777" w:rsidR="00CC7D2C" w:rsidRPr="002A677E" w:rsidRDefault="00CC7D2C" w:rsidP="00320EFD">
            <w:pPr>
              <w:pStyle w:val="InstructionsText"/>
            </w:pPr>
            <w:r>
              <w:t>Šajā rindā uzrāda to saglabāšanas rezervju summu saistībā ar dalībvalsts līmenī konstatēto makroprudenciālo vai sistēmisko risku, ko saskaņā ar Regulas (ES) Nr. 575/2013 458. pantu var pieprasīt papildus kapitāla saglabāšanas rezervēm.</w:t>
            </w:r>
          </w:p>
          <w:p w14:paraId="567C4AC2" w14:textId="77777777" w:rsidR="00CC7D2C" w:rsidRPr="002A677E" w:rsidRDefault="00CC7D2C" w:rsidP="00320EFD">
            <w:pPr>
              <w:pStyle w:val="InstructionsText"/>
            </w:pPr>
            <w:r>
              <w:lastRenderedPageBreak/>
              <w:t>Uzrādītā summa atspoguļo pašu kapitāla summu, kas nepieciešama, lai pārskata sniegšanas datumā izpildītu attiecīgās kapitāla rezervju prasības.</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Iestādes specifiskās pretcikliskās kapitāla rezerves </w:t>
            </w:r>
          </w:p>
          <w:p w14:paraId="5911F73C" w14:textId="77777777" w:rsidR="00CC7D2C" w:rsidRPr="002A677E" w:rsidRDefault="00CC7D2C" w:rsidP="00320EFD">
            <w:pPr>
              <w:pStyle w:val="InstructionsText"/>
            </w:pPr>
            <w:r>
              <w:t xml:space="preserve">Direktīvas 2013/36/ES 128. panta 2. punkts, 130. pants, 135. līdz 140. pants. </w:t>
            </w:r>
          </w:p>
          <w:p w14:paraId="2146B003" w14:textId="77777777" w:rsidR="00CC7D2C" w:rsidRPr="002A677E" w:rsidRDefault="00CC7D2C" w:rsidP="00320EFD">
            <w:pPr>
              <w:pStyle w:val="InstructionsText"/>
            </w:pPr>
            <w:r>
              <w:t>Uzrādītā summa atspoguļo pašu kapitāla summu, kas nepieciešama, lai pārskata sniegšanas datumā izpildītu attiecīgās kapitāla rezervju prasības.</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Sistēmiskā riska rezerves </w:t>
            </w:r>
          </w:p>
          <w:p w14:paraId="441B636C" w14:textId="77777777" w:rsidR="00CC7D2C" w:rsidRPr="002A677E" w:rsidRDefault="00CC7D2C" w:rsidP="00320EFD">
            <w:pPr>
              <w:pStyle w:val="InstructionsText"/>
            </w:pPr>
            <w:r>
              <w:t xml:space="preserve">Direktīvas 2013/36/ES 128. panta 5. punkts un 133. un 134. pants. </w:t>
            </w:r>
          </w:p>
          <w:p w14:paraId="69C1F43C" w14:textId="77777777" w:rsidR="00CC7D2C" w:rsidRPr="002A677E" w:rsidRDefault="00CC7D2C" w:rsidP="00320EFD">
            <w:pPr>
              <w:pStyle w:val="InstructionsText"/>
            </w:pPr>
            <w:r>
              <w:t>Uzrādītā summa atspoguļo pašu kapitāla summu, kas nepieciešama, lai pārskata sniegšanas datumā izpildītu attiecīgās kapitāla rezervju prasības.</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Direktīvas 2013/36/ES 128. panta 3. punkts un 131. pants.</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prasības.</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Citas sistēmiski nozīmīgas iestādes rezerves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t>Direktīvas 2013/36/ES 128. panta 4. punkts un 131. pants.</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prasības.</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Pašu kapitāla prasības saistībā otrā pīlāra korekcijām</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Direktīvas 2013/36/ES 104.a. panta 1. punkts.</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kompetentā iestāde nolemj, ka iestādei ir jāaprēķina papildu pašu kapitāla prasības otrā pīlāra iemeslu dēļ, šo papildu pašu kapitāla prasību summu uzrāda šajā rindā.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Sākotnējais kapitāls</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Direktīvas 2013/36/ES 12. un 28.–31. pants un Regulas (ES) Nr. 575/2013 93. pants</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Pašu kapitāls, ko aprēķina, balstoties uz fiksētiem pieskaitāmiem izdevumiem</w:t>
            </w:r>
          </w:p>
          <w:p w14:paraId="0512C5F3" w14:textId="77777777" w:rsidR="00CC7D2C" w:rsidRDefault="00CC7D2C" w:rsidP="00320EFD">
            <w:pPr>
              <w:pStyle w:val="InstructionsText"/>
            </w:pPr>
            <w:r>
              <w:t>Regulas (ES) Nr. 575/2013 95. panta 2. punkta b) apakšpunkts, 96. panta 2. punkta b) apakšpunkts, 97. pants un 98. panta 1. punkta a) apakšpunkts.</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Uzrādītā summa ir pašu kapitāla prasība, kas izriet no iepriekšminēto pantu piemērošanas.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Sākotnējie riska darījumi ārpus dalībvalsts</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lastRenderedPageBreak/>
              <w:t>Informācija, kas vajadzīga, lai aprēķinātu CR GB veidnes pārskata sniegšanas slieksni saskaņā ar šīs īstenošanas regulas 5. panta 5. punktu.</w:t>
            </w:r>
            <w:r>
              <w:rPr>
                <w:rStyle w:val="InstructionsTabelleberschrift"/>
                <w:rFonts w:ascii="Times New Roman" w:hAnsi="Times New Roman"/>
                <w:b w:val="0"/>
                <w:sz w:val="24"/>
                <w:u w:val="none"/>
              </w:rPr>
              <w:t xml:space="preserve"> Slieksni aprēķina, balstoties uz sākotnējā riska darījuma vērtību pirms korekcijas pakāpes.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Atkāpjoties no šīs īstenošanas regulas 21. panta 1. punkta a) apakšpunkta, šo rindu aizpilda vienmēr.</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Kopējā sākotnējo riska darījumu vērtība</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t>Informācija, kas vajadzīga, lai aprēķinātu CR GB veidnes pārskata sniegšanas slieksni saskaņā ar šīs īstenošanas regulas 5. panta 5. punktu.</w:t>
            </w:r>
            <w:r>
              <w:rPr>
                <w:rStyle w:val="InstructionsTabelleberschrift"/>
                <w:rFonts w:ascii="Times New Roman" w:hAnsi="Times New Roman"/>
                <w:b w:val="0"/>
                <w:sz w:val="24"/>
                <w:u w:val="none"/>
              </w:rPr>
              <w:t xml:space="preserve"> Slieksni aprēķina, balstoties uz sākotnējā riska darījuma vērtību pirms korekcijas pakāpes.</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Atkāpjoties no šīs īstenošanas regulas 21. panta 1. punkta a) apakšpunkta, šo rindu aizpilda vienmēr.</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MINIMĀLĀS ROBEŽVĒRTĪBAS KOREKCIJA PIRMS PĀREJAS PERIODA MAKSIMĀLĀS ROBEŽVĒRTĪBAS PIEMĒROŠANAS</w:t>
            </w:r>
          </w:p>
          <w:p w14:paraId="0E5E8397" w14:textId="77777777" w:rsidR="00CC7D2C" w:rsidRPr="002A677E" w:rsidRDefault="00CC7D2C" w:rsidP="00320EFD">
            <w:pPr>
              <w:pStyle w:val="InstructionsText"/>
              <w:rPr>
                <w:rStyle w:val="InstructionsTabelleberschrift"/>
                <w:rFonts w:ascii="Times New Roman" w:hAnsi="Times New Roman"/>
                <w:sz w:val="24"/>
              </w:rPr>
            </w:pPr>
            <w:r>
              <w:t>Iestādēm, uz kurām attiecas pašu kapitāla minimālā robežvērtība saskaņā ar Regulas (ES) Nr. 575/2013 92. panta 3. punktu, minimālās robežvērtības korekcija, nepiemērojot Regulas (ES) Nr. 575/2013 465. panta 2. punktā noteikto pārejas perioda maksimālo robežvērtību.</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MINIMĀLĀS ROBEŽVĒRTĪBAS KOREKCIJA PĒC PĀREJAS PERIODA MAKSIMĀLĀS ROBEŽVĒRTĪBAS PIEMĒROŠANAS</w:t>
            </w:r>
          </w:p>
          <w:p w14:paraId="373CB5D0" w14:textId="77777777" w:rsidR="00CC7D2C" w:rsidRDefault="00CC7D2C" w:rsidP="00320EFD">
            <w:pPr>
              <w:pStyle w:val="InstructionsText"/>
              <w:rPr>
                <w:rStyle w:val="InstructionsTabelleberschrift"/>
                <w:rFonts w:ascii="Times New Roman" w:hAnsi="Times New Roman"/>
                <w:sz w:val="24"/>
              </w:rPr>
            </w:pPr>
            <w:r>
              <w:t>Iestādēm, uz kurām attiecas pašu kapitāla minimālā robežvērtība saskaņā ar Regulas (ES) Nr. 575/2013 92. panta 3. punktu, minimālās robežvērtības korekcija pēc Regulas (ES) Nr. 575/2013 465. panta 2. punktā noteiktās pārejas perioda maksimālās robežvērtības piemērošanas.</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PILNĪBĀ UZSKAITĪTA MINIMĀLĀS ROBEŽVĒRTĪBAS KOREKCIJA </w:t>
            </w:r>
          </w:p>
          <w:p w14:paraId="7B9000EF" w14:textId="77777777" w:rsidR="00CC7D2C" w:rsidRPr="002A677E" w:rsidRDefault="00CC7D2C" w:rsidP="00320EFD">
            <w:pPr>
              <w:pStyle w:val="InstructionsText"/>
              <w:rPr>
                <w:rStyle w:val="InstructionsTabelleberschrift"/>
                <w:rFonts w:ascii="Times New Roman" w:hAnsi="Times New Roman"/>
                <w:sz w:val="24"/>
              </w:rPr>
            </w:pPr>
            <w:r>
              <w:t>Iestādēm, uz kurām attiecas pašu kapitāla minimālā robežvērtība saskaņā ar Regulas (ES) Nr. 575/2013 92. panta 3. punktu, minimālās robežvērtības korekcija, nepiemērojot visus Regulas (ES) Nr. 575/2013 465. pantā noteiktos pārejas pasākumus.</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Pašu kapitāla minimālā robežvērtība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Pašu kapitāla minimālā robežvērtība, kas izteikta procentos un ko banka piemēro</w:t>
            </w:r>
          </w:p>
          <w:p w14:paraId="4826F3C6" w14:textId="77777777" w:rsidR="00CC7D2C" w:rsidRPr="002A677E" w:rsidRDefault="00CC7D2C" w:rsidP="00320EFD">
            <w:pPr>
              <w:pStyle w:val="InstructionsText"/>
              <w:rPr>
                <w:rStyle w:val="InstructionsTabelleberschrift"/>
                <w:rFonts w:ascii="Times New Roman" w:hAnsi="Times New Roman"/>
                <w:sz w:val="24"/>
              </w:rPr>
            </w:pPr>
            <w:r>
              <w:lastRenderedPageBreak/>
              <w:t>minimālās robežvērtības korekcijas vērtības aprēķināšanai: “x” pakāpe atbilstīgi Regulas (ES) Nr. 575/2013 92. panta 3. punktam un 465. panta 1. punktam.</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 xml:space="preserve">PĀREJAS NOTEIKUMI un INSTRUMENTI, ATTIECĪBĀ UZ KURIEM PIEMĒROTAS TIESĪBAS SAGLABĀT IEPRIEKŠ SPĒKĀ ESOŠOS NOSACĪJUMUS: </w:t>
      </w:r>
      <w:bookmarkEnd w:id="46"/>
      <w:r>
        <w:t>INSTRUMENTI, KAS NAV UZSKATĀMI PAR VALSTS ATBALSTU (CA 5)</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Vispārīgas piezīmes</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Veidnē CA5 sniegts kopsavilkums par pašu kapitāla elementu aprēķinu un atskaitījumiem, uz kuriem attiecas Regulas (ES) Nr. 575/2013 465.–491., 494.a un 494.b panta pārejas noteikumi.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Veidne CA5 ir strukturēta šādi:</w:t>
      </w:r>
    </w:p>
    <w:p w14:paraId="1CFB5D30" w14:textId="77777777" w:rsidR="00CC7D2C" w:rsidRPr="002A677E" w:rsidRDefault="00CC7D2C" w:rsidP="00886567">
      <w:pPr>
        <w:pStyle w:val="InstructionsText2"/>
        <w:numPr>
          <w:ilvl w:val="0"/>
          <w:numId w:val="0"/>
        </w:numPr>
        <w:ind w:left="993"/>
      </w:pPr>
      <w:r>
        <w:t>a)</w:t>
      </w:r>
      <w:r>
        <w:tab/>
        <w:t>CA5.1. veidnē sniegts kopsavilkums par kopējām korekcijām, kas pārejas noteikumu piemērošanas rezultātā jāveic attiecībā uz pašu kapitāla dažādajiem komponentiem (kuri saskaņā ar nobeiguma noteikumiem uzrādīti CA1). Šīs veidnes elementus uzrāda kā “korekcijas” dažādajiem kapitāla komponentiem CA1, lai pašu kapitāla komponentos atspoguļotu pārejas noteikumu ietekmi;</w:t>
      </w:r>
    </w:p>
    <w:p w14:paraId="7232AD29" w14:textId="2C95415F" w:rsidR="00CC7D2C" w:rsidRPr="002A677E" w:rsidRDefault="00CC7D2C" w:rsidP="00886567">
      <w:pPr>
        <w:pStyle w:val="InstructionsText2"/>
        <w:numPr>
          <w:ilvl w:val="0"/>
          <w:numId w:val="0"/>
        </w:numPr>
        <w:ind w:left="993"/>
      </w:pPr>
      <w:r>
        <w:t>b)</w:t>
      </w:r>
      <w:r>
        <w:tab/>
        <w:t xml:space="preserve">veidnē </w:t>
      </w:r>
      <w:r w:rsidR="004A25D2">
        <w:t>5.2.</w:t>
      </w:r>
      <w:r w:rsidR="004A25D2" w:rsidRPr="004A25D2">
        <w:t xml:space="preserve"> </w:t>
      </w:r>
      <w:r w:rsidR="004A25D2">
        <w:t> </w:t>
      </w:r>
      <w:r>
        <w:t xml:space="preserve">sniegta sīkāka informācija par to, kā aprēķināt tos instrumentus, attiecībā uz kuriem piemērotas tiesības saglabāt iepriekš spēkā esošos nosacījumus un kuri nav uzskatāmi par valsts atbalstu.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Iestādes pirmajās četras slejās sniedz pārskatu par pirmā līmeņa pamata kapitāla, pirmā līmeņa papildu kapitāla un otrā līmeņa kapitāla korekcijām, kā arī par summu, ko pielīdzina riska svērtajiem aktīviem. Turklāt iestādēm 0050. slejā ir jāuzrāda piemērojamā procentuālā attiecība un 0060. slejā — atbilstošā summa bez pārejas noteikumu atzīšanas.</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Iestādes elementus CA5 uzrāda tikai periodā, kad piemēro Regulas (ES) Nr. 575/2013 Desmitajā daļā noteiktos pārejas noteikumus.</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Daži pārejas noteikumi paredz atskaitījumus no pirmā līmeņa kapitāla. Šādā gadījumā atskaitījuma vai atskaitījumu atlikušo summu piemēro pirmā līmeņa kapitālam, un ja nav pietiekama pirmā līmeņa papildu kapitāla, lai absorbētu šo summu, tad pārsniegumu atskaita no pirmā līmeņa pamata kapitāla.</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PĀREJAS NOTEIKUMI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Iestādes CA 5.1. veidnē sniedz pārskatu par pārejas noteikumiem attiecībā uz pašu kapitāla komponentiem, kā noteikts Regulas (ES) Nr. 575/2013 465.–491., 494.a un 494.b pantā, salīdzinājumā ar minētās Regulas (ES) Nr. 575/2013 Otrās daļas II sadaļas nobeiguma noteikumu piemērošanu.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 xml:space="preserve">Iestādes 0060.–0065. rindā sniedz informāciju par tādu instrumentu pārejas noteikumiem, attiecībā uz kuriem piemērotas tiesības saglabāt iepriekš spēkā esošos nosacījumus. Dati, kas uzrādāmi CA 5.1. veidnes 0060. rindā, atspoguļo Regulā (ES) Nr. 575/2013 ietvertos pārejas noteikumus redakcijā, kas piemērojama līdz 2019. gada </w:t>
      </w:r>
      <w:r>
        <w:lastRenderedPageBreak/>
        <w:t>26. jūnijam, un tos var iegūt no attiecīgajām CA 5.2. veidnes iedaļām. 0061. līdz 0065. rinda atspoguļo Regulas (ES) Nr. 575/2013 494.a un 494.b panta pārejas noteikumu ietekmi.</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Iestādes 0070.–0092. rindā sniedz informāciju par pārejas noteikumiem attiecībā uz mazākuma līdzdalības daļām un pirmā līmeņa papildu kapitāla un otrā līmeņa kapitāla instrumentiem, ko emitējuši meitasuzņēmumi (saskaņā ar Regulas (ES) Nr. 575/2013 479. un 480. pantu).</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No 0100. rindas iestādes sniedz informāciju par pārejas noteikumu ietekmi attiecībā uz nerealizēto peļņu un zaudējumiem, atskaitījumiem, papildu filtriem un atskaitījumiem un 9. SFPS.</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Var būt gadījumi, kad pirmā līmeņa pamata kapitāla, pirmā līmeņa papildu kapitāla vai otrā līmeņa kapitāla pārejas posma atskaitījumi pārsniedz iestādes pirmā līmeņa pamata kapitālu, pirmā līmeņa papildu kapitālu vai otrā līmeņa kapitālu. Minēto ietekmi — ja tā izriet no pārejas noteikumiem — norāda CA1 veidnē, izmantojot attiecīgās šūnas. Tādējādi korekcijas CA5 veidnes slejās neietver nekādu plašāku ietekmi gadījumā, ja nav pieejams pietiekams kapitāls.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Norādes par konkrētām pozīcijām</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736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Slejas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korekcijas</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papildu kapitāla korekcijas</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Otrā līmeņa kapitāla korekcijas</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RWA</w:t>
            </w:r>
            <w:r>
              <w:rPr>
                <w:rStyle w:val="InstructionsTabelleberschrift"/>
                <w:rFonts w:ascii="Times New Roman" w:hAnsi="Times New Roman"/>
                <w:sz w:val="24"/>
              </w:rPr>
              <w:t xml:space="preserve"> ietvertās korekcijas</w:t>
            </w:r>
          </w:p>
          <w:p w14:paraId="2AB15337" w14:textId="77777777" w:rsidR="00CC7D2C" w:rsidRPr="002A677E" w:rsidRDefault="00CC7D2C" w:rsidP="00320EFD">
            <w:pPr>
              <w:pStyle w:val="InstructionsText"/>
              <w:rPr>
                <w:rStyle w:val="InstructionsTabelleText"/>
                <w:rFonts w:ascii="Times New Roman" w:hAnsi="Times New Roman"/>
                <w:sz w:val="24"/>
              </w:rPr>
            </w:pPr>
            <w:r>
              <w:t>0040. slejā ietvertas attiecīgās vērtības, ar ko Regulas (ES) Nr. 575/2013 92. panta 3. punktā minēto kopējo riska darījumu vērtību pielāgo saistībā ar pārejas noteikumiem.</w:t>
            </w:r>
            <w:r>
              <w:rPr>
                <w:rStyle w:val="InstructionsTabelleText"/>
                <w:rFonts w:ascii="Times New Roman" w:hAnsi="Times New Roman"/>
                <w:sz w:val="24"/>
              </w:rPr>
              <w:t xml:space="preserve"> </w:t>
            </w:r>
            <w:r>
              <w:t>Uzrādītajās summās ņem vērā Trešās daļas II sadaļas 2. vai 3. nodaļas vai Trešās daļas IV sadaļas noteikumu piemērošanu saskaņā ar Regulas (ES) Nr. 575/2013 92. panta 4. punktu.</w:t>
            </w:r>
            <w:r>
              <w:rPr>
                <w:rStyle w:val="InstructionsTabelleText"/>
                <w:rFonts w:ascii="Times New Roman" w:hAnsi="Times New Roman"/>
                <w:sz w:val="24"/>
              </w:rPr>
              <w:t xml:space="preserve"> Tas nozīmē, ka pārejas posma summas, kurām piemēro Trešās daļas II sadaļas 2. vai 3. nodaļu, uzrāda kā riska darījumu riska svērtās vērtības, savukārt pārejas posma summas, kurām piemēro Trešās daļas IV sadaļu, atspoguļo pašu kapitāla prasības, kas reizinātas ar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Tā kā 0010.–0030. slejai ir tieša saite uz CA1 veidni, kopējo riska darījumu vērtības korekcijām nav tiešas saites uz attiecīgajām kredītriska veidnēm. Ja ir korekcijas, kas izriet no pārejas noteikumiem attiecībā uz kopējo riska darījumu vērtību, šīs korekcijas tieši ietver CR SA, CR IRB, CR EQU IRB, MKR SA TDI, MKR SA EQU vai MKR IM. Papildus tam minēto ietekmi uzrāda CA 5.1. veidnes 0040. slejā. Tādējādi minētās summas ir tikai izziņas posteņi.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Atbilstošā summa bez pagaidu noteikumiem</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Šajā slejā ir norādīta katra instrumenta summa pirms pārejas noteikumu piemērošanas, t. i., bāzes summa, kas ir būtiska korekciju aprēķinam.</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736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Rindas</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Kopējās korekcijas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Šajā rindā atspoguļota pārejas posma korekciju vispārējā ietekme uz dažāda veida kapitālu, kā arī riska svērtās vērtības, kas izriet no minētajām korekcijām.</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Instrumenti, attiecībā uz kuriem piemērotas tiesības saglabāt iepriekš spēkā esošos nosacījumus</w:t>
            </w:r>
          </w:p>
          <w:p w14:paraId="5D53743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Regulas (ES) Nr. 575/2013 483. līdz 491. pants.</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Šajā rindā atspoguļota tādu instrumentu vispārējā ietekme uz dažāda veida kapitālu, attiecībā uz kuriem pārejas posmā piemērotas tiesības saglabāt iepriekš spēkā esošos nosacījumus.</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Instrumenti, kas nav uzskatāmi par valsts atbalstu</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Uzrādāmās summas iegūst no CA 5.2. veidnes 060. slejas.</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Instrumenti, kas emitēti ar īpašam nolūkam dibinātu sabiedrību starpniecību</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Regulas (ES) Nr. 575/2013 494.a pants.</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 xml:space="preserve">Instrumenti, kas emitēti līdz 2019. gada 27. jūnijam un kas neatbilst atbilstības kritērijiem saistībā ar norakstīšanas un konvertācijas pilnvarām saskaņā ar </w:t>
            </w:r>
            <w:r>
              <w:rPr>
                <w:rFonts w:ascii="Times New Roman" w:hAnsi="Times New Roman"/>
                <w:sz w:val="24"/>
              </w:rPr>
              <w:t xml:space="preserve">Direktīvas 2014/59/ES </w:t>
            </w:r>
            <w:r>
              <w:rPr>
                <w:rStyle w:val="InstructionsTabelleberschrift"/>
                <w:rFonts w:ascii="Times New Roman" w:hAnsi="Times New Roman"/>
                <w:sz w:val="24"/>
              </w:rPr>
              <w:t>59. pantu vai kam piemēro savstarpējās dzēšanas vai savstarpējo prasījumu ieskaita līgumus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Regulas (ES) Nr. 575/2013 494.b pants.</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Iestādes uzrāda to instrumentu summu, uz kuriem attiecas Regulas (ES) Nr. 575/2013 494.b panta darbības joma, kuri neatbilst vienam vai vairākiem minētās regulas 52. panta 1. punkta p), q) un r) apakšpunktā vai attiecīgā gadījumā minētās regulas 63. panta n), o) un p) punktā minētajiem atbilstības kritērijiem.</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Ja otrā līmeņa kapitāla instrumenti ir atbilstoši saskaņā ar Regulas (ES) Nr. 575/2013 494.b panta 2. punktu, ievēro minētās regulas 64. pantā paredzētos noteikumus par amortizāciju.</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No kā: Instrumenti bez juridiski vai līgumiski obligātas norakstīšanas vai konvertācijas, īstenojot pilnvaras saskaņā ar Direktīvas 2014/59/ES 59. pantu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Regulas (ES) Nr. 575/2013 494.b pants, 52. panta 1. punkta p) apakšpunkts un 63. panta n) punkts.</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 xml:space="preserve">Iestādes sniedz informāciju par to instrumentu summu, uz kuriem attiecas Regulas (ES) Nr. 575/2013 494.b panta darbības joma, kuri neatbilst </w:t>
            </w:r>
            <w:r>
              <w:rPr>
                <w:rFonts w:ascii="Times New Roman" w:hAnsi="Times New Roman"/>
                <w:sz w:val="24"/>
              </w:rPr>
              <w:lastRenderedPageBreak/>
              <w:t>minētās regulas 52. panta 1. punkta p) apakšpunktam vai attiecīgā gadījumā 63. panta n) punktā minētajiem atbilstības kritērijiem.</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Tas arī ietver instrumentus, kas turklāt neatbilst Regulas (ES) Nr. 575/2013 52. panta 1. punkta q) vai r) apakšpunkta vai attiecīgā gadījumā minētās regulas 63. panta o) vai p) punktā minētajiem atbilstības kritērijiem.</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No kā: Instrumenti, ko reglamentē trešo valstu tiesību akti, bez efektīvas un izpildāmas pilnvaru īstenošanas saskaņā ar Direktīvas 2014/59/ES 59. pantu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Regulas (ES) Nr. 575/2013 494.b pants, 52. panta 1. punkta q) apakšpunkts un 63. panta o) punkts.</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Iestādes sniedz informāciju par tādu instrumentu summu, uz kuriem attiecas Regulas (ES) Nr. 575/2013 494.b panta darbības joma, kuri neatbilst minētās regulas 52. panta 1. punkta q) apakšpunktā vai attiecīgā gadījumā 63. punkta o) punktā minētajiem atbilstības kritērijiem.</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Tas arī ietver instrumentus, kas turklāt neatbilst Regulas (ES) Nr. 575/2013 52. panta 1. punkta p) vai r) apakšpunktā vai attiecīgā gadījumā minētās regulas 63. panta n) vai p) punktā minētajiem atbilstības kritērijiem.</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No kā: Instrumenti, kam piemēro savstarpējās dzēšanas vai savstarpējo prasījumu ieskaita līgumus</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Regulas (ES) Nr. 575/2013 494.b pants, 52. panta 1. punkta r) apakšpunkts un 63. panta p) punkts.</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Iestādes sniedz informāciju par tādu instrumentu summu, uz kuriem attiecas Regulas (ES) Nr. 575/2013 494.b panta darbības joma, kuri neatbilst minētās regulas 52. panta 1. punkta r) apakšpunkta vai attiecīgā gadījumā 63. panta p) punktā minētajiem atbilstības kritērijiem.</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Tas arī ietver instrumentus, kas turklāt neatbilst Regulas (ES) Nr. 575/2013 52. panta 1) punkta p) vai q) apakšpunkta vai attiecīgā gadījumā 63. panta n) vai o) punktā minētajiem atbilstības kritērijiem.</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Mazākuma līdzdalības daļas un ekvivalenti</w:t>
            </w:r>
          </w:p>
          <w:p w14:paraId="43EE34B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Regulas (ES) Nr. 575/2013 479. un 480. pants</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ietekme uz mazākuma līdzdalības daļām, kas ir atbilstošas kā pirmā līmeņa pamata kapitāls; atbilstīgiem pirmā līmeņa kapitāla instrumentiem, kuri ir atbilstoši kā konsolidētais pirmā līmeņa papildu kapitāls; un atbilstīgu pašu kapitālu, kas ir atbilstošs kā konsolidētais otrā līmeņa kapitāls.</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Kapitāla instrumenti un posteņi, kas nav atzīstami par mazākuma līdzdalības daļām</w:t>
            </w:r>
          </w:p>
          <w:p w14:paraId="0C0141BB" w14:textId="77777777" w:rsidR="00CC7D2C" w:rsidRPr="002A677E" w:rsidRDefault="00CC7D2C" w:rsidP="00320EFD">
            <w:pPr>
              <w:pStyle w:val="InstructionsText"/>
              <w:rPr>
                <w:rStyle w:val="InstructionsTabelleText"/>
                <w:rFonts w:ascii="Times New Roman" w:hAnsi="Times New Roman"/>
                <w:bCs/>
                <w:sz w:val="24"/>
              </w:rPr>
            </w:pPr>
            <w:r>
              <w:t>Regulas (ES) Nr. 575/2013 479. pants.</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Šīs rindas 060. slejā uzrādāmā summa ir tāda summa, kas uzskatāma par konsolidētajām rezervēm saskaņā ar iepriekšējo regulu.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Mazākuma līdzdalības daļu pārejas posma atzīšana konsolidētajā pašu kapitālā</w:t>
            </w:r>
          </w:p>
          <w:p w14:paraId="3BF8A481" w14:textId="77777777" w:rsidR="00CC7D2C" w:rsidRPr="002A677E" w:rsidRDefault="00CC7D2C" w:rsidP="00320EFD">
            <w:pPr>
              <w:pStyle w:val="InstructionsText"/>
              <w:rPr>
                <w:rStyle w:val="InstructionsTabelleText"/>
                <w:rFonts w:ascii="Times New Roman" w:hAnsi="Times New Roman"/>
                <w:sz w:val="24"/>
              </w:rPr>
            </w:pPr>
            <w:r>
              <w:lastRenderedPageBreak/>
              <w:t>Regulas (ES) Nr. 575/2013 84. un 480. pants</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Šīs rindas 0060. slejā uzrādāmā summa ir atbilstošā summa bez pārejas noteikumu ietekmes.</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Atbilstīga pirmā līmeņa papildu kapitāla pārejas posma atzīšana konsolidētajā pašu kapitālā</w:t>
            </w:r>
          </w:p>
          <w:p w14:paraId="4A315E24" w14:textId="77777777" w:rsidR="00CC7D2C" w:rsidRPr="002A677E" w:rsidRDefault="00CC7D2C" w:rsidP="00320EFD">
            <w:pPr>
              <w:pStyle w:val="InstructionsText"/>
              <w:rPr>
                <w:rStyle w:val="InstructionsTabelleText"/>
                <w:rFonts w:ascii="Times New Roman" w:hAnsi="Times New Roman"/>
                <w:sz w:val="24"/>
              </w:rPr>
            </w:pPr>
            <w:r>
              <w:t>Regulas (ES) Nr. 575/2013 85. un 480. pants</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Šīs rindas 0060. slejā uzrādāmā summa ir atbilstošā summa bez pārejas noteikumu ietekmes.</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Atbilstīga otrā līmeņa kapitāla pārejas posma atzīšana konsolidētajā pašu kapitālā</w:t>
            </w:r>
          </w:p>
          <w:p w14:paraId="16966D71" w14:textId="77777777" w:rsidR="00CC7D2C" w:rsidRPr="002A677E" w:rsidRDefault="00CC7D2C" w:rsidP="00320EFD">
            <w:pPr>
              <w:pStyle w:val="InstructionsText"/>
              <w:rPr>
                <w:rStyle w:val="InstructionsTabelleText"/>
                <w:rFonts w:ascii="Times New Roman" w:hAnsi="Times New Roman"/>
                <w:sz w:val="24"/>
              </w:rPr>
            </w:pPr>
            <w:r>
              <w:t>Regulas (ES) Nr. 575/2013 87. un 480. pants</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Šīs rindas 0060. slejā uzrādāmā summa ir atbilstošā summa bez pārejas noteikumu ietekmes.</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Citas pārejas posma korekcijas</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Regulas (ES) Nr. 575/2013 468. līdz 478. pants un 481. pants.</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posma atskaitījumu korekciju vispārējā ietekme uz dažāda veida kapitālu, nerealizēto peļņu un zaudējumiem, papildu filtriem un atskaitījumiem, kā arī riska svērtās vērtības, kas izriet no šīm korekcijām.</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Nerealizētā peļņa un zaudējumi no konkrētiem parāda vērtspapīru riska darījumiem ar centrālajām valdībām, reģionālajām pašvaldībām, vietējām pašpārvaldēm un publiskā sektora struktūrām</w:t>
            </w:r>
          </w:p>
          <w:p w14:paraId="1495FA2D" w14:textId="77777777" w:rsidR="00CC7D2C" w:rsidRPr="002A677E" w:rsidRDefault="00CC7D2C" w:rsidP="00320EFD">
            <w:pPr>
              <w:pStyle w:val="InstructionsText"/>
              <w:rPr>
                <w:rStyle w:val="InstructionsTabelleberschrift"/>
                <w:rFonts w:ascii="Times New Roman" w:hAnsi="Times New Roman"/>
                <w:sz w:val="24"/>
              </w:rPr>
            </w:pPr>
            <w:r>
              <w:t xml:space="preserve">Regulas (ES) Nr. 575/2013 </w:t>
            </w:r>
            <w:r>
              <w:rPr>
                <w:rStyle w:val="InstructionsTabelleText"/>
                <w:rFonts w:ascii="Times New Roman" w:hAnsi="Times New Roman"/>
                <w:sz w:val="24"/>
              </w:rPr>
              <w:t>468. pants</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No kā: summa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Summa A, kas aprēķināta, izmantojot Regulas (ES) Nr. 575/2013 468. panta 1. punktā minēto formulu.</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Atskaitījumi</w:t>
            </w:r>
          </w:p>
          <w:p w14:paraId="51CECA1B"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Regulas (ES) Nr. 575/2013 36. panta 1. punkts un 469. līdz 478. pants.</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atskaitījumiem.</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Atliktā nodokļa aktīvi, kuru realizācija atkarīga no peļņas gūšanas nākotnē un kuri neizriet no laika noviržu izraisītas pagaidu starpības</w:t>
            </w:r>
          </w:p>
          <w:p w14:paraId="08D3639D" w14:textId="77777777" w:rsidR="00CC7D2C" w:rsidRPr="002A677E" w:rsidRDefault="00CC7D2C" w:rsidP="00320EFD">
            <w:pPr>
              <w:pStyle w:val="InstructionsText"/>
              <w:rPr>
                <w:rStyle w:val="InstructionsTabelleText"/>
                <w:rFonts w:ascii="Times New Roman" w:hAnsi="Times New Roman"/>
                <w:sz w:val="24"/>
              </w:rPr>
            </w:pPr>
            <w:r>
              <w:t>Regulas (ES) Nr. 575/2013 36. panta 1. punkta c) apakšpunkts, 469. panta 1. punkts un 472. panta 5. punkts un 478. pants.</w:t>
            </w:r>
          </w:p>
          <w:p w14:paraId="30A136AF" w14:textId="77777777" w:rsidR="00CC7D2C" w:rsidRPr="002A677E" w:rsidRDefault="00CC7D2C" w:rsidP="00320EFD">
            <w:pPr>
              <w:pStyle w:val="InstructionsText"/>
              <w:rPr>
                <w:rStyle w:val="InstructionsTabelleText"/>
                <w:rFonts w:ascii="Times New Roman" w:hAnsi="Times New Roman"/>
                <w:sz w:val="24"/>
              </w:rPr>
            </w:pPr>
            <w:r>
              <w:t>Nosakot iepriekš minēto atliktā nodokļa aktīvu atskaitāmo summu, iestādes ņem vērā Regulas (ES) Nr. 575/2013 38. panta noteikumus par atliktā nodokļa aktīvu atņemšanu no atliktā nodokļa saistībām.</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Šīs rindas 0060. slejā uzrādāmā summa ir: </w:t>
            </w:r>
            <w:r>
              <w:t>kopsumma saskaņā ar Regulas (ES) Nr. 575/2013 469. panta 1. punktu.</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Atliktā nodokļa aktīvi, kuru realizācija ir atkarīga no peļņas gūšanas nākotnē un kuri izriet no laika noviržu izraisītas pagaidu starpības, un tādu finanšu sektora sabiedrību pirmā līmeņa pamata kapitāla instrumenti, kurās iestādei ir būtisks ieguldījums</w:t>
            </w:r>
          </w:p>
          <w:p w14:paraId="308D07D4" w14:textId="77777777" w:rsidR="00CC7D2C" w:rsidRPr="002A677E" w:rsidRDefault="00CC7D2C" w:rsidP="00320EFD">
            <w:pPr>
              <w:pStyle w:val="InstructionsText"/>
              <w:rPr>
                <w:rStyle w:val="InstructionsTabelleText"/>
                <w:rFonts w:ascii="Times New Roman" w:hAnsi="Times New Roman"/>
                <w:sz w:val="24"/>
              </w:rPr>
            </w:pPr>
            <w:r>
              <w:t>Regulas (ES) Nr. 575/2013 470. panta 2. un 3. punkts.</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Šīs rindas 0060. slejā uzrādāmā summa ir: </w:t>
            </w:r>
            <w:r>
              <w:t>Regulas (ES) Nr. 575/2013 470. panta 1. punkts</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14:paraId="6C5EEFFD" w14:textId="77777777" w:rsidR="00CC7D2C" w:rsidRPr="002A677E" w:rsidRDefault="00CC7D2C" w:rsidP="00320EFD">
            <w:pPr>
              <w:pStyle w:val="InstructionsText"/>
              <w:rPr>
                <w:rStyle w:val="InstructionsTabelleText"/>
                <w:rFonts w:ascii="Times New Roman" w:hAnsi="Times New Roman"/>
                <w:bCs/>
                <w:sz w:val="24"/>
              </w:rPr>
            </w:pPr>
            <w:r>
              <w:t>Regulas (ES) Nr. 575/2013 469. panta 1. punkta c) apakšpunkts, 472. panta 5. punkts un 478. pants.</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Tā daļa no atliktā nodokļa aktīviem, kuru realizācija atkarīga no peļņas gūšanas nākotnē un kuri izriet no laika noviržu izraisītas pagaidu starpības, kas pārsniedz Regulas (ES) Nr. 575/2013 470. panta 2. punkta a) apakšpunktā noteikto 10 % slieksni.</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Atbrīvojums attiecībā uz kapitāla līdzdalību apdrošināšanas sabiedrībās atskaitījumam no pirmā līmeņa pamata kapitāla posteņiem</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Regulas (ES) Nr. 575/2013 </w:t>
            </w:r>
            <w:r>
              <w:rPr>
                <w:rStyle w:val="InstructionsTabelleberschrift"/>
                <w:rFonts w:ascii="Times New Roman" w:hAnsi="Times New Roman"/>
                <w:b w:val="0"/>
                <w:sz w:val="24"/>
                <w:u w:val="none"/>
              </w:rPr>
              <w:t>471. pants</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Papildu filtri un atskaitījumi</w:t>
            </w:r>
          </w:p>
          <w:p w14:paraId="4A80E244"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481. pants</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papildu filtriem un atskaitījumiem.</w:t>
            </w:r>
          </w:p>
          <w:p w14:paraId="204FEDF5" w14:textId="77777777" w:rsidR="00CC7D2C" w:rsidRPr="002A677E" w:rsidRDefault="00CC7D2C" w:rsidP="00320EFD">
            <w:pPr>
              <w:pStyle w:val="InstructionsText"/>
              <w:rPr>
                <w:rStyle w:val="InstructionsTabelleText"/>
                <w:rFonts w:ascii="Times New Roman" w:hAnsi="Times New Roman"/>
                <w:sz w:val="24"/>
              </w:rPr>
            </w:pPr>
            <w:r>
              <w:t>Iestādes atbilstoši Regulas (ES) Nr. 575/2013 481. pantam 1.3.3. postenī sniedz informāciju par filtriem un atskaitījumiem, kas ir pieprasīti saskaņā ar Direktīvas 2006/48/EK 57. un 66. panta un Direktīvas 2006/49/EK 13. un 16. panta valstu transponēšanas pasākumiem un kas nav pieprasīti saskaņā ar Otro daļu.</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 INSTRUMENTI, ATTIECĪBĀ UZ KURIEM PIEMĒROTAS TIESĪBAS SAGLABĀT IEPRIEKŠ SPĒKĀ ESOŠOS NOSACĪJUMUS: INSTRUMENTI, KAS NAV UZSKATĀMI PAR VALSTS ATBALSTU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Iestādes sniedz informāciju par tādu instrumentu pārejas noteikumiem, attiecībā uz kuriem piemērotas tiesības saglabāt iepriekš spēkā esošos nosacījumus un kuri nav uzskatāmi par valsts atbalstu (Regulas (ES) Nr. 575/2013 484.–491. pants).</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lastRenderedPageBreak/>
        <w:t>1.6.3.1.</w:t>
      </w:r>
      <w:r>
        <w:rPr>
          <w:u w:val="none"/>
        </w:rPr>
        <w:tab/>
      </w:r>
      <w:r>
        <w:t>Norādes par konkrētām pozīcijām</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Slejas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Instrumentu summa plus attiecīgais akciju emisijas uzcenojums</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484. panta 3., 4. un 5. punkts.</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Instrumenti, kas ir atbilstoši katrai attiecīgajai rindai, tostarp to attiecīgais akciju emisijas uzcenojums.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Ierobežojuma aprēķināšanas bāze</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486. panta 2., 3. un 4. punkts.</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486. panta 5. punkts</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Robežvērtība</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486. panta 2. līdz 5. punkts.</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Summa, kas pārsniedz ierobežojumus attiecībā uz tiesībām saglabāt iepriekš spēkā esošos nosacījumus</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486. panta 2. līdz 5. punkts.</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Kopējā summa, attiecībā uz kuru piemērotas tiesības saglabāt iepriekš spēkā esošos nosacījumus</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ir vienāda ar summām, kas uzrādītas CA 5.1. veidnes 060. rindas attiecīgajās slejās.</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Rindas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Instrumenti, kas atbilda Direktīvas 2006/48/EK 57. panta a) punktam</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484. panta 3. punkts</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Instrumenti, kuri atbilda Direktīvas 2006/48/EK 57. panta ca) punktam un 154. panta 8. un 9. punktam un kuriem piemēro Regulas (ES) Nr. 575/2013 489. pantā noteikto ierobežojumu</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484. panta 4. punkts</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Kopējie instrumenti bez atsaukšanas iespējas vai dzēšanu veicinošiem nosacījumiem</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Regulas (ES) Nr. 575/2013 484. panta 4. punkts un 489. pants.</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Tādi instrumenti ar atsaukšanas iespēju un dzēšanu veicinošiem nosacījumiem, attiecībā uz kuriem piemērotas tiesības saglabāt iepriekš spēkā esošos nosacījumus</w:t>
            </w:r>
          </w:p>
          <w:p w14:paraId="31393B5C"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 xml:space="preserve">Regulas (ES) Nr. 575/2013 </w:t>
            </w:r>
            <w:r>
              <w:rPr>
                <w:rStyle w:val="InstructionsTabelleText"/>
                <w:rFonts w:ascii="Times New Roman" w:hAnsi="Times New Roman"/>
                <w:sz w:val="24"/>
              </w:rPr>
              <w:t>489. pants</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Instrumenti, kuriem ir atsaukšanas iespēja, kas īstenojama pēc pārskata sniegšanas datuma, un kuri atbilst Regulas (ES) Nr. 575/2013 52. panta nosacījumiem pēc efektīvā termiņa datuma</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489. panta 3. punkts un 491. panta a) punkts.</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Instrumenti, kuriem ir atsaukšanas iespēja, kas īstenojama pēc pārskata sniegšanas datuma, un kuri neatbilst Regulas (ES) Nr. 575/2013 52. panta nosacījumiem pēc efektīvā termiņa datuma</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489. panta 5. punkts un 491. panta a) punkts.</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Instrumenti, kuriem ir atsaukšanas iespēja, kas bija īstenojama līdz 2011. gada 20. jūlijam vai šajā datumā, un kuri neatbilst Regulas (ES) Nr. 575/2013 52. panta nosacījumiem pēc efektīvā termiņa datuma</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489. panta 6. punkts un 491. panta c) punkts.</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Pirmā līmeņa pamata kapitāla instrumentu, attiecībā uz kuriem piemērotas tiesības saglabāt iepriekš spēkā esošos nosacījumus, ierobežojuma pārsniegums</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487. panta 1. punkts</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Pirmā līmeņa pamata kapitāla instrumentu, attiecībā uz kuriem piemērotas tiesības saglabāt iepriekš spēkā esošos nosacījumus, ierobežojuma pārsniegumu drīkst pielīdzināt instrumentiem, attiecībā uz kuriem var piemērot tiesības saglabāt iepriekš spēkā esošos pirmā līmeņa papildu kapitāla instrumentu nosacījumus.</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Posteņi, kuri atbilda Direktīvas 2006/48/EK 57. panta e), f), g) vai h) punktam un kuriem piemēro Regulas (ES) Nr. 575/2013 490. pantā noteikto ierobežojumu</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Regulas (ES) Nr. 575/2013 484. panta 5. punkts</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Kopējie posteņi bez dzēšanu veicinošiem nosacījumiem</w:t>
            </w:r>
          </w:p>
          <w:p w14:paraId="3A4F871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490. pants</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Tādi posteņi ar dzēšanu veicinošiem nosacījumiem, attiecībā uz kuriem piemērotas tiesības saglabāt iepriekš spēkā esošos nosacījumus</w:t>
            </w:r>
          </w:p>
          <w:p w14:paraId="773B0F0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Regulas (ES) Nr. 575/2013 </w:t>
            </w:r>
            <w:r>
              <w:rPr>
                <w:rStyle w:val="InstructionsTabelleText"/>
                <w:rFonts w:ascii="Times New Roman" w:hAnsi="Times New Roman"/>
                <w:sz w:val="24"/>
              </w:rPr>
              <w:t>490. pants</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Instrumenti, kuriem ir atsaukšanas iespēja, kas īstenojama pēc pārskata sniegšanas datuma, un kuri atbilst Regulas (ES) Nr. 575/2013 63. panta nosacījumiem pēc efektīvā termiņa datuma</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490. panta 3. punkts un 491. panta a) punkts.</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Instrumenti, kuriem ir atsaukšanas iespēja, kas īstenojama pēc pārskata sniegšanas datuma, un kuri neatbilst Regulas (ES) Nr. 575/2013 63. panta nosacījumiem pēc efektīvā termiņa datuma</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490. panta 5. punkts un 491. panta a) punkts.</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Instrumenti, kuriem ir atsaukšanas iespēja, kas bija īstenojama līdz 2011. gada 20. jūlijam vai šajā datumā, un kuri neatbilst Regulas (ES) Nr. 575/2013 63. panta nosacījumiem pēc efektīvā termiņa datuma</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Regulas (ES) Nr. 575/2013 490. panta 6. punkts un 491. panta c) punkts.</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Pirmā līmeņa papildu kapitāla instrumentu, attiecībā uz kuriem piemērotas tiesības saglabāt iepriekš spēkā esošos nosacījumus, ierobežojuma pārsniegums</w:t>
            </w:r>
          </w:p>
          <w:p w14:paraId="5B5CC60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Regulas (ES) Nr. 575/2013 487. panta 2. punkts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Pirmā līmeņa papildu kapitāla instrumentu, attiecībā uz kuriem piemērotas tiesības saglabāt iepriekš spēkā esošos nosacījumus, ierobežojuma pārsniegumu drīkst pielīdzināt instrumentiem, attiecībā uz kuriem var piemērot tiesības saglabāt iepriekš spēkā esošos otrā līmeņa kapitāla instrumentu nosacījumus.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8FE47" w14:textId="77777777" w:rsidR="00E85B58" w:rsidRDefault="00E85B58" w:rsidP="00E26A90">
      <w:pPr>
        <w:spacing w:after="0"/>
      </w:pPr>
      <w:r>
        <w:separator/>
      </w:r>
    </w:p>
  </w:endnote>
  <w:endnote w:type="continuationSeparator" w:id="0">
    <w:p w14:paraId="21C80972" w14:textId="77777777" w:rsidR="00E85B58" w:rsidRDefault="00E85B58"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F01F" w14:textId="77777777" w:rsidR="00E85B58" w:rsidRDefault="00E85B58" w:rsidP="00E26A90">
      <w:pPr>
        <w:spacing w:after="0"/>
      </w:pPr>
      <w:r>
        <w:separator/>
      </w:r>
    </w:p>
  </w:footnote>
  <w:footnote w:type="continuationSeparator" w:id="0">
    <w:p w14:paraId="19C82CFB" w14:textId="77777777" w:rsidR="00E85B58" w:rsidRDefault="00E85B58"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sz w:val="20"/>
        </w:rPr>
        <w:tab/>
      </w:r>
      <w:r>
        <w:t>Komisijas Deleģētā regula (ES) Nr. 241/2014 (2014. gada 7. janvāris), ar kuru Eiropas Parlamenta un Padomes Regulu (ES) Nr. 575/2013 papildina saistībā ar regulatīvajiem tehniskajiem standartiem, kas attiecas uz iestāžu pašu kapitāla prasībām (OV L 74, 14.3.2014., 8. lpp.)</w:t>
      </w:r>
      <w:r>
        <w:rPr>
          <w:rStyle w:val="Emphasis"/>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DC2"/>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25D2"/>
    <w:rsid w:val="004A46D8"/>
    <w:rsid w:val="004C7866"/>
    <w:rsid w:val="00503CAB"/>
    <w:rsid w:val="00580581"/>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61628"/>
    <w:rsid w:val="00984406"/>
    <w:rsid w:val="009D5CC6"/>
    <w:rsid w:val="00A6002C"/>
    <w:rsid w:val="00A63F48"/>
    <w:rsid w:val="00A67818"/>
    <w:rsid w:val="00A8011A"/>
    <w:rsid w:val="00A81E10"/>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85B58"/>
    <w:rsid w:val="00EB5E9A"/>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lv-LV"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lv-LV"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4BE599-50C2-474E-8DBA-2737D617F335}"/>
</file>

<file path=customXml/itemProps2.xml><?xml version="1.0" encoding="utf-8"?>
<ds:datastoreItem xmlns:ds="http://schemas.openxmlformats.org/officeDocument/2006/customXml" ds:itemID="{D35E0B95-D390-4968-8AED-C50D8C78521A}">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A2824FC-0F71-4BF1-96F2-46510D4ADEE5}">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68</Pages>
  <Words>23044</Words>
  <Characters>121442</Characters>
  <Application>Microsoft Office Word</Application>
  <DocSecurity>0</DocSecurity>
  <Lines>3195</Lines>
  <Paragraphs>2064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2025-01-27T19:22:00Z</dcterms:created>
  <dcterms:modified xsi:type="dcterms:W3CDTF">2025-01-27T19:22:00Z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2025-01-27T18:07:31Z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4d342a4d-db53-4aa3-b4de-baa3fd8b6679</vt:lpwstr>
  </property>
  <property fmtid="{D5CDD505-2E9C-101B-9397-08002B2CF9AE}" pid="10" name="MSIP_Label_6bd9ddd1-4d20-43f6-abfa-fc3c07406f94_ContentBits">
    <vt:lpwstr>0</vt:lpwstr>
  </property>
</Properties>
</file>