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03895EA2" w14:textId="77777777" w:rsidR="009C5DD6" w:rsidRPr="00037E7B" w:rsidRDefault="009C5DD6" w:rsidP="009C5DD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480031C9" w14:textId="77777777" w:rsidR="009C5DD6" w:rsidRPr="00037E7B" w:rsidRDefault="009C5DD6" w:rsidP="009C5DD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MAL-FORMOLA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532AAD9A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sz w:val="24"/>
          <w:u w:val="none"/>
          <w:rFonts w:ascii="Times New Roman" w:hAnsi="Times New Roman"/>
        </w:rPr>
        <w:t xml:space="preserve">3.6.</w:t>
      </w:r>
      <w:r>
        <w:rPr>
          <w:sz w:val="24"/>
          <w:u w:val="none"/>
          <w:rFonts w:ascii="Times New Roman" w:hAnsi="Times New Roman"/>
        </w:rPr>
        <w:tab/>
      </w:r>
      <w:r>
        <w:t xml:space="preserve">C 11.00 – Riskju tas-Saldu/tal-Konsenja </w:t>
      </w:r>
      <w:bookmarkEnd w:id="0"/>
      <w:bookmarkEnd w:id="1"/>
      <w:r>
        <w:rPr>
          <w:sz w:val="24"/>
          <w:rFonts w:ascii="Times New Roman" w:hAnsi="Times New Roman"/>
        </w:rPr>
        <w:t xml:space="preserve"> </w:t>
      </w:r>
      <w:r>
        <w:t xml:space="preserve">(CR SETT)</w:t>
      </w:r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sz w:val="24"/>
          <w:u w:val="none"/>
          <w:rFonts w:ascii="Times New Roman" w:hAnsi="Times New Roman"/>
        </w:rPr>
        <w:t xml:space="preserve">3.6.1.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99</w:t>
      </w:r>
      <w:r>
        <w:fldChar w:fldCharType="end"/>
      </w:r>
      <w:r>
        <w:t xml:space="preserve">.</w:t>
      </w:r>
      <w:r>
        <w:tab/>
      </w:r>
      <w:r>
        <w:t xml:space="preserve">Din il-formola titlob informazzjoni kemm dwar tranżazzjonijiet tal-portafoll tan-negozjar kif ukoll dak mhux tan-negozjar li mhumiex saldati wara d-dati ta’ konsenja tagħhom, u r-rekwiżiti tal-fondi proprji korrispondenti tagħhom għar-riskju tas-saldu kif imsemmi fl-Artikoli 92(3), il-punt (c) (ii) u l-Artikolu 378 tar-Regolament (UE) Nru 575/2013.</w:t>
      </w:r>
      <w:r>
        <w:t xml:space="preserve"> </w:t>
      </w:r>
    </w:p>
    <w:p w14:paraId="0B60E63F" w14:textId="08AFF3C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100</w:t>
      </w:r>
      <w:r>
        <w:fldChar w:fldCharType="end"/>
      </w:r>
      <w:r>
        <w:t xml:space="preserve">.</w:t>
      </w:r>
      <w:r>
        <w:tab/>
      </w:r>
      <w:r>
        <w:t xml:space="preserve">L-istituzzjonijiet jirrapportaw fil-formola CR SETT informazzjoni dwar ir-riskju tas-saldu/tal-konsenja b’rabta ma’ strumenti tad-dejn, ekwitajiet, muniti barranin u komoditajiet miżmumin fil-portafoll tan-negozjar jew mhux tan-negozjar tagħhom.</w:t>
      </w:r>
      <w:r>
        <w:t xml:space="preserve"> </w:t>
      </w:r>
    </w:p>
    <w:p w14:paraId="1F6DAE78" w14:textId="6128EA1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101</w:t>
      </w:r>
      <w:r>
        <w:fldChar w:fldCharType="end"/>
      </w:r>
      <w:r>
        <w:t xml:space="preserve">.</w:t>
      </w:r>
      <w:r>
        <w:tab/>
      </w:r>
      <w:r>
        <w:t xml:space="preserve">F’konformità mal-Artikolu 378 tar-Regolament (UE) Nru 575/2013, tranżazzjonijiet ta’ riakkwist, għoti b’self ta’ titoli jew komoditajiet u teħid b’self ta’ titoli jew komoditajiet b’rabta ma’ strumenti ta’ dejn, ekwitajiet, muniti barranin u komoditajiet li mhumiex soġġetti għar-rekwiżiti ta’ fondi proprji għar-riskju tas-saldu/tal-konsenja.</w:t>
      </w:r>
      <w:r>
        <w:t xml:space="preserve"> </w:t>
      </w:r>
      <w:r>
        <w:t xml:space="preserve">Madankollu, kun af li tranżazzjonijiet u derivattivi ta’ saldu fit-tul mhux saldati wara d-dati ta’ konsenja dovuta tagħhom xorta waħda għandhom ikunu soġġetti għar-rekwiżiti ta’ fondi proprji għal riskju tas-saldu/tal-konsenja kif determinat fl-Artikolu 378 tar-Regolament (UE) Nru 575/2013.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102</w:t>
      </w:r>
      <w:r>
        <w:fldChar w:fldCharType="end"/>
      </w:r>
      <w:r>
        <w:t xml:space="preserve">.</w:t>
      </w:r>
      <w:r>
        <w:tab/>
      </w:r>
      <w:r>
        <w:t xml:space="preserve">Fil-każ ta’ tranżazzjonijiet mhux saldati wara d-data ta’ konsenja dovuta, l-istituzzjonijiet jikkalkolaw id-differenza fil-prezzijiet li huma esposti għaliha.</w:t>
      </w:r>
      <w:r>
        <w:t xml:space="preserve"> </w:t>
      </w:r>
      <w:r>
        <w:t xml:space="preserve">Dik hija d-differenza bejn il-prezz tas-saldu maqbul għall-istrument tad-dejn, l-ekwità, il-munita barranija jew il-komodità inkwistjoni u l-valur tas-suq attwali tagħhom, meta d-differenza tkun tista’ tinvolvi telf għall-istituzzjoni.</w:t>
      </w:r>
      <w:r>
        <w:t xml:space="preserve">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103</w:t>
      </w:r>
      <w:r>
        <w:fldChar w:fldCharType="end"/>
      </w:r>
      <w:r>
        <w:t xml:space="preserve">.</w:t>
      </w:r>
      <w:r>
        <w:tab/>
      </w:r>
      <w:r>
        <w:t xml:space="preserve">L-istituzzjonijiet għandhom jimmultiplikaw din id-differenza bil-fattur xieraq tal-Artikolu 378, it-Tabella 1 tar-Regolament (UE) Nru 575/2013 biex jiddeterminaw ir-rekwiżiti korrispondenti tal-fondi proprji.</w:t>
      </w:r>
    </w:p>
    <w:p w14:paraId="59D114DF" w14:textId="657627A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 w:rsidRPr="002A677E">
        <w:t>104</w:t>
      </w:r>
      <w:r>
        <w:fldChar w:fldCharType="end"/>
      </w:r>
      <w:r>
        <w:t xml:space="preserve">.</w:t>
      </w:r>
      <w:r>
        <w:tab/>
      </w:r>
      <w:r>
        <w:t xml:space="preserve">F’konformità mal-Artikolu 92(4), il-punt (b) tar-Regolament (UE) Nru 575/2013, ir-rekwiżiti ta’ fondi proprji għar-riskju tas-saldu/tal-konsenja għandhom ikunu multiplikati bi 12,5 sabiex jiġi kkalkolat l-ammont ta’ skopertura ta’ riskju.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 w:rsidRPr="002A677E">
        <w:t>105</w:t>
      </w:r>
      <w:r>
        <w:fldChar w:fldCharType="end"/>
      </w:r>
      <w:r>
        <w:t xml:space="preserve">.</w:t>
      </w:r>
      <w:r>
        <w:tab/>
      </w:r>
      <w:r>
        <w:t xml:space="preserve">Kun af li r-rekwiżiti ta’ fondi proprji għal konsenji bla ħlas kif stipulat fl-Artikolu 379 tar-Regolament (UE) Nru 575/2013 ma jaqgħux fil-kamp ta’ applikazzjoni tal-formola CR SETT.</w:t>
      </w:r>
      <w:r>
        <w:t xml:space="preserve"> </w:t>
      </w:r>
      <w:r>
        <w:t xml:space="preserve">Dawk ir-rekwiżiti ta’ fondi proprji jiġu rrapportati fil-formoli tar-riskju ta’ kreditu (CR SA, CR IRB).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sz w:val="24"/>
          <w:u w:val="none"/>
          <w:rFonts w:ascii="Times New Roman" w:hAnsi="Times New Roman"/>
        </w:rPr>
        <w:t xml:space="preserve">3.6.2.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pożizzjonijiet speċifiċi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BIL-PREZZ TAS-SALDU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it-tranżazzjonijiet mhux saldati wara d-data tal-konsenja dovuta tagħhom bil-prezzijiet tal-pagament miftiehma rispettivi kif imsemmi fl-Artikolu 378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It-tranżazzjonijiet kollha mhux saldati għandhom ikunu inklużi f’din il-kolonna, irrelevanti minn jekk humiex bi qligħ jew b’telf wara d-data tas-saldu dovuta.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TAD-DIFFERENZA TAL-PREZZIJIET DOVUTA GĦAL TRANŻAZZJONIJIET MHUX SALDATI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id-differenza fil-prezzijiet bejn il-prezz tas-saldu miftiehem u l-valur tas-suq attwali tiegħu għall-istrument tad-dejn, l-ekwità, il-munita barranija jew il-komodità inkwistjoni, meta d-differenza tkun tista’ tinvolvi telf għall-istituzzjoni, kif imsemmi fl-Artikolu 378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tranżazzjonijiet mhux saldati f’telf wara d-data tas-saldu dovuta li għandhom jiġu rrapportati f’din il-kolonna.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5DA1D58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REKWIŻITI TA’ FONDI PROPRJI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ir-rekwiżiti ta’ fondi proprji f’konformità mal-Artikolu 378 tar-Regolament (UE) Nru 575/2013.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TAL-ISKOPERTURA TOTALI GĦAR-RISKJU TAS-SALDU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92(4), il-punt (b) tar-Regolament (UE) Nru 575/2013, l-istituzzjonijiet għandhom jimmultiplikaw ir-rekwiżiti ta’ fondi proprji tagħhom rapportati fil-kolonna 0030 bi 12,5 sabiex jiksbu l-ammont ta’ skopertura għar-riskju ta’ saldu.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totali mhux saldati fil-Portafoll mhux tan-Negozjar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informazzjoni aggregata dwar ir-riskju tas-saldu/tal-konsenja għall-pożizzjonijiet fil-portafoll mhux tan-negozjar (kif imsemmi fl-Artikolu 92(4)(ca) u l-Artikolu 378 tar-Regolament (UE) Nru 575/2013).</w:t>
            </w:r>
          </w:p>
          <w:p w14:paraId="57BBA9B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f’{r0010;c0010} is-somma aggregata ta’ tranżazzjonijiet mhux saldati wara d-dati ta’ konsenja dovuti tagħhom bil-prezzijiet tas-saldu miftiehma rispettivi.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f’{r0010;c0020} l-informazzjoni aggregata għall-iskopertura għad-differenza fil-prezzijiet minħabba tranżazzjonijiet mhux saldati f’telf.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f’{r0010;c0030] ir-rekwiżiti ta’ fondi proprji aggregati derivati mill-għadd flimkien tar-rekwiżiti ta’ fondi proprji għal tranżazzjonijiet mhux saldati billi jimmultiplikaw id-“differenza fil-prezz” rapportata fil-kolonna 0020 b’fattur xieraq ibbażat fuq l-għadd ta’ jiem tax-xogħol wara d-data ta’ saldu dovuta (il-kategoriji msemmija fl-Artikolu 378, it-Tabella 1 tar-Regolament (UE) Nru 575/2013).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sa 4 ijiem (Fattur 0</w:t>
            </w:r>
            <w:r>
              <w:t xml:space="preserve"> 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%)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bejn 5 u 15-il jum (Fattur 8 %)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bejn 16 u 30-il jum (Fattur 50 %)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bejn 31 u 45-il jum (Fattur 75 %)</w:t>
            </w:r>
          </w:p>
          <w:p w14:paraId="326E480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għal 46 jum jew aktar (Fattur 100 %)</w:t>
            </w:r>
          </w:p>
          <w:p w14:paraId="4BCE7D0D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fir-ringieli minn 0020 sa 0060 l-informazzjoni dwar ir-riskju tas-saldu/tal-konsenja għal pożizzjonijiet tal-portafoll mhux tan-negozjar f’konformità mal-kategoriji msemmija fl-Artikolu 378, it-Tabella 1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 hemmx rekwiżit ta’ fondi proprji għar-riskju tas-saldu/tal-konsenja għal tranżazzjonijiet mhux saldati inqas minn 5 ijiem tax-xogħol wara d-data tas-saldu dovuta.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 tat-tranżazzjonijiet mhux saldati fil-Portafoll tan-Negozjar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informazzjoni aggregata dwar ir-riskju tas-saldu/tal-konsenja għall-pożizzjonijiet fil-portafoll tan-negozjar (kif imsemmi fl-Artikolu 92(4)(ca) u l-Artikolu 378 tar-Regolament (UE) Nru 575/2013).</w:t>
            </w:r>
          </w:p>
          <w:p w14:paraId="2E44B3F3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f’{r0070;c0010} is-somma aggregata ta’ tranżazzjonijiet mhux saldati wara d-dati ta’ konsenja dovuti tagħhom bil-prezzijiet tas-saldu miftiehma rispettivi.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f’{r0070;c0020} l-informazzjoni aggregata għall-iskopertura għad-differenza fil-prezzijiet minħabba tranżazzjonijiet mhux saldati f’telf.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f’{r0070;c0030} ir-rekwiżiti ta’ fondi proprji aggregati derivati mill-għadd flimkien tar-rekwiżiti ta’ fondi proprji għal tranżazzjonijiet mhux saldati billi jimmultiplikaw id-“differenza fil-prezz” rapportata fil-kolonna 0020 b’fattur xieraq ibbażat fuq l-għadd ta’ jiem tax-xogħol wara d-data ta’ saldu dovuta (il-kategoriji msemmija fl-Artikolu 378, it-Tabella 1 tar-Regolament (UE) Nru 575/2013).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0080-0120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sa 4 ijiem (Fattur 0</w:t>
            </w:r>
            <w:r>
              <w:t xml:space="preserve"> 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%)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bejn 5 u 15-il jum (Fattur 8 %)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bejn 16 u 30-il jum (Fattur 50 %)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bejn 31 u 45-il jum (Fattur 75 %)</w:t>
            </w:r>
          </w:p>
          <w:p w14:paraId="61E1443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Tranżazzjonijiet mhux saldati għal 46 jum jew aktar (Fattur 100 %)</w:t>
            </w:r>
          </w:p>
          <w:p w14:paraId="1A0345F5" w14:textId="77777777" w:rsidR="00925646" w:rsidRPr="002A677E" w:rsidRDefault="00925646" w:rsidP="00E07FE9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fir-ringieli minn 0080 sa 0120 l-informazzjoni dwar ir-riskju tas-saldu/tal-konsenja għal pożizzjonijiet tal-portafoll mhux tan-negozjar f’konformità mal-kategoriji msemmija fl-Artikolu 378, it-Tabella 1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9F762A" w14:textId="77777777" w:rsidR="00925646" w:rsidRPr="002A677E" w:rsidRDefault="00925646" w:rsidP="00E07FE9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 hemmx rekwiżit ta’ fondi proprji għar-riskju tas-saldu/tal-konsenja għal tranżazzjonijiet mhux saldati inqas minn 5 ijiem tax-xogħol wara d-data tas-saldu dovuta.</w:t>
            </w:r>
          </w:p>
        </w:tc>
      </w:tr>
    </w:tbl>
    <w:p w14:paraId="5D73F136" w14:textId="77777777" w:rsidR="00925646" w:rsidRPr="002A677E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Default="00925646" w:rsidP="00925646">
      <w:r>
        <w:br w:type="page"/>
      </w:r>
    </w:p>
    <w:p w14:paraId="557ADFEB" w14:textId="77777777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1AA" w14:textId="77777777" w:rsidR="00960943" w:rsidRDefault="00960943" w:rsidP="00925646">
      <w:pPr>
        <w:spacing w:before="0" w:after="0"/>
      </w:pPr>
      <w:r>
        <w:separator/>
      </w:r>
    </w:p>
  </w:endnote>
  <w:endnote w:type="continuationSeparator" w:id="0">
    <w:p w14:paraId="65273641" w14:textId="77777777" w:rsidR="00960943" w:rsidRDefault="00960943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BB9E" w14:textId="77777777" w:rsidR="00960943" w:rsidRDefault="00960943" w:rsidP="00925646">
      <w:pPr>
        <w:spacing w:before="0" w:after="0"/>
      </w:pPr>
      <w:r>
        <w:separator/>
      </w:r>
    </w:p>
  </w:footnote>
  <w:footnote w:type="continuationSeparator" w:id="0">
    <w:p w14:paraId="07A05382" w14:textId="77777777" w:rsidR="00960943" w:rsidRDefault="00960943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5A0E0B"/>
    <w:rsid w:val="00631623"/>
    <w:rsid w:val="006364D5"/>
    <w:rsid w:val="00736637"/>
    <w:rsid w:val="007E5623"/>
    <w:rsid w:val="00925646"/>
    <w:rsid w:val="00960943"/>
    <w:rsid w:val="009C5DD6"/>
    <w:rsid w:val="00A6002C"/>
    <w:rsid w:val="00AB618F"/>
    <w:rsid w:val="00B71F25"/>
    <w:rsid w:val="00CB0520"/>
    <w:rsid w:val="00EE75F2"/>
    <w:rsid w:val="00EF07A1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9AE7F-8BCC-4701-B5E5-7E5136AE83A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1051</Words>
  <Characters>6013</Characters>
  <Application>Microsoft Office Word</Application>
  <DocSecurity>0</DocSecurity>
  <Lines>130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PETRE Gheorghe-Cristian (FISMA)</cp:lastModifiedBy>
  <cp:revision>9</cp:revision>
  <dcterms:created xsi:type="dcterms:W3CDTF">2024-05-28T09:25:00Z</dcterms:created>
  <dcterms:modified xsi:type="dcterms:W3CDTF">2024-07-10T18:21:00Z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