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Default="00003310" w:rsidP="00003310">
      <w:pPr>
        <w:jc w:val="center"/>
        <w:rPr>
          <w:rFonts w:ascii="Times New Roman" w:hAnsi="Times New Roman"/>
          <w:sz w:val="24"/>
        </w:rPr>
      </w:pPr>
      <w:bookmarkStart w:id="0" w:name="_Toc264038394"/>
      <w:bookmarkStart w:id="1" w:name="_Toc360188317"/>
      <w:bookmarkStart w:id="2" w:name="_Toc473560865"/>
      <w:r>
        <w:rPr>
          <w:rFonts w:ascii="Times New Roman" w:hAnsi="Times New Roman"/>
          <w:sz w:val="24"/>
        </w:rPr>
        <w:t>IT</w:t>
      </w:r>
    </w:p>
    <w:p w14:paraId="15E4241A" w14:textId="77777777" w:rsidR="00003310" w:rsidRDefault="00003310" w:rsidP="00003310"/>
    <w:p w14:paraId="6C49A80C" w14:textId="77777777" w:rsidR="00003310" w:rsidRDefault="00003310" w:rsidP="000033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ALLEGATO II</w:t>
      </w:r>
    </w:p>
    <w:p w14:paraId="60C0D3D0" w14:textId="77777777" w:rsidR="00003310" w:rsidRPr="002A677E" w:rsidRDefault="00003310" w:rsidP="000033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"ALLEGATO II</w:t>
      </w:r>
    </w:p>
    <w:p w14:paraId="608AAB5A" w14:textId="77777777" w:rsidR="00003310" w:rsidRPr="002A677E" w:rsidRDefault="00003310" w:rsidP="0000331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ISTRUZIONI PER LE SEGNALAZIONI RIGUARDANTI I FONDI PROPRI E I REQUISITI DI FONDI PROPRI</w:t>
      </w:r>
    </w:p>
    <w:p w14:paraId="42DC7EE7" w14:textId="77777777" w:rsidR="00003310" w:rsidRPr="002A677E" w:rsidRDefault="00003310" w:rsidP="00003310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BA4D57E" w14:textId="333CE1A5" w:rsidR="00233F67" w:rsidRPr="00233F67" w:rsidRDefault="00B96029" w:rsidP="00233F67">
      <w:pPr>
        <w:pStyle w:val="InstructionsText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lang w:val="en-US"/>
        </w:rPr>
        <w:t>Indice</w:t>
      </w:r>
    </w:p>
    <w:p w14:paraId="7D9F3FFA" w14:textId="77777777" w:rsidR="00233F67" w:rsidRPr="00233F67" w:rsidRDefault="00233F67" w:rsidP="00233F67">
      <w:pPr>
        <w:rPr>
          <w:rFonts w:asciiTheme="majorBidi" w:hAnsiTheme="majorBidi" w:cstheme="majorBidi"/>
          <w:lang w:val="en-US"/>
        </w:rPr>
      </w:pPr>
    </w:p>
    <w:p w14:paraId="3B3D77F0" w14:textId="77777777" w:rsidR="0081534F" w:rsidRPr="004A6AB4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smallCaps w:val="0"/>
          <w:kern w:val="2"/>
          <w:sz w:val="22"/>
          <w:lang w:val="en-IE" w:eastAsia="en-IE"/>
          <w14:ligatures w14:val="standardContextual"/>
        </w:rPr>
      </w:pPr>
      <w:r w:rsidRPr="004A6AB4">
        <w:rPr>
          <w:rFonts w:ascii="Times New Roman" w:hAnsi="Times New Roman"/>
          <w:b w:val="0"/>
        </w:rPr>
        <w:fldChar w:fldCharType="begin"/>
      </w:r>
      <w:r w:rsidRPr="004A6AB4">
        <w:rPr>
          <w:rFonts w:ascii="Times New Roman" w:hAnsi="Times New Roman"/>
          <w:b w:val="0"/>
        </w:rPr>
        <w:instrText xml:space="preserve"> TOC \o "1-3" \n \h \z \u </w:instrText>
      </w:r>
      <w:r w:rsidRPr="004A6AB4">
        <w:rPr>
          <w:rFonts w:ascii="Times New Roman" w:hAnsi="Times New Roman"/>
          <w:b w:val="0"/>
        </w:rPr>
        <w:fldChar w:fldCharType="separate"/>
      </w:r>
      <w:hyperlink w:anchor="_Toc187850390" w:history="1">
        <w:r w:rsidRPr="004A6AB4">
          <w:rPr>
            <w:rStyle w:val="Hyperlink"/>
            <w:rFonts w:ascii="Times New Roman" w:hAnsi="Times New Roman"/>
            <w:b w:val="0"/>
          </w:rPr>
          <w:t>PARTE I: ISTRUZIONI DI CARATTERE GENERALE</w:t>
        </w:r>
      </w:hyperlink>
    </w:p>
    <w:p w14:paraId="402EFDB7" w14:textId="77777777" w:rsidR="0081534F" w:rsidRPr="004A6AB4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850391" w:history="1">
        <w:r w:rsidRPr="004A6AB4">
          <w:rPr>
            <w:rStyle w:val="Hyperlink"/>
            <w:rFonts w:ascii="Times New Roman" w:hAnsi="Times New Roman"/>
            <w:b w:val="0"/>
          </w:rPr>
          <w:t>1.</w:t>
        </w:r>
        <w:r w:rsidRPr="004A6AB4">
          <w:rPr>
            <w:rFonts w:ascii="Times New Roman" w:eastAsiaTheme="minorEastAsia" w:hAnsi="Times New Roman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4A6AB4">
          <w:rPr>
            <w:rStyle w:val="Hyperlink"/>
            <w:rFonts w:ascii="Times New Roman" w:hAnsi="Times New Roman"/>
            <w:b w:val="0"/>
          </w:rPr>
          <w:t>STRUTTURA E CONVENZIONI</w:t>
        </w:r>
      </w:hyperlink>
    </w:p>
    <w:p w14:paraId="65C832EA" w14:textId="77777777" w:rsidR="0081534F" w:rsidRPr="004A6AB4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850392" w:history="1">
        <w:r w:rsidRPr="004A6AB4">
          <w:rPr>
            <w:rStyle w:val="Hyperlink"/>
            <w:rFonts w:ascii="Times New Roman" w:hAnsi="Times New Roman"/>
            <w:b w:val="0"/>
          </w:rPr>
          <w:t>1.1.</w:t>
        </w:r>
        <w:r w:rsidRPr="004A6AB4">
          <w:rPr>
            <w:rFonts w:ascii="Times New Roman" w:eastAsiaTheme="minorEastAsia" w:hAnsi="Times New Roman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4A6AB4">
          <w:rPr>
            <w:rStyle w:val="Hyperlink"/>
            <w:rFonts w:ascii="Times New Roman" w:hAnsi="Times New Roman"/>
            <w:b w:val="0"/>
          </w:rPr>
          <w:t>STRUTTURA</w:t>
        </w:r>
      </w:hyperlink>
    </w:p>
    <w:p w14:paraId="4C562841" w14:textId="77777777" w:rsidR="0081534F" w:rsidRPr="004A6AB4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850393" w:history="1">
        <w:r w:rsidRPr="004A6AB4">
          <w:rPr>
            <w:rStyle w:val="Hyperlink"/>
            <w:rFonts w:ascii="Times New Roman" w:hAnsi="Times New Roman"/>
            <w:b w:val="0"/>
          </w:rPr>
          <w:t>1.2.</w:t>
        </w:r>
        <w:r w:rsidRPr="004A6AB4">
          <w:rPr>
            <w:rFonts w:ascii="Times New Roman" w:eastAsiaTheme="minorEastAsia" w:hAnsi="Times New Roman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4A6AB4">
          <w:rPr>
            <w:rStyle w:val="Hyperlink"/>
            <w:rFonts w:ascii="Times New Roman" w:hAnsi="Times New Roman"/>
            <w:b w:val="0"/>
          </w:rPr>
          <w:t>CONVENZIONE DI NUMERAZIONE</w:t>
        </w:r>
      </w:hyperlink>
    </w:p>
    <w:p w14:paraId="20531903" w14:textId="77777777" w:rsidR="0081534F" w:rsidRPr="004A6AB4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850394" w:history="1">
        <w:r w:rsidRPr="004A6AB4">
          <w:rPr>
            <w:rStyle w:val="Hyperlink"/>
            <w:rFonts w:ascii="Times New Roman" w:hAnsi="Times New Roman"/>
            <w:b w:val="0"/>
          </w:rPr>
          <w:t>1.3.</w:t>
        </w:r>
        <w:r w:rsidRPr="004A6AB4">
          <w:rPr>
            <w:rFonts w:ascii="Times New Roman" w:eastAsiaTheme="minorEastAsia" w:hAnsi="Times New Roman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4A6AB4">
          <w:rPr>
            <w:rStyle w:val="Hyperlink"/>
            <w:rFonts w:ascii="Times New Roman" w:hAnsi="Times New Roman"/>
            <w:b w:val="0"/>
          </w:rPr>
          <w:t>CONVENZIONE DEI SEGNI</w:t>
        </w:r>
      </w:hyperlink>
    </w:p>
    <w:p w14:paraId="2EF341F0" w14:textId="77777777" w:rsidR="0081534F" w:rsidRPr="00F16565" w:rsidRDefault="0081534F" w:rsidP="0081534F">
      <w:pPr>
        <w:spacing w:before="160" w:after="60" w:line="360" w:lineRule="auto"/>
        <w:contextualSpacing/>
        <w:rPr>
          <w:rFonts w:ascii="Times New Roman" w:hAnsi="Times New Roman" w:cs="Times New Roman"/>
        </w:rPr>
      </w:pPr>
      <w:r w:rsidRPr="004A6AB4">
        <w:rPr>
          <w:rFonts w:ascii="Times New Roman" w:hAnsi="Times New Roman" w:cs="Times New Roman"/>
        </w:rPr>
        <w:fldChar w:fldCharType="end"/>
      </w:r>
      <w:r w:rsidRPr="006A4099">
        <w:rPr>
          <w:rFonts w:ascii="Times New Roman" w:eastAsia="Times New Roman" w:hAnsi="Times New Roman"/>
          <w:b/>
          <w:bCs/>
          <w:smallCaps/>
          <w:noProof/>
          <w:kern w:val="0"/>
          <w:sz w:val="20"/>
          <w:lang w:eastAsia="x-none"/>
          <w14:ligatures w14:val="none"/>
        </w:rPr>
        <w:fldChar w:fldCharType="begin"/>
      </w:r>
      <w:r w:rsidRPr="006A4099">
        <w:rPr>
          <w:rFonts w:ascii="Times New Roman" w:hAnsi="Times New Roman"/>
          <w:bCs/>
          <w:lang w:eastAsia="x-none"/>
        </w:rPr>
        <w:instrText xml:space="preserve"> TOC \o "1-3" \n \h \z \u </w:instrText>
      </w:r>
      <w:r w:rsidRPr="006A4099">
        <w:rPr>
          <w:rFonts w:ascii="Times New Roman" w:eastAsia="Times New Roman" w:hAnsi="Times New Roman"/>
          <w:b/>
          <w:bCs/>
          <w:smallCaps/>
          <w:noProof/>
          <w:kern w:val="0"/>
          <w:sz w:val="20"/>
          <w:lang w:eastAsia="x-none"/>
          <w14:ligatures w14:val="none"/>
        </w:rPr>
        <w:fldChar w:fldCharType="separate"/>
      </w:r>
      <w:hyperlink w:anchor="_Toc187850630" w:history="1">
        <w:r w:rsidRPr="006A4099">
          <w:rPr>
            <w:rStyle w:val="Hyperlink"/>
            <w:rFonts w:ascii="Times New Roman" w:eastAsia="Arial" w:hAnsi="Times New Roman"/>
            <w:bCs/>
          </w:rPr>
          <w:t>PARTE II: ISTRUZIONI RELATIVE AI MODELLI</w:t>
        </w:r>
      </w:hyperlink>
    </w:p>
    <w:p w14:paraId="4535505B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1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DESCRIZIONE DELL'ADEGUATEZZA PATRIMONIALE (CA)</w:t>
        </w:r>
      </w:hyperlink>
    </w:p>
    <w:p w14:paraId="2958876E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2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1.1.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OSSERVAZIONI DI CARATTERE GENERALE</w:t>
        </w:r>
      </w:hyperlink>
    </w:p>
    <w:p w14:paraId="44504EAB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3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1.2.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C 01.00 — FONDI PROPRI (CA1)</w:t>
        </w:r>
      </w:hyperlink>
    </w:p>
    <w:p w14:paraId="57E6C971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4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1.2.1.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ISTRUZIONI RELATIVE A POSIZIONI SPECIFICHE</w:t>
        </w:r>
      </w:hyperlink>
    </w:p>
    <w:p w14:paraId="4BCACD4A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5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1.3.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C 02.00 — REQUISITI DI FONDI PROPRI (CA2)</w:t>
        </w:r>
      </w:hyperlink>
    </w:p>
    <w:p w14:paraId="3E327689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6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1.3.1.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ISTRUZIONI RELATIVE A POSIZIONI SPECIFICHE</w:t>
        </w:r>
      </w:hyperlink>
    </w:p>
    <w:p w14:paraId="30FA39C4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7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1.4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C 03.00 — COEFFICIENTI DI CAPITALE E LIVELLI DI CAPITALE (CA3)</w:t>
        </w:r>
      </w:hyperlink>
    </w:p>
    <w:p w14:paraId="0A86DF6F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8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1.4.1.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ISTRUZIONI RELATIVE A POSIZIONI SPECIFICHE</w:t>
        </w:r>
      </w:hyperlink>
    </w:p>
    <w:p w14:paraId="733666E2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39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1.5.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C 04.00 — VOCI PER MEMORIA (CA4)</w:t>
        </w:r>
      </w:hyperlink>
    </w:p>
    <w:p w14:paraId="0915E9D6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40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1.5.1.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ISTRUZIONI RELATIVE A POSIZIONI SPECIFICHE</w:t>
        </w:r>
      </w:hyperlink>
    </w:p>
    <w:p w14:paraId="28B8626D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41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1.6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DISPOSIZIONI TRANSITORIE E STRUMENTI SOGGETTI ALLA CLAUSOLA GRANDFATHERING: STRUMENTI CHE NON COSTITUISCONO AIUTI DI STATO (CA5)</w:t>
        </w:r>
      </w:hyperlink>
    </w:p>
    <w:p w14:paraId="44A4C577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42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1.6.1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OSSERVAZIONI DI CARATTERE GENERALE</w:t>
        </w:r>
      </w:hyperlink>
    </w:p>
    <w:p w14:paraId="00384638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43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1.6.2.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C 05.01 — DISPOSIZIONI TRANSITORIE (CA5.1)</w:t>
        </w:r>
      </w:hyperlink>
    </w:p>
    <w:p w14:paraId="09EA799C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44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1.6.2.1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ISTRUZIONI RELATIVE A POSIZIONI SPECIFICHE</w:t>
        </w:r>
      </w:hyperlink>
    </w:p>
    <w:p w14:paraId="0348100C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45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1.6.3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C 05.02 — STRUMENTI SOGGETTI ALLA CLAUSOLA GRANDFATHERING: STRUMENTI CHE NON COSTITUISCONO AIUTI DI STATO (CA5.2)</w:t>
        </w:r>
      </w:hyperlink>
    </w:p>
    <w:p w14:paraId="7E9C4AF4" w14:textId="77777777" w:rsidR="0081534F" w:rsidRPr="006A4099" w:rsidRDefault="0081534F" w:rsidP="0081534F">
      <w:pPr>
        <w:pStyle w:val="TOC2"/>
        <w:spacing w:before="160" w:line="360" w:lineRule="auto"/>
        <w:contextualSpacing/>
        <w:rPr>
          <w:rFonts w:ascii="Times New Roman" w:eastAsiaTheme="minorEastAsia" w:hAnsi="Times New Roman"/>
          <w:b w:val="0"/>
          <w:bCs/>
          <w:smallCaps w:val="0"/>
          <w:kern w:val="2"/>
          <w:sz w:val="22"/>
          <w:lang w:val="en-IE" w:eastAsia="en-IE"/>
          <w14:ligatures w14:val="standardContextual"/>
        </w:rPr>
      </w:pPr>
      <w:hyperlink w:anchor="_Toc187850646" w:history="1">
        <w:r w:rsidRPr="006A4099">
          <w:rPr>
            <w:rStyle w:val="Hyperlink"/>
            <w:rFonts w:ascii="Times New Roman" w:eastAsia="Arial" w:hAnsi="Times New Roman"/>
            <w:b w:val="0"/>
            <w:bCs/>
          </w:rPr>
          <w:t>1.6.3.1</w:t>
        </w:r>
        <w:r w:rsidRPr="006A4099">
          <w:rPr>
            <w:rFonts w:ascii="Times New Roman" w:eastAsiaTheme="minorEastAsia" w:hAnsi="Times New Roman"/>
            <w:b w:val="0"/>
            <w:bCs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6A4099">
          <w:rPr>
            <w:rStyle w:val="Hyperlink"/>
            <w:rFonts w:ascii="Times New Roman" w:eastAsia="Arial" w:hAnsi="Times New Roman"/>
            <w:b w:val="0"/>
            <w:bCs/>
          </w:rPr>
          <w:t>ISTRUZIONI RELATIVE A POSIZIONI SPECIFICHE</w:t>
        </w:r>
      </w:hyperlink>
    </w:p>
    <w:p w14:paraId="4CF462D7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6A4099">
        <w:rPr>
          <w:rFonts w:ascii="Times New Roman" w:hAnsi="Times New Roman" w:cs="Times New Roman"/>
          <w:bCs/>
          <w:lang w:eastAsia="x-none"/>
        </w:rPr>
        <w:fldChar w:fldCharType="end"/>
      </w:r>
      <w:r w:rsidRPr="00E23279">
        <w:rPr>
          <w:rFonts w:asciiTheme="majorBidi" w:hAnsiTheme="majorBidi" w:cstheme="majorBidi"/>
          <w:sz w:val="20"/>
          <w:szCs w:val="20"/>
        </w:rPr>
        <w:t>2.</w:t>
      </w:r>
      <w:r w:rsidRPr="00E23279">
        <w:rPr>
          <w:rFonts w:asciiTheme="majorBidi" w:hAnsiTheme="majorBidi" w:cstheme="majorBidi"/>
          <w:sz w:val="20"/>
          <w:szCs w:val="20"/>
        </w:rPr>
        <w:tab/>
        <w:t>SOLVIBILITÀ DEL GRUPPO: INFORMAZIONI SULLE AFFILIATE (GS)</w:t>
      </w:r>
    </w:p>
    <w:p w14:paraId="5680A0DB" w14:textId="77777777" w:rsidR="0081534F" w:rsidRPr="00E2327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E23279">
        <w:rPr>
          <w:rFonts w:asciiTheme="majorBidi" w:hAnsiTheme="majorBidi" w:cstheme="majorBidi"/>
          <w:sz w:val="20"/>
          <w:szCs w:val="20"/>
        </w:rPr>
        <w:t>2.1.</w:t>
      </w:r>
      <w:r w:rsidRPr="00E23279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1FA7C7BA" w14:textId="77777777" w:rsidR="0081534F" w:rsidRPr="00E2327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E23279">
        <w:rPr>
          <w:rFonts w:asciiTheme="majorBidi" w:hAnsiTheme="majorBidi" w:cstheme="majorBidi"/>
          <w:sz w:val="20"/>
          <w:szCs w:val="20"/>
        </w:rPr>
        <w:t>2.2.</w:t>
      </w:r>
      <w:r w:rsidRPr="00E23279">
        <w:rPr>
          <w:rFonts w:asciiTheme="majorBidi" w:hAnsiTheme="majorBidi" w:cstheme="majorBidi"/>
          <w:sz w:val="20"/>
          <w:szCs w:val="20"/>
        </w:rPr>
        <w:tab/>
        <w:t>INFORMAZIONI DETTAGLIATE SULLA SOLVIBILITÀ DEL GRUPPO</w:t>
      </w:r>
    </w:p>
    <w:p w14:paraId="02A60011" w14:textId="77777777" w:rsidR="0081534F" w:rsidRPr="00E2327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E23279">
        <w:rPr>
          <w:rFonts w:asciiTheme="majorBidi" w:hAnsiTheme="majorBidi" w:cstheme="majorBidi"/>
          <w:sz w:val="20"/>
          <w:szCs w:val="20"/>
        </w:rPr>
        <w:lastRenderedPageBreak/>
        <w:t>2.3.</w:t>
      </w:r>
      <w:r w:rsidRPr="00E23279">
        <w:rPr>
          <w:rFonts w:asciiTheme="majorBidi" w:hAnsiTheme="majorBidi" w:cstheme="majorBidi"/>
          <w:sz w:val="20"/>
          <w:szCs w:val="20"/>
        </w:rPr>
        <w:tab/>
        <w:t>INFORMAZIONI SUL CONTRIBUTO DEI SINGOLI SOGGETTI ALLA SOLVIBILITÀ DEL GRUPPO</w:t>
      </w:r>
    </w:p>
    <w:p w14:paraId="355D4951" w14:textId="77777777" w:rsidR="0081534F" w:rsidRPr="00E2327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E23279">
        <w:rPr>
          <w:rFonts w:asciiTheme="majorBidi" w:hAnsiTheme="majorBidi" w:cstheme="majorBidi"/>
          <w:sz w:val="20"/>
          <w:szCs w:val="20"/>
        </w:rPr>
        <w:t>2.4.</w:t>
      </w:r>
      <w:r w:rsidRPr="00E23279">
        <w:rPr>
          <w:rFonts w:asciiTheme="majorBidi" w:hAnsiTheme="majorBidi" w:cstheme="majorBidi"/>
          <w:sz w:val="20"/>
          <w:szCs w:val="20"/>
        </w:rPr>
        <w:tab/>
        <w:t>C 06.01 – SOLVIBILITÀ DEL GRUPPO: INFORMAZIONI SULLE AFFILIATE — TOTALE (TOTALE GS)</w:t>
      </w:r>
    </w:p>
    <w:p w14:paraId="56D28AA8" w14:textId="77777777" w:rsidR="0081534F" w:rsidRPr="00E2327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E23279">
        <w:rPr>
          <w:rFonts w:asciiTheme="majorBidi" w:hAnsiTheme="majorBidi" w:cstheme="majorBidi"/>
          <w:sz w:val="20"/>
          <w:szCs w:val="20"/>
        </w:rPr>
        <w:t>2.5.</w:t>
      </w:r>
      <w:r w:rsidRPr="00E23279">
        <w:rPr>
          <w:rFonts w:asciiTheme="majorBidi" w:hAnsiTheme="majorBidi" w:cstheme="majorBidi"/>
          <w:sz w:val="20"/>
          <w:szCs w:val="20"/>
        </w:rPr>
        <w:tab/>
        <w:t>C 06.02 – SOLVIBILITÀ DEL GRUPPO: INFORMAZIONI SULLE AFFILIATE (GS)</w:t>
      </w:r>
    </w:p>
    <w:p w14:paraId="661E44E4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3.</w:t>
      </w:r>
      <w:r w:rsidRPr="0036579C">
        <w:rPr>
          <w:rFonts w:asciiTheme="majorBidi" w:hAnsiTheme="majorBidi" w:cstheme="majorBidi"/>
          <w:sz w:val="20"/>
          <w:szCs w:val="20"/>
        </w:rPr>
        <w:tab/>
        <w:t>CREDIT RISK TEMPLATES</w:t>
      </w:r>
    </w:p>
    <w:p w14:paraId="3245D451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3.1.</w:t>
      </w:r>
      <w:r w:rsidRPr="000C2DC3">
        <w:rPr>
          <w:rFonts w:asciiTheme="majorBidi" w:hAnsiTheme="majorBidi" w:cstheme="majorBidi"/>
          <w:sz w:val="20"/>
          <w:szCs w:val="20"/>
        </w:rPr>
        <w:tab/>
        <w:t>MODELLI DEL RISCHIO DI CREDITO</w:t>
      </w:r>
    </w:p>
    <w:p w14:paraId="3BEEFA12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3.1.</w:t>
      </w:r>
      <w:r w:rsidRPr="000C2DC3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59FC6BCA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3.1.1.</w:t>
      </w:r>
      <w:r w:rsidRPr="000C2DC3">
        <w:rPr>
          <w:rFonts w:asciiTheme="majorBidi" w:hAnsiTheme="majorBidi" w:cstheme="majorBidi"/>
          <w:sz w:val="20"/>
          <w:szCs w:val="20"/>
        </w:rPr>
        <w:tab/>
        <w:t>SEGNALAZIONE DELLE TECNICHE DI ATTENUAZIONE DEL RISCHIO DI CREDITO CON EFFETTO DI SOSTITUZIONE</w:t>
      </w:r>
    </w:p>
    <w:p w14:paraId="43C009C3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3.1.2.</w:t>
      </w:r>
      <w:r w:rsidRPr="000C2DC3">
        <w:rPr>
          <w:rFonts w:asciiTheme="majorBidi" w:hAnsiTheme="majorBidi" w:cstheme="majorBidi"/>
          <w:sz w:val="20"/>
          <w:szCs w:val="20"/>
        </w:rPr>
        <w:tab/>
        <w:t>SEGNALAZIONE DEL RISCHIO DI CONTROPARTE</w:t>
      </w:r>
    </w:p>
    <w:p w14:paraId="39434E77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3.2.</w:t>
      </w:r>
      <w:r w:rsidRPr="000C2DC3">
        <w:rPr>
          <w:rFonts w:asciiTheme="majorBidi" w:hAnsiTheme="majorBidi" w:cstheme="majorBidi"/>
          <w:sz w:val="20"/>
          <w:szCs w:val="20"/>
        </w:rPr>
        <w:tab/>
        <w:t>C 07.00 — RISCHIO DI CREDITO E RISCHIO DI CONTROPARTE E OPERAZIONI CON REGOLAMENTO NON CONTESTUALE: METODO STANDARDIZZATO APPLICATO AI REQUISITI PATRIMONIALI (CR SA)</w:t>
      </w:r>
    </w:p>
    <w:p w14:paraId="6625EFCA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3.2.1.</w:t>
      </w:r>
      <w:r w:rsidRPr="000C2DC3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586CF9F0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3.2.2.</w:t>
      </w:r>
      <w:r w:rsidRPr="000C2DC3">
        <w:rPr>
          <w:rFonts w:asciiTheme="majorBidi" w:hAnsiTheme="majorBidi" w:cstheme="majorBidi"/>
          <w:sz w:val="20"/>
          <w:szCs w:val="20"/>
        </w:rPr>
        <w:tab/>
        <w:t>AMBITO DI APPLICAZIONE DEL MODELLO CR SA</w:t>
      </w:r>
    </w:p>
    <w:p w14:paraId="67BD590E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3.2.3.</w:t>
      </w:r>
      <w:r w:rsidRPr="000C2DC3">
        <w:rPr>
          <w:rFonts w:asciiTheme="majorBidi" w:hAnsiTheme="majorBidi" w:cstheme="majorBidi"/>
          <w:sz w:val="20"/>
          <w:szCs w:val="20"/>
        </w:rPr>
        <w:tab/>
        <w:t xml:space="preserve"> ASSEGNAZIONE DI ESPOSIZIONI ALLE CLASSI DI ESPOSIZIONI IN APPLICAZIONE DEL METODO STANDARDIZZATO</w:t>
      </w:r>
    </w:p>
    <w:p w14:paraId="660E6B5D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3.2.4.</w:t>
      </w:r>
      <w:r w:rsidRPr="000C2DC3">
        <w:rPr>
          <w:rFonts w:asciiTheme="majorBidi" w:hAnsiTheme="majorBidi" w:cstheme="majorBidi"/>
          <w:sz w:val="20"/>
          <w:szCs w:val="20"/>
        </w:rPr>
        <w:tab/>
        <w:t>CHIARIMENTI SUL PERIMETRO DI ALCUNE CLASSI DI ESPOSIZIONI SPECIFICHE DI CUI ALL'ARTICOLO 112 DEL REGOLAMENTO (UE) N. 575/2013</w:t>
      </w:r>
    </w:p>
    <w:p w14:paraId="5239C399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3.2.4.1.</w:t>
      </w:r>
      <w:r w:rsidRPr="000C2DC3">
        <w:rPr>
          <w:rFonts w:asciiTheme="majorBidi" w:hAnsiTheme="majorBidi" w:cstheme="majorBidi"/>
          <w:sz w:val="20"/>
          <w:szCs w:val="20"/>
        </w:rPr>
        <w:tab/>
        <w:t>CLASSE DI ESPOSIZIONI "ENTI"</w:t>
      </w:r>
    </w:p>
    <w:p w14:paraId="0D11A53E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3.2.4.2.</w:t>
      </w:r>
      <w:r w:rsidRPr="000C2DC3">
        <w:rPr>
          <w:rFonts w:asciiTheme="majorBidi" w:hAnsiTheme="majorBidi" w:cstheme="majorBidi"/>
          <w:sz w:val="20"/>
          <w:szCs w:val="20"/>
        </w:rPr>
        <w:tab/>
        <w:t>CLASSE DI ESPOSIZIONI "OBBLIGAZIONI GARANTITE"</w:t>
      </w:r>
    </w:p>
    <w:p w14:paraId="78FCFB22" w14:textId="77777777" w:rsidR="0081534F" w:rsidRPr="000C2DC3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0C2DC3">
        <w:rPr>
          <w:rFonts w:asciiTheme="majorBidi" w:hAnsiTheme="majorBidi" w:cstheme="majorBidi"/>
          <w:sz w:val="20"/>
          <w:szCs w:val="20"/>
        </w:rPr>
        <w:t>3.2.4.3.</w:t>
      </w:r>
      <w:r w:rsidRPr="000C2DC3">
        <w:rPr>
          <w:rFonts w:asciiTheme="majorBidi" w:hAnsiTheme="majorBidi" w:cstheme="majorBidi"/>
          <w:sz w:val="20"/>
          <w:szCs w:val="20"/>
        </w:rPr>
        <w:tab/>
        <w:t>CLASSE DI ESPOSIZIONI "ORGANISMI DI INVESTIMENTO COLLETTIVO"</w:t>
      </w:r>
    </w:p>
    <w:p w14:paraId="1C3B4FB9" w14:textId="77777777" w:rsidR="0081534F" w:rsidRPr="00233F67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  <w:lang w:val="en-US"/>
        </w:rPr>
      </w:pPr>
      <w:r w:rsidRPr="000C2DC3">
        <w:rPr>
          <w:rFonts w:asciiTheme="majorBidi" w:hAnsiTheme="majorBidi" w:cstheme="majorBidi"/>
          <w:sz w:val="20"/>
          <w:szCs w:val="20"/>
        </w:rPr>
        <w:t>3.2.5.</w:t>
      </w:r>
      <w:r w:rsidRPr="000C2DC3">
        <w:rPr>
          <w:rFonts w:asciiTheme="majorBidi" w:hAnsiTheme="majorBidi" w:cstheme="majorBidi"/>
          <w:sz w:val="20"/>
          <w:szCs w:val="20"/>
        </w:rPr>
        <w:tab/>
        <w:t>ISTRUZIONI RELATIVE A POSIZIONI SPECIFICHE3.3.</w:t>
      </w:r>
      <w:r w:rsidRPr="000C2DC3">
        <w:rPr>
          <w:rFonts w:asciiTheme="majorBidi" w:hAnsiTheme="majorBidi" w:cstheme="majorBidi"/>
          <w:sz w:val="20"/>
          <w:szCs w:val="20"/>
        </w:rPr>
        <w:tab/>
      </w:r>
      <w:r w:rsidRPr="00233F67">
        <w:rPr>
          <w:rFonts w:asciiTheme="majorBidi" w:hAnsiTheme="majorBidi" w:cstheme="majorBidi"/>
          <w:sz w:val="20"/>
          <w:szCs w:val="20"/>
          <w:lang w:val="en-US"/>
        </w:rPr>
        <w:t xml:space="preserve">CREDIT AND COUNTERPARTY CREDIT RISKS AND FREE DELIVERIES: IRB APPROACH TO OWN FUNDS REQUIREMENTS (CR IRB) </w:t>
      </w:r>
    </w:p>
    <w:p w14:paraId="2A6E362A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3.3.1.</w:t>
      </w:r>
      <w:r w:rsidRPr="00964689">
        <w:rPr>
          <w:rFonts w:asciiTheme="majorBidi" w:hAnsiTheme="majorBidi" w:cstheme="majorBidi"/>
          <w:sz w:val="20"/>
          <w:szCs w:val="20"/>
        </w:rPr>
        <w:tab/>
        <w:t>AMBITO DI APPLICAZIONE DEL MODELLO CR IRB</w:t>
      </w:r>
    </w:p>
    <w:p w14:paraId="6120A772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3.3.2.</w:t>
      </w:r>
      <w:r w:rsidRPr="00964689">
        <w:rPr>
          <w:rFonts w:asciiTheme="majorBidi" w:hAnsiTheme="majorBidi" w:cstheme="majorBidi"/>
          <w:sz w:val="20"/>
          <w:szCs w:val="20"/>
        </w:rPr>
        <w:tab/>
        <w:t>RIPARTIZIONE DEL MODELLO CR IRB</w:t>
      </w:r>
    </w:p>
    <w:p w14:paraId="3CC4B77A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3.3.3.1</w:t>
      </w:r>
      <w:r w:rsidRPr="00964689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61BF8ED9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3.3.4.</w:t>
      </w:r>
      <w:r w:rsidRPr="00964689">
        <w:rPr>
          <w:rFonts w:asciiTheme="majorBidi" w:hAnsiTheme="majorBidi" w:cstheme="majorBidi"/>
          <w:sz w:val="20"/>
          <w:szCs w:val="20"/>
        </w:rPr>
        <w:tab/>
        <w:t>C 08.02 — RISCHIO DI CREDITO E RISCHIO DI CONTROPARTE E OPERAZIONI CON REGOLAMENTO NON CONTESTUALE: METODO IRB APPLICATO AI REQUISITI PATRIMONIALI - RIPARTIZIONE PER CLASSE O POOL DI DEBITORI (MODELLO CR IRB 2)</w:t>
      </w:r>
    </w:p>
    <w:p w14:paraId="0CD7F845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3.3.1.</w:t>
      </w:r>
      <w:r w:rsidRPr="00964689">
        <w:rPr>
          <w:rFonts w:asciiTheme="majorBidi" w:hAnsiTheme="majorBidi" w:cstheme="majorBidi"/>
          <w:sz w:val="20"/>
          <w:szCs w:val="20"/>
        </w:rPr>
        <w:tab/>
        <w:t>C 08.03 — RISCHIO DI CREDITO E OPERAZIONI CON REGOLAMENTO NON CONTESTUALE: METODO IRB APPLICATO AI REQUISITI PATRIMONIALI (RIPARTIZIONE PER INTERVALLI DI PD (CR IRB 3))</w:t>
      </w:r>
    </w:p>
    <w:p w14:paraId="545C35F3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3.3.1.1.</w:t>
      </w:r>
      <w:r w:rsidRPr="00964689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708E7EAB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3.3.1.2.</w:t>
      </w:r>
      <w:r w:rsidRPr="00964689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259E6CB2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3.3.2.</w:t>
      </w:r>
      <w:r w:rsidRPr="00964689">
        <w:rPr>
          <w:rFonts w:asciiTheme="majorBidi" w:hAnsiTheme="majorBidi" w:cstheme="majorBidi"/>
          <w:sz w:val="20"/>
          <w:szCs w:val="20"/>
        </w:rPr>
        <w:tab/>
        <w:t>C 08.04 - RISCHIO DI CREDITO E OPERAZIONI CON REGOLAMENTO NON CONTESTUALE: METODO IRB APPLICATO AI REQUISITI PATRIMONIALI (PROSPETTI DEGLI RWEA (CR IRB 4))</w:t>
      </w:r>
    </w:p>
    <w:p w14:paraId="49BCA4D5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3.3.2.1.</w:t>
      </w:r>
      <w:r w:rsidRPr="00964689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650C53BF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lastRenderedPageBreak/>
        <w:t>3.3.2.2.</w:t>
      </w:r>
      <w:r w:rsidRPr="00964689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24F5B475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3.3.3.</w:t>
      </w:r>
      <w:r w:rsidRPr="00964689">
        <w:rPr>
          <w:rFonts w:asciiTheme="majorBidi" w:hAnsiTheme="majorBidi" w:cstheme="majorBidi"/>
          <w:sz w:val="20"/>
          <w:szCs w:val="20"/>
        </w:rPr>
        <w:tab/>
        <w:t>C 08.05 - RISCHIO DI CREDITO E OPERAZIONI CON REGOLAMENTO NON CONTESTUALE: METODO IRB APPLICATO AI REQUISITI PATRIMONIALI (TEST RETROSPETTIVI DELLA PD (CR IRB 5))</w:t>
      </w:r>
    </w:p>
    <w:p w14:paraId="0118BFD4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3.3.3.1.</w:t>
      </w:r>
      <w:r w:rsidRPr="00964689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2D83DAE5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3.3.3.2.</w:t>
      </w:r>
      <w:r w:rsidRPr="00964689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3671437B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3.3.4.</w:t>
      </w:r>
      <w:r w:rsidRPr="00964689">
        <w:rPr>
          <w:rFonts w:asciiTheme="majorBidi" w:hAnsiTheme="majorBidi" w:cstheme="majorBidi"/>
          <w:sz w:val="20"/>
          <w:szCs w:val="20"/>
        </w:rPr>
        <w:tab/>
        <w:t>C 08.05.1 - RISCHIO DI CREDITO E OPERAZIONI CON REGOLAMENTO NON CONTESTUALE: METODO IRB APPLICATO AI REQUISITI PATRIMONIALI: TEST RETROSPETTIVO DELLA PD AI SENSI DELL'ARTICOLO 180, PARAGRAFO 1, LETTERA F), DEL REGOLAMENTO (UE) N. 575/2013 (CR IRB 5B)</w:t>
      </w:r>
    </w:p>
    <w:p w14:paraId="3236A52E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3.3.4.1.</w:t>
      </w:r>
      <w:r w:rsidRPr="00964689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756BAF9F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3.3.5.</w:t>
      </w:r>
      <w:r w:rsidRPr="00964689">
        <w:rPr>
          <w:rFonts w:asciiTheme="majorBidi" w:hAnsiTheme="majorBidi" w:cstheme="majorBidi"/>
          <w:sz w:val="20"/>
          <w:szCs w:val="20"/>
        </w:rPr>
        <w:tab/>
        <w:t>C 08.06 - RISCHIO DI CREDITO E OPERAZIONI CON REGOLAMENTO NON CONTESTUALE: METODO IRB APPLICATO AI REQUISITI PATRIMONIALI (METODO DI ASSEGNAZIONE DEI FINANZIAMENTI SPECIALIZZATI (CR IRB 6))</w:t>
      </w:r>
    </w:p>
    <w:p w14:paraId="3F3D65C4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3.3.5.1.</w:t>
      </w:r>
      <w:r w:rsidRPr="00964689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3175E58C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3.3.5.2.</w:t>
      </w:r>
      <w:r w:rsidRPr="00964689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12F4016E" w14:textId="77777777" w:rsidR="0081534F" w:rsidRPr="00964689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964689">
        <w:rPr>
          <w:rFonts w:asciiTheme="majorBidi" w:hAnsiTheme="majorBidi" w:cstheme="majorBidi"/>
          <w:sz w:val="20"/>
          <w:szCs w:val="20"/>
        </w:rPr>
        <w:t>3.3.6.</w:t>
      </w:r>
      <w:r w:rsidRPr="00964689">
        <w:rPr>
          <w:rFonts w:asciiTheme="majorBidi" w:hAnsiTheme="majorBidi" w:cstheme="majorBidi"/>
          <w:sz w:val="20"/>
          <w:szCs w:val="20"/>
        </w:rPr>
        <w:tab/>
        <w:t>C 08.07 - RISCHIO DI CREDITO E OPERAZIONI CON REGOLAMENTO NON CONTESTUALE: METODO IRB APPLICATO AI REQUISITI PATRIMONIALI (AMBITO DI APPLICAZIONE DEI METODI IRB E SA (CR IRB 7))</w:t>
      </w:r>
    </w:p>
    <w:p w14:paraId="35E79D12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3.3.6.1.</w:t>
      </w:r>
      <w:r w:rsidRPr="0036579C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118199A7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3.3.6.2.</w:t>
      </w:r>
      <w:r w:rsidRPr="0036579C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33F0548A" w14:textId="77777777" w:rsidR="0081534F" w:rsidRPr="001F4848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bookmarkStart w:id="3" w:name="_Hlk188261715"/>
      <w:r w:rsidRPr="001F4848">
        <w:rPr>
          <w:rFonts w:asciiTheme="majorBidi" w:hAnsiTheme="majorBidi" w:cstheme="majorBidi"/>
          <w:sz w:val="20"/>
          <w:szCs w:val="20"/>
        </w:rPr>
        <w:t>3.4.</w:t>
      </w:r>
      <w:r w:rsidRPr="001F4848">
        <w:rPr>
          <w:rFonts w:asciiTheme="majorBidi" w:hAnsiTheme="majorBidi" w:cstheme="majorBidi"/>
          <w:sz w:val="20"/>
          <w:szCs w:val="20"/>
        </w:rPr>
        <w:tab/>
        <w:t>RISCHIO DI CREDITO E RISCHIO DI CONTROPARTE E OPERAZIONI CON REGOLAMENTO NON CONTESTUALE: INFORMAZIONI RIPARTITE GEOGRAFICAMENTE</w:t>
      </w:r>
    </w:p>
    <w:bookmarkEnd w:id="3"/>
    <w:p w14:paraId="25E806CE" w14:textId="77777777" w:rsidR="0081534F" w:rsidRPr="00F375F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3.4.1.</w:t>
      </w:r>
      <w:r w:rsidRPr="0036579C">
        <w:rPr>
          <w:rFonts w:asciiTheme="majorBidi" w:hAnsiTheme="majorBidi" w:cstheme="majorBidi"/>
          <w:sz w:val="20"/>
          <w:szCs w:val="20"/>
        </w:rPr>
        <w:tab/>
      </w:r>
      <w:r w:rsidRPr="00F375F2">
        <w:rPr>
          <w:rFonts w:asciiTheme="majorBidi" w:hAnsiTheme="majorBidi" w:cstheme="majorBidi"/>
          <w:sz w:val="20"/>
          <w:szCs w:val="20"/>
        </w:rPr>
        <w:t>C 09.01 — RIPARTIZIONE GEOGRAFICA DELLE ESPOSIZIONI PER RESIDENZA DEL DEBITORE: ESPOSIZIONI CUI È APPLICATO IL METODO STANDARDIZZATO (CR GB 1)</w:t>
      </w:r>
    </w:p>
    <w:p w14:paraId="5159CA0D" w14:textId="77777777" w:rsidR="0081534F" w:rsidRPr="00F375F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375F2">
        <w:rPr>
          <w:rFonts w:asciiTheme="majorBidi" w:hAnsiTheme="majorBidi" w:cstheme="majorBidi"/>
          <w:sz w:val="20"/>
          <w:szCs w:val="20"/>
        </w:rPr>
        <w:t>3.4.1.1.</w:t>
      </w:r>
      <w:r w:rsidRPr="00F375F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7CA93DEB" w14:textId="77777777" w:rsidR="0081534F" w:rsidRPr="00F375F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375F2">
        <w:rPr>
          <w:rFonts w:asciiTheme="majorBidi" w:hAnsiTheme="majorBidi" w:cstheme="majorBidi"/>
          <w:sz w:val="20"/>
          <w:szCs w:val="20"/>
        </w:rPr>
        <w:t>3.4.2.</w:t>
      </w:r>
      <w:r w:rsidRPr="00F375F2">
        <w:rPr>
          <w:rFonts w:asciiTheme="majorBidi" w:hAnsiTheme="majorBidi" w:cstheme="majorBidi"/>
          <w:sz w:val="20"/>
          <w:szCs w:val="20"/>
        </w:rPr>
        <w:tab/>
        <w:t>C 09.02 — RIPARTIZIONE GEOGRAFICA DELLE ESPOSIZIONI PER RESIDENZA DEL DEBITORE: ESPOSIZIONI CUI È APPLICATO IL METODO IRB (CR GB 2)</w:t>
      </w:r>
    </w:p>
    <w:p w14:paraId="03B9617A" w14:textId="77777777" w:rsidR="0081534F" w:rsidRPr="00F375F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375F2">
        <w:rPr>
          <w:rFonts w:asciiTheme="majorBidi" w:hAnsiTheme="majorBidi" w:cstheme="majorBidi"/>
          <w:sz w:val="20"/>
          <w:szCs w:val="20"/>
        </w:rPr>
        <w:t>3.4.2.1.</w:t>
      </w:r>
      <w:r w:rsidRPr="00F375F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79DD3798" w14:textId="77777777" w:rsidR="0081534F" w:rsidRPr="00F375F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375F2">
        <w:rPr>
          <w:rFonts w:asciiTheme="majorBidi" w:hAnsiTheme="majorBidi" w:cstheme="majorBidi"/>
          <w:sz w:val="20"/>
          <w:szCs w:val="20"/>
        </w:rPr>
        <w:t>3.4.3.</w:t>
      </w:r>
      <w:r w:rsidRPr="00F375F2">
        <w:rPr>
          <w:rFonts w:asciiTheme="majorBidi" w:hAnsiTheme="majorBidi" w:cstheme="majorBidi"/>
          <w:sz w:val="20"/>
          <w:szCs w:val="20"/>
        </w:rPr>
        <w:tab/>
        <w:t>C 09.04 — RIPARTIZIONE DELLE ESPOSIZIONI CREDITIZIE RILEVANTI AI FINI DEL CALCOLO DELLA RISERVA DI CAPITALE ANTICICLICA PER PAESE E DEL COEFFICIENTE ANTICICLICO SPECIFICO DELL'ENTE (CCB)</w:t>
      </w:r>
    </w:p>
    <w:p w14:paraId="36AABDDA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3.4.3.1.</w:t>
      </w:r>
      <w:r w:rsidRPr="0036579C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4F4222F2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3.4.3.2.</w:t>
      </w:r>
      <w:r w:rsidRPr="0036579C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37437415" w14:textId="77777777" w:rsidR="0081534F" w:rsidRPr="006242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624265">
        <w:rPr>
          <w:rFonts w:asciiTheme="majorBidi" w:hAnsiTheme="majorBidi" w:cstheme="majorBidi"/>
          <w:sz w:val="20"/>
          <w:szCs w:val="20"/>
        </w:rPr>
        <w:t>3.5A. C 10.00 - RISCHIO DI CREDITO E RISCHIO DI CONTROPARTE E OPERAZIONI CON REGOLAMENTO NON CONTESTUALE: ESPOSIZIONI IRB SOGGETTE AD OUTPUT FLOOR</w:t>
      </w:r>
    </w:p>
    <w:p w14:paraId="31C91F20" w14:textId="77777777" w:rsidR="0081534F" w:rsidRPr="006242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624265">
        <w:rPr>
          <w:rFonts w:asciiTheme="majorBidi" w:hAnsiTheme="majorBidi" w:cstheme="majorBidi"/>
          <w:sz w:val="20"/>
          <w:szCs w:val="20"/>
        </w:rPr>
        <w:t>3.5A.1. OSSERVAZIONI DI CARATTERE GENERALE</w:t>
      </w:r>
    </w:p>
    <w:p w14:paraId="0BBBCBC5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624265">
        <w:rPr>
          <w:rFonts w:asciiTheme="majorBidi" w:hAnsiTheme="majorBidi" w:cstheme="majorBidi"/>
          <w:sz w:val="20"/>
          <w:szCs w:val="20"/>
        </w:rPr>
        <w:t>3.5A.2. ISTRUZIONI RELATIVE A POSIZIONI SPECIFICHE</w:t>
      </w:r>
    </w:p>
    <w:p w14:paraId="3E85006F" w14:textId="77777777" w:rsidR="0081534F" w:rsidRPr="006242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624265">
        <w:rPr>
          <w:rFonts w:asciiTheme="majorBidi" w:hAnsiTheme="majorBidi" w:cstheme="majorBidi"/>
          <w:sz w:val="20"/>
          <w:szCs w:val="20"/>
        </w:rPr>
        <w:t>3.5.</w:t>
      </w:r>
      <w:r w:rsidRPr="00624265">
        <w:rPr>
          <w:rFonts w:asciiTheme="majorBidi" w:hAnsiTheme="majorBidi" w:cstheme="majorBidi"/>
          <w:sz w:val="20"/>
          <w:szCs w:val="20"/>
        </w:rPr>
        <w:tab/>
        <w:t>C 10.01 E C 10.02 — ESPOSIZIONI IN STRUMENTI DI CAPITALE IN BASE AL METODO IRB (CR EQU IRB 1 E CR EQU IRB 2)</w:t>
      </w:r>
    </w:p>
    <w:p w14:paraId="0F6E8130" w14:textId="77777777" w:rsidR="0081534F" w:rsidRPr="006242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624265">
        <w:rPr>
          <w:rFonts w:asciiTheme="majorBidi" w:hAnsiTheme="majorBidi" w:cstheme="majorBidi"/>
          <w:sz w:val="20"/>
          <w:szCs w:val="20"/>
        </w:rPr>
        <w:lastRenderedPageBreak/>
        <w:t>3.5.1.</w:t>
      </w:r>
      <w:r w:rsidRPr="00624265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1D5EC044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624265">
        <w:rPr>
          <w:rFonts w:asciiTheme="majorBidi" w:hAnsiTheme="majorBidi" w:cstheme="majorBidi"/>
          <w:sz w:val="20"/>
          <w:szCs w:val="20"/>
        </w:rPr>
        <w:t>3.5.2.</w:t>
      </w:r>
      <w:r w:rsidRPr="00624265">
        <w:rPr>
          <w:rFonts w:asciiTheme="majorBidi" w:hAnsiTheme="majorBidi" w:cstheme="majorBidi"/>
          <w:sz w:val="20"/>
          <w:szCs w:val="20"/>
        </w:rPr>
        <w:tab/>
        <w:t>ISTRUZIONI RELATIVE A POSIZIONI SPECIFICHE (VALIDE SIA PER IL MODELLO CR EQU IRB 1 CHE PER IL MODELLO CR EQU IRB 2)</w:t>
      </w:r>
    </w:p>
    <w:p w14:paraId="5702C286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3.6.</w:t>
      </w:r>
      <w:r w:rsidRPr="0028745A">
        <w:rPr>
          <w:rFonts w:asciiTheme="majorBidi" w:hAnsiTheme="majorBidi" w:cstheme="majorBidi"/>
          <w:sz w:val="20"/>
          <w:szCs w:val="20"/>
        </w:rPr>
        <w:tab/>
        <w:t>C 11.00 – RISCHIO DI REGOLAMENTO/CONSEGNA (CR SETT)</w:t>
      </w:r>
    </w:p>
    <w:p w14:paraId="1FED7602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3.6.1.</w:t>
      </w:r>
      <w:r w:rsidRPr="0028745A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73D4F0B5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3.6.2.</w:t>
      </w:r>
      <w:r w:rsidRPr="0028745A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4B23429E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3.7.</w:t>
      </w:r>
      <w:r w:rsidRPr="0028745A">
        <w:rPr>
          <w:rFonts w:asciiTheme="majorBidi" w:hAnsiTheme="majorBidi" w:cstheme="majorBidi"/>
          <w:sz w:val="20"/>
          <w:szCs w:val="20"/>
        </w:rPr>
        <w:tab/>
        <w:t>C 13.01 - RISCHIO DI CREDITO – CARTOLARIZZAZIONI (CR SEC)</w:t>
      </w:r>
    </w:p>
    <w:p w14:paraId="22BF92C6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3.7.1.</w:t>
      </w:r>
      <w:r w:rsidRPr="0028745A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2A6E7492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3.7.2.</w:t>
      </w:r>
      <w:r w:rsidRPr="0028745A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6A7AD92E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3.8.</w:t>
      </w:r>
      <w:r w:rsidRPr="0028745A">
        <w:rPr>
          <w:rFonts w:asciiTheme="majorBidi" w:hAnsiTheme="majorBidi" w:cstheme="majorBidi"/>
          <w:sz w:val="20"/>
          <w:szCs w:val="20"/>
        </w:rPr>
        <w:tab/>
        <w:t>INFORMAZIONI DETTAGLIATE SULLE CARTOLARIZZAZIONI (SEC DETAILS)</w:t>
      </w:r>
    </w:p>
    <w:p w14:paraId="05EAB93E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3.8.1.</w:t>
      </w:r>
      <w:r w:rsidRPr="0028745A">
        <w:rPr>
          <w:rFonts w:asciiTheme="majorBidi" w:hAnsiTheme="majorBidi" w:cstheme="majorBidi"/>
          <w:sz w:val="20"/>
          <w:szCs w:val="20"/>
        </w:rPr>
        <w:tab/>
        <w:t>AMBITO DI APPLICAZIONE DEL MODELLO SEC DETAILS</w:t>
      </w:r>
    </w:p>
    <w:p w14:paraId="18D138D9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3.8.2 RIPARTIZIONE DEL MODELLO SEC DETAILS</w:t>
      </w:r>
    </w:p>
    <w:p w14:paraId="2D7E8E96" w14:textId="77777777" w:rsidR="0081534F" w:rsidRPr="0028745A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3.8.3 C 14.00 – INFORMAZIONI DETTAGLIATE SULLE CARTOLARIZZAZIONI (SEC DETAILS)</w:t>
      </w:r>
    </w:p>
    <w:p w14:paraId="6B30DB58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28745A">
        <w:rPr>
          <w:rFonts w:asciiTheme="majorBidi" w:hAnsiTheme="majorBidi" w:cstheme="majorBidi"/>
          <w:sz w:val="20"/>
          <w:szCs w:val="20"/>
        </w:rPr>
        <w:t>3.8.4.</w:t>
      </w:r>
      <w:r w:rsidRPr="0028745A">
        <w:rPr>
          <w:rFonts w:asciiTheme="majorBidi" w:hAnsiTheme="majorBidi" w:cstheme="majorBidi"/>
          <w:sz w:val="20"/>
          <w:szCs w:val="20"/>
        </w:rPr>
        <w:tab/>
        <w:t>C 14.01 – INFORMAZIONI DETTAGLIATE SULLE CARTOLARIZZAZIONI (SEC DETAILS 2)</w:t>
      </w:r>
    </w:p>
    <w:p w14:paraId="4C5BAA6A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</w:t>
      </w:r>
      <w:r w:rsidRPr="00C023B2">
        <w:rPr>
          <w:rFonts w:asciiTheme="majorBidi" w:hAnsiTheme="majorBidi" w:cstheme="majorBidi"/>
          <w:sz w:val="20"/>
          <w:szCs w:val="20"/>
        </w:rPr>
        <w:tab/>
        <w:t>RISCHIO DI CONTROPARTE (CCR)</w:t>
      </w:r>
    </w:p>
    <w:p w14:paraId="73A590A0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3.9.1.</w:t>
      </w:r>
      <w:r w:rsidRPr="00C023B2">
        <w:rPr>
          <w:rFonts w:asciiTheme="majorBidi" w:hAnsiTheme="majorBidi" w:cstheme="majorBidi"/>
          <w:sz w:val="20"/>
          <w:szCs w:val="20"/>
        </w:rPr>
        <w:tab/>
        <w:t>AMBITO DI APPLICAZIONE DEI MODELLI PER IL RISCHIO DI CONTROPARTE</w:t>
      </w:r>
    </w:p>
    <w:p w14:paraId="31AA4E73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3.9.2.</w:t>
      </w:r>
      <w:r w:rsidRPr="00C023B2">
        <w:rPr>
          <w:rFonts w:asciiTheme="majorBidi" w:hAnsiTheme="majorBidi" w:cstheme="majorBidi"/>
          <w:sz w:val="20"/>
          <w:szCs w:val="20"/>
        </w:rPr>
        <w:tab/>
        <w:t>C 34.01 - ENTITÀ DELLE OPERAZIONI SU DERIVATI</w:t>
      </w:r>
    </w:p>
    <w:p w14:paraId="6D906339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3.9.2.1.</w:t>
      </w:r>
      <w:r w:rsidRPr="00C023B2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573B6C8E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3.9.2.2.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1DC05E54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3.9.3.</w:t>
      </w:r>
      <w:r w:rsidRPr="00C023B2">
        <w:rPr>
          <w:rFonts w:asciiTheme="majorBidi" w:hAnsiTheme="majorBidi" w:cstheme="majorBidi"/>
          <w:sz w:val="20"/>
          <w:szCs w:val="20"/>
        </w:rPr>
        <w:tab/>
        <w:t>C 34.02 — ESPOSIZIONI SOGGETTE AL CCR IN BASE AL METODO</w:t>
      </w:r>
    </w:p>
    <w:p w14:paraId="77EF6EB7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3.9.3.1.</w:t>
      </w:r>
      <w:r w:rsidRPr="00C023B2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37775725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3.9.3.2.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7856F93C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3.9.4.</w:t>
      </w:r>
      <w:r w:rsidRPr="00C023B2">
        <w:rPr>
          <w:rFonts w:asciiTheme="majorBidi" w:hAnsiTheme="majorBidi" w:cstheme="majorBidi"/>
          <w:sz w:val="20"/>
          <w:szCs w:val="20"/>
        </w:rPr>
        <w:tab/>
        <w:t>C 34.03 - ESPOSIZIONI SOGGETTE AL CCR TRATTATE CON METODI STANDARDIZZATI: SA-CCR E SA-CCR SEMPLIFICATO</w:t>
      </w:r>
    </w:p>
    <w:p w14:paraId="3BA467FC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3.9.4.1.</w:t>
      </w:r>
      <w:r w:rsidRPr="00C023B2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2D360BAF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3.9.4.2.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0D6B09F3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3.9.5.</w:t>
      </w:r>
      <w:r w:rsidRPr="00C023B2">
        <w:rPr>
          <w:rFonts w:asciiTheme="majorBidi" w:hAnsiTheme="majorBidi" w:cstheme="majorBidi"/>
          <w:sz w:val="20"/>
          <w:szCs w:val="20"/>
        </w:rPr>
        <w:tab/>
        <w:t>C 34.04 - ESPOSIZIONI SOGGETTE AL CCR TRATTATE CON IL METODO DELL'ESPOSIZIONE ORIGINARIA (OEM)</w:t>
      </w:r>
    </w:p>
    <w:p w14:paraId="5E696CCB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3.9.5.1.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0D7F8675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3.9.6.</w:t>
      </w:r>
      <w:r w:rsidRPr="00C023B2">
        <w:rPr>
          <w:rFonts w:asciiTheme="majorBidi" w:hAnsiTheme="majorBidi" w:cstheme="majorBidi"/>
          <w:sz w:val="20"/>
          <w:szCs w:val="20"/>
        </w:rPr>
        <w:tab/>
        <w:t>C 34.05 - ESPOSIZIONI SOGGETTE AL CCR TRATTATE CON IL METODO DEI MODELLI INTERNI (IMM)</w:t>
      </w:r>
    </w:p>
    <w:p w14:paraId="705600C1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3.9.6.1.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2E67EC8B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3.9.7.</w:t>
      </w:r>
      <w:r w:rsidRPr="00C023B2">
        <w:rPr>
          <w:rFonts w:asciiTheme="majorBidi" w:hAnsiTheme="majorBidi" w:cstheme="majorBidi"/>
          <w:sz w:val="20"/>
          <w:szCs w:val="20"/>
        </w:rPr>
        <w:tab/>
        <w:t>C 34.06 - PRINCIPALI VENTI CONTROPARTI</w:t>
      </w:r>
    </w:p>
    <w:p w14:paraId="63EA50DC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3.9.7.1.</w:t>
      </w:r>
      <w:r w:rsidRPr="00C023B2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2F2CE2E3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3.9.7.2.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6808E592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3.9.8.</w:t>
      </w:r>
      <w:r w:rsidRPr="00C023B2">
        <w:rPr>
          <w:rFonts w:asciiTheme="majorBidi" w:hAnsiTheme="majorBidi" w:cstheme="majorBidi"/>
          <w:sz w:val="20"/>
          <w:szCs w:val="20"/>
        </w:rPr>
        <w:tab/>
        <w:t>C 34.07 - METODO IRB - ESPOSIZIONI SOGGETTE AL CCR IN BASE ALLA CLASSE DI ESPOSIZIONI E ALLA SCALA DI PD</w:t>
      </w:r>
    </w:p>
    <w:p w14:paraId="385BFA57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3.9.8.1.</w:t>
      </w:r>
      <w:r w:rsidRPr="00C023B2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3B9FAF73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3.9.8.2.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781AB26E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lastRenderedPageBreak/>
        <w:t>3.9.9.</w:t>
      </w:r>
      <w:r w:rsidRPr="00C023B2">
        <w:rPr>
          <w:rFonts w:asciiTheme="majorBidi" w:hAnsiTheme="majorBidi" w:cstheme="majorBidi"/>
          <w:sz w:val="20"/>
          <w:szCs w:val="20"/>
        </w:rPr>
        <w:tab/>
        <w:t>C 34.08 - COMPOSIZIONE DELLE GARANZIE REALI PER LE ESPOSIZIONI SOGGETTE AL CCR</w:t>
      </w:r>
    </w:p>
    <w:p w14:paraId="333C1621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3.9.9.1.</w:t>
      </w:r>
      <w:r w:rsidRPr="00C023B2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2329C6AF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3.9.9.2.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14B7E11F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3.9.10.</w:t>
      </w:r>
      <w:r w:rsidRPr="00C023B2">
        <w:rPr>
          <w:rFonts w:asciiTheme="majorBidi" w:hAnsiTheme="majorBidi" w:cstheme="majorBidi"/>
          <w:sz w:val="20"/>
          <w:szCs w:val="20"/>
        </w:rPr>
        <w:tab/>
        <w:t>C 34.09 - ESPOSIZIONI IN DERIVATI SU CREDITI</w:t>
      </w:r>
    </w:p>
    <w:p w14:paraId="6D4428EB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3.9.10.1.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6AE2A439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3.9.11.</w:t>
      </w:r>
      <w:r w:rsidRPr="00C023B2">
        <w:rPr>
          <w:rFonts w:asciiTheme="majorBidi" w:hAnsiTheme="majorBidi" w:cstheme="majorBidi"/>
          <w:sz w:val="20"/>
          <w:szCs w:val="20"/>
        </w:rPr>
        <w:tab/>
        <w:t>C 34.10 — ESPOSIZIONI VERSO CCP</w:t>
      </w:r>
    </w:p>
    <w:p w14:paraId="13C30B6E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3.9.11.1.</w:t>
      </w:r>
      <w:r w:rsidRPr="00C023B2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3C9A4404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3.9.11.2.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05302B1E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3.9.12.</w:t>
      </w:r>
      <w:r w:rsidRPr="00C023B2">
        <w:rPr>
          <w:rFonts w:asciiTheme="majorBidi" w:hAnsiTheme="majorBidi" w:cstheme="majorBidi"/>
          <w:sz w:val="20"/>
          <w:szCs w:val="20"/>
        </w:rPr>
        <w:tab/>
        <w:t>C 34.11 - PROSPETTI DEGLI IMPORTI PONDERATI PER IL RISCHIO DELLE ESPOSIZIONI (RWEA) SOGGETTE AL CCR NELL'AMBITO DELL'IMM</w:t>
      </w:r>
    </w:p>
    <w:p w14:paraId="23F2D353" w14:textId="77777777" w:rsidR="0081534F" w:rsidRPr="00C023B2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3.9.12.1.</w:t>
      </w:r>
      <w:r w:rsidRPr="00C023B2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35A1DE2F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C023B2">
        <w:rPr>
          <w:rFonts w:asciiTheme="majorBidi" w:hAnsiTheme="majorBidi" w:cstheme="majorBidi"/>
          <w:sz w:val="20"/>
          <w:szCs w:val="20"/>
        </w:rPr>
        <w:t>3.9.12.2.</w:t>
      </w:r>
      <w:r w:rsidRPr="00C023B2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1DD59269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</w:t>
      </w:r>
      <w:r w:rsidRPr="00B30A9E">
        <w:rPr>
          <w:rFonts w:asciiTheme="majorBidi" w:hAnsiTheme="majorBidi" w:cstheme="majorBidi"/>
          <w:sz w:val="20"/>
          <w:szCs w:val="20"/>
        </w:rPr>
        <w:tab/>
        <w:t>MODELLI RELATIVI AL RISCHIO OPERATIVO</w:t>
      </w:r>
    </w:p>
    <w:p w14:paraId="255E77C0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4.1.</w:t>
      </w:r>
      <w:r w:rsidRPr="00B30A9E">
        <w:rPr>
          <w:rFonts w:asciiTheme="majorBidi" w:hAnsiTheme="majorBidi" w:cstheme="majorBidi"/>
          <w:sz w:val="20"/>
          <w:szCs w:val="20"/>
        </w:rPr>
        <w:tab/>
        <w:t>SEGNALAZIONE DEI REQUISITI DI FONDI PROPRI PER IL RISCHIO OPERATIVO</w:t>
      </w:r>
    </w:p>
    <w:p w14:paraId="3424BDAB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4.1.1.</w:t>
      </w:r>
      <w:r w:rsidRPr="00B30A9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008D1674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4.1.2.</w:t>
      </w:r>
      <w:r w:rsidRPr="00B30A9E">
        <w:rPr>
          <w:rFonts w:asciiTheme="majorBidi" w:hAnsiTheme="majorBidi" w:cstheme="majorBidi"/>
          <w:sz w:val="20"/>
          <w:szCs w:val="20"/>
        </w:rPr>
        <w:tab/>
        <w:t>C 16.01 RISCHIO OPERATIVO — REQUISITI DI FONDI PROPRI (OPR OFR)</w:t>
      </w:r>
    </w:p>
    <w:p w14:paraId="3FA2FEA3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4.2.</w:t>
      </w:r>
      <w:r w:rsidRPr="00B30A9E">
        <w:rPr>
          <w:rFonts w:asciiTheme="majorBidi" w:hAnsiTheme="majorBidi" w:cstheme="majorBidi"/>
          <w:sz w:val="20"/>
          <w:szCs w:val="20"/>
        </w:rPr>
        <w:tab/>
        <w:t>RISCHIO OPERATIVO: INFORMAZIONI DETTAGLIATE SULLE PERDITE NEL CORSO DELL'ULTIMO ANNO (OPR DETAILS)</w:t>
      </w:r>
    </w:p>
    <w:p w14:paraId="6B0F8A48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4.2.1.</w:t>
      </w:r>
      <w:r w:rsidRPr="00B30A9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4E38D402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4.2.2.</w:t>
      </w:r>
      <w:r w:rsidRPr="00B30A9E">
        <w:rPr>
          <w:rFonts w:asciiTheme="majorBidi" w:hAnsiTheme="majorBidi" w:cstheme="majorBidi"/>
          <w:sz w:val="20"/>
          <w:szCs w:val="20"/>
        </w:rPr>
        <w:tab/>
        <w:t>C 17.01: PERDITE E RECUPERI DA RISCHIO OPERATIVO PER LINEA DI BUSINESS E TIPOLOGIA DI EVENTO DI PERDITA NELL'ULTIMO ANNO (OPR DETAILS 1)</w:t>
      </w:r>
    </w:p>
    <w:p w14:paraId="752A2146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4.2.2.1.</w:t>
      </w:r>
      <w:r w:rsidRPr="00B30A9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6C4B5E62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4.2.2.2.</w:t>
      </w:r>
      <w:r w:rsidRPr="00B30A9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2270BB6E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4.2.3.</w:t>
      </w:r>
      <w:r w:rsidRPr="00B30A9E">
        <w:rPr>
          <w:rFonts w:asciiTheme="majorBidi" w:hAnsiTheme="majorBidi" w:cstheme="majorBidi"/>
          <w:sz w:val="20"/>
          <w:szCs w:val="20"/>
        </w:rPr>
        <w:tab/>
        <w:t>C 17.02: RISCHIO OPERATIVO: INFORMAZIONI DETTAGLIATE SUI PRINCIPALI EVENTI DI PERDITA NEL CORSO DELL'ULTIMO ANNO (OPR DETAILS 2)</w:t>
      </w:r>
    </w:p>
    <w:p w14:paraId="59D33F1B" w14:textId="77777777" w:rsidR="0081534F" w:rsidRPr="00B30A9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4.2.3.1.</w:t>
      </w:r>
      <w:r w:rsidRPr="00B30A9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1828C7FA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B30A9E">
        <w:rPr>
          <w:rFonts w:asciiTheme="majorBidi" w:hAnsiTheme="majorBidi" w:cstheme="majorBidi"/>
          <w:sz w:val="20"/>
          <w:szCs w:val="20"/>
        </w:rPr>
        <w:t>4.2.3.2.</w:t>
      </w:r>
      <w:r w:rsidRPr="00B30A9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6F8C7B23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PARTE II: ISTRUZIONI RELATIVE AI MODELLI</w:t>
      </w:r>
    </w:p>
    <w:p w14:paraId="7B5CEC31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</w:t>
      </w:r>
      <w:r w:rsidRPr="004061DE">
        <w:rPr>
          <w:rFonts w:asciiTheme="majorBidi" w:hAnsiTheme="majorBidi" w:cstheme="majorBidi"/>
          <w:sz w:val="20"/>
          <w:szCs w:val="20"/>
        </w:rPr>
        <w:tab/>
        <w:t>MODELLI RIGUARDANTI IL RISCHIO DI MERCATO</w:t>
      </w:r>
    </w:p>
    <w:p w14:paraId="36DE0505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5.1.</w:t>
      </w:r>
      <w:r w:rsidRPr="004061DE">
        <w:rPr>
          <w:rFonts w:asciiTheme="majorBidi" w:hAnsiTheme="majorBidi" w:cstheme="majorBidi"/>
          <w:sz w:val="20"/>
          <w:szCs w:val="20"/>
        </w:rPr>
        <w:tab/>
        <w:t>C 18.01 – RISCHIO DI MERCATO: METODO STANDARDIZZATO SEMPLIFICATO PER I RISCHI DI POSIZIONE SU STRUMENTI DI DEBITO NEGOZIATI (MKR SSA TDI)</w:t>
      </w:r>
    </w:p>
    <w:p w14:paraId="7E7355F9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5.1.1.</w:t>
      </w:r>
      <w:r w:rsidRPr="004061D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29B62466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5.1.2.</w:t>
      </w:r>
      <w:r w:rsidRPr="004061D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4B9F291B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5.2.</w:t>
      </w:r>
      <w:r w:rsidRPr="004061DE">
        <w:rPr>
          <w:rFonts w:asciiTheme="majorBidi" w:hAnsiTheme="majorBidi" w:cstheme="majorBidi"/>
          <w:sz w:val="20"/>
          <w:szCs w:val="20"/>
        </w:rPr>
        <w:tab/>
        <w:t>C 19.01 – RISCHIO DI MERCATO: METODO STANDARDIZZATO SEMPLIFICATO PER IL RISCHIO SPECIFICO SU CARTOLARIZZAZIONI (MKR SSA SEC)</w:t>
      </w:r>
    </w:p>
    <w:p w14:paraId="33F8D8A9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5.2.1.</w:t>
      </w:r>
      <w:r w:rsidRPr="004061D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6C9C9BCA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5.2.2.</w:t>
      </w:r>
      <w:r w:rsidRPr="004061D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4F1190C3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lastRenderedPageBreak/>
        <w:t>5.3.</w:t>
      </w:r>
      <w:r w:rsidRPr="004061DE">
        <w:rPr>
          <w:rFonts w:asciiTheme="majorBidi" w:hAnsiTheme="majorBidi" w:cstheme="majorBidi"/>
          <w:sz w:val="20"/>
          <w:szCs w:val="20"/>
        </w:rPr>
        <w:tab/>
        <w:t>C 20.01 – RISCHIO DI MERCATO: METODO STANDARDIZZATO SEMPLIFICATO PER IL RISCHIO SPECIFICO DI POSIZIONI ASSEGNATE AL PORTAFOGLIO DI NEGOZIAZIONE DI CORRELAZIONE (MKR SSA CTP))</w:t>
      </w:r>
    </w:p>
    <w:p w14:paraId="6FEB76C2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5.3.1.</w:t>
      </w:r>
      <w:r w:rsidRPr="004061D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3737DC39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5.3.2.</w:t>
      </w:r>
      <w:r w:rsidRPr="004061D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75085856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5.4.</w:t>
      </w:r>
      <w:r w:rsidRPr="004061DE">
        <w:rPr>
          <w:rFonts w:asciiTheme="majorBidi" w:hAnsiTheme="majorBidi" w:cstheme="majorBidi"/>
          <w:sz w:val="20"/>
          <w:szCs w:val="20"/>
        </w:rPr>
        <w:tab/>
        <w:t>C 21.01 - RISCHIO DI MERCATO: METODO STANDARDIZZATO SEMPLIFICATO PER IL RISCHIO DI POSIZIONE SU STRUMENTI DI CAPITALE (MKR SSA EQU)</w:t>
      </w:r>
    </w:p>
    <w:p w14:paraId="5C31CF14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5.4.1.</w:t>
      </w:r>
      <w:r w:rsidRPr="004061D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7DE22B92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5.4.2.</w:t>
      </w:r>
      <w:r w:rsidRPr="004061D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68AE8329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5.5.</w:t>
      </w:r>
      <w:r w:rsidRPr="004061DE">
        <w:rPr>
          <w:rFonts w:asciiTheme="majorBidi" w:hAnsiTheme="majorBidi" w:cstheme="majorBidi"/>
          <w:sz w:val="20"/>
          <w:szCs w:val="20"/>
        </w:rPr>
        <w:tab/>
        <w:t>C 22.01 - RISCHIO DI MERCATO: METODO STANDARDIZZATO SEMPLIFICATO PER IL RISCHIO DI CAMBIO (MKR SSA FX)</w:t>
      </w:r>
    </w:p>
    <w:p w14:paraId="09EAB74E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5.5.1.</w:t>
      </w:r>
      <w:r w:rsidRPr="004061D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0C86E509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5.5.2.</w:t>
      </w:r>
      <w:r w:rsidRPr="004061D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2E0D3880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5.6.</w:t>
      </w:r>
      <w:r w:rsidRPr="004061DE">
        <w:rPr>
          <w:rFonts w:asciiTheme="majorBidi" w:hAnsiTheme="majorBidi" w:cstheme="majorBidi"/>
          <w:sz w:val="20"/>
          <w:szCs w:val="20"/>
        </w:rPr>
        <w:tab/>
        <w:t>C 23.01 - RISCHIO DI MERCATO: METODO STANDARDIZZATO SEMPLIFICATO PER IL RISCHIO DI POSIZIONE IN MERCI (MKR SSA COM)</w:t>
      </w:r>
    </w:p>
    <w:p w14:paraId="4C3D631C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5.6.1.</w:t>
      </w:r>
      <w:r w:rsidRPr="004061D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6A10167D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5.6.2.</w:t>
      </w:r>
      <w:r w:rsidRPr="004061D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063BBA24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5.7.</w:t>
      </w:r>
      <w:r w:rsidRPr="004061DE">
        <w:rPr>
          <w:rFonts w:asciiTheme="majorBidi" w:hAnsiTheme="majorBidi" w:cstheme="majorBidi"/>
          <w:sz w:val="20"/>
          <w:szCs w:val="20"/>
        </w:rPr>
        <w:tab/>
        <w:t>C 24.00 - MODELLI INTERNI PER IL RISCHIO DI MERCATO  (MKR IM)</w:t>
      </w:r>
    </w:p>
    <w:p w14:paraId="3C60ACCD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5.7.1.</w:t>
      </w:r>
      <w:r w:rsidRPr="004061DE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63D21760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5.7.2.</w:t>
      </w:r>
      <w:r w:rsidRPr="004061D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0DD7B517" w14:textId="77777777" w:rsidR="0081534F" w:rsidRPr="00BA5BFB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bookmarkStart w:id="4" w:name="_Hlk188261805"/>
      <w:r w:rsidRPr="00BA5BFB">
        <w:rPr>
          <w:rFonts w:asciiTheme="majorBidi" w:hAnsiTheme="majorBidi" w:cstheme="majorBidi"/>
          <w:sz w:val="20"/>
          <w:szCs w:val="20"/>
        </w:rPr>
        <w:t>5.8. C 25.01 - RISCHIO DI AGGIUSTAMENTO DELLA VALUTAZIONE DEL CREDITO (CVA)</w:t>
      </w:r>
    </w:p>
    <w:bookmarkEnd w:id="4"/>
    <w:p w14:paraId="274AE675" w14:textId="77777777" w:rsidR="0081534F" w:rsidRPr="004061DE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4061DE">
        <w:rPr>
          <w:rFonts w:asciiTheme="majorBidi" w:hAnsiTheme="majorBidi" w:cstheme="majorBidi"/>
          <w:sz w:val="20"/>
          <w:szCs w:val="20"/>
        </w:rPr>
        <w:t>5.8.1.</w:t>
      </w:r>
      <w:r w:rsidRPr="004061DE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7F77EBB2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</w:t>
      </w:r>
      <w:r w:rsidRPr="008F58C6">
        <w:rPr>
          <w:rFonts w:asciiTheme="majorBidi" w:hAnsiTheme="majorBidi" w:cstheme="majorBidi"/>
          <w:sz w:val="20"/>
          <w:szCs w:val="20"/>
        </w:rPr>
        <w:tab/>
        <w:t>VALUTAZIONE PRUDENTE (PRUVAL)</w:t>
      </w:r>
    </w:p>
    <w:p w14:paraId="3699F9A9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6.1.</w:t>
      </w:r>
      <w:r w:rsidRPr="008F58C6">
        <w:rPr>
          <w:rFonts w:asciiTheme="majorBidi" w:hAnsiTheme="majorBidi" w:cstheme="majorBidi"/>
          <w:sz w:val="20"/>
          <w:szCs w:val="20"/>
        </w:rPr>
        <w:tab/>
        <w:t>C 32.01 - VALUTAZIONE PRUDENTE: ATTIVITÀ E PASSIVITÀ VALUTATE AL FAIR VALUE (VALORE EQUO) (PRUVAL 1)</w:t>
      </w:r>
    </w:p>
    <w:p w14:paraId="4C0B94BF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6.1.1.</w:t>
      </w:r>
      <w:r w:rsidRPr="008F58C6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735640BF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6.1.2.</w:t>
      </w:r>
      <w:r w:rsidRPr="008F58C6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4EFEC5AA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6.2.</w:t>
      </w:r>
      <w:r w:rsidRPr="008F58C6">
        <w:rPr>
          <w:rFonts w:asciiTheme="majorBidi" w:hAnsiTheme="majorBidi" w:cstheme="majorBidi"/>
          <w:sz w:val="20"/>
          <w:szCs w:val="20"/>
        </w:rPr>
        <w:tab/>
        <w:t>C 32.02 - VALUTAZIONE PRUDENTE: METODO DI BASE (PRUVAL 2)</w:t>
      </w:r>
    </w:p>
    <w:p w14:paraId="1EF1E25A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6.2.1.</w:t>
      </w:r>
      <w:r w:rsidRPr="008F58C6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40855722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6.2.2.</w:t>
      </w:r>
      <w:r w:rsidRPr="008F58C6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566C9548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6.3. C 32.03 - VALUTAZIONE PRUDENTE: AVA PER I RISCHI DEL MODELLO (PRUVAL 3)</w:t>
      </w:r>
    </w:p>
    <w:p w14:paraId="1EA7D482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6.3.1.</w:t>
      </w:r>
      <w:r w:rsidRPr="008F58C6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2790418A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6.3.2.</w:t>
      </w:r>
      <w:r w:rsidRPr="008F58C6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642F1B74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6.4 C 32.04 - VALUTAZIONE PRUDENTE: AVA PER LE POSIZIONI CONCENTRATE (PRUVAL 4)</w:t>
      </w:r>
    </w:p>
    <w:p w14:paraId="7E3D268D" w14:textId="77777777" w:rsidR="0081534F" w:rsidRPr="008F58C6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6.4.1.</w:t>
      </w:r>
      <w:r w:rsidRPr="008F58C6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0AFCE144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F58C6">
        <w:rPr>
          <w:rFonts w:asciiTheme="majorBidi" w:hAnsiTheme="majorBidi" w:cstheme="majorBidi"/>
          <w:sz w:val="20"/>
          <w:szCs w:val="20"/>
        </w:rPr>
        <w:t>6.4.2.</w:t>
      </w:r>
      <w:r w:rsidRPr="008F58C6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225AB2DD" w14:textId="77777777" w:rsidR="0081534F" w:rsidRPr="007B6704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B6704">
        <w:rPr>
          <w:rFonts w:asciiTheme="majorBidi" w:hAnsiTheme="majorBidi" w:cstheme="majorBidi"/>
          <w:sz w:val="20"/>
          <w:szCs w:val="20"/>
        </w:rPr>
        <w:t>7.</w:t>
      </w:r>
      <w:r w:rsidRPr="007B6704">
        <w:rPr>
          <w:rFonts w:asciiTheme="majorBidi" w:hAnsiTheme="majorBidi" w:cstheme="majorBidi"/>
          <w:sz w:val="20"/>
          <w:szCs w:val="20"/>
        </w:rPr>
        <w:tab/>
        <w:t>C 33.00 — ESPOSIZIONI VERSO AMMINISTRAZIONI PUBBLICHE (GOV)</w:t>
      </w:r>
    </w:p>
    <w:p w14:paraId="0C8C94DE" w14:textId="77777777" w:rsidR="0081534F" w:rsidRPr="007B6704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B6704">
        <w:rPr>
          <w:rFonts w:asciiTheme="majorBidi" w:hAnsiTheme="majorBidi" w:cstheme="majorBidi"/>
          <w:sz w:val="20"/>
          <w:szCs w:val="20"/>
        </w:rPr>
        <w:t>7.1.</w:t>
      </w:r>
      <w:r w:rsidRPr="007B6704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0837AE31" w14:textId="77777777" w:rsidR="0081534F" w:rsidRPr="007B6704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B6704">
        <w:rPr>
          <w:rFonts w:asciiTheme="majorBidi" w:hAnsiTheme="majorBidi" w:cstheme="majorBidi"/>
          <w:sz w:val="20"/>
          <w:szCs w:val="20"/>
        </w:rPr>
        <w:t>7.2.</w:t>
      </w:r>
      <w:r w:rsidRPr="007B6704">
        <w:rPr>
          <w:rFonts w:asciiTheme="majorBidi" w:hAnsiTheme="majorBidi" w:cstheme="majorBidi"/>
          <w:sz w:val="20"/>
          <w:szCs w:val="20"/>
        </w:rPr>
        <w:tab/>
        <w:t>AMBITO DI APPLICAZIONE DEL MODELLO  SULLE ESPOSIZIONI VERSO LE "AMMINISTRAZIONI PUBBLICHE"</w:t>
      </w:r>
    </w:p>
    <w:p w14:paraId="5B22415A" w14:textId="77777777" w:rsid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B6704">
        <w:rPr>
          <w:rFonts w:asciiTheme="majorBidi" w:hAnsiTheme="majorBidi" w:cstheme="majorBidi"/>
          <w:sz w:val="20"/>
          <w:szCs w:val="20"/>
        </w:rPr>
        <w:lastRenderedPageBreak/>
        <w:t>7.3.</w:t>
      </w:r>
      <w:r w:rsidRPr="007B6704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4C31F256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8. COPERTURA DELLE PERDITE DELLE NPE (NPE LC)</w:t>
      </w:r>
    </w:p>
    <w:p w14:paraId="332AA283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8.1.</w:t>
      </w:r>
      <w:r w:rsidRPr="0036579C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05A94A32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 xml:space="preserve">8.2. </w:t>
      </w:r>
      <w:r>
        <w:rPr>
          <w:rFonts w:asciiTheme="majorBidi" w:hAnsiTheme="majorBidi" w:cstheme="majorBidi"/>
          <w:sz w:val="20"/>
          <w:szCs w:val="20"/>
        </w:rPr>
        <w:tab/>
      </w:r>
      <w:r w:rsidRPr="0036579C">
        <w:rPr>
          <w:rFonts w:asciiTheme="majorBidi" w:hAnsiTheme="majorBidi" w:cstheme="majorBidi"/>
          <w:sz w:val="20"/>
          <w:szCs w:val="20"/>
        </w:rPr>
        <w:t>C 35.01 – IL CALCOLO DELLE DEDUZIONI PER ESPOSIZIONI DETERIORATE (NPE LC1)</w:t>
      </w:r>
    </w:p>
    <w:p w14:paraId="4A900208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8.2.1.</w:t>
      </w:r>
      <w:r w:rsidRPr="0036579C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11AACAA5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8.3.</w:t>
      </w:r>
      <w:r w:rsidRPr="0036579C">
        <w:rPr>
          <w:rFonts w:asciiTheme="majorBidi" w:hAnsiTheme="majorBidi" w:cstheme="majorBidi"/>
          <w:sz w:val="20"/>
          <w:szCs w:val="20"/>
        </w:rPr>
        <w:tab/>
        <w:t>C 35.02 – REQUISITI DI COPERTURA MINIMA E VALORI DELL'ESPOSIZIONE DELLE ESPOSIZIONI DETERIORATE ESCLUSE QUELLE OGGETTO DI MISURE DI CONCESSIONE SOGGETTE ALL'ARTICOLO 47 QUATER, PARAGRAFO 6, DEL REGOLAMENTO (UE) N. 575/2013 (NPE LC2)</w:t>
      </w:r>
    </w:p>
    <w:p w14:paraId="602CD855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8.3.1.</w:t>
      </w:r>
      <w:r w:rsidRPr="0036579C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33741E27" w14:textId="77777777" w:rsidR="0081534F" w:rsidRPr="0036579C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36579C">
        <w:rPr>
          <w:rFonts w:asciiTheme="majorBidi" w:hAnsiTheme="majorBidi" w:cstheme="majorBidi"/>
          <w:sz w:val="20"/>
          <w:szCs w:val="20"/>
        </w:rPr>
        <w:t>8.4.</w:t>
      </w:r>
      <w:r w:rsidRPr="0036579C">
        <w:rPr>
          <w:rFonts w:asciiTheme="majorBidi" w:hAnsiTheme="majorBidi" w:cstheme="majorBidi"/>
          <w:sz w:val="20"/>
          <w:szCs w:val="20"/>
        </w:rPr>
        <w:tab/>
        <w:t>C 35.03 – REQUISITI DI COPERTURA MINIMA E VALORI DELL'ESPOSIZIONE DELLE ESPOSIZIONI DETERIORATE OGGETTO DI MISURE DI CONCESSIONE SOGGETTE ALL'ARTICOLO 47 QUATER, PARAGRAFO 6, DEL REGOLAMENTO (UE) N. 575/2013 (NPE LC3)</w:t>
      </w:r>
    </w:p>
    <w:p w14:paraId="08B59FE1" w14:textId="77777777" w:rsidR="0081534F" w:rsidRPr="001F4848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1F4848">
        <w:rPr>
          <w:rFonts w:asciiTheme="majorBidi" w:hAnsiTheme="majorBidi" w:cstheme="majorBidi"/>
          <w:sz w:val="20"/>
          <w:szCs w:val="20"/>
        </w:rPr>
        <w:t>8.4.1.</w:t>
      </w:r>
      <w:r w:rsidRPr="001F4848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3AC328D2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 SOGLIE PER PORTAFOGLIO DI NEGOZIAZIONE E RISCHIO DI MERCATO, IL CONFINE TRA PORTAFOGLIO DI NEGOZIAZIONE E NON-PORTAFOGLIO DI NEGOZIAZIONE E RICLASSIFICAZIONI</w:t>
      </w:r>
    </w:p>
    <w:p w14:paraId="6C01CEF6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9.1</w:t>
      </w:r>
      <w:r w:rsidRPr="00F16565">
        <w:rPr>
          <w:rFonts w:asciiTheme="majorBidi" w:hAnsiTheme="majorBidi" w:cstheme="majorBidi"/>
          <w:sz w:val="20"/>
          <w:szCs w:val="20"/>
        </w:rPr>
        <w:tab/>
        <w:t>C 90.00 - SOGLIE RELATIVE AL PORTAFOGLIO DI NEGOZIAZIONE E AL RISCHIO DI MERCATO</w:t>
      </w:r>
    </w:p>
    <w:p w14:paraId="1C6DA8EF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9.1.1</w:t>
      </w:r>
      <w:r w:rsidRPr="00F16565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35F68C27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9.1.2</w:t>
      </w:r>
      <w:r w:rsidRPr="00F16565">
        <w:rPr>
          <w:rFonts w:asciiTheme="majorBidi" w:hAnsiTheme="majorBidi" w:cstheme="majorBidi"/>
          <w:sz w:val="20"/>
          <w:szCs w:val="20"/>
        </w:rPr>
        <w:tab/>
        <w:t>ISTRUZIONI RELATIVE A POSIZIONI SPECIFICHE</w:t>
      </w:r>
    </w:p>
    <w:p w14:paraId="4E6B77E7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9.2 IL CONFINE TRA PORTAFOGLIO DI NEGOZIAZIONE E NON-PORTAFOGLIO DI NEGOZIAZIONE (BOU)</w:t>
      </w:r>
    </w:p>
    <w:p w14:paraId="0BE3BA8E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9.2.1</w:t>
      </w:r>
      <w:r w:rsidRPr="00F16565">
        <w:rPr>
          <w:rFonts w:asciiTheme="majorBidi" w:hAnsiTheme="majorBidi" w:cstheme="majorBidi"/>
          <w:sz w:val="20"/>
          <w:szCs w:val="20"/>
        </w:rPr>
        <w:tab/>
        <w:t>OSSERVAZIONI DI CARATTERE GENERALE</w:t>
      </w:r>
    </w:p>
    <w:p w14:paraId="3A7880B3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9.2.2</w:t>
      </w:r>
      <w:r w:rsidRPr="00F16565">
        <w:rPr>
          <w:rFonts w:asciiTheme="majorBidi" w:hAnsiTheme="majorBidi" w:cstheme="majorBidi"/>
          <w:sz w:val="20"/>
          <w:szCs w:val="20"/>
        </w:rPr>
        <w:tab/>
        <w:t>C 90.05 - CONFINE: PORTAFOGLIO DI NEGOZIAZIONE (BOU1)</w:t>
      </w:r>
    </w:p>
    <w:p w14:paraId="3BEE25D3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9.2.2.1 OSSERVAZIONI DI CARATTERE GENERALE</w:t>
      </w:r>
    </w:p>
    <w:p w14:paraId="3A2DDE7A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9.2.2.2 ISTRUZIONI RELATIVE A POSIZIONI SPECIFICHE</w:t>
      </w:r>
    </w:p>
    <w:p w14:paraId="0CBCCB76" w14:textId="77777777" w:rsidR="0081534F" w:rsidRPr="00F16565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Fonts w:asciiTheme="majorBidi" w:hAnsiTheme="majorBidi" w:cstheme="majorBidi"/>
          <w:sz w:val="20"/>
          <w:szCs w:val="20"/>
        </w:rPr>
        <w:t>9.3 C 24.01 - CONFINE DEL PORTAFOGLIO DI NEGOZIAZIONE - RICLASSIFICAZIONI TRA I PORTAFOGLI (MOV)</w:t>
      </w:r>
    </w:p>
    <w:p w14:paraId="4AF85F0D" w14:textId="77777777" w:rsidR="0081534F" w:rsidRPr="0081534F" w:rsidRDefault="0081534F" w:rsidP="0081534F">
      <w:pPr>
        <w:spacing w:before="160" w:after="60" w:line="360" w:lineRule="auto"/>
        <w:contextualSpacing/>
        <w:rPr>
          <w:rFonts w:ascii="Times New Roman" w:hAnsi="Times New Roman"/>
          <w:sz w:val="20"/>
          <w:szCs w:val="20"/>
        </w:rPr>
      </w:pPr>
      <w:r w:rsidRPr="0081534F">
        <w:rPr>
          <w:rFonts w:asciiTheme="majorBidi" w:hAnsiTheme="majorBidi" w:cstheme="majorBidi"/>
          <w:sz w:val="20"/>
          <w:szCs w:val="20"/>
        </w:rPr>
        <w:t xml:space="preserve">10. </w:t>
      </w:r>
      <w:r w:rsidRPr="0081534F">
        <w:rPr>
          <w:rFonts w:ascii="Times New Roman" w:hAnsi="Times New Roman"/>
          <w:sz w:val="20"/>
          <w:szCs w:val="20"/>
        </w:rPr>
        <w:t>C 36.00 ESPOSIZIONI ALLE CRIPTO-ATTIVITÀ</w:t>
      </w:r>
    </w:p>
    <w:p w14:paraId="2C6B3339" w14:textId="77777777" w:rsidR="0081534F" w:rsidRPr="0081534F" w:rsidRDefault="0081534F" w:rsidP="0081534F">
      <w:pPr>
        <w:spacing w:before="160" w:after="60" w:line="360" w:lineRule="auto"/>
        <w:contextualSpacing/>
        <w:rPr>
          <w:rFonts w:ascii="Times New Roman" w:hAnsi="Times New Roman"/>
          <w:sz w:val="20"/>
          <w:szCs w:val="20"/>
        </w:rPr>
      </w:pPr>
      <w:hyperlink w:anchor="_Toc188258896" w:history="1">
        <w:r w:rsidRPr="0081534F">
          <w:rPr>
            <w:rFonts w:ascii="Times New Roman" w:hAnsi="Times New Roman"/>
            <w:sz w:val="20"/>
            <w:szCs w:val="20"/>
          </w:rPr>
          <w:t>10.1 OSSERVAZIONI DI CARATTERE GENERALE</w:t>
        </w:r>
      </w:hyperlink>
    </w:p>
    <w:p w14:paraId="0925F554" w14:textId="273B63AA" w:rsidR="0081534F" w:rsidRPr="0081534F" w:rsidRDefault="0081534F" w:rsidP="0081534F">
      <w:pPr>
        <w:spacing w:before="160" w:after="60" w:line="36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F16565">
        <w:rPr>
          <w:rStyle w:val="InstructionsTabelleText"/>
          <w:rFonts w:ascii="Times New Roman" w:hAnsi="Times New Roman"/>
          <w:bCs/>
          <w:szCs w:val="20"/>
        </w:rPr>
        <w:t>10.2 – ISTRUZIONI RELATIVE A POSIZIONI SPECIFICHE</w:t>
      </w:r>
    </w:p>
    <w:p w14:paraId="4A89C4C3" w14:textId="77777777" w:rsidR="00003310" w:rsidRDefault="00003310" w:rsidP="00003310"/>
    <w:p w14:paraId="2E25C7F7" w14:textId="7ED739DC" w:rsidR="0081534F" w:rsidRDefault="0081534F">
      <w:r>
        <w:br w:type="page"/>
      </w:r>
    </w:p>
    <w:p w14:paraId="21D3AF39" w14:textId="77777777" w:rsidR="00003310" w:rsidRPr="00003310" w:rsidRDefault="00003310" w:rsidP="00003310"/>
    <w:p w14:paraId="4B258C86" w14:textId="3D22367A" w:rsidR="00B65435" w:rsidRPr="0010754F" w:rsidRDefault="00B65435" w:rsidP="00B65435">
      <w:pPr>
        <w:pStyle w:val="Heading2"/>
        <w:rPr>
          <w:rFonts w:ascii="Times New Roman" w:hAnsi="Times New Roman"/>
          <w:color w:val="000000" w:themeColor="text1"/>
          <w:sz w:val="28"/>
          <w:szCs w:val="28"/>
        </w:rPr>
      </w:pPr>
      <w:bookmarkStart w:id="5" w:name="_Toc187692317"/>
      <w:r>
        <w:rPr>
          <w:rFonts w:ascii="Times New Roman" w:hAnsi="Times New Roman"/>
          <w:color w:val="000000" w:themeColor="text1"/>
          <w:sz w:val="28"/>
        </w:rPr>
        <w:t>PARTE I:</w:t>
      </w:r>
      <w:bookmarkEnd w:id="0"/>
      <w:r>
        <w:rPr>
          <w:rFonts w:ascii="Times New Roman" w:hAnsi="Times New Roman"/>
          <w:color w:val="000000" w:themeColor="text1"/>
          <w:sz w:val="28"/>
        </w:rPr>
        <w:t xml:space="preserve"> ISTRUZIONI DI CARATTERE GENERALE</w:t>
      </w:r>
      <w:bookmarkEnd w:id="1"/>
      <w:bookmarkEnd w:id="2"/>
      <w:bookmarkEnd w:id="5"/>
    </w:p>
    <w:p w14:paraId="7A8CC652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6" w:name="_Toc360188318"/>
      <w:bookmarkStart w:id="7" w:name="_Toc473560866"/>
      <w:bookmarkStart w:id="8" w:name="_Toc187692318"/>
      <w:r>
        <w:rPr>
          <w:rFonts w:ascii="Times New Roman" w:hAnsi="Times New Roman"/>
          <w:sz w:val="24"/>
          <w:u w:val="none"/>
        </w:rPr>
        <w:t>1.</w:t>
      </w:r>
      <w:r w:rsidRPr="00DD38E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STRUTTURA E CONVENZIONI</w:t>
      </w:r>
      <w:bookmarkEnd w:id="6"/>
      <w:bookmarkEnd w:id="7"/>
      <w:bookmarkEnd w:id="8"/>
    </w:p>
    <w:p w14:paraId="05A1293C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" w:name="_Toc360188319"/>
      <w:bookmarkStart w:id="10" w:name="_Toc473560867"/>
      <w:bookmarkStart w:id="11" w:name="_Toc187692319"/>
      <w:bookmarkStart w:id="12" w:name="_Toc264038399"/>
      <w:bookmarkStart w:id="13" w:name="_Toc294018834"/>
      <w:r>
        <w:rPr>
          <w:rFonts w:ascii="Times New Roman" w:hAnsi="Times New Roman"/>
          <w:sz w:val="24"/>
          <w:u w:val="none"/>
        </w:rPr>
        <w:t>1.1.</w:t>
      </w:r>
      <w:r w:rsidRPr="00DD38E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STRUTTURA</w:t>
      </w:r>
      <w:bookmarkEnd w:id="9"/>
      <w:bookmarkEnd w:id="10"/>
      <w:bookmarkEnd w:id="11"/>
    </w:p>
    <w:p w14:paraId="12B79693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1</w:t>
      </w:r>
      <w:r>
        <w:fldChar w:fldCharType="end"/>
      </w:r>
      <w:r>
        <w:t>.</w:t>
      </w:r>
      <w:r>
        <w:tab/>
        <w:t>Nel complesso, il quadro verte su sei aspetti:</w:t>
      </w:r>
    </w:p>
    <w:p w14:paraId="28184C96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>
        <w:t>a)</w:t>
      </w:r>
      <w:r>
        <w:tab/>
        <w:t>adeguatezza patrimoniale, descrizione del capitale regolamentare; importo complessivo dell'esposizione al rischio; valutazione prudente; copertura delle perdite delle esposizioni deteriorate (NPE);</w:t>
      </w:r>
    </w:p>
    <w:p w14:paraId="473EDF66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>
        <w:t>b)</w:t>
      </w:r>
      <w:r>
        <w:tab/>
        <w:t>solvibilità del gruppo, descrizione del rispetto dei requisiti di solvibilità da parte di tutti i singoli soggetti inclusi nel consolidamento del soggetto segnalante;</w:t>
      </w:r>
    </w:p>
    <w:p w14:paraId="520D1BC7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>
        <w:t>c)</w:t>
      </w:r>
      <w:r>
        <w:tab/>
        <w:t>rischio di credito (compresi i rischi di controparte, diluizione e regolamento);</w:t>
      </w:r>
    </w:p>
    <w:p w14:paraId="5BEF8552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>
        <w:t>d)</w:t>
      </w:r>
      <w:r>
        <w:tab/>
        <w:t>rischio di mercato (compresi il rischio di posizione nel portafoglio di negoziazione, il rischio di cambio, il rischio di posizione in merci e il rischio di aggiustamento della valutazione del credito (CVA));</w:t>
      </w:r>
    </w:p>
    <w:p w14:paraId="0EDA877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>
        <w:t>e)</w:t>
      </w:r>
      <w:r>
        <w:tab/>
        <w:t>rischio operativo;</w:t>
      </w:r>
    </w:p>
    <w:p w14:paraId="74CE70F7" w14:textId="77777777" w:rsidR="006B2A2E" w:rsidRDefault="00B65435" w:rsidP="00B65435">
      <w:pPr>
        <w:pStyle w:val="InstructionsText2"/>
        <w:numPr>
          <w:ilvl w:val="0"/>
          <w:numId w:val="0"/>
        </w:numPr>
        <w:ind w:left="993"/>
      </w:pPr>
      <w:r>
        <w:t>f) esposizioni delle amministrazioni pubbliche;</w:t>
      </w:r>
    </w:p>
    <w:p w14:paraId="708A95B2" w14:textId="403DAD5F" w:rsidR="00B65435" w:rsidRPr="002A677E" w:rsidRDefault="006B2A2E" w:rsidP="00B65435">
      <w:pPr>
        <w:pStyle w:val="InstructionsText2"/>
        <w:numPr>
          <w:ilvl w:val="0"/>
          <w:numId w:val="0"/>
        </w:numPr>
        <w:ind w:left="993"/>
      </w:pPr>
      <w:r>
        <w:t>g) esposizioni alle cripto-attività.</w:t>
      </w:r>
    </w:p>
    <w:p w14:paraId="0F9DCED8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2</w:t>
      </w:r>
      <w:r>
        <w:fldChar w:fldCharType="end"/>
      </w:r>
      <w:r>
        <w:t>.</w:t>
      </w:r>
      <w:r>
        <w:tab/>
        <w:t>Per ciascun modello sono indicati i riferimenti giuridici. Questa parte del presente regolamento di esecuzione contiene ulteriori informazioni dettagliate sugli aspetti più generali della segnalazione di ciascun blocco di modelli, istruzioni relative a posizioni specifiche nonché norme di convalida.</w:t>
      </w:r>
    </w:p>
    <w:p w14:paraId="3414EDA4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3</w:t>
      </w:r>
      <w:r>
        <w:fldChar w:fldCharType="end"/>
      </w:r>
      <w:r>
        <w:t>.</w:t>
      </w:r>
      <w:r>
        <w:tab/>
        <w:t>L’ente segnala soltanto i modelli che sono rilevanti per il metodo utilizzato per il calcolo dei requisiti di fondi propri.</w:t>
      </w:r>
    </w:p>
    <w:p w14:paraId="21ED76C2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4" w:name="_Toc360188320"/>
      <w:bookmarkStart w:id="15" w:name="_Toc473560868"/>
      <w:bookmarkStart w:id="16" w:name="_Toc187692320"/>
      <w:r>
        <w:rPr>
          <w:rFonts w:ascii="Times New Roman" w:hAnsi="Times New Roman"/>
          <w:sz w:val="24"/>
          <w:u w:val="none"/>
        </w:rPr>
        <w:t>1.2.</w:t>
      </w:r>
      <w:r w:rsidRPr="00DD38E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Convenzione di numerazione</w:t>
      </w:r>
      <w:bookmarkEnd w:id="14"/>
      <w:bookmarkEnd w:id="15"/>
      <w:bookmarkEnd w:id="16"/>
    </w:p>
    <w:p w14:paraId="2DF1C393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4</w:t>
      </w:r>
      <w:r>
        <w:fldChar w:fldCharType="end"/>
      </w:r>
      <w:r>
        <w:t>.</w:t>
      </w:r>
      <w:r>
        <w:tab/>
        <w:t>Nel citare le colonne, le righe e le celle dei modelli, il documento si attiene alla convenzione di etichettatura di cui ai punti da 5 a 8. I codici numerici in questione sono ampiamente utilizzati nelle norme di convalida.</w:t>
      </w:r>
    </w:p>
    <w:p w14:paraId="2EE8A2BD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5</w:t>
      </w:r>
      <w:r>
        <w:fldChar w:fldCharType="end"/>
      </w:r>
      <w:r>
        <w:t>.</w:t>
      </w:r>
      <w:r>
        <w:tab/>
        <w:t>Nelle istruzioni si applica il seguente schema di annotazione generale: {Modello; Riga; Colonna}.</w:t>
      </w:r>
    </w:p>
    <w:p w14:paraId="2DB7F95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6</w:t>
      </w:r>
      <w:r>
        <w:fldChar w:fldCharType="end"/>
      </w:r>
      <w:r>
        <w:t>.</w:t>
      </w:r>
      <w:r>
        <w:tab/>
        <w:t>Per le convalide all'interno di un modello in cui sono utilizzati soltanto punti di dati del modello stesso, le annotazioni non contengono l'indicazione del modello: {Riga; Colonna}.</w:t>
      </w:r>
    </w:p>
    <w:p w14:paraId="05E444F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7</w:t>
      </w:r>
      <w:r>
        <w:fldChar w:fldCharType="end"/>
      </w:r>
      <w:r>
        <w:t>.</w:t>
      </w:r>
      <w:r>
        <w:tab/>
        <w:t>Nei modelli con una sola colonna, sono indicate soltanto le righe. {Modello; Riga}</w:t>
      </w:r>
    </w:p>
    <w:p w14:paraId="21355A9F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lastRenderedPageBreak/>
        <w:fldChar w:fldCharType="begin"/>
      </w:r>
      <w:r>
        <w:instrText>seq paragraphs</w:instrText>
      </w:r>
      <w:r>
        <w:fldChar w:fldCharType="separate"/>
      </w:r>
      <w:r>
        <w:t>8</w:t>
      </w:r>
      <w:r>
        <w:fldChar w:fldCharType="end"/>
      </w:r>
      <w:r>
        <w:t>.</w:t>
      </w:r>
      <w:r>
        <w:tab/>
        <w:t>Un asterisco segnala che la convalida è effettuata per le righe o le colonne specificate in precedenza.</w:t>
      </w:r>
    </w:p>
    <w:p w14:paraId="16E2386B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  <w:u w:val="none"/>
        </w:rPr>
      </w:pPr>
      <w:bookmarkStart w:id="17" w:name="_Toc360188321"/>
      <w:bookmarkStart w:id="18" w:name="_Toc473560869"/>
      <w:bookmarkStart w:id="19" w:name="_Toc187692321"/>
      <w:r>
        <w:rPr>
          <w:rFonts w:ascii="Times New Roman" w:hAnsi="Times New Roman"/>
          <w:sz w:val="24"/>
          <w:u w:val="none"/>
        </w:rPr>
        <w:t>1.3.</w:t>
      </w:r>
      <w:r w:rsidRPr="00DD38E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Convenzione dei segni</w:t>
      </w:r>
      <w:bookmarkEnd w:id="12"/>
      <w:bookmarkEnd w:id="13"/>
      <w:bookmarkEnd w:id="17"/>
      <w:bookmarkEnd w:id="18"/>
      <w:bookmarkEnd w:id="19"/>
    </w:p>
    <w:p w14:paraId="7F9B0C4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9</w:t>
      </w:r>
      <w:r>
        <w:fldChar w:fldCharType="end"/>
      </w:r>
      <w:r>
        <w:t>.</w:t>
      </w:r>
      <w:r>
        <w:tab/>
        <w:t>Qualsiasi importo che aumenta i fondi propri o i requisiti patrimoniali è segnalato come cifra positiva. Per contro, qualsiasi importo che riduce i fondi propri totali o i requisiti patrimoniali è segnalato come cifra negativa. Se l'intestazione della voce è preceduta da un segno negativo (-), significa che per quella voce non è prevista la segnalazione di cifre positive.</w:t>
      </w:r>
    </w:p>
    <w:p w14:paraId="7A31F9F8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t>10</w:t>
      </w:r>
      <w:r>
        <w:fldChar w:fldCharType="end"/>
      </w:r>
      <w:r>
        <w:t>. [vuoto]</w:t>
      </w:r>
    </w:p>
    <w:p w14:paraId="6A4F8FB5" w14:textId="77777777" w:rsidR="00EE75F2" w:rsidRDefault="00EE75F2"/>
    <w:p w14:paraId="09491342" w14:textId="77777777" w:rsidR="00B65435" w:rsidRDefault="00B65435"/>
    <w:sectPr w:rsidR="00B65435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57BE4" w14:textId="77777777" w:rsidR="00B65435" w:rsidRDefault="00B65435" w:rsidP="00B65435">
      <w:pPr>
        <w:spacing w:after="0" w:line="240" w:lineRule="auto"/>
      </w:pPr>
      <w:r>
        <w:separator/>
      </w:r>
    </w:p>
  </w:endnote>
  <w:endnote w:type="continuationSeparator" w:id="0">
    <w:p w14:paraId="6E413653" w14:textId="77777777" w:rsidR="00B65435" w:rsidRDefault="00B65435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F9AD2" w14:textId="77777777" w:rsidR="00B65435" w:rsidRDefault="00B65435" w:rsidP="00B65435">
      <w:pPr>
        <w:spacing w:after="0" w:line="240" w:lineRule="auto"/>
      </w:pPr>
      <w:r>
        <w:separator/>
      </w:r>
    </w:p>
  </w:footnote>
  <w:footnote w:type="continuationSeparator" w:id="0">
    <w:p w14:paraId="218FDA82" w14:textId="77777777" w:rsidR="00B65435" w:rsidRDefault="00B65435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l'uso ordinario dell'ABE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er l'uso ordinario dell'AB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l'uso ordinario dell'ABE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l'uso ordinario dell'ABE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er l'uso ordinario dell'AB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l'uso ordinario dell'ABE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l'uso ordinario dell'ABE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er l'uso ordinario dell'AB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l'uso ordinario dell'ABE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1E2377"/>
    <w:rsid w:val="00233F67"/>
    <w:rsid w:val="00475023"/>
    <w:rsid w:val="00631623"/>
    <w:rsid w:val="006B2A2E"/>
    <w:rsid w:val="0081534F"/>
    <w:rsid w:val="00A6002C"/>
    <w:rsid w:val="00A639E0"/>
    <w:rsid w:val="00B65435"/>
    <w:rsid w:val="00B96029"/>
    <w:rsid w:val="00CF0032"/>
    <w:rsid w:val="00DD38E2"/>
    <w:rsid w:val="00EA2ABB"/>
    <w:rsid w:val="00EE75F2"/>
    <w:rsid w:val="00E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it-I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it-I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it-IT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it-I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it-I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it-I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it-I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it-IT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it-I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it-I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69AD58E6-7C14-4552-B84C-CB69F17C803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2463</Words>
  <Characters>14829</Characters>
  <Application>Microsoft Office Word</Application>
  <DocSecurity>0</DocSecurity>
  <Lines>380</Lines>
  <Paragraphs>332</Paragraphs>
  <ScaleCrop>false</ScaleCrop>
  <Company>European Banking Authority</Company>
  <LinksUpToDate>false</LinksUpToDate>
  <CharactersWithSpaces>16960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MOROSI Micol (DGT)</cp:lastModifiedBy>
  <cp:revision>10</cp:revision>
  <dcterms:created xsi:type="dcterms:W3CDTF">2024-06-19T15:59:00Z</dcterms:created>
  <dcterms:modified xsi:type="dcterms:W3CDTF">2025-01-24T16:57:00Z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2025-01-13T19:25:17Z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d12bc025-a74e-4539-b3a6-6a7bb310a29d</vt:lpwstr>
  </property>
  <property fmtid="{D5CDD505-2E9C-101B-9397-08002B2CF9AE}" pid="12" name="MSIP_Label_6bd9ddd1-4d20-43f6-abfa-fc3c07406f94_ContentBits">
    <vt:lpwstr>0</vt:lpwstr>
  </property>
</Properties>
</file>