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1CCFF" w14:textId="77777777" w:rsidR="00632962" w:rsidRDefault="00632962" w:rsidP="00632962">
      <w:pPr>
        <w:jc w:val="center"/>
        <w:rPr>
          <w:rFonts w:ascii="Times New Roman" w:hAnsi="Times New Roman"/>
          <w:sz w:val="24"/>
          <w:szCs w:val="22"/>
        </w:rPr>
      </w:pPr>
      <w:r>
        <w:rPr>
          <w:rFonts w:ascii="Times New Roman" w:hAnsi="Times New Roman"/>
          <w:sz w:val="24"/>
        </w:rPr>
        <w:t>CS</w:t>
      </w:r>
    </w:p>
    <w:p w14:paraId="2A25A977" w14:textId="77777777" w:rsidR="00074AC8" w:rsidRPr="00037E7B" w:rsidRDefault="00074AC8" w:rsidP="00632962">
      <w:pPr>
        <w:rPr>
          <w:rFonts w:ascii="Times New Roman" w:hAnsi="Times New Roman"/>
          <w:sz w:val="24"/>
        </w:rPr>
      </w:pPr>
    </w:p>
    <w:p w14:paraId="01E2F594" w14:textId="77777777" w:rsidR="00074AC8" w:rsidRPr="00037E7B" w:rsidRDefault="00074AC8" w:rsidP="00074AC8">
      <w:pPr>
        <w:jc w:val="center"/>
        <w:rPr>
          <w:rFonts w:ascii="Times New Roman" w:hAnsi="Times New Roman"/>
          <w:sz w:val="24"/>
        </w:rPr>
      </w:pPr>
      <w:r>
        <w:rPr>
          <w:rFonts w:ascii="Times New Roman" w:hAnsi="Times New Roman"/>
          <w:sz w:val="24"/>
        </w:rPr>
        <w:t>PŘÍLOHA II</w:t>
      </w:r>
    </w:p>
    <w:p w14:paraId="7AF3DCD8" w14:textId="77777777" w:rsidR="00074AC8" w:rsidRPr="00037E7B" w:rsidRDefault="00074AC8" w:rsidP="00074AC8">
      <w:pPr>
        <w:jc w:val="center"/>
        <w:rPr>
          <w:rFonts w:ascii="Times New Roman" w:hAnsi="Times New Roman"/>
          <w:sz w:val="24"/>
        </w:rPr>
      </w:pPr>
      <w:r>
        <w:rPr>
          <w:rFonts w:ascii="Times New Roman" w:hAnsi="Times New Roman"/>
          <w:sz w:val="24"/>
        </w:rPr>
        <w:t>„PŘÍLOHA II</w:t>
      </w:r>
    </w:p>
    <w:p w14:paraId="786C3F82" w14:textId="77777777" w:rsidR="00074AC8" w:rsidRPr="00037E7B" w:rsidRDefault="00074AC8" w:rsidP="00074AC8">
      <w:pPr>
        <w:jc w:val="center"/>
        <w:rPr>
          <w:rFonts w:ascii="Times New Roman" w:hAnsi="Times New Roman"/>
          <w:b/>
          <w:sz w:val="24"/>
        </w:rPr>
      </w:pPr>
      <w:r>
        <w:rPr>
          <w:rFonts w:ascii="Times New Roman" w:hAnsi="Times New Roman"/>
          <w:b/>
          <w:sz w:val="24"/>
        </w:rPr>
        <w:t>POKYNY PRO PODÁVÁNÍ ZPRÁV O KAPITÁLU A KAPITÁLOVÝCH POŽADAVCÍCH</w:t>
      </w:r>
    </w:p>
    <w:p w14:paraId="6BCD4480" w14:textId="77777777" w:rsidR="00074AC8" w:rsidRPr="00037E7B" w:rsidRDefault="00074AC8" w:rsidP="00074AC8">
      <w:pPr>
        <w:jc w:val="center"/>
        <w:rPr>
          <w:rFonts w:ascii="Times New Roman" w:hAnsi="Times New Roman"/>
          <w:b/>
          <w:sz w:val="24"/>
          <w:lang w:eastAsia="de-DE"/>
        </w:rPr>
      </w:pPr>
    </w:p>
    <w:p w14:paraId="3CC9E074" w14:textId="77777777" w:rsidR="00074AC8" w:rsidRPr="00037E7B" w:rsidRDefault="00074AC8" w:rsidP="00074AC8">
      <w:pPr>
        <w:rPr>
          <w:rFonts w:ascii="Times New Roman" w:hAnsi="Times New Roman"/>
          <w:sz w:val="24"/>
        </w:rPr>
      </w:pPr>
    </w:p>
    <w:p w14:paraId="27B4A905" w14:textId="77777777" w:rsidR="00074AC8" w:rsidRPr="00037E7B" w:rsidRDefault="00074AC8" w:rsidP="00074AC8">
      <w:pPr>
        <w:pStyle w:val="Heading2"/>
        <w:rPr>
          <w:rFonts w:ascii="Times New Roman" w:hAnsi="Times New Roman"/>
        </w:rPr>
      </w:pPr>
      <w:bookmarkStart w:id="0" w:name="_Toc360188322"/>
      <w:bookmarkStart w:id="1" w:name="_Toc473560870"/>
      <w:bookmarkStart w:id="2" w:name="_Toc151714358"/>
      <w:r>
        <w:rPr>
          <w:rFonts w:ascii="Times New Roman" w:hAnsi="Times New Roman"/>
        </w:rPr>
        <w:t>ČÁST II: POKYNY K ŠABLONÁM</w:t>
      </w:r>
      <w:bookmarkEnd w:id="0"/>
      <w:bookmarkEnd w:id="1"/>
      <w:bookmarkEnd w:id="2"/>
    </w:p>
    <w:p w14:paraId="58C4E75A" w14:textId="77777777" w:rsidR="00074AC8" w:rsidRPr="00037E7B" w:rsidRDefault="00074AC8" w:rsidP="00074AC8">
      <w:pPr>
        <w:rPr>
          <w:lang w:eastAsia="x-none"/>
        </w:rPr>
      </w:pPr>
    </w:p>
    <w:p w14:paraId="14EC4CED" w14:textId="77777777" w:rsidR="00074AC8" w:rsidRPr="00037E7B" w:rsidRDefault="00074AC8" w:rsidP="00074AC8">
      <w:r>
        <w:t>(…)</w:t>
      </w:r>
    </w:p>
    <w:p w14:paraId="6B9B322A" w14:textId="77777777" w:rsidR="00E26A90" w:rsidRDefault="00E26A90"/>
    <w:p w14:paraId="1A7CCECF" w14:textId="77777777" w:rsidR="00EF74C7" w:rsidRPr="002A677E" w:rsidRDefault="00EF74C7" w:rsidP="00EF74C7">
      <w:pPr>
        <w:pStyle w:val="ListParagraph"/>
        <w:keepNext/>
        <w:numPr>
          <w:ilvl w:val="1"/>
          <w:numId w:val="29"/>
        </w:numPr>
        <w:spacing w:before="240" w:after="240"/>
        <w:outlineLvl w:val="1"/>
        <w:rPr>
          <w:rFonts w:ascii="Times New Roman" w:hAnsi="Times New Roman"/>
          <w:sz w:val="24"/>
        </w:rPr>
      </w:pPr>
      <w:bookmarkStart w:id="3" w:name="_Toc19715796"/>
      <w:bookmarkStart w:id="4" w:name="_Toc151714441"/>
      <w:r>
        <w:rPr>
          <w:rFonts w:ascii="Times New Roman" w:hAnsi="Times New Roman"/>
          <w:sz w:val="24"/>
        </w:rPr>
        <w:t>Úvěrové riziko protistrany</w:t>
      </w:r>
      <w:bookmarkEnd w:id="3"/>
      <w:bookmarkEnd w:id="4"/>
    </w:p>
    <w:p w14:paraId="41169173"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5" w:name="_Toc19712307"/>
      <w:bookmarkStart w:id="6" w:name="_Toc19715797"/>
      <w:bookmarkStart w:id="7" w:name="_Toc19715798"/>
      <w:bookmarkStart w:id="8" w:name="_Toc19715799"/>
      <w:bookmarkStart w:id="9" w:name="_Toc19715800"/>
      <w:bookmarkStart w:id="10" w:name="_Toc19715801"/>
      <w:bookmarkStart w:id="11" w:name="_Toc5612629"/>
      <w:bookmarkStart w:id="12" w:name="_Toc19715802"/>
      <w:bookmarkStart w:id="13" w:name="_Toc151714442"/>
      <w:bookmarkEnd w:id="5"/>
      <w:bookmarkEnd w:id="6"/>
      <w:bookmarkEnd w:id="7"/>
      <w:bookmarkEnd w:id="8"/>
      <w:bookmarkEnd w:id="9"/>
      <w:bookmarkEnd w:id="10"/>
      <w:r>
        <w:rPr>
          <w:rFonts w:ascii="Times New Roman" w:hAnsi="Times New Roman"/>
          <w:sz w:val="24"/>
        </w:rPr>
        <w:t>Oblast působnosti šablon pro úvěrové riziko protistrany</w:t>
      </w:r>
      <w:bookmarkEnd w:id="11"/>
      <w:bookmarkEnd w:id="12"/>
      <w:bookmarkEnd w:id="13"/>
    </w:p>
    <w:p w14:paraId="19D6AFBD" w14:textId="47A5FE99" w:rsidR="00EF74C7" w:rsidRPr="002A677E" w:rsidRDefault="00EF74C7" w:rsidP="00EF74C7">
      <w:pPr>
        <w:pStyle w:val="InstructionsText2"/>
        <w:numPr>
          <w:ilvl w:val="0"/>
          <w:numId w:val="0"/>
        </w:numPr>
        <w:ind w:left="993"/>
      </w:pPr>
      <w:r>
        <w:fldChar w:fldCharType="begin"/>
      </w:r>
      <w:r>
        <w:instrText>seq paragraphs</w:instrText>
      </w:r>
      <w:r>
        <w:fldChar w:fldCharType="separate"/>
      </w:r>
      <w:r>
        <w:t>119</w:t>
      </w:r>
      <w:r>
        <w:fldChar w:fldCharType="end"/>
      </w:r>
      <w:r>
        <w:t>. Šablony pro úvěrové riziko protistrany zahrnují informace o expozicích podléhajících úvěrovému riziku protistrany podle části třetí hlavy II kapitol 4 a 6 nařízení (EU) č. 575/2013.</w:t>
      </w:r>
    </w:p>
    <w:p w14:paraId="5C2099A9" w14:textId="470C3ABA"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120</w:t>
      </w:r>
      <w:r>
        <w:fldChar w:fldCharType="end"/>
      </w:r>
      <w:r>
        <w:t xml:space="preserve">. Šablony nezahrnují požadavky na kapitál k riziku úvěrových úprav v ocenění (čl. 92 odst. 3 písm. d) a část třetí hlava VI nařízení (EU) č. 575/2013), které se vykazují v šabloně pro riziko úvěrových úprav v ocenění. </w:t>
      </w:r>
    </w:p>
    <w:p w14:paraId="69B3C47B" w14:textId="3B35D766"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121</w:t>
      </w:r>
      <w:r>
        <w:fldChar w:fldCharType="end"/>
      </w:r>
      <w:r>
        <w:t>. Expozice úvěrového rizika protistrany vůči ústředním protistranám (část třetí hlava II kapitola 4 a kapitola 6 oddíl 9 nařízení (EU) č. 575/2013) by měly být zahrnuty do údajů o úvěrovém riziku protistrany, není-li uvedeno jinak. V šablonách pro úvěrové riziko protistrany se však nevykazují příspěvky do fondu pro riziko selhání vypočtené v souladu s články 307 až 310 nařízení (EU) č. 575/2013, s výjimkou šablony C 34.10, zejména odpovídajících řádků. Objemy rizikově vážených expozic příspěvků do fondu pro riziko selhání se zpravidla vykazují přímo v šabloně C 02.00, řádku 0460.</w:t>
      </w:r>
    </w:p>
    <w:p w14:paraId="30858597"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14" w:name="_Toc19715803"/>
      <w:bookmarkStart w:id="15" w:name="_Toc151714443"/>
      <w:bookmarkStart w:id="16" w:name="_Toc516210659"/>
      <w:r>
        <w:rPr>
          <w:rFonts w:ascii="Times New Roman" w:hAnsi="Times New Roman"/>
          <w:sz w:val="24"/>
        </w:rPr>
        <w:t>C 34.01 – Objem derivátových obchodů</w:t>
      </w:r>
      <w:bookmarkEnd w:id="14"/>
      <w:bookmarkEnd w:id="15"/>
    </w:p>
    <w:p w14:paraId="0D62C2B5"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17" w:name="_Toc19715804"/>
      <w:bookmarkStart w:id="18" w:name="_Toc151714444"/>
      <w:r>
        <w:rPr>
          <w:rFonts w:ascii="Times New Roman" w:hAnsi="Times New Roman"/>
          <w:sz w:val="24"/>
        </w:rPr>
        <w:t>Obecné poznámky</w:t>
      </w:r>
      <w:bookmarkEnd w:id="16"/>
      <w:bookmarkEnd w:id="17"/>
      <w:bookmarkEnd w:id="18"/>
    </w:p>
    <w:p w14:paraId="20D44CDB" w14:textId="375893F1"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122</w:t>
      </w:r>
      <w:r>
        <w:fldChar w:fldCharType="end"/>
      </w:r>
      <w:r>
        <w:t xml:space="preserve">. V souladu s článkem 273a nařízení (EU) č. 575/2013 může instituce vypočítat hodnotu expozice svých derivátových pozic metodou stanovenou v části třetí hlavě II kapitole 6 oddíle 4 nebo 5 nařízení (EU) č. 575/2013 za předpokladu, že objem jejích rozvahových derivátových obchodů je roven předem stanoveným prahovým hodnotám nebo je menší než tyto hodnoty u podrozvahových derivátových obchodů. Příslušné posouzení se provádí měsíčně s použitím údajů k poslednímu dni v měsíci. V této šabloně jsou uvedeny informace o dodržování </w:t>
      </w:r>
      <w:r>
        <w:lastRenderedPageBreak/>
        <w:t>daných prahových hodnot a obecněji důležité informace o objemu derivátových obchodů.</w:t>
      </w:r>
    </w:p>
    <w:p w14:paraId="0B9542C1" w14:textId="25E74705"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123</w:t>
      </w:r>
      <w:r>
        <w:fldChar w:fldCharType="end"/>
      </w:r>
      <w:r>
        <w:t>. Údaje „měsíc 1“, „měsíc 2“ a „měsíc 3“ odkazují na první, druhý a poslední měsíc vykazovaného čtvrtletí. Informace se vykazují pouze za konce měsíců po 28. červnu 2021.</w:t>
      </w:r>
    </w:p>
    <w:p w14:paraId="782EADBE"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19" w:name="_Toc516210660"/>
      <w:bookmarkStart w:id="20" w:name="_Toc19715805"/>
      <w:bookmarkStart w:id="21" w:name="_Toc151714445"/>
      <w:r>
        <w:rPr>
          <w:rFonts w:ascii="Times New Roman" w:hAnsi="Times New Roman"/>
          <w:sz w:val="24"/>
        </w:rPr>
        <w:t>Pokyny pro konkrétní pozice</w:t>
      </w:r>
      <w:bookmarkEnd w:id="19"/>
      <w:bookmarkEnd w:id="20"/>
      <w:bookmarkEnd w:id="2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EF74C7" w:rsidRPr="002A677E" w14:paraId="0475E41A" w14:textId="77777777" w:rsidTr="00822842">
        <w:tc>
          <w:tcPr>
            <w:tcW w:w="851" w:type="dxa"/>
            <w:gridSpan w:val="2"/>
            <w:shd w:val="clear" w:color="auto" w:fill="CCCCCC"/>
          </w:tcPr>
          <w:p w14:paraId="31CC44BD"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b/>
                <w:sz w:val="24"/>
              </w:rPr>
              <w:t>Sloupce</w:t>
            </w:r>
          </w:p>
        </w:tc>
      </w:tr>
      <w:tr w:rsidR="00EF74C7" w:rsidRPr="002A677E" w14:paraId="39875704" w14:textId="77777777" w:rsidTr="00822842">
        <w:tc>
          <w:tcPr>
            <w:tcW w:w="851" w:type="dxa"/>
          </w:tcPr>
          <w:p w14:paraId="39BC59F7"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0010,0040, 0070</w:t>
            </w:r>
          </w:p>
        </w:tc>
        <w:tc>
          <w:tcPr>
            <w:tcW w:w="8108" w:type="dxa"/>
          </w:tcPr>
          <w:p w14:paraId="09D42C21"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DLOUHÉ DERIVÁTOVÉ POZICE</w:t>
            </w:r>
          </w:p>
          <w:p w14:paraId="2BADA7D6"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Ustanovení čl. 273a odst. 3 nařízení (EU) č. 575/2013</w:t>
            </w:r>
          </w:p>
          <w:p w14:paraId="400C78E9"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Vykazuje se součet absolutních tržních hodnot dlouhých derivátových pozic k poslednímu dni měsíce.</w:t>
            </w:r>
          </w:p>
        </w:tc>
      </w:tr>
      <w:tr w:rsidR="00EF74C7" w:rsidRPr="002A677E" w14:paraId="76F76EF8" w14:textId="77777777" w:rsidTr="00822842">
        <w:tc>
          <w:tcPr>
            <w:tcW w:w="851" w:type="dxa"/>
          </w:tcPr>
          <w:p w14:paraId="1821FC2A"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0020,0050,</w:t>
            </w:r>
          </w:p>
          <w:p w14:paraId="6AD38436"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0080</w:t>
            </w:r>
          </w:p>
        </w:tc>
        <w:tc>
          <w:tcPr>
            <w:tcW w:w="8108" w:type="dxa"/>
          </w:tcPr>
          <w:p w14:paraId="4F840B38"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KRÁTKÉ DERIVÁTOVÉ POZICE</w:t>
            </w:r>
          </w:p>
          <w:p w14:paraId="17AF4A13"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Ustanovení čl. 273a odst. 3 nařízení (EU) č. 575/2013</w:t>
            </w:r>
          </w:p>
          <w:p w14:paraId="3AB96F81"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Vykazuje se součet absolutních tržních hodnot krátkých derivátových pozic k poslednímu dni měsíce.</w:t>
            </w:r>
          </w:p>
        </w:tc>
      </w:tr>
      <w:tr w:rsidR="00EF74C7" w:rsidRPr="002A677E" w14:paraId="03A14C37" w14:textId="77777777" w:rsidTr="00822842">
        <w:tc>
          <w:tcPr>
            <w:tcW w:w="851" w:type="dxa"/>
          </w:tcPr>
          <w:p w14:paraId="0D690866"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0030,0060,</w:t>
            </w:r>
          </w:p>
          <w:p w14:paraId="1173DE8A"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0090</w:t>
            </w:r>
          </w:p>
        </w:tc>
        <w:tc>
          <w:tcPr>
            <w:tcW w:w="8108" w:type="dxa"/>
          </w:tcPr>
          <w:p w14:paraId="252D116D"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CELKEM</w:t>
            </w:r>
          </w:p>
          <w:p w14:paraId="4D024C67"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273a odst. 3 písm. b) </w:t>
            </w:r>
            <w:r>
              <w:rPr>
                <w:rFonts w:ascii="Times New Roman" w:hAnsi="Times New Roman"/>
                <w:sz w:val="24"/>
              </w:rPr>
              <w:t>nařízení (EU) č. 575/2013</w:t>
            </w:r>
          </w:p>
          <w:p w14:paraId="6C39E208"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Součet absolutní hodnoty dlouhých derivátových pozic a absolutní hodnoty krátkých derivátových pozic</w:t>
            </w:r>
          </w:p>
        </w:tc>
      </w:tr>
    </w:tbl>
    <w:p w14:paraId="5DF57E78" w14:textId="77777777" w:rsidR="00EF74C7" w:rsidRPr="002A677E" w:rsidRDefault="00EF74C7" w:rsidP="00EF74C7">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EF74C7" w:rsidRPr="002A677E" w14:paraId="1158449C" w14:textId="77777777" w:rsidTr="00822842">
        <w:tc>
          <w:tcPr>
            <w:tcW w:w="9039" w:type="dxa"/>
            <w:gridSpan w:val="2"/>
            <w:shd w:val="clear" w:color="auto" w:fill="CCCCCC"/>
          </w:tcPr>
          <w:p w14:paraId="2E01AD0B"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b/>
                <w:sz w:val="24"/>
              </w:rPr>
              <w:t>Řádky</w:t>
            </w:r>
          </w:p>
        </w:tc>
      </w:tr>
      <w:tr w:rsidR="00EF74C7" w:rsidRPr="002A677E" w14:paraId="2C6F42AE" w14:textId="77777777" w:rsidTr="00822842">
        <w:tc>
          <w:tcPr>
            <w:tcW w:w="852" w:type="dxa"/>
          </w:tcPr>
          <w:p w14:paraId="024CBE56"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552E9C6B"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Objem derivátových obchodů</w:t>
            </w:r>
          </w:p>
          <w:p w14:paraId="78339108" w14:textId="77777777" w:rsidR="00EF74C7" w:rsidRPr="002A677E" w:rsidRDefault="00EF74C7" w:rsidP="00822842">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 xml:space="preserve">Ustanovení čl. 273a odst. 3 </w:t>
            </w:r>
            <w:r>
              <w:rPr>
                <w:rFonts w:ascii="Times New Roman" w:hAnsi="Times New Roman"/>
                <w:sz w:val="24"/>
              </w:rPr>
              <w:t>nařízení (EU) č. 575/2013</w:t>
            </w:r>
          </w:p>
          <w:p w14:paraId="6D4FE0C8"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Zahrnou se všechny rozvahové a podrozvahové deriváty s výjimkou úvěrových derivátů, které jsou uznány jako vnitřní zajištění vůči expozicím úvěrového rizika v investičním portfoliu.</w:t>
            </w:r>
          </w:p>
        </w:tc>
      </w:tr>
      <w:tr w:rsidR="00EF74C7" w:rsidRPr="002A677E" w14:paraId="579E43BD" w14:textId="77777777" w:rsidTr="00822842">
        <w:tc>
          <w:tcPr>
            <w:tcW w:w="852" w:type="dxa"/>
          </w:tcPr>
          <w:p w14:paraId="435DE7F3"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14:paraId="04982DD9"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Rozvahové a podrozvahové deriváty</w:t>
            </w:r>
          </w:p>
          <w:p w14:paraId="5D2385C4"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273a odst. 3 písm. a) a  b) </w:t>
            </w:r>
            <w:r>
              <w:rPr>
                <w:rFonts w:ascii="Times New Roman" w:hAnsi="Times New Roman"/>
                <w:sz w:val="24"/>
              </w:rPr>
              <w:t>nařízení (EU) č. 575/2013</w:t>
            </w:r>
          </w:p>
          <w:p w14:paraId="36CFA94A"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Vykazuje se celková tržní hodnota rozvahových a podrozvahových derivátových pozic k poslednímu dni měsíce.</w:t>
            </w:r>
            <w:r>
              <w:rPr>
                <w:rFonts w:ascii="Times New Roman" w:hAnsi="Times New Roman"/>
                <w:sz w:val="24"/>
              </w:rPr>
              <w:t xml:space="preserve"> Není-li tržní hodnota určité pozice k danému dni k dispozici, použijí instituce reálnou hodnotu této pozice k danému dni; pokud k danému dni není k dispozici tržní ani reálná hodnota, použijí instituce tu tržní nebo reálnou hodnotu dané pozice, která je nejaktuálnější.</w:t>
            </w:r>
          </w:p>
        </w:tc>
      </w:tr>
      <w:tr w:rsidR="00EF74C7" w:rsidRPr="002A677E" w14:paraId="0D0ADD9F" w14:textId="77777777" w:rsidTr="00822842">
        <w:tc>
          <w:tcPr>
            <w:tcW w:w="852" w:type="dxa"/>
          </w:tcPr>
          <w:p w14:paraId="6D998AEA"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lastRenderedPageBreak/>
              <w:t xml:space="preserve">0030 </w:t>
            </w:r>
          </w:p>
        </w:tc>
        <w:tc>
          <w:tcPr>
            <w:tcW w:w="8187" w:type="dxa"/>
          </w:tcPr>
          <w:p w14:paraId="36732A5F" w14:textId="77777777" w:rsidR="00EF74C7" w:rsidRPr="002A677E" w:rsidRDefault="00EF74C7" w:rsidP="00822842">
            <w:pPr>
              <w:spacing w:beforeLines="60" w:before="144" w:afterLines="60" w:after="144"/>
              <w:rPr>
                <w:rFonts w:ascii="Times New Roman" w:hAnsi="Times New Roman"/>
                <w:b/>
                <w:sz w:val="24"/>
                <w:u w:val="single"/>
              </w:rPr>
            </w:pPr>
            <w:r>
              <w:rPr>
                <w:rFonts w:ascii="Times New Roman" w:hAnsi="Times New Roman"/>
                <w:b/>
                <w:sz w:val="24"/>
                <w:u w:val="single"/>
              </w:rPr>
              <w:t>(−) Úvěrové deriváty, které jsou uznány jako vnitřní zajištění vůči expozicím úvěrového rizika v investičním portfoliu</w:t>
            </w:r>
          </w:p>
          <w:p w14:paraId="7B2D3F9F"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273a odst. 3 písm. c) </w:t>
            </w:r>
            <w:r>
              <w:rPr>
                <w:rFonts w:ascii="Times New Roman" w:hAnsi="Times New Roman"/>
                <w:sz w:val="24"/>
              </w:rPr>
              <w:t>nařízení (EU) č. 575/2013</w:t>
            </w:r>
          </w:p>
          <w:p w14:paraId="11EEB10C"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Celková tržní hodnota úvěrových derivátů, které jsou uznány jako vnitřní zajištění vůči expozicím úvěrového rizika v investičním portfoliu</w:t>
            </w:r>
          </w:p>
        </w:tc>
      </w:tr>
      <w:tr w:rsidR="00EF74C7" w:rsidRPr="002A677E" w14:paraId="35FDB40E" w14:textId="77777777" w:rsidTr="00822842">
        <w:tc>
          <w:tcPr>
            <w:tcW w:w="852" w:type="dxa"/>
          </w:tcPr>
          <w:p w14:paraId="74E4E271"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0040</w:t>
            </w:r>
          </w:p>
        </w:tc>
        <w:tc>
          <w:tcPr>
            <w:tcW w:w="8187" w:type="dxa"/>
          </w:tcPr>
          <w:p w14:paraId="0BD00669"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Aktiva celkem</w:t>
            </w:r>
          </w:p>
          <w:p w14:paraId="46929946"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Celková hodnota aktiv v souladu s platnými účetními standardy</w:t>
            </w:r>
          </w:p>
          <w:p w14:paraId="010EF5F0"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Pro účely konsolidovaného vykazování instituce vykazuje celková aktiva v rámci působnosti obezřetnostní konsolidace v souladu s částí první hlavou II kapitolou 2 oddílem 2 </w:t>
            </w:r>
            <w:r>
              <w:rPr>
                <w:rFonts w:ascii="Times New Roman" w:hAnsi="Times New Roman"/>
                <w:sz w:val="24"/>
              </w:rPr>
              <w:t>nařízení (EU) č. 575/2013</w:t>
            </w:r>
            <w:r>
              <w:rPr>
                <w:rStyle w:val="InstructionsTabelleberschrift"/>
                <w:rFonts w:ascii="Times New Roman" w:hAnsi="Times New Roman"/>
                <w:b w:val="0"/>
                <w:sz w:val="24"/>
                <w:u w:val="none"/>
              </w:rPr>
              <w:t>.</w:t>
            </w:r>
          </w:p>
        </w:tc>
      </w:tr>
      <w:tr w:rsidR="00EF74C7" w:rsidRPr="002A677E" w14:paraId="4D325D16" w14:textId="77777777" w:rsidTr="00822842">
        <w:tc>
          <w:tcPr>
            <w:tcW w:w="852" w:type="dxa"/>
          </w:tcPr>
          <w:p w14:paraId="60F15BF2"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0050</w:t>
            </w:r>
          </w:p>
        </w:tc>
        <w:tc>
          <w:tcPr>
            <w:tcW w:w="8187" w:type="dxa"/>
          </w:tcPr>
          <w:p w14:paraId="26613692"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Procentní podíl celkových aktiv</w:t>
            </w:r>
          </w:p>
          <w:p w14:paraId="7A7748D7" w14:textId="77777777" w:rsidR="00EF74C7" w:rsidRPr="002A677E" w:rsidRDefault="00EF74C7" w:rsidP="00822842">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Tento podíl se vypočítá podle následujícího vzorce: objem derivátových obchodů (řádek 0010) děleno celkovou hodnotou aktiv (řádek 0040). </w:t>
            </w:r>
          </w:p>
        </w:tc>
      </w:tr>
      <w:tr w:rsidR="00EF74C7" w:rsidRPr="002A677E" w14:paraId="0399B49B" w14:textId="77777777" w:rsidTr="00822842">
        <w:tc>
          <w:tcPr>
            <w:tcW w:w="9039" w:type="dxa"/>
            <w:gridSpan w:val="2"/>
            <w:shd w:val="clear" w:color="auto" w:fill="A6A6A6" w:themeFill="background1" w:themeFillShade="A6"/>
          </w:tcPr>
          <w:p w14:paraId="2029EDEF"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b/>
                <w:sz w:val="24"/>
              </w:rPr>
              <w:t xml:space="preserve">ODCHYLKA PODLE ČL. 273a ODST. 4 </w:t>
            </w:r>
            <w:r>
              <w:rPr>
                <w:rFonts w:ascii="Times New Roman" w:hAnsi="Times New Roman"/>
                <w:b/>
                <w:sz w:val="24"/>
                <w:u w:val="single"/>
              </w:rPr>
              <w:t>NAŘÍZENÍ (EU) Č.</w:t>
            </w:r>
            <w:r>
              <w:rPr>
                <w:rFonts w:ascii="Times New Roman" w:hAnsi="Times New Roman"/>
                <w:b/>
                <w:sz w:val="24"/>
              </w:rPr>
              <w:t> 575/2013</w:t>
            </w:r>
          </w:p>
        </w:tc>
      </w:tr>
      <w:tr w:rsidR="00EF74C7" w:rsidRPr="002A677E" w14:paraId="70D864E0" w14:textId="77777777" w:rsidTr="00822842">
        <w:trPr>
          <w:trHeight w:val="3003"/>
        </w:trPr>
        <w:tc>
          <w:tcPr>
            <w:tcW w:w="852" w:type="dxa"/>
          </w:tcPr>
          <w:p w14:paraId="3AB25C6D"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0060</w:t>
            </w:r>
          </w:p>
        </w:tc>
        <w:tc>
          <w:tcPr>
            <w:tcW w:w="8187" w:type="dxa"/>
          </w:tcPr>
          <w:p w14:paraId="67908B53"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Jsou splněny podmínky čl. 273a odst. 4 </w:t>
            </w:r>
            <w:r>
              <w:rPr>
                <w:rFonts w:ascii="Times New Roman" w:hAnsi="Times New Roman"/>
                <w:sz w:val="24"/>
              </w:rPr>
              <w:t>nařízení (EU) č. 575/2013</w:t>
            </w:r>
            <w:r>
              <w:rPr>
                <w:rStyle w:val="InstructionsTabelleberschrift"/>
                <w:rFonts w:ascii="Times New Roman" w:hAnsi="Times New Roman"/>
                <w:sz w:val="24"/>
              </w:rPr>
              <w:t>, včetně souhlasu příslušného orgánu?</w:t>
            </w:r>
          </w:p>
          <w:p w14:paraId="2F3DE52A"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273a odst. 4 </w:t>
            </w:r>
            <w:r>
              <w:rPr>
                <w:rFonts w:ascii="Times New Roman" w:hAnsi="Times New Roman"/>
                <w:sz w:val="24"/>
              </w:rPr>
              <w:t>nařízení (EU) č. 575/2013</w:t>
            </w:r>
          </w:p>
          <w:p w14:paraId="748D5951"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Instituce, které překračují prahové hodnoty pro použití zjednodušeného přístupu k úvěrovému riziku protistrany, ale stále používají jednu z nich na základě čl. 273a odst. 4 </w:t>
            </w:r>
            <w:r>
              <w:rPr>
                <w:rFonts w:ascii="Times New Roman" w:hAnsi="Times New Roman"/>
                <w:sz w:val="24"/>
              </w:rPr>
              <w:t xml:space="preserve">nařízení (EU) č. 575/2013, </w:t>
            </w:r>
            <w:r>
              <w:rPr>
                <w:rStyle w:val="InstructionsTabelleberschrift"/>
                <w:rFonts w:ascii="Times New Roman" w:hAnsi="Times New Roman"/>
                <w:b w:val="0"/>
                <w:sz w:val="24"/>
                <w:u w:val="none"/>
              </w:rPr>
              <w:t>uvedou, zda splňují všechny podmínky uvedeného článku (ano/ne).</w:t>
            </w:r>
          </w:p>
          <w:p w14:paraId="6DA86931" w14:textId="77777777" w:rsidR="00EF74C7" w:rsidRPr="002A677E" w:rsidRDefault="00EF74C7" w:rsidP="00822842">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Tuto položku vykazují pouze instituce, které uplatňují odchylku v souladu s čl. 273a odst. 4 </w:t>
            </w:r>
            <w:r>
              <w:rPr>
                <w:rFonts w:ascii="Times New Roman" w:hAnsi="Times New Roman"/>
                <w:sz w:val="24"/>
              </w:rPr>
              <w:t>nařízení (EU) č. 575/2013</w:t>
            </w:r>
            <w:r>
              <w:rPr>
                <w:rStyle w:val="InstructionsTabelleberschrift"/>
                <w:rFonts w:ascii="Times New Roman" w:hAnsi="Times New Roman"/>
                <w:b w:val="0"/>
                <w:sz w:val="24"/>
                <w:u w:val="none"/>
              </w:rPr>
              <w:t>.</w:t>
            </w:r>
          </w:p>
        </w:tc>
      </w:tr>
      <w:tr w:rsidR="00EF74C7" w:rsidRPr="002A677E" w14:paraId="454EB33C" w14:textId="77777777" w:rsidTr="00822842">
        <w:tc>
          <w:tcPr>
            <w:tcW w:w="852" w:type="dxa"/>
          </w:tcPr>
          <w:p w14:paraId="38A2CAC1"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58491ECF"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Metoda výpočtu hodnot expozice na konsolidované úrovni</w:t>
            </w:r>
          </w:p>
          <w:p w14:paraId="082FDD18"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273a odst. 4 </w:t>
            </w:r>
            <w:r>
              <w:rPr>
                <w:rFonts w:ascii="Times New Roman" w:hAnsi="Times New Roman"/>
                <w:sz w:val="24"/>
              </w:rPr>
              <w:t>nařízení (EU) č. 575/2013</w:t>
            </w:r>
          </w:p>
          <w:p w14:paraId="2F4198CB"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Metoda výpočtu hodnot expozice derivátových pozic na konsolidovaném základě, která se používá rovněž na úrovni jednotlivých subjektů v souladu s čl. 273a odst. 4 </w:t>
            </w:r>
            <w:r>
              <w:rPr>
                <w:rFonts w:ascii="Times New Roman" w:hAnsi="Times New Roman"/>
                <w:sz w:val="24"/>
              </w:rPr>
              <w:t>nařízení (EU) č. 575/2013</w:t>
            </w:r>
            <w:r>
              <w:rPr>
                <w:rStyle w:val="InstructionsTabelleberschrift"/>
                <w:rFonts w:ascii="Times New Roman" w:hAnsi="Times New Roman"/>
                <w:b w:val="0"/>
                <w:sz w:val="24"/>
                <w:u w:val="none"/>
              </w:rPr>
              <w:t>:</w:t>
            </w:r>
          </w:p>
          <w:p w14:paraId="028F6AA2"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metoda původní expozice</w:t>
            </w:r>
          </w:p>
          <w:p w14:paraId="52FA75E2"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zjednodušený přístup SA-CCR: zjednodušený standardizovaný přístup k úvěrovému riziku protistrany </w:t>
            </w:r>
          </w:p>
          <w:p w14:paraId="6D893F4F" w14:textId="77777777" w:rsidR="00EF74C7" w:rsidRPr="002A677E" w:rsidRDefault="00EF74C7" w:rsidP="00822842">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Tuto položku vykazují pouze instituce, které uplatňují odchylku v souladu s čl. 273a odst. 4 </w:t>
            </w:r>
            <w:r>
              <w:rPr>
                <w:rFonts w:ascii="Times New Roman" w:hAnsi="Times New Roman"/>
                <w:sz w:val="24"/>
              </w:rPr>
              <w:t>nařízení (EU) č. 575/2013</w:t>
            </w:r>
            <w:r>
              <w:rPr>
                <w:rStyle w:val="InstructionsTabelleberschrift"/>
                <w:rFonts w:ascii="Times New Roman" w:hAnsi="Times New Roman"/>
                <w:b w:val="0"/>
                <w:sz w:val="24"/>
                <w:u w:val="none"/>
              </w:rPr>
              <w:t>.</w:t>
            </w:r>
          </w:p>
        </w:tc>
      </w:tr>
    </w:tbl>
    <w:p w14:paraId="773ED03F"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22" w:name="_Toc19715806"/>
      <w:bookmarkStart w:id="23" w:name="_Toc151714446"/>
      <w:r>
        <w:rPr>
          <w:rFonts w:ascii="Times New Roman" w:hAnsi="Times New Roman"/>
          <w:sz w:val="24"/>
        </w:rPr>
        <w:lastRenderedPageBreak/>
        <w:t>C 34.02 – Expozice s CCR podle přístupu</w:t>
      </w:r>
      <w:bookmarkEnd w:id="22"/>
      <w:bookmarkEnd w:id="23"/>
      <w:r>
        <w:rPr>
          <w:rFonts w:ascii="Times New Roman" w:hAnsi="Times New Roman"/>
          <w:sz w:val="24"/>
        </w:rPr>
        <w:t xml:space="preserve"> </w:t>
      </w:r>
    </w:p>
    <w:p w14:paraId="3FC7FDB8"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24" w:name="_Toc19715807"/>
      <w:bookmarkStart w:id="25" w:name="_Toc151714447"/>
      <w:r>
        <w:rPr>
          <w:rFonts w:ascii="Times New Roman" w:hAnsi="Times New Roman"/>
          <w:sz w:val="24"/>
        </w:rPr>
        <w:t>Obecné poznámky</w:t>
      </w:r>
      <w:bookmarkEnd w:id="24"/>
      <w:bookmarkEnd w:id="25"/>
    </w:p>
    <w:p w14:paraId="765D46FE" w14:textId="20A30CC8"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124</w:t>
      </w:r>
      <w:r>
        <w:fldChar w:fldCharType="end"/>
      </w:r>
      <w:r>
        <w:t>. Instituce vykazují šablonu zvlášť pro všechny expozice s CCR a pro všechny expozice s CCR s výjimkou expozic vůči ústředním protistranám, jak jsou definovány pro účely šablony C 34.10.</w:t>
      </w:r>
    </w:p>
    <w:p w14:paraId="73798597"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26" w:name="_Toc19715808"/>
      <w:bookmarkStart w:id="27" w:name="_Toc151714448"/>
      <w:r>
        <w:rPr>
          <w:rFonts w:ascii="Times New Roman" w:hAnsi="Times New Roman"/>
          <w:sz w:val="24"/>
        </w:rPr>
        <w:t>Pokyny pro konkrétní pozice</w:t>
      </w:r>
      <w:bookmarkEnd w:id="26"/>
      <w:bookmarkEnd w:id="2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5DC5F817" w14:textId="77777777" w:rsidTr="00822842">
        <w:trPr>
          <w:trHeight w:val="616"/>
        </w:trPr>
        <w:tc>
          <w:tcPr>
            <w:tcW w:w="9039" w:type="dxa"/>
            <w:gridSpan w:val="2"/>
            <w:tcBorders>
              <w:right w:val="single" w:sz="4" w:space="0" w:color="auto"/>
            </w:tcBorders>
            <w:shd w:val="clear" w:color="auto" w:fill="D9D9D9" w:themeFill="background1" w:themeFillShade="D9"/>
          </w:tcPr>
          <w:p w14:paraId="1806F3DC"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Sloupce</w:t>
            </w:r>
          </w:p>
        </w:tc>
      </w:tr>
      <w:tr w:rsidR="00EF74C7" w:rsidRPr="002A677E" w14:paraId="5AF62E03" w14:textId="77777777" w:rsidTr="00822842">
        <w:trPr>
          <w:trHeight w:val="680"/>
        </w:trPr>
        <w:tc>
          <w:tcPr>
            <w:tcW w:w="1384" w:type="dxa"/>
          </w:tcPr>
          <w:p w14:paraId="0ECB7AE7" w14:textId="77777777" w:rsidR="00EF74C7" w:rsidRPr="002A677E" w:rsidRDefault="00EF74C7" w:rsidP="00822842">
            <w:pPr>
              <w:pStyle w:val="Applicationdirecte"/>
              <w:spacing w:before="0" w:after="0"/>
            </w:pPr>
            <w:r>
              <w:t>0010</w:t>
            </w:r>
          </w:p>
        </w:tc>
        <w:tc>
          <w:tcPr>
            <w:tcW w:w="7655" w:type="dxa"/>
            <w:vAlign w:val="center"/>
          </w:tcPr>
          <w:p w14:paraId="2F369CA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POČET PROTISTRAN</w:t>
            </w:r>
          </w:p>
          <w:p w14:paraId="5D247700" w14:textId="77777777" w:rsidR="00EF74C7" w:rsidRPr="002A677E" w:rsidRDefault="00EF74C7" w:rsidP="00822842">
            <w:pPr>
              <w:autoSpaceDE w:val="0"/>
              <w:autoSpaceDN w:val="0"/>
              <w:adjustRightInd w:val="0"/>
              <w:spacing w:before="60"/>
              <w:rPr>
                <w:rFonts w:ascii="Times New Roman" w:hAnsi="Times New Roman"/>
                <w:i/>
                <w:sz w:val="24"/>
              </w:rPr>
            </w:pPr>
            <w:r>
              <w:rPr>
                <w:rFonts w:ascii="Times New Roman" w:hAnsi="Times New Roman"/>
                <w:sz w:val="24"/>
              </w:rPr>
              <w:t>Počet jednotlivých protistran, vůči nimž má instituce expozice s CCR</w:t>
            </w:r>
          </w:p>
        </w:tc>
      </w:tr>
      <w:tr w:rsidR="00EF74C7" w:rsidRPr="002A677E" w14:paraId="47187F35" w14:textId="77777777" w:rsidTr="00822842">
        <w:trPr>
          <w:trHeight w:val="416"/>
        </w:trPr>
        <w:tc>
          <w:tcPr>
            <w:tcW w:w="1384" w:type="dxa"/>
          </w:tcPr>
          <w:p w14:paraId="31502253" w14:textId="77777777" w:rsidR="00EF74C7" w:rsidRPr="002A677E" w:rsidRDefault="00EF74C7" w:rsidP="00822842">
            <w:pPr>
              <w:pStyle w:val="Applicationdirecte"/>
              <w:spacing w:before="0" w:after="0"/>
            </w:pPr>
            <w:r>
              <w:t>0020</w:t>
            </w:r>
          </w:p>
        </w:tc>
        <w:tc>
          <w:tcPr>
            <w:tcW w:w="7655" w:type="dxa"/>
            <w:vAlign w:val="center"/>
          </w:tcPr>
          <w:p w14:paraId="6A419FF1"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POČET TRANSAKCÍ</w:t>
            </w:r>
          </w:p>
          <w:p w14:paraId="72A1DFED" w14:textId="77777777" w:rsidR="00EF74C7" w:rsidRPr="002A677E" w:rsidRDefault="00EF74C7" w:rsidP="00822842">
            <w:pPr>
              <w:autoSpaceDE w:val="0"/>
              <w:autoSpaceDN w:val="0"/>
              <w:adjustRightInd w:val="0"/>
              <w:spacing w:before="60"/>
              <w:rPr>
                <w:rFonts w:ascii="Times New Roman" w:hAnsi="Times New Roman"/>
                <w:sz w:val="24"/>
              </w:rPr>
            </w:pPr>
            <w:r>
              <w:rPr>
                <w:rFonts w:ascii="Times New Roman" w:hAnsi="Times New Roman"/>
                <w:sz w:val="24"/>
              </w:rPr>
              <w:t>Počet transakcí vystavených úvěrovému riziku protistrany k datu vykazování V případě ústředních protistran by počet transakcí neměl zahrnovat přítoky nebo odtoky kapitálu, ale celkové pozice v portfoliu CCR k datu vykazování. Kromě toho se derivátový nástroj nebo SFT, který je (alespoň) pro účely modelování rozdělen na dvě nebo více komponent, stále považuje za jedinou transakci.</w:t>
            </w:r>
          </w:p>
        </w:tc>
      </w:tr>
      <w:tr w:rsidR="00EF74C7" w:rsidRPr="002A677E" w14:paraId="095C33EA" w14:textId="77777777" w:rsidTr="00822842">
        <w:trPr>
          <w:trHeight w:val="680"/>
        </w:trPr>
        <w:tc>
          <w:tcPr>
            <w:tcW w:w="1384" w:type="dxa"/>
          </w:tcPr>
          <w:p w14:paraId="11D4F4B1" w14:textId="77777777" w:rsidR="00EF74C7" w:rsidRPr="002A677E" w:rsidRDefault="00EF74C7" w:rsidP="00822842">
            <w:pPr>
              <w:pStyle w:val="Applicationdirecte"/>
              <w:spacing w:before="0" w:after="0"/>
            </w:pPr>
            <w:r>
              <w:t>0030</w:t>
            </w:r>
          </w:p>
        </w:tc>
        <w:tc>
          <w:tcPr>
            <w:tcW w:w="7655" w:type="dxa"/>
            <w:vAlign w:val="center"/>
          </w:tcPr>
          <w:p w14:paraId="31BBD50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POMYSLNÉ HODNOTY</w:t>
            </w:r>
          </w:p>
          <w:p w14:paraId="0DE79C19" w14:textId="77777777" w:rsidR="00EF74C7" w:rsidRPr="002A677E" w:rsidRDefault="00EF74C7" w:rsidP="00822842">
            <w:pPr>
              <w:keepNext/>
              <w:spacing w:before="60"/>
              <w:rPr>
                <w:rFonts w:ascii="Times New Roman" w:hAnsi="Times New Roman"/>
                <w:sz w:val="24"/>
              </w:rPr>
            </w:pPr>
            <w:r>
              <w:rPr>
                <w:rFonts w:ascii="Times New Roman" w:hAnsi="Times New Roman"/>
                <w:sz w:val="24"/>
              </w:rPr>
              <w:t>Součet pomyslných hodnot derivátů a SFT před jakýmkoli započtením a bez jakýchkoli úprav v souladu s článkem 279b nařízení (EU) č. 575/2013.</w:t>
            </w:r>
          </w:p>
        </w:tc>
      </w:tr>
      <w:tr w:rsidR="00EF74C7" w:rsidRPr="002A677E" w14:paraId="5C1FBFBA" w14:textId="77777777" w:rsidTr="00822842">
        <w:trPr>
          <w:trHeight w:val="680"/>
        </w:trPr>
        <w:tc>
          <w:tcPr>
            <w:tcW w:w="1384" w:type="dxa"/>
          </w:tcPr>
          <w:p w14:paraId="314060C4" w14:textId="77777777" w:rsidR="00EF74C7" w:rsidRPr="002A677E" w:rsidRDefault="00EF74C7" w:rsidP="00822842">
            <w:pPr>
              <w:pStyle w:val="Applicationdirecte"/>
              <w:spacing w:before="0" w:after="0"/>
            </w:pPr>
            <w:r>
              <w:t>0040</w:t>
            </w:r>
          </w:p>
        </w:tc>
        <w:tc>
          <w:tcPr>
            <w:tcW w:w="7655" w:type="dxa"/>
            <w:vAlign w:val="center"/>
          </w:tcPr>
          <w:p w14:paraId="0DCD00FE"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SOUČASNÁ TRŽNÍ HODNOTA (CMV), KLADNÁ</w:t>
            </w:r>
          </w:p>
          <w:p w14:paraId="0CABD62F" w14:textId="77777777" w:rsidR="00EF74C7" w:rsidRPr="002A677E" w:rsidRDefault="00EF74C7" w:rsidP="00822842">
            <w:pPr>
              <w:keepNext/>
              <w:spacing w:before="60"/>
              <w:rPr>
                <w:rFonts w:ascii="Times New Roman" w:hAnsi="Times New Roman"/>
                <w:sz w:val="24"/>
              </w:rPr>
            </w:pPr>
            <w:r>
              <w:rPr>
                <w:rFonts w:ascii="Times New Roman" w:hAnsi="Times New Roman"/>
                <w:sz w:val="24"/>
              </w:rPr>
              <w:t>Ustanovení čl. 272 odst. 12 nařízení (EU) č. 575/2013</w:t>
            </w:r>
          </w:p>
          <w:p w14:paraId="37448E9C"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Součet současných tržních hodnot (CMV) všech skupin transakcí se započtením s kladnou CMV ve smyslu čl. 272 bodu 12 nařízení (EU) č. 575/2013. </w:t>
            </w:r>
          </w:p>
        </w:tc>
      </w:tr>
      <w:tr w:rsidR="00EF74C7" w:rsidRPr="002A677E" w14:paraId="267FA73E" w14:textId="77777777" w:rsidTr="00822842">
        <w:trPr>
          <w:trHeight w:val="680"/>
        </w:trPr>
        <w:tc>
          <w:tcPr>
            <w:tcW w:w="1384" w:type="dxa"/>
          </w:tcPr>
          <w:p w14:paraId="490B203B" w14:textId="77777777" w:rsidR="00EF74C7" w:rsidRPr="002A677E" w:rsidRDefault="00EF74C7" w:rsidP="00822842">
            <w:pPr>
              <w:pStyle w:val="Applicationdirecte"/>
              <w:spacing w:before="0" w:after="0"/>
            </w:pPr>
            <w:r>
              <w:t>0050</w:t>
            </w:r>
          </w:p>
        </w:tc>
        <w:tc>
          <w:tcPr>
            <w:tcW w:w="7655" w:type="dxa"/>
            <w:vAlign w:val="center"/>
          </w:tcPr>
          <w:p w14:paraId="4AE0533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SOUČASNÁ TRŽNÍ HODNOTA (CMV), ZÁPORNÁ</w:t>
            </w:r>
          </w:p>
          <w:p w14:paraId="1AE578BE" w14:textId="77777777" w:rsidR="00EF74C7" w:rsidRPr="002A677E" w:rsidRDefault="00EF74C7" w:rsidP="00822842">
            <w:pPr>
              <w:keepNext/>
              <w:spacing w:before="60"/>
              <w:rPr>
                <w:rFonts w:ascii="Times New Roman" w:hAnsi="Times New Roman"/>
                <w:sz w:val="24"/>
              </w:rPr>
            </w:pPr>
            <w:r>
              <w:rPr>
                <w:rFonts w:ascii="Times New Roman" w:hAnsi="Times New Roman"/>
                <w:sz w:val="24"/>
              </w:rPr>
              <w:t>Ustanovení čl. 272 odst. 12 nařízení (EU) č. 575/2013</w:t>
            </w:r>
          </w:p>
          <w:p w14:paraId="7055CBFD"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Součet absolutních současných tržních hodnot (CMV) všech skupin transakcí se započtením se zápornou CMV ve smyslu čl. 272 bodu 12 nařízení (EU) č. 575/2013.</w:t>
            </w:r>
          </w:p>
        </w:tc>
      </w:tr>
      <w:tr w:rsidR="00EF74C7" w:rsidRPr="002A677E" w14:paraId="0BB7F6EF" w14:textId="77777777" w:rsidTr="00822842">
        <w:trPr>
          <w:trHeight w:val="680"/>
        </w:trPr>
        <w:tc>
          <w:tcPr>
            <w:tcW w:w="1384" w:type="dxa"/>
          </w:tcPr>
          <w:p w14:paraId="0A3FB298" w14:textId="77777777" w:rsidR="00EF74C7" w:rsidRPr="002A677E" w:rsidRDefault="00EF74C7" w:rsidP="00822842">
            <w:pPr>
              <w:pStyle w:val="Fait"/>
            </w:pPr>
            <w:r>
              <w:lastRenderedPageBreak/>
              <w:t>0060</w:t>
            </w:r>
          </w:p>
        </w:tc>
        <w:tc>
          <w:tcPr>
            <w:tcW w:w="7655" w:type="dxa"/>
            <w:vAlign w:val="center"/>
          </w:tcPr>
          <w:p w14:paraId="48B3261E"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VARIAČNÍ MARŽE (VM), OBDRŽENÁ</w:t>
            </w:r>
          </w:p>
          <w:p w14:paraId="1BCA2FE2" w14:textId="77777777" w:rsidR="00EF74C7" w:rsidRPr="002A677E" w:rsidRDefault="00EF74C7" w:rsidP="00822842">
            <w:pPr>
              <w:keepNext/>
              <w:spacing w:before="60"/>
              <w:rPr>
                <w:rFonts w:ascii="Times New Roman" w:hAnsi="Times New Roman"/>
                <w:sz w:val="24"/>
              </w:rPr>
            </w:pPr>
            <w:r>
              <w:rPr>
                <w:rFonts w:ascii="Times New Roman" w:hAnsi="Times New Roman"/>
                <w:sz w:val="24"/>
              </w:rPr>
              <w:t>Ustanovení čl. 275 odst. 2 a 3 a článku 276 nařízení (EU) č. 575/2013)</w:t>
            </w:r>
          </w:p>
          <w:p w14:paraId="369BA28E" w14:textId="77777777" w:rsidR="00EF74C7" w:rsidRPr="002A677E" w:rsidRDefault="00EF74C7" w:rsidP="00822842">
            <w:pPr>
              <w:keepNext/>
              <w:spacing w:before="60"/>
              <w:rPr>
                <w:rFonts w:ascii="Times New Roman" w:hAnsi="Times New Roman"/>
                <w:sz w:val="24"/>
              </w:rPr>
            </w:pPr>
            <w:r>
              <w:rPr>
                <w:rFonts w:ascii="Times New Roman" w:hAnsi="Times New Roman"/>
                <w:sz w:val="24"/>
              </w:rPr>
              <w:t>Součet hodnot variační marže (VM) všech maržových dohod, u nichž je VM obdržena, vypočtený v souladu s článkem 276 nařízení (EU) č. 575/2013.</w:t>
            </w:r>
          </w:p>
        </w:tc>
      </w:tr>
      <w:tr w:rsidR="00EF74C7" w:rsidRPr="002A677E" w14:paraId="6C721687" w14:textId="77777777" w:rsidTr="00822842">
        <w:trPr>
          <w:trHeight w:val="680"/>
        </w:trPr>
        <w:tc>
          <w:tcPr>
            <w:tcW w:w="1384" w:type="dxa"/>
          </w:tcPr>
          <w:p w14:paraId="2B88DE08" w14:textId="77777777" w:rsidR="00EF74C7" w:rsidRPr="002A677E" w:rsidRDefault="00EF74C7" w:rsidP="00822842">
            <w:pPr>
              <w:pStyle w:val="Fait"/>
            </w:pPr>
            <w:r>
              <w:t>0070</w:t>
            </w:r>
          </w:p>
        </w:tc>
        <w:tc>
          <w:tcPr>
            <w:tcW w:w="7655" w:type="dxa"/>
            <w:vAlign w:val="center"/>
          </w:tcPr>
          <w:p w14:paraId="3CBA9D04"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VARIAČNÍ MARŽE (VM), POSKYTNUTÁ</w:t>
            </w:r>
          </w:p>
          <w:p w14:paraId="5E268090" w14:textId="77777777" w:rsidR="00EF74C7" w:rsidRPr="002A677E" w:rsidRDefault="00EF74C7" w:rsidP="00822842">
            <w:pPr>
              <w:keepNext/>
              <w:spacing w:before="60"/>
              <w:rPr>
                <w:rFonts w:ascii="Times New Roman" w:hAnsi="Times New Roman"/>
                <w:sz w:val="24"/>
              </w:rPr>
            </w:pPr>
            <w:r>
              <w:rPr>
                <w:rFonts w:ascii="Times New Roman" w:hAnsi="Times New Roman"/>
                <w:sz w:val="24"/>
              </w:rPr>
              <w:t>Ustanovení čl. 275 odst. 2 a 3 a článku 276 nařízení (EU) č. 575/2013)</w:t>
            </w:r>
          </w:p>
          <w:p w14:paraId="061EF38D"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Součet hodnot variační marže (VM) všech maržových dohod, u nichž je VM poskytnuta, vypočtený v souladu s článkem 276 nařízení (EU) č. 575/2013.</w:t>
            </w:r>
          </w:p>
        </w:tc>
      </w:tr>
      <w:tr w:rsidR="00EF74C7" w:rsidRPr="002A677E" w14:paraId="4403BF45" w14:textId="77777777" w:rsidTr="00822842">
        <w:trPr>
          <w:trHeight w:val="680"/>
        </w:trPr>
        <w:tc>
          <w:tcPr>
            <w:tcW w:w="1384" w:type="dxa"/>
          </w:tcPr>
          <w:p w14:paraId="6FD71C9F" w14:textId="77777777" w:rsidR="00EF74C7" w:rsidRPr="002A677E" w:rsidRDefault="00EF74C7" w:rsidP="00822842">
            <w:pPr>
              <w:pStyle w:val="Applicationdirecte"/>
              <w:spacing w:before="0" w:after="0"/>
            </w:pPr>
            <w:r>
              <w:t>0080</w:t>
            </w:r>
          </w:p>
        </w:tc>
        <w:tc>
          <w:tcPr>
            <w:tcW w:w="7655" w:type="dxa"/>
            <w:vAlign w:val="center"/>
          </w:tcPr>
          <w:p w14:paraId="2A71E90A"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ČÁSTKA ČISTÉHO NEZÁVISLÉHO KOLATERÁLU (NICA), OBDRŽENÁ </w:t>
            </w:r>
          </w:p>
          <w:p w14:paraId="6F05E00C" w14:textId="77777777" w:rsidR="00EF74C7" w:rsidRPr="002A677E" w:rsidRDefault="00EF74C7" w:rsidP="00822842">
            <w:pPr>
              <w:keepNext/>
              <w:spacing w:before="60"/>
              <w:rPr>
                <w:rFonts w:ascii="Times New Roman" w:hAnsi="Times New Roman"/>
                <w:sz w:val="24"/>
              </w:rPr>
            </w:pPr>
            <w:r>
              <w:rPr>
                <w:rFonts w:ascii="Times New Roman" w:hAnsi="Times New Roman"/>
                <w:sz w:val="24"/>
              </w:rPr>
              <w:t>Ustanovení čl. 272 bodu 12a, čl. 275 odst. 3 a článku 276 nařízení (EU) č. 575/2013</w:t>
            </w:r>
          </w:p>
          <w:p w14:paraId="4F712E22" w14:textId="77777777" w:rsidR="00EF74C7" w:rsidRPr="002A677E" w:rsidRDefault="00EF74C7" w:rsidP="00822842">
            <w:pPr>
              <w:keepNext/>
              <w:spacing w:before="60"/>
              <w:rPr>
                <w:rFonts w:ascii="Times New Roman" w:hAnsi="Times New Roman"/>
                <w:sz w:val="24"/>
              </w:rPr>
            </w:pPr>
            <w:r>
              <w:rPr>
                <w:rFonts w:ascii="Times New Roman" w:hAnsi="Times New Roman"/>
                <w:sz w:val="24"/>
              </w:rPr>
              <w:t>Součet částek čistého nezávislého kolaterálu (NICA) všech maržových dohod, u nichž je NICA obdržena, vypočtený v souladu s článkem 276 nařízení (EU) č. 575/2013.</w:t>
            </w:r>
          </w:p>
        </w:tc>
      </w:tr>
      <w:tr w:rsidR="00EF74C7" w:rsidRPr="002A677E" w14:paraId="6199258D" w14:textId="77777777" w:rsidTr="00822842">
        <w:trPr>
          <w:trHeight w:val="680"/>
        </w:trPr>
        <w:tc>
          <w:tcPr>
            <w:tcW w:w="1384" w:type="dxa"/>
          </w:tcPr>
          <w:p w14:paraId="5ECD89A4" w14:textId="77777777" w:rsidR="00EF74C7" w:rsidRPr="002A677E" w:rsidRDefault="00EF74C7" w:rsidP="00822842">
            <w:pPr>
              <w:pStyle w:val="Applicationdirecte"/>
              <w:spacing w:before="0" w:after="0"/>
            </w:pPr>
            <w:r>
              <w:t>0090</w:t>
            </w:r>
          </w:p>
        </w:tc>
        <w:tc>
          <w:tcPr>
            <w:tcW w:w="7655" w:type="dxa"/>
            <w:vAlign w:val="center"/>
          </w:tcPr>
          <w:p w14:paraId="0E262EAD"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ČÁSTKA ČISTÉHO NEZÁVISLÉHO KOLATERÁLU (NICA), POSKYTNUTÁ </w:t>
            </w:r>
          </w:p>
          <w:p w14:paraId="69D94B02" w14:textId="77777777" w:rsidR="00EF74C7" w:rsidRPr="002A677E" w:rsidRDefault="00EF74C7" w:rsidP="00822842">
            <w:pPr>
              <w:keepNext/>
              <w:spacing w:before="60"/>
              <w:rPr>
                <w:rFonts w:ascii="Times New Roman" w:hAnsi="Times New Roman"/>
                <w:sz w:val="24"/>
              </w:rPr>
            </w:pPr>
            <w:r>
              <w:rPr>
                <w:rFonts w:ascii="Times New Roman" w:hAnsi="Times New Roman"/>
                <w:sz w:val="24"/>
              </w:rPr>
              <w:t>Ustanovení čl. 272 bodu 12a, čl. 275 odst. 3 a článku 276 nařízení (EU) č. 575/2013</w:t>
            </w:r>
          </w:p>
          <w:p w14:paraId="501F735A" w14:textId="77777777" w:rsidR="00EF74C7" w:rsidRPr="002A677E" w:rsidRDefault="00EF74C7" w:rsidP="00822842">
            <w:pPr>
              <w:spacing w:before="60"/>
              <w:rPr>
                <w:rStyle w:val="InstructionsTabelleberschrift"/>
                <w:rFonts w:ascii="Times New Roman" w:hAnsi="Times New Roman"/>
                <w:sz w:val="24"/>
              </w:rPr>
            </w:pPr>
            <w:r>
              <w:rPr>
                <w:rFonts w:ascii="Times New Roman" w:hAnsi="Times New Roman"/>
                <w:sz w:val="24"/>
              </w:rPr>
              <w:t>Součet částek čistého nezávislého kolaterálu (NICA) všech maržových dohod, u nichž je NICA poskytnuta, vypočtený v souladu s článkem 276 nařízení (EU) č. 575/2013.</w:t>
            </w:r>
          </w:p>
        </w:tc>
      </w:tr>
      <w:tr w:rsidR="00EF74C7" w:rsidRPr="002A677E" w14:paraId="1D70BDB1" w14:textId="77777777" w:rsidTr="00822842">
        <w:trPr>
          <w:trHeight w:val="680"/>
        </w:trPr>
        <w:tc>
          <w:tcPr>
            <w:tcW w:w="1384" w:type="dxa"/>
          </w:tcPr>
          <w:p w14:paraId="4B42749A" w14:textId="77777777" w:rsidR="00EF74C7" w:rsidRPr="002A677E" w:rsidRDefault="00EF74C7" w:rsidP="00822842">
            <w:pPr>
              <w:pStyle w:val="Applicationdirecte"/>
              <w:spacing w:before="0" w:after="0"/>
            </w:pPr>
            <w:r>
              <w:t>0100</w:t>
            </w:r>
          </w:p>
        </w:tc>
        <w:tc>
          <w:tcPr>
            <w:tcW w:w="7655" w:type="dxa"/>
            <w:vAlign w:val="center"/>
          </w:tcPr>
          <w:p w14:paraId="4F8024BE"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REPRODUKČNÍ NÁKLADY (RC) </w:t>
            </w:r>
          </w:p>
          <w:p w14:paraId="020E5CFA"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Články 275, 281 a 282 nařízení (EU) č. 575/2013</w:t>
            </w:r>
          </w:p>
          <w:p w14:paraId="7C118F06" w14:textId="77777777" w:rsidR="00EF74C7" w:rsidRPr="002A677E" w:rsidRDefault="00EF74C7" w:rsidP="00822842">
            <w:pPr>
              <w:pStyle w:val="TableMainHeading"/>
              <w:spacing w:before="0" w:after="0"/>
              <w:jc w:val="both"/>
              <w:rPr>
                <w:rFonts w:ascii="Times New Roman" w:hAnsi="Times New Roman"/>
                <w:sz w:val="24"/>
                <w:szCs w:val="24"/>
              </w:rPr>
            </w:pPr>
            <w:r>
              <w:rPr>
                <w:rFonts w:ascii="Times New Roman" w:hAnsi="Times New Roman"/>
                <w:sz w:val="24"/>
              </w:rPr>
              <w:t xml:space="preserve">Reprodukční náklady (RC) pro jednotlivé skupiny transakcí se započtením se vypočítají v souladu s: </w:t>
            </w:r>
          </w:p>
          <w:p w14:paraId="48A8DFD4"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 ustanovením čl. 282 odst. 3 nařízení (EU) č. 575/2013 v případě metody původní expozice, </w:t>
            </w:r>
          </w:p>
          <w:p w14:paraId="119FA228" w14:textId="77777777" w:rsidR="00EF74C7" w:rsidRPr="002A677E" w:rsidRDefault="00EF74C7" w:rsidP="00822842">
            <w:pPr>
              <w:spacing w:before="60"/>
              <w:rPr>
                <w:rFonts w:ascii="Times New Roman" w:hAnsi="Times New Roman"/>
                <w:sz w:val="24"/>
              </w:rPr>
            </w:pPr>
            <w:r>
              <w:rPr>
                <w:rFonts w:ascii="Times New Roman" w:hAnsi="Times New Roman"/>
                <w:sz w:val="24"/>
              </w:rPr>
              <w:t>– článkem 281 nařízení (EU) č. 575/2013 v případě zjednodušeného přístupu SA-CCR,</w:t>
            </w:r>
          </w:p>
          <w:p w14:paraId="341C9FB7" w14:textId="77777777" w:rsidR="00EF74C7" w:rsidRPr="002A677E" w:rsidRDefault="00EF74C7" w:rsidP="00822842">
            <w:pPr>
              <w:spacing w:before="60"/>
              <w:rPr>
                <w:rFonts w:ascii="Times New Roman" w:hAnsi="Times New Roman"/>
                <w:sz w:val="24"/>
              </w:rPr>
            </w:pPr>
            <w:r>
              <w:rPr>
                <w:rFonts w:ascii="Times New Roman" w:hAnsi="Times New Roman"/>
                <w:sz w:val="24"/>
              </w:rPr>
              <w:t>– článkem 275 nařízení (EU) č. 575/2013 v případě přístupu SA-CCR.</w:t>
            </w:r>
          </w:p>
          <w:p w14:paraId="4927F863" w14:textId="77777777" w:rsidR="00EF74C7" w:rsidRPr="002A677E" w:rsidRDefault="00EF74C7" w:rsidP="00822842">
            <w:pPr>
              <w:spacing w:before="60"/>
              <w:rPr>
                <w:rFonts w:ascii="Times New Roman" w:hAnsi="Times New Roman"/>
                <w:sz w:val="24"/>
              </w:rPr>
            </w:pPr>
            <w:r>
              <w:rPr>
                <w:rFonts w:ascii="Times New Roman" w:hAnsi="Times New Roman"/>
                <w:sz w:val="24"/>
              </w:rPr>
              <w:t>Instituce vykazuje součet reprodukčních nákladů skupin transakcí se započtením v příslušném řádku.</w:t>
            </w:r>
          </w:p>
        </w:tc>
      </w:tr>
      <w:tr w:rsidR="00EF74C7" w:rsidRPr="002A677E" w14:paraId="6A436014" w14:textId="77777777" w:rsidTr="00822842">
        <w:trPr>
          <w:trHeight w:val="680"/>
        </w:trPr>
        <w:tc>
          <w:tcPr>
            <w:tcW w:w="1384" w:type="dxa"/>
          </w:tcPr>
          <w:p w14:paraId="0929ECF8" w14:textId="77777777" w:rsidR="00EF74C7" w:rsidRPr="002A677E" w:rsidRDefault="00EF74C7" w:rsidP="00822842">
            <w:pPr>
              <w:pStyle w:val="Applicationdirecte"/>
              <w:spacing w:before="0" w:after="0"/>
            </w:pPr>
            <w:r>
              <w:t>0110</w:t>
            </w:r>
          </w:p>
        </w:tc>
        <w:tc>
          <w:tcPr>
            <w:tcW w:w="7655" w:type="dxa"/>
            <w:vAlign w:val="center"/>
          </w:tcPr>
          <w:p w14:paraId="2874AC61"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POTENCIÁLNÍ BUDOUCÍ EXPOZICE (PFE)</w:t>
            </w:r>
          </w:p>
          <w:p w14:paraId="1F05C741"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Články 278, 281 a 282 nařízení (EU) č. 575/2013</w:t>
            </w:r>
          </w:p>
          <w:p w14:paraId="3BB9BD10"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Potenciální budoucí expozice (PFE) pro jednotlivé skupiny transakcí se započtením se vypočítají v souladu s: </w:t>
            </w:r>
          </w:p>
          <w:p w14:paraId="5F96EE58"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 ustanovením čl. 282 odst. 4 nařízení (EU) č. 575/2013 v případě metody původní expozice, </w:t>
            </w:r>
          </w:p>
          <w:p w14:paraId="3C429683" w14:textId="77777777" w:rsidR="00EF74C7" w:rsidRPr="002A677E" w:rsidRDefault="00EF74C7" w:rsidP="00822842">
            <w:pPr>
              <w:spacing w:before="60"/>
              <w:rPr>
                <w:rFonts w:ascii="Times New Roman" w:hAnsi="Times New Roman"/>
                <w:sz w:val="24"/>
              </w:rPr>
            </w:pPr>
            <w:r>
              <w:rPr>
                <w:rFonts w:ascii="Times New Roman" w:hAnsi="Times New Roman"/>
                <w:sz w:val="24"/>
              </w:rPr>
              <w:lastRenderedPageBreak/>
              <w:t>– článkem 281 nařízení (EU) č. 575/2013 v případě zjednodušeného přístupu SA-CCR,</w:t>
            </w:r>
          </w:p>
          <w:p w14:paraId="6194F2AF" w14:textId="77777777" w:rsidR="00EF74C7" w:rsidRPr="002A677E" w:rsidRDefault="00EF74C7" w:rsidP="00822842">
            <w:pPr>
              <w:spacing w:before="60"/>
              <w:rPr>
                <w:rFonts w:ascii="Times New Roman" w:hAnsi="Times New Roman"/>
                <w:sz w:val="24"/>
              </w:rPr>
            </w:pPr>
            <w:r>
              <w:rPr>
                <w:rFonts w:ascii="Times New Roman" w:hAnsi="Times New Roman"/>
                <w:sz w:val="24"/>
              </w:rPr>
              <w:t>– článkem 278 nařízení (EU) č. 575/2013 v případě přístupu SA-CCR.</w:t>
            </w:r>
          </w:p>
          <w:p w14:paraId="2A2F0E46" w14:textId="77777777" w:rsidR="00EF74C7" w:rsidRPr="002A677E" w:rsidRDefault="00EF74C7" w:rsidP="00822842">
            <w:pPr>
              <w:spacing w:before="60"/>
              <w:rPr>
                <w:rFonts w:ascii="Times New Roman" w:hAnsi="Times New Roman"/>
                <w:i/>
                <w:sz w:val="24"/>
              </w:rPr>
            </w:pPr>
            <w:r>
              <w:rPr>
                <w:rFonts w:ascii="Times New Roman" w:hAnsi="Times New Roman"/>
                <w:sz w:val="24"/>
              </w:rPr>
              <w:t>Instituce vykazuje součet všech potenciálních budoucích expozic skupin transakcí se započtením v příslušném řádku.</w:t>
            </w:r>
          </w:p>
        </w:tc>
      </w:tr>
      <w:tr w:rsidR="00EF74C7" w:rsidRPr="002A677E" w14:paraId="77C5A8CC" w14:textId="77777777" w:rsidTr="00822842">
        <w:trPr>
          <w:trHeight w:val="680"/>
        </w:trPr>
        <w:tc>
          <w:tcPr>
            <w:tcW w:w="1384" w:type="dxa"/>
          </w:tcPr>
          <w:p w14:paraId="35C9D880" w14:textId="77777777" w:rsidR="00EF74C7" w:rsidRPr="002A677E" w:rsidRDefault="00EF74C7" w:rsidP="00822842">
            <w:pPr>
              <w:pStyle w:val="Applicationdirecte"/>
              <w:spacing w:before="0" w:after="0"/>
            </w:pPr>
            <w:r>
              <w:lastRenderedPageBreak/>
              <w:t>0120</w:t>
            </w:r>
          </w:p>
        </w:tc>
        <w:tc>
          <w:tcPr>
            <w:tcW w:w="7655" w:type="dxa"/>
            <w:vAlign w:val="center"/>
          </w:tcPr>
          <w:p w14:paraId="1B837C4C"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STÁVAJÍCÍ EXPOZICE</w:t>
            </w:r>
          </w:p>
          <w:p w14:paraId="1E442243"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Ustanovení čl. 272 odst. 17 nařízení (EU) č. 575/2013 </w:t>
            </w:r>
          </w:p>
          <w:p w14:paraId="36E33616" w14:textId="77777777" w:rsidR="00EF74C7" w:rsidRPr="002A677E" w:rsidRDefault="00EF74C7" w:rsidP="00822842">
            <w:pPr>
              <w:spacing w:before="60"/>
              <w:rPr>
                <w:rFonts w:ascii="Times New Roman" w:hAnsi="Times New Roman"/>
                <w:sz w:val="24"/>
              </w:rPr>
            </w:pPr>
            <w:r>
              <w:rPr>
                <w:rFonts w:ascii="Times New Roman" w:hAnsi="Times New Roman"/>
                <w:sz w:val="24"/>
              </w:rPr>
              <w:t>Stávající expozice pro jednotlivé skupiny transakcí se započtením je hodnota ve smyslu čl. 272 bodu 17 nařízení (EU) č. 575/2013.</w:t>
            </w:r>
          </w:p>
          <w:p w14:paraId="459ECA5A" w14:textId="77777777" w:rsidR="00EF74C7" w:rsidRPr="002A677E" w:rsidRDefault="00EF74C7" w:rsidP="00822842">
            <w:pPr>
              <w:spacing w:before="60"/>
              <w:rPr>
                <w:rFonts w:ascii="Times New Roman" w:hAnsi="Times New Roman"/>
                <w:sz w:val="24"/>
              </w:rPr>
            </w:pPr>
            <w:r>
              <w:rPr>
                <w:rFonts w:ascii="Times New Roman" w:hAnsi="Times New Roman"/>
                <w:sz w:val="24"/>
              </w:rPr>
              <w:t>Instituce vykazuje součet všech stávajících expozic skupin transakcí se započtením v příslušném řádku.</w:t>
            </w:r>
          </w:p>
        </w:tc>
      </w:tr>
      <w:tr w:rsidR="00EF74C7" w:rsidRPr="002A677E" w14:paraId="1B8ACD23" w14:textId="77777777" w:rsidTr="00822842">
        <w:trPr>
          <w:trHeight w:val="680"/>
        </w:trPr>
        <w:tc>
          <w:tcPr>
            <w:tcW w:w="1384" w:type="dxa"/>
          </w:tcPr>
          <w:p w14:paraId="74E98C99" w14:textId="77777777" w:rsidR="00EF74C7" w:rsidRPr="002A677E" w:rsidRDefault="00EF74C7" w:rsidP="00822842">
            <w:pPr>
              <w:pStyle w:val="Applicationdirecte"/>
              <w:spacing w:before="0" w:after="0"/>
            </w:pPr>
            <w:r>
              <w:t>0130</w:t>
            </w:r>
          </w:p>
        </w:tc>
        <w:tc>
          <w:tcPr>
            <w:tcW w:w="7655" w:type="dxa"/>
            <w:vAlign w:val="center"/>
          </w:tcPr>
          <w:p w14:paraId="3EC3B867"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EFEKTIVNÍ OČEKÁVANÁ POZITIVNÍ EXPOZICE (EEPE)</w:t>
            </w:r>
          </w:p>
          <w:p w14:paraId="758613C4"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Ustanovení čl. 272 bodu 22 a čl. 284 odst. 3 a 6 nařízení (EU) č. 575/2013</w:t>
            </w:r>
          </w:p>
          <w:p w14:paraId="33B149EE" w14:textId="77777777" w:rsidR="00EF74C7" w:rsidRPr="002A677E" w:rsidRDefault="00EF74C7" w:rsidP="00822842">
            <w:pPr>
              <w:pStyle w:val="Default"/>
              <w:spacing w:after="120"/>
              <w:jc w:val="both"/>
              <w:rPr>
                <w:rFonts w:ascii="Times New Roman" w:hAnsi="Times New Roman" w:cs="Times New Roman"/>
                <w:color w:val="auto"/>
              </w:rPr>
            </w:pPr>
            <w:r>
              <w:rPr>
                <w:rFonts w:ascii="Times New Roman" w:hAnsi="Times New Roman"/>
                <w:color w:val="auto"/>
              </w:rPr>
              <w:t>EEPE pro jednotlivé skupiny transakcí se započtením je definována v čl. 272 bodě 22 nařízení (EU) č. 575/2013 a vypočítá se v souladu s čl. 284 odst. 6 nařízení (EU) č. 575/2013.</w:t>
            </w:r>
          </w:p>
          <w:p w14:paraId="336DEF87"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Instituce vykazuje součet všech EEPE použitých pro stanovení kapitálových požadavků v souladu s čl. 284 odst. 3 nařízení (EU) č. 575/2013, tj. buď EEPE vypočtené za použití stávajících tržních údajů, nebo EEPE vypočtené pomocí zátěžové kalibrace, podle toho, která hodnota vede k vyššímu kapitálovému požadavku.</w:t>
            </w:r>
          </w:p>
        </w:tc>
      </w:tr>
      <w:tr w:rsidR="00EF74C7" w:rsidRPr="002A677E" w14:paraId="663F4BA2" w14:textId="77777777" w:rsidTr="00822842">
        <w:trPr>
          <w:trHeight w:val="680"/>
        </w:trPr>
        <w:tc>
          <w:tcPr>
            <w:tcW w:w="1384" w:type="dxa"/>
          </w:tcPr>
          <w:p w14:paraId="36EC68F2" w14:textId="77777777" w:rsidR="00EF74C7" w:rsidRPr="002A677E" w:rsidRDefault="00EF74C7" w:rsidP="00822842">
            <w:pPr>
              <w:pStyle w:val="Applicationdirecte"/>
              <w:spacing w:before="0" w:after="0"/>
            </w:pPr>
            <w:r>
              <w:t>0140</w:t>
            </w:r>
          </w:p>
        </w:tc>
        <w:tc>
          <w:tcPr>
            <w:tcW w:w="7655" w:type="dxa"/>
            <w:vAlign w:val="center"/>
          </w:tcPr>
          <w:p w14:paraId="2682CC5B"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KOEFICIENT ALFA PRO VÝPOČET REGULATORNÍ HODNOTY EXPOZICE </w:t>
            </w:r>
          </w:p>
          <w:p w14:paraId="02E67AA1" w14:textId="77777777" w:rsidR="00EF74C7" w:rsidRPr="002A677E" w:rsidRDefault="00EF74C7" w:rsidP="00822842">
            <w:pPr>
              <w:spacing w:before="60"/>
              <w:rPr>
                <w:rFonts w:ascii="Times New Roman" w:hAnsi="Times New Roman"/>
                <w:i/>
                <w:sz w:val="24"/>
              </w:rPr>
            </w:pPr>
            <w:r>
              <w:rPr>
                <w:rFonts w:ascii="Times New Roman" w:hAnsi="Times New Roman"/>
                <w:sz w:val="24"/>
              </w:rPr>
              <w:t>Ustanovení čl. 274 odst. 2, čl. 282 odst. 2, čl. 281 odst. 1, čl. 284 odst. 4 a 9 nařízení (EU) č. 575/2013</w:t>
            </w:r>
          </w:p>
          <w:p w14:paraId="5EFB3579" w14:textId="77777777" w:rsidR="00EF74C7" w:rsidRPr="002A677E" w:rsidRDefault="00EF74C7" w:rsidP="00822842">
            <w:pPr>
              <w:spacing w:before="60"/>
              <w:rPr>
                <w:rFonts w:ascii="Times New Roman" w:eastAsia="Calibri" w:hAnsi="Times New Roman"/>
                <w:i/>
                <w:sz w:val="24"/>
              </w:rPr>
            </w:pPr>
            <w:r>
              <w:rPr>
                <w:rFonts w:ascii="Times New Roman" w:hAnsi="Times New Roman"/>
                <w:sz w:val="24"/>
              </w:rPr>
              <w:t>Hodnota α je stanovena jako 1,4 v řádcích pro OEM, zjednodušený přístup SA-CCR a přístup SA-CCR v souladu s čl. 282 odst. 2, čl. 281 odst. 1 a čl. 274 odst. 2 nařízení (EU) č. 575/2013. Pro účely metody interního modelu může být hodnotou α buď stanovená hodnota 1,4, nebo jiná hodnota, pokud příslušné orgány požadují vyšší hodnotu α v souladu s čl. 284 odst. 4 nařízení (EU) č. 575/2013 nebo povolují institucím používat vlastní odhady v souladu s čl. 284 odst. 9 uvedeného nařízení.</w:t>
            </w:r>
          </w:p>
        </w:tc>
      </w:tr>
      <w:tr w:rsidR="00EF74C7" w:rsidRPr="002A677E" w14:paraId="04AA2156" w14:textId="77777777" w:rsidTr="00822842">
        <w:trPr>
          <w:trHeight w:val="680"/>
        </w:trPr>
        <w:tc>
          <w:tcPr>
            <w:tcW w:w="1384" w:type="dxa"/>
          </w:tcPr>
          <w:p w14:paraId="25456D2E" w14:textId="77777777" w:rsidR="00EF74C7" w:rsidRPr="002A677E" w:rsidRDefault="00EF74C7" w:rsidP="00822842">
            <w:pPr>
              <w:pStyle w:val="Applicationdirecte"/>
              <w:spacing w:before="0" w:after="0"/>
            </w:pPr>
            <w:r>
              <w:t>0150</w:t>
            </w:r>
          </w:p>
        </w:tc>
        <w:tc>
          <w:tcPr>
            <w:tcW w:w="7655" w:type="dxa"/>
          </w:tcPr>
          <w:p w14:paraId="737A43B1"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HODNOTA EXPOZICE PŘED SNÍŽENÍM ÚVĚROVÉHO RIZIKA </w:t>
            </w:r>
          </w:p>
          <w:p w14:paraId="3483D02B"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Hodnota expozice před snížením úvěrového rizika u skupin transakcí se započtením se vypočítá v souladu s metodami stanovenými v části třetí hlavě II kapitolách 4 a 6 nařízení (EU) č. 575/2013 a s přihlédnutím k účinku započtení, avšak bez ohledu na jakékoli jiné techniky snižování úvěrového rizika (např. maržový kolaterál). </w:t>
            </w:r>
          </w:p>
          <w:p w14:paraId="3FD5C6A1"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V případě SFT se složka cenných papírů při určování hodnoty expozice před snížením úvěrového rizika, když je obdržen kolaterál, nebere v úvahu, a tudíž nesnižuje hodnotu expozice. Složka cenných papírů SFT se naopak zohlední </w:t>
            </w:r>
            <w:r>
              <w:rPr>
                <w:rFonts w:ascii="Times New Roman" w:hAnsi="Times New Roman"/>
                <w:sz w:val="24"/>
              </w:rPr>
              <w:lastRenderedPageBreak/>
              <w:t xml:space="preserve">při určování hodnoty expozice před snížením úvěrového rizika obvyklým způsobem při poskytnutí kolaterálu. </w:t>
            </w:r>
          </w:p>
          <w:p w14:paraId="0731F37F"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K obchodům zajištěným kolaterálem se přistupuje stejně jako k nezajištěným obchodům, tj. neuplatní se dopady dozajištění. </w:t>
            </w:r>
          </w:p>
          <w:p w14:paraId="2256FCEC"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Hodnota expozice před snížením úvěrového rizika pro transakce, u nichž bylo zjištěno specifické riziko pozitivní korelace, musí být stanovena v souladu s článkem 291 nařízení (EU) č. 575/2013. </w:t>
            </w:r>
          </w:p>
          <w:p w14:paraId="7E319C88"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Hodnota expozice před snížením úvěrového rizika nezohledňuje odpočet vzniklé ztráty v souvislosti s úvěrovou úpravou v ocenění podle čl. 273 odst. 6 nařízení (EU) č. 575/2013. </w:t>
            </w:r>
          </w:p>
          <w:p w14:paraId="504F1374" w14:textId="77777777" w:rsidR="00EF74C7" w:rsidRPr="002A677E" w:rsidRDefault="00EF74C7" w:rsidP="00822842">
            <w:pPr>
              <w:spacing w:before="60"/>
              <w:rPr>
                <w:rFonts w:ascii="Times New Roman" w:hAnsi="Times New Roman"/>
                <w:i/>
                <w:sz w:val="24"/>
              </w:rPr>
            </w:pPr>
            <w:r>
              <w:rPr>
                <w:rFonts w:ascii="Times New Roman" w:hAnsi="Times New Roman"/>
                <w:sz w:val="24"/>
              </w:rPr>
              <w:t>Instituce vykazuje součet všech hodnot expozic před snížením úvěrového rizika v příslušném řádku.</w:t>
            </w:r>
          </w:p>
        </w:tc>
      </w:tr>
      <w:tr w:rsidR="00EF74C7" w:rsidRPr="002A677E" w14:paraId="79D7A4AF" w14:textId="77777777" w:rsidTr="00822842">
        <w:trPr>
          <w:trHeight w:val="680"/>
        </w:trPr>
        <w:tc>
          <w:tcPr>
            <w:tcW w:w="1384" w:type="dxa"/>
          </w:tcPr>
          <w:p w14:paraId="0DCD8BB4" w14:textId="77777777" w:rsidR="00EF74C7" w:rsidRPr="002A677E" w:rsidRDefault="00EF74C7" w:rsidP="00822842">
            <w:pPr>
              <w:pStyle w:val="Applicationdirecte"/>
              <w:spacing w:before="0" w:after="0"/>
            </w:pPr>
            <w:r>
              <w:lastRenderedPageBreak/>
              <w:t>0160</w:t>
            </w:r>
          </w:p>
        </w:tc>
        <w:tc>
          <w:tcPr>
            <w:tcW w:w="7655" w:type="dxa"/>
          </w:tcPr>
          <w:p w14:paraId="2175395B"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HODNOTA EXPOZICE PO SNÍŽENÍ ÚVĚROVÉHO RIZIKA </w:t>
            </w:r>
          </w:p>
          <w:p w14:paraId="29261E0B"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Hodnota expozice po snížení úvěrového rizika u skupin transakcí se započtením se vypočítá v souladu s metodami stanovenými v části třetí hlavě II kapitolách 4 a 6 nařízení (EU) č. 575/2013, přičemž se v příslušných případech uplatní techniky snižování úvěrového rizika v souladu s částí třetí hlavou II kapitolami 4 a 6 uvedeného nařízení.</w:t>
            </w:r>
          </w:p>
          <w:p w14:paraId="365B5880"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Hodnota expozice po snížení úvěrového rizika pro transakce, u nichž bylo zjištěno specifické riziko pozitivní korelace, musí být stanovena v souladu s článkem 291 nařízení (EU) č. 575/2013. </w:t>
            </w:r>
          </w:p>
          <w:p w14:paraId="695EEB6F" w14:textId="77777777" w:rsidR="00EF74C7" w:rsidRPr="002A677E" w:rsidRDefault="00EF74C7" w:rsidP="00822842">
            <w:pPr>
              <w:spacing w:before="60"/>
              <w:rPr>
                <w:rFonts w:ascii="Times New Roman" w:hAnsi="Times New Roman"/>
                <w:sz w:val="24"/>
              </w:rPr>
            </w:pPr>
            <w:r>
              <w:rPr>
                <w:rFonts w:ascii="Times New Roman" w:hAnsi="Times New Roman"/>
                <w:sz w:val="24"/>
              </w:rPr>
              <w:t>Hodnota expozice po snížení úvěrového rizika nezohledňuje odpočet vzniklé ztráty v souvislosti s úvěrovou úpravou v ocenění podle čl. 273 odst. 6 nařízení (EU) č. 575/2013.</w:t>
            </w:r>
          </w:p>
          <w:p w14:paraId="797ADF5B" w14:textId="77777777" w:rsidR="00EF74C7" w:rsidRPr="002A677E" w:rsidRDefault="00EF74C7" w:rsidP="00822842">
            <w:pPr>
              <w:spacing w:before="60"/>
              <w:rPr>
                <w:rFonts w:ascii="Times New Roman" w:hAnsi="Times New Roman"/>
                <w:i/>
                <w:sz w:val="24"/>
              </w:rPr>
            </w:pPr>
            <w:r>
              <w:rPr>
                <w:rFonts w:ascii="Times New Roman" w:hAnsi="Times New Roman"/>
                <w:sz w:val="24"/>
              </w:rPr>
              <w:t>Instituce vykazuje součet všech hodnot expozic po snížení úvěrového rizika v příslušném řádku.</w:t>
            </w:r>
          </w:p>
        </w:tc>
      </w:tr>
      <w:tr w:rsidR="00EF74C7" w:rsidRPr="002A677E" w14:paraId="45FF5B7E" w14:textId="77777777" w:rsidTr="00822842">
        <w:trPr>
          <w:trHeight w:val="680"/>
        </w:trPr>
        <w:tc>
          <w:tcPr>
            <w:tcW w:w="1384" w:type="dxa"/>
          </w:tcPr>
          <w:p w14:paraId="60D5CCE0" w14:textId="77777777" w:rsidR="00EF74C7" w:rsidRPr="002A677E" w:rsidRDefault="00EF74C7" w:rsidP="00822842">
            <w:pPr>
              <w:pStyle w:val="Applicationdirecte"/>
              <w:spacing w:before="0" w:after="0"/>
            </w:pPr>
            <w:r>
              <w:t>0170</w:t>
            </w:r>
          </w:p>
        </w:tc>
        <w:tc>
          <w:tcPr>
            <w:tcW w:w="7655" w:type="dxa"/>
            <w:vAlign w:val="center"/>
          </w:tcPr>
          <w:p w14:paraId="05219E98"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HODNOTA EXPOZICE</w:t>
            </w:r>
          </w:p>
          <w:p w14:paraId="75CDF24D"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Hodnota expozice pro skupiny transakci se započtením s CCR vypočítaná v souladu s metodami stanovenými v části třetí hlavě II kapitolách 4 a 6 nařízení (EU) č. 575/2013, což je příslušný objem pro výpočet objemů rizikově vážených expozic, tj. po použití technik snižování úvěrového rizika v příslušných případech v souladu s částí třetí hlavou II kapitolami 4 a 6 nařízení (EU) č. 575/2013 a zohlednění odpočtu vzniklé ztráty CVA v souladu s čl. 273 odst. 6 nařízení (EU) č. 575/2013. </w:t>
            </w:r>
          </w:p>
          <w:p w14:paraId="78D55FF1" w14:textId="77777777" w:rsidR="00EF74C7" w:rsidRPr="002A677E" w:rsidRDefault="00EF74C7" w:rsidP="00822842">
            <w:pPr>
              <w:rPr>
                <w:rFonts w:ascii="Times New Roman" w:hAnsi="Times New Roman"/>
                <w:sz w:val="24"/>
              </w:rPr>
            </w:pPr>
            <w:r>
              <w:rPr>
                <w:rFonts w:ascii="Times New Roman" w:hAnsi="Times New Roman"/>
                <w:sz w:val="24"/>
              </w:rPr>
              <w:t>Hodnota expozice pro transakce, u nichž bylo zjištěno specifické riziko pozitivní korelace, musí být stanovena v souladu s článkem 291 nařízení (EU) č. 575/2013.</w:t>
            </w:r>
          </w:p>
          <w:p w14:paraId="2CCE9704"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V případech, kdy se pro jednu protistranu používá více než jeden přístup CCR, se vzniklá ztráta CVA, která se odečte na úrovni protistrany, přiřadí k hodnotě expozice různých skupin transakcí se započtením v rámci každého přístupu CCR odrážející poměr hodnoty expozice po snížení úvěrového rizika příslušných skupin transakcí se započtením k celkové hodnotě expozice po snížení úvěrového rizika protistrany.</w:t>
            </w:r>
          </w:p>
          <w:p w14:paraId="0C842EAD" w14:textId="77777777" w:rsidR="00EF74C7" w:rsidRPr="002A677E" w:rsidRDefault="00EF74C7" w:rsidP="00822842">
            <w:r>
              <w:rPr>
                <w:rFonts w:ascii="Times New Roman" w:hAnsi="Times New Roman"/>
                <w:sz w:val="24"/>
              </w:rPr>
              <w:lastRenderedPageBreak/>
              <w:t>Instituce vykazuje součet všech hodnot expozic v příslušném řádku.</w:t>
            </w:r>
          </w:p>
        </w:tc>
      </w:tr>
      <w:tr w:rsidR="00EF74C7" w:rsidRPr="002A677E" w14:paraId="06C4F9AA" w14:textId="77777777" w:rsidTr="00822842">
        <w:trPr>
          <w:trHeight w:val="680"/>
        </w:trPr>
        <w:tc>
          <w:tcPr>
            <w:tcW w:w="1384" w:type="dxa"/>
          </w:tcPr>
          <w:p w14:paraId="7065D6E6" w14:textId="77777777" w:rsidR="00EF74C7" w:rsidRPr="002A677E" w:rsidRDefault="00EF74C7" w:rsidP="00822842">
            <w:pPr>
              <w:pStyle w:val="Applicationdirecte"/>
              <w:spacing w:before="0" w:after="0"/>
            </w:pPr>
            <w:r>
              <w:lastRenderedPageBreak/>
              <w:t>0180</w:t>
            </w:r>
          </w:p>
        </w:tc>
        <w:tc>
          <w:tcPr>
            <w:tcW w:w="7655" w:type="dxa"/>
          </w:tcPr>
          <w:p w14:paraId="0DF22580"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Pozice, na něž se uplatňuje standardizovaný přístup k úvěrovému riziku</w:t>
            </w:r>
          </w:p>
          <w:p w14:paraId="1D95615D" w14:textId="77777777" w:rsidR="00EF74C7" w:rsidRPr="002A677E" w:rsidRDefault="00EF74C7" w:rsidP="00822842">
            <w:pPr>
              <w:spacing w:before="60"/>
              <w:rPr>
                <w:rFonts w:ascii="Times New Roman" w:hAnsi="Times New Roman"/>
                <w:i/>
                <w:sz w:val="24"/>
              </w:rPr>
            </w:pPr>
            <w:r>
              <w:rPr>
                <w:rFonts w:ascii="Times New Roman" w:hAnsi="Times New Roman"/>
                <w:sz w:val="24"/>
              </w:rPr>
              <w:t>Hodnota expozice pro CCR u pozic, na něž se uplatňuje standardizovaný přístup k úvěrovému riziku v souladu s částí třetí hlavou II kapitolou 2 nařízení (EU) č. 575/2013.</w:t>
            </w:r>
          </w:p>
        </w:tc>
      </w:tr>
      <w:tr w:rsidR="00EF74C7" w:rsidRPr="002A677E" w14:paraId="16278C7D" w14:textId="77777777" w:rsidTr="00822842">
        <w:trPr>
          <w:trHeight w:val="557"/>
        </w:trPr>
        <w:tc>
          <w:tcPr>
            <w:tcW w:w="1384" w:type="dxa"/>
          </w:tcPr>
          <w:p w14:paraId="4DAAB02B" w14:textId="77777777" w:rsidR="00EF74C7" w:rsidRPr="002A677E" w:rsidRDefault="00EF74C7" w:rsidP="00822842">
            <w:pPr>
              <w:pStyle w:val="Applicationdirecte"/>
              <w:spacing w:before="0" w:after="0"/>
            </w:pPr>
            <w:r>
              <w:t>0190</w:t>
            </w:r>
          </w:p>
        </w:tc>
        <w:tc>
          <w:tcPr>
            <w:tcW w:w="7655" w:type="dxa"/>
          </w:tcPr>
          <w:p w14:paraId="2835516A"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Pozice, na něž se uplatňuje přístup k úvěrovému riziku založený na interním ratingu</w:t>
            </w:r>
          </w:p>
          <w:p w14:paraId="208129A6" w14:textId="77777777" w:rsidR="00EF74C7" w:rsidRPr="002A677E" w:rsidRDefault="00EF74C7" w:rsidP="00822842">
            <w:pPr>
              <w:rPr>
                <w:rFonts w:ascii="Times New Roman" w:hAnsi="Times New Roman"/>
                <w:sz w:val="24"/>
              </w:rPr>
            </w:pPr>
            <w:r>
              <w:rPr>
                <w:rFonts w:ascii="Times New Roman" w:hAnsi="Times New Roman"/>
                <w:sz w:val="24"/>
              </w:rPr>
              <w:t xml:space="preserve">Hodnota expozice pro CCR u pozic, na něž se uplatňuje přístup založený na interním ratingu v souladu s částí třetí hlavou II kapitolou 3 nařízení (EU) č. 575/2013. </w:t>
            </w:r>
          </w:p>
        </w:tc>
      </w:tr>
      <w:tr w:rsidR="00EF74C7" w:rsidRPr="002A677E" w14:paraId="1D9862B5" w14:textId="77777777" w:rsidTr="00822842">
        <w:trPr>
          <w:trHeight w:val="680"/>
        </w:trPr>
        <w:tc>
          <w:tcPr>
            <w:tcW w:w="1384" w:type="dxa"/>
          </w:tcPr>
          <w:p w14:paraId="06456052" w14:textId="77777777" w:rsidR="00EF74C7" w:rsidRPr="002A677E" w:rsidRDefault="00EF74C7" w:rsidP="00822842">
            <w:pPr>
              <w:pStyle w:val="Applicationdirecte"/>
              <w:spacing w:before="0" w:after="0"/>
            </w:pPr>
            <w:r>
              <w:t>0200</w:t>
            </w:r>
          </w:p>
        </w:tc>
        <w:tc>
          <w:tcPr>
            <w:tcW w:w="7655" w:type="dxa"/>
          </w:tcPr>
          <w:p w14:paraId="2E8CD327"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OBJEM RIZIKOVĚ VÁŽENÝCH EXPOZIC</w:t>
            </w:r>
          </w:p>
          <w:p w14:paraId="6B8D3CD5" w14:textId="6159F38D"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Objemy rizikově vážených expozic pro CCR ve smyslu čl. 92 odst. 3 nařízení (EU) č. 575/2013 vypočítané v souladu s metodami stanovenými v části třetí hlavě II kapitolách 2 a 3.</w:t>
            </w:r>
          </w:p>
          <w:p w14:paraId="2463A407" w14:textId="77777777" w:rsidR="00EF74C7" w:rsidRPr="002A677E" w:rsidRDefault="00EF74C7" w:rsidP="00822842">
            <w:pPr>
              <w:rPr>
                <w:rFonts w:ascii="Times New Roman" w:hAnsi="Times New Roman"/>
                <w:sz w:val="24"/>
              </w:rPr>
            </w:pPr>
            <w:r>
              <w:rPr>
                <w:rFonts w:ascii="Times New Roman" w:hAnsi="Times New Roman"/>
                <w:sz w:val="24"/>
              </w:rPr>
              <w:t xml:space="preserve">Zohledňuje se podpůrný koeficient pro malé a střední podniky a infrastrukturu podle článků 501 a 501a nařízení (EU) č. 575/2013. </w:t>
            </w:r>
          </w:p>
        </w:tc>
      </w:tr>
      <w:tr w:rsidR="00EF74C7" w:rsidRPr="002A677E" w14:paraId="5E0D0D2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0F7C23" w14:textId="77777777" w:rsidR="00EF74C7" w:rsidRPr="002A677E" w:rsidRDefault="00EF74C7" w:rsidP="00822842">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F1A485F"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Pozice, na něž se uplatňuje standardizovaný přístup k úvěrovému riziku</w:t>
            </w:r>
          </w:p>
          <w:p w14:paraId="6E572F83"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Objemy rizikově vážených expozic pro expozice s CCR, na něž se uplatňuje standardizovaný přístup k úvěrovému riziku v souladu s částí třetí hlavou II kapitolou 2 nařízení (EU) č. 575/2013. </w:t>
            </w:r>
          </w:p>
          <w:p w14:paraId="21C6ADFA" w14:textId="77777777" w:rsidR="00EF74C7" w:rsidRPr="002A677E" w:rsidRDefault="00EF74C7" w:rsidP="00822842">
            <w:pPr>
              <w:rPr>
                <w:rFonts w:ascii="Times New Roman" w:hAnsi="Times New Roman"/>
                <w:sz w:val="24"/>
              </w:rPr>
            </w:pPr>
            <w:r>
              <w:rPr>
                <w:rFonts w:ascii="Times New Roman" w:hAnsi="Times New Roman"/>
                <w:sz w:val="24"/>
              </w:rPr>
              <w:t>Tato částka odpovídá částce, která se uvádí ve sloupci 0220 šablony C 07.00 pro pozice s CCR.</w:t>
            </w:r>
          </w:p>
        </w:tc>
      </w:tr>
      <w:tr w:rsidR="00EF74C7" w:rsidRPr="002A677E" w14:paraId="5C365203"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BFBB36" w14:textId="77777777" w:rsidR="00EF74C7" w:rsidRPr="002A677E" w:rsidRDefault="00EF74C7" w:rsidP="00822842">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77DD91E"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Pozice, na něž se uplatňuje přístup k úvěrovému riziku založený na interním ratingu</w:t>
            </w:r>
          </w:p>
          <w:p w14:paraId="51FF06D9" w14:textId="77777777" w:rsidR="00EF74C7" w:rsidRPr="002A677E" w:rsidRDefault="00EF74C7" w:rsidP="00822842">
            <w:pPr>
              <w:pStyle w:val="TableMainHeading"/>
              <w:spacing w:before="60"/>
              <w:jc w:val="both"/>
              <w:rPr>
                <w:rFonts w:ascii="Times New Roman" w:hAnsi="Times New Roman"/>
                <w:sz w:val="24"/>
              </w:rPr>
            </w:pPr>
            <w:r>
              <w:rPr>
                <w:rFonts w:ascii="Times New Roman" w:hAnsi="Times New Roman"/>
                <w:sz w:val="24"/>
              </w:rPr>
              <w:t>Objemy rizikově vážených expozic pro expozice s CCR, na něž se uplatňuje přístup založený na interním ratingu v souladu s částí třetí hlavou II kapitolou 3 nařízení (EU) č. 575/2013.</w:t>
            </w:r>
          </w:p>
          <w:p w14:paraId="3FB6A074" w14:textId="77777777" w:rsidR="00EF74C7" w:rsidRPr="002A677E" w:rsidRDefault="00EF74C7" w:rsidP="00822842">
            <w:pPr>
              <w:rPr>
                <w:rFonts w:ascii="Times New Roman" w:hAnsi="Times New Roman"/>
                <w:sz w:val="24"/>
              </w:rPr>
            </w:pPr>
            <w:r>
              <w:rPr>
                <w:rFonts w:ascii="Times New Roman" w:hAnsi="Times New Roman"/>
                <w:sz w:val="24"/>
              </w:rPr>
              <w:t>Tato částka odpovídá částce, která se uvádí ve sloupci 0260 šablony C 08.01 pro pozice s CCR.</w:t>
            </w:r>
          </w:p>
        </w:tc>
      </w:tr>
      <w:tr w:rsidR="00EF74C7" w:rsidRPr="002A677E" w14:paraId="5B077F8A"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F52F0F" w14:textId="77777777" w:rsidR="00EF74C7" w:rsidRPr="002A677E" w:rsidRDefault="00EF74C7" w:rsidP="00822842">
            <w:pPr>
              <w:pStyle w:val="Applicationdirecte"/>
              <w:spacing w:before="0"/>
              <w:jc w:val="left"/>
            </w:pPr>
            <w:r>
              <w:t>0230–0250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B1B107E" w14:textId="77777777" w:rsidR="00EF74C7"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MINIMÁLNÍ VÝSTUPNÍ PRÁH</w:t>
            </w:r>
          </w:p>
          <w:p w14:paraId="78547488" w14:textId="2021F309"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Fonts w:ascii="Times New Roman" w:hAnsi="Times New Roman"/>
                <w:sz w:val="24"/>
              </w:rPr>
              <w:t>Pro instituce, na něž se vztahuje minimální výstupní práh podle čl. 92 odst. 3 nařízení (EU) č. 575/2013.</w:t>
            </w:r>
          </w:p>
        </w:tc>
      </w:tr>
      <w:tr w:rsidR="00EF74C7" w:rsidRPr="002A677E" w14:paraId="3A5FB9BE"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B4ADF8" w14:textId="77777777" w:rsidR="00EF74C7" w:rsidRPr="002A677E" w:rsidRDefault="00EF74C7" w:rsidP="00822842">
            <w:pPr>
              <w:pStyle w:val="Applicationdirecte"/>
              <w:spacing w:before="0"/>
              <w:jc w:val="left"/>
            </w:pPr>
            <w:r>
              <w:t>0230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382DEF5" w14:textId="77777777" w:rsidR="00EF74C7" w:rsidRDefault="00EF74C7" w:rsidP="00822842">
            <w:pPr>
              <w:rPr>
                <w:rStyle w:val="InstructionsTabelleberschrift"/>
                <w:rFonts w:ascii="Times New Roman" w:eastAsiaTheme="minorEastAsia" w:hAnsi="Times New Roman"/>
                <w:sz w:val="24"/>
              </w:rPr>
            </w:pPr>
            <w:r>
              <w:rPr>
                <w:rStyle w:val="InstructionsTabelleberschrift"/>
                <w:rFonts w:ascii="Times New Roman" w:hAnsi="Times New Roman"/>
                <w:sz w:val="24"/>
              </w:rPr>
              <w:t>HODNOTA EXPOZICE PRO VÝPOČET S-TREA</w:t>
            </w:r>
          </w:p>
          <w:p w14:paraId="076EA294" w14:textId="45BB26AF"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Hodnota expozice</w:t>
            </w:r>
            <w:r>
              <w:rPr>
                <w:rFonts w:ascii="Times New Roman" w:hAnsi="Times New Roman"/>
                <w:sz w:val="24"/>
              </w:rPr>
              <w:t xml:space="preserve"> u expozic s CCR zařazených do výpočtu standardizovaného celkového objemu rizikové expozice (S-TREA) vypočítaného v souladu s čl. 92 odst. 5 nařízení (EU) č. 575/2013.</w:t>
            </w:r>
          </w:p>
        </w:tc>
      </w:tr>
      <w:tr w:rsidR="00EF74C7" w:rsidRPr="002A677E" w14:paraId="1F014AF0"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5658DC9" w14:textId="77777777" w:rsidR="00EF74C7" w:rsidRPr="002A677E" w:rsidRDefault="00EF74C7" w:rsidP="00822842">
            <w:pPr>
              <w:pStyle w:val="Applicationdirecte"/>
              <w:spacing w:before="0"/>
              <w:jc w:val="left"/>
            </w:pPr>
            <w:r>
              <w:t>0240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D10BE" w14:textId="77777777" w:rsidR="00EF74C7"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S-TREA</w:t>
            </w:r>
          </w:p>
          <w:p w14:paraId="3E780FC2" w14:textId="37C7D341"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Fonts w:ascii="Times New Roman" w:hAnsi="Times New Roman"/>
                <w:sz w:val="24"/>
              </w:rPr>
              <w:lastRenderedPageBreak/>
              <w:t>Standardizovaný celkový objem rizikové expozice (S-TREA) u expozic s CCR vypočítaný v souladu s čl. 92 odst. 5 nařízení (EU) č. 575/2013.</w:t>
            </w:r>
          </w:p>
        </w:tc>
      </w:tr>
      <w:tr w:rsidR="00EF74C7" w:rsidRPr="002A677E" w14:paraId="1D87E276"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FA49B47" w14:textId="77777777" w:rsidR="00EF74C7" w:rsidRPr="002A677E" w:rsidRDefault="00EF74C7" w:rsidP="00822842">
            <w:pPr>
              <w:pStyle w:val="Applicationdirecte"/>
              <w:spacing w:before="0"/>
              <w:jc w:val="left"/>
            </w:pPr>
            <w:r>
              <w:lastRenderedPageBreak/>
              <w:t>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8E5AE36" w14:textId="77777777" w:rsidR="00EF74C7"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DOPLŇKOVÉ POLOŽKY: RWEA SOUVISEJÍCÍ S DOPADEM POUŽITÍ ČL. 465 ODST. 4 NAŘÍZENÍ (EU) Č. 575/2013</w:t>
            </w:r>
          </w:p>
          <w:p w14:paraId="5E592907" w14:textId="45615761"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Fonts w:ascii="Times New Roman" w:hAnsi="Times New Roman"/>
                <w:sz w:val="24"/>
              </w:rPr>
              <w:t>Ustanovení čl. 465 odst. 4 nařízení (EU) č. 575/2013. Vykáže se rozdíl mezi objemem RWEA bez použití přechodných ustanovení a objemem RWEA při použití přechodných ustanovení.</w:t>
            </w:r>
          </w:p>
        </w:tc>
      </w:tr>
      <w:tr w:rsidR="00EF74C7" w:rsidRPr="002A677E" w14:paraId="1B6FFD25" w14:textId="77777777" w:rsidTr="00822842">
        <w:trPr>
          <w:trHeight w:val="680"/>
        </w:trPr>
        <w:tc>
          <w:tcPr>
            <w:tcW w:w="9039" w:type="dxa"/>
            <w:gridSpan w:val="2"/>
            <w:tcBorders>
              <w:top w:val="single" w:sz="4" w:space="0" w:color="auto"/>
              <w:left w:val="nil"/>
              <w:bottom w:val="single" w:sz="4" w:space="0" w:color="auto"/>
              <w:right w:val="nil"/>
            </w:tcBorders>
            <w:shd w:val="clear" w:color="auto" w:fill="auto"/>
          </w:tcPr>
          <w:p w14:paraId="01079872" w14:textId="77777777" w:rsidR="00EF74C7" w:rsidRPr="002A677E" w:rsidRDefault="00EF74C7" w:rsidP="00822842">
            <w:pPr>
              <w:pStyle w:val="TableMainHeading"/>
              <w:spacing w:before="60"/>
              <w:rPr>
                <w:rFonts w:ascii="Times New Roman" w:hAnsi="Times New Roman"/>
                <w:i/>
                <w:sz w:val="24"/>
                <w:szCs w:val="24"/>
              </w:rPr>
            </w:pPr>
          </w:p>
        </w:tc>
      </w:tr>
      <w:tr w:rsidR="00EF74C7" w:rsidRPr="002A677E" w14:paraId="25C8F0DC"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F42F8" w14:textId="77777777" w:rsidR="00EF74C7" w:rsidRPr="002A677E" w:rsidRDefault="00EF74C7" w:rsidP="00822842">
            <w:pPr>
              <w:pStyle w:val="TableMainHeading"/>
              <w:spacing w:before="60"/>
              <w:rPr>
                <w:rFonts w:ascii="Times New Roman" w:hAnsi="Times New Roman"/>
                <w:b/>
                <w:sz w:val="24"/>
                <w:szCs w:val="24"/>
              </w:rPr>
            </w:pPr>
            <w:r>
              <w:rPr>
                <w:rFonts w:ascii="Times New Roman" w:hAnsi="Times New Roman"/>
                <w:b/>
                <w:sz w:val="24"/>
              </w:rPr>
              <w:t xml:space="preserve">Řádek </w:t>
            </w:r>
          </w:p>
        </w:tc>
      </w:tr>
      <w:tr w:rsidR="00EF74C7" w:rsidRPr="002A677E" w14:paraId="7053F9E4" w14:textId="77777777" w:rsidTr="00822842">
        <w:trPr>
          <w:trHeight w:val="680"/>
        </w:trPr>
        <w:tc>
          <w:tcPr>
            <w:tcW w:w="1384" w:type="dxa"/>
          </w:tcPr>
          <w:p w14:paraId="28CCF211" w14:textId="77777777" w:rsidR="00EF74C7" w:rsidRPr="002A677E" w:rsidRDefault="00EF74C7" w:rsidP="00822842">
            <w:pPr>
              <w:pStyle w:val="Applicationdirecte"/>
              <w:spacing w:before="0" w:after="0"/>
            </w:pPr>
            <w:r>
              <w:t>0010</w:t>
            </w:r>
          </w:p>
        </w:tc>
        <w:tc>
          <w:tcPr>
            <w:tcW w:w="7655" w:type="dxa"/>
          </w:tcPr>
          <w:p w14:paraId="596F329B"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METODA PŮVODNÍ EXPOZICE (PRO DERIVÁTY) </w:t>
            </w:r>
          </w:p>
          <w:p w14:paraId="19F53DE3" w14:textId="77777777" w:rsidR="00EF74C7" w:rsidRPr="002A677E" w:rsidRDefault="00EF74C7" w:rsidP="00822842">
            <w:pPr>
              <w:pStyle w:val="TableMainHeading"/>
              <w:spacing w:before="60"/>
              <w:rPr>
                <w:rFonts w:ascii="Times New Roman" w:hAnsi="Times New Roman"/>
                <w:i/>
                <w:sz w:val="24"/>
                <w:szCs w:val="24"/>
              </w:rPr>
            </w:pPr>
            <w:r>
              <w:rPr>
                <w:rFonts w:ascii="Times New Roman" w:hAnsi="Times New Roman"/>
                <w:sz w:val="24"/>
              </w:rPr>
              <w:t>Deriváty a transakce s delší dobou vypořádání, pro které instituce vypočítává hodnotu expozice v souladu s částí třetí hlavou II kapitolou 6 oddílem 5 nařízení (EU) č. 575/2013. Tuto zjednodušenou metodu výpočtu hodnoty expozice mohou použít pouze instituce, které splňují podmínky stanovené v čl. 273a odst. 2 nebo čl. 273a odst. 4 nařízení (EU) č. 575/2013.</w:t>
            </w:r>
          </w:p>
        </w:tc>
      </w:tr>
      <w:tr w:rsidR="00EF74C7" w:rsidRPr="002A677E" w14:paraId="506E7A5E"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0A68428" w14:textId="77777777" w:rsidR="00EF74C7" w:rsidRPr="002A677E" w:rsidRDefault="00EF74C7" w:rsidP="00822842">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14:paraId="6F28D4C2"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ZJEDNODUŠENÝ STANDARDIZOVANÝ PŘÍSTUP PRO CCR (ZJEDNODUŠENÝ PŘÍSTUP SA-CCR PRO DERIVÁTY)</w:t>
            </w:r>
          </w:p>
          <w:p w14:paraId="0C771BB4"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Deriváty a transakce s delší dobou vypořádání, pro které instituce vypočítává hodnotu expozice v souladu s částí třetí hlavou II kapitolou 6 oddílem 4 nařízení (EU) č. 575/2013. Tento zjednodušený standardizovaný přístup pro výpočet hodnoty expozice mohou použít pouze instituce, které splňují podmínky stanovené v čl. 273a odst. 1 nebo čl. 273a odst. 4 nařízení (EU) č. 575/2013. </w:t>
            </w:r>
          </w:p>
        </w:tc>
      </w:tr>
      <w:tr w:rsidR="00EF74C7" w:rsidRPr="002A677E" w14:paraId="748CED8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95947E8" w14:textId="77777777" w:rsidR="00EF74C7" w:rsidRPr="002A677E" w:rsidRDefault="00EF74C7" w:rsidP="00822842">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14:paraId="31286E5E"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STANDARDIZOVANÝ PŘÍSTUP PRO CCR (PŘÍSTUP SA-CCR PRO DERIVÁTY)</w:t>
            </w:r>
          </w:p>
          <w:p w14:paraId="771ED2E1" w14:textId="77777777" w:rsidR="00EF74C7" w:rsidRPr="002A677E" w:rsidRDefault="00EF74C7" w:rsidP="00822842">
            <w:pPr>
              <w:pStyle w:val="TableMainHeading"/>
              <w:spacing w:before="60"/>
              <w:rPr>
                <w:rFonts w:ascii="Times New Roman" w:hAnsi="Times New Roman"/>
                <w:sz w:val="24"/>
                <w:szCs w:val="24"/>
              </w:rPr>
            </w:pPr>
            <w:r>
              <w:rPr>
                <w:rFonts w:ascii="Times New Roman" w:hAnsi="Times New Roman"/>
                <w:sz w:val="24"/>
              </w:rPr>
              <w:t>Deriváty a transakce s delší dobou vypořádání, pro které instituce vypočítává hodnotu expozice v souladu s částí třetí hlavou II kapitolou 6 oddílem 3 nařízení (EU) č. 575/2013.</w:t>
            </w:r>
          </w:p>
        </w:tc>
      </w:tr>
      <w:tr w:rsidR="00EF74C7" w:rsidRPr="002A677E" w14:paraId="3888C15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D826F79" w14:textId="77777777" w:rsidR="00EF74C7" w:rsidRPr="002A677E" w:rsidRDefault="00EF74C7" w:rsidP="00822842">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14:paraId="6FFB5DC7"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METODA INTERNÍHO MODELU (PRO DERIVÁTY A TRANSAKCE S FINANCOVÁNÍM CENNÝCH PAPÍRŮ)</w:t>
            </w:r>
          </w:p>
          <w:p w14:paraId="19499FEB" w14:textId="77777777" w:rsidR="00EF74C7" w:rsidRPr="002A677E" w:rsidRDefault="00EF74C7" w:rsidP="00822842">
            <w:pPr>
              <w:pStyle w:val="TableMainHeading"/>
              <w:spacing w:before="60"/>
              <w:rPr>
                <w:rFonts w:ascii="Times New Roman" w:hAnsi="Times New Roman"/>
                <w:sz w:val="24"/>
                <w:szCs w:val="24"/>
              </w:rPr>
            </w:pPr>
            <w:r>
              <w:rPr>
                <w:rFonts w:ascii="Times New Roman" w:hAnsi="Times New Roman"/>
                <w:sz w:val="24"/>
              </w:rPr>
              <w:t>Deriváty, transakce s delší dobou vypořádání a transakce s financováním cenných papírů, u nichž bylo instituci povoleno vypočítat hodnotu expozice pomocí metody interního modelu v souladu s částí třetí hlavou II kapitolou 6 oddílem 6 nařízení (EU) č. 575/2013.</w:t>
            </w:r>
          </w:p>
        </w:tc>
      </w:tr>
      <w:tr w:rsidR="00EF74C7" w:rsidRPr="002A677E" w14:paraId="4C30A07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716D8DE0" w14:textId="77777777" w:rsidR="00EF74C7" w:rsidRPr="002A677E" w:rsidRDefault="00EF74C7" w:rsidP="00822842">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14:paraId="12E8CCD4"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Skupiny transakcí se započtením transakcí s financováním cenných papírů</w:t>
            </w:r>
          </w:p>
          <w:p w14:paraId="08069DA3"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Skupiny transakcí se započtením obsahující pouze transakce s financováním cenných papírů ve smyslu čl. 4 bodu 139 nařízení (EU) č. 575/2013, u nichž </w:t>
            </w:r>
            <w:r>
              <w:rPr>
                <w:rFonts w:ascii="Times New Roman" w:hAnsi="Times New Roman"/>
                <w:sz w:val="24"/>
              </w:rPr>
              <w:lastRenderedPageBreak/>
              <w:t>bylo instituci povoleno určit hodnotu expozice pomocí metody interního modelu.</w:t>
            </w:r>
          </w:p>
          <w:p w14:paraId="00DA27AC"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Transakce s financováním cenných papírů, které jsou zahrnuty do křížového započtení na základě smlouvy, a proto se vykazují v řádku 0070, se nevykazují v tomto řádku.</w:t>
            </w:r>
          </w:p>
        </w:tc>
      </w:tr>
      <w:tr w:rsidR="00EF74C7" w:rsidRPr="002A677E" w14:paraId="371AD18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088CACE" w14:textId="77777777" w:rsidR="00EF74C7" w:rsidRPr="002A677E" w:rsidRDefault="00EF74C7" w:rsidP="00822842">
            <w:pPr>
              <w:pStyle w:val="Applicationdirecte"/>
              <w:spacing w:before="0" w:after="0"/>
            </w:pPr>
            <w:r>
              <w:lastRenderedPageBreak/>
              <w:t>0060</w:t>
            </w:r>
          </w:p>
        </w:tc>
        <w:tc>
          <w:tcPr>
            <w:tcW w:w="7655" w:type="dxa"/>
            <w:tcBorders>
              <w:top w:val="single" w:sz="4" w:space="0" w:color="auto"/>
              <w:left w:val="single" w:sz="4" w:space="0" w:color="auto"/>
              <w:bottom w:val="single" w:sz="4" w:space="0" w:color="auto"/>
              <w:right w:val="single" w:sz="4" w:space="0" w:color="auto"/>
            </w:tcBorders>
          </w:tcPr>
          <w:p w14:paraId="1AD8EA0D"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Skupiny transakcí se započtením zahrnující deriváty a transakce s delší dobou vypořádání</w:t>
            </w:r>
          </w:p>
          <w:p w14:paraId="0E97A475"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Skupiny transakcí se započtením obsahující pouze derivátové nástroje uvedené v příloze II nařízení (EU) č. 575/2013 a transakce s delší dobou vypořádání ve smyslu čl. 272 bodu 2 nařízení (EU) č. 575/2013, u nichž bylo instituci povoleno určit hodnotu expozice pomocí metody interního modelu.</w:t>
            </w:r>
          </w:p>
          <w:p w14:paraId="6A8CD02A"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Deriváty a transakce s delší dobou vypořádání, které jsou zahrnuty do křížového započtení na základě smlouvy, a proto se vykazují v řádku 0070, se nevykazují v tomto řádku.</w:t>
            </w:r>
          </w:p>
        </w:tc>
      </w:tr>
      <w:tr w:rsidR="00EF74C7" w:rsidRPr="002A677E" w14:paraId="44FA93D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AE530B7" w14:textId="77777777" w:rsidR="00EF74C7" w:rsidRPr="002A677E" w:rsidRDefault="00EF74C7" w:rsidP="00822842">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14:paraId="658A9BF1"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Z křížového započtení na základě smlouvy</w:t>
            </w:r>
          </w:p>
          <w:p w14:paraId="118D66FD" w14:textId="77777777" w:rsidR="00EF74C7" w:rsidRPr="002A677E" w:rsidRDefault="00EF74C7" w:rsidP="00822842">
            <w:pPr>
              <w:rPr>
                <w:rFonts w:ascii="Times New Roman" w:hAnsi="Times New Roman"/>
                <w:sz w:val="24"/>
              </w:rPr>
            </w:pPr>
            <w:r>
              <w:rPr>
                <w:rFonts w:ascii="Times New Roman" w:hAnsi="Times New Roman"/>
                <w:sz w:val="24"/>
              </w:rPr>
              <w:t>Ustanovení čl. 272 bodů 11 a 25 nařízení (EU) č. 575/2013</w:t>
            </w:r>
          </w:p>
          <w:p w14:paraId="78B4A3BD"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Skupina transakcí se započtením zahrnující transakce z různých produktových kategorií (čl. 272 bod 11 nařízení (EU) č. 575/2013), tj. deriváty a transakce s financováním cenných papírů, pro které existuje dohoda o křížovém započtení na základě smlouvy ve smyslu čl. 272 bodu 25 nařízení (EU) č. 575/2013 a u nichž bylo instituci povoleno určit hodnotu expozice pomocí metody interního modelu.</w:t>
            </w:r>
          </w:p>
        </w:tc>
      </w:tr>
      <w:tr w:rsidR="00EF74C7" w:rsidRPr="002A677E" w14:paraId="24E5850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C0603C1" w14:textId="77777777" w:rsidR="00EF74C7" w:rsidRPr="002A677E" w:rsidRDefault="00EF74C7" w:rsidP="00822842">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14:paraId="6DCAF7D9"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JEDNODUCHÁ METODA FINANČNÍHO KOLATERÁLU (PRO TRANSAKCE S FINANCOVÁNÍM CENNÝCH PAPÍRŮ) </w:t>
            </w:r>
          </w:p>
          <w:p w14:paraId="1E933FE3" w14:textId="77777777" w:rsidR="00EF74C7" w:rsidRPr="002A677E" w:rsidRDefault="00EF74C7" w:rsidP="00822842">
            <w:pPr>
              <w:rPr>
                <w:rFonts w:ascii="Times New Roman" w:hAnsi="Times New Roman"/>
                <w:sz w:val="24"/>
              </w:rPr>
            </w:pPr>
            <w:r>
              <w:rPr>
                <w:rFonts w:ascii="Times New Roman" w:hAnsi="Times New Roman"/>
                <w:sz w:val="24"/>
              </w:rPr>
              <w:t>Článek 222 nařízení (EU) č. 575/2013</w:t>
            </w:r>
          </w:p>
          <w:p w14:paraId="1206AB47"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Repo obchody, půjčky či výpůjčky cenných papírů nebo komodit, transakce s delší dobou vypořádání a maržové obchody, u nichž se instituce rozhodla určit hodnotu expozice v souladu s článkem 222 nařízení (EU) č. 575/2013, a nikoli částí třetí hlavou II kapitolou 6 uvedeného nařízení v souladu s čl. 271 odst. 2 téhož nařízení.</w:t>
            </w:r>
          </w:p>
        </w:tc>
      </w:tr>
      <w:tr w:rsidR="00EF74C7" w:rsidRPr="002A677E" w14:paraId="273C9B7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42D4D44" w14:textId="77777777" w:rsidR="00EF74C7" w:rsidRPr="002A677E" w:rsidRDefault="00EF74C7" w:rsidP="00822842">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14:paraId="28F9D68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KOMPLEXNÍ METODA FINANČNÍHO KOLATERÁLU (PRO TRANSAKCE S FINANCOVÁNÍM CENNÝCH PAPÍRŮ)</w:t>
            </w:r>
          </w:p>
          <w:p w14:paraId="13A72AE5" w14:textId="77777777" w:rsidR="00EF74C7" w:rsidRPr="002A677E" w:rsidRDefault="00EF74C7" w:rsidP="00822842">
            <w:pPr>
              <w:rPr>
                <w:rFonts w:ascii="Times New Roman" w:hAnsi="Times New Roman"/>
                <w:sz w:val="24"/>
              </w:rPr>
            </w:pPr>
            <w:r>
              <w:rPr>
                <w:rFonts w:ascii="Times New Roman" w:hAnsi="Times New Roman"/>
                <w:sz w:val="24"/>
              </w:rPr>
              <w:t>Články 220 a 223 nařízení (EU) č. 575/2013</w:t>
            </w:r>
          </w:p>
          <w:p w14:paraId="0F255BBA" w14:textId="77777777" w:rsidR="00EF74C7" w:rsidRPr="002A677E" w:rsidRDefault="00EF74C7" w:rsidP="00822842">
            <w:pPr>
              <w:pStyle w:val="TableMainHeading"/>
              <w:spacing w:before="60"/>
              <w:jc w:val="both"/>
              <w:rPr>
                <w:rFonts w:ascii="Times New Roman" w:hAnsi="Times New Roman"/>
                <w:i/>
                <w:sz w:val="24"/>
                <w:szCs w:val="24"/>
              </w:rPr>
            </w:pPr>
            <w:r>
              <w:rPr>
                <w:rFonts w:ascii="Times New Roman" w:hAnsi="Times New Roman"/>
                <w:sz w:val="24"/>
              </w:rPr>
              <w:t>Repo obchody, půjčky či výpůjčky cenných papírů nebo komodit, transakce s delší dobou vypořádání a maržové obchody, u nichž se instituce rozhodla určit hodnotu expozice v souladu s článkem 223 nařízení (EU) č. 575/2013, a nikoli částí třetí hlavou II kapitolou 6 uvedeného nařízení v souladu s čl. 271 odst. 2 téhož nařízení.</w:t>
            </w:r>
          </w:p>
        </w:tc>
      </w:tr>
      <w:tr w:rsidR="00EF74C7" w:rsidRPr="002A677E" w14:paraId="047FCA6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B248369" w14:textId="77777777" w:rsidR="00EF74C7" w:rsidRPr="002A677E" w:rsidRDefault="00EF74C7" w:rsidP="00822842">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14:paraId="22D23DE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HODNOTA V RIZIKU PRO TRANSAKCE S FINANCOVÁNÍM CENNÝCH PAPÍRŮ</w:t>
            </w:r>
          </w:p>
          <w:p w14:paraId="769E33FD" w14:textId="77777777" w:rsidR="00EF74C7" w:rsidRPr="002A677E" w:rsidRDefault="00EF74C7" w:rsidP="00822842">
            <w:pPr>
              <w:rPr>
                <w:rFonts w:ascii="Times New Roman" w:hAnsi="Times New Roman"/>
                <w:sz w:val="24"/>
              </w:rPr>
            </w:pPr>
            <w:r>
              <w:rPr>
                <w:rFonts w:ascii="Times New Roman" w:hAnsi="Times New Roman"/>
                <w:sz w:val="24"/>
              </w:rPr>
              <w:t>Článek 221 nařízení (EU) č. 575/2013</w:t>
            </w:r>
          </w:p>
          <w:p w14:paraId="2E3D6606"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lastRenderedPageBreak/>
              <w:t xml:space="preserve">Repo obchody, půjčky či výpůjčky cenných papírů nebo komodit, maržové obchody nebo jiné transakce na kapitálovém trhu jiné než transakce s deriváty, u nichž se v souladu s článkem 221 nařízení (EU) č. 575/2013 a se svolením příslušného orgánu hodnota expozice vypočítá pomocí přístupu interního modelu, který zohledňuje vliv korelace mezi pozicemi v cenných papírech, které jsou předmětem dané rámcové dohody o započtení, i likviditu dotčených nástrojů. </w:t>
            </w:r>
          </w:p>
        </w:tc>
      </w:tr>
      <w:tr w:rsidR="00EF74C7" w:rsidRPr="002A677E" w14:paraId="35872212"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5856DB2" w14:textId="77777777" w:rsidR="00EF74C7" w:rsidRPr="002A677E" w:rsidRDefault="00EF74C7" w:rsidP="00822842">
            <w:pPr>
              <w:pStyle w:val="Applicationdirecte"/>
              <w:spacing w:before="0" w:after="0"/>
            </w:pPr>
            <w:r>
              <w:lastRenderedPageBreak/>
              <w:t>0110</w:t>
            </w:r>
          </w:p>
        </w:tc>
        <w:tc>
          <w:tcPr>
            <w:tcW w:w="7655" w:type="dxa"/>
            <w:tcBorders>
              <w:top w:val="single" w:sz="4" w:space="0" w:color="auto"/>
              <w:left w:val="single" w:sz="4" w:space="0" w:color="auto"/>
              <w:bottom w:val="single" w:sz="4" w:space="0" w:color="auto"/>
              <w:right w:val="single" w:sz="4" w:space="0" w:color="auto"/>
            </w:tcBorders>
          </w:tcPr>
          <w:p w14:paraId="5ACE250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CELKEM</w:t>
            </w:r>
          </w:p>
          <w:p w14:paraId="31701FF7" w14:textId="77777777" w:rsidR="00EF74C7" w:rsidRPr="002A677E" w:rsidRDefault="00EF74C7" w:rsidP="00822842">
            <w:pPr>
              <w:keepNext/>
              <w:spacing w:before="60"/>
              <w:rPr>
                <w:rStyle w:val="InstructionsTabelleberschrift"/>
                <w:rFonts w:ascii="Times New Roman" w:hAnsi="Times New Roman"/>
                <w:sz w:val="24"/>
              </w:rPr>
            </w:pPr>
          </w:p>
        </w:tc>
      </w:tr>
      <w:tr w:rsidR="00EF74C7" w:rsidRPr="002A677E" w14:paraId="04998E4D" w14:textId="77777777" w:rsidTr="00822842">
        <w:trPr>
          <w:trHeight w:val="1502"/>
        </w:trPr>
        <w:tc>
          <w:tcPr>
            <w:tcW w:w="1384" w:type="dxa"/>
          </w:tcPr>
          <w:p w14:paraId="1C32D020" w14:textId="77777777" w:rsidR="00EF74C7" w:rsidRPr="002A677E" w:rsidDel="003E0C6A" w:rsidRDefault="00EF74C7" w:rsidP="00822842">
            <w:pPr>
              <w:pStyle w:val="Applicationdirecte"/>
              <w:spacing w:before="60" w:after="0"/>
              <w:jc w:val="left"/>
            </w:pPr>
            <w:r>
              <w:t>0120</w:t>
            </w:r>
          </w:p>
        </w:tc>
        <w:tc>
          <w:tcPr>
            <w:tcW w:w="7655" w:type="dxa"/>
          </w:tcPr>
          <w:p w14:paraId="64672F51"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Z toho: Pozice se specifickým rizikem pozitivní korelace</w:t>
            </w:r>
          </w:p>
          <w:p w14:paraId="658F3281" w14:textId="77777777" w:rsidR="00EF74C7" w:rsidRPr="002A677E" w:rsidRDefault="00EF74C7" w:rsidP="00822842">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Článek 291 </w:t>
            </w:r>
            <w:r>
              <w:rPr>
                <w:rFonts w:ascii="Times New Roman" w:hAnsi="Times New Roman"/>
                <w:sz w:val="24"/>
              </w:rPr>
              <w:t>nařízení (EU) č. 575/2013</w:t>
            </w:r>
          </w:p>
          <w:p w14:paraId="41917746" w14:textId="77777777" w:rsidR="00EF74C7" w:rsidRPr="002A677E" w:rsidDel="003E0C6A" w:rsidRDefault="00EF74C7" w:rsidP="00822842">
            <w:pPr>
              <w:keepNext/>
              <w:spacing w:before="60"/>
              <w:rPr>
                <w:rFonts w:ascii="Times New Roman" w:hAnsi="Times New Roman"/>
                <w:bCs/>
                <w:sz w:val="24"/>
              </w:rPr>
            </w:pPr>
            <w:r>
              <w:rPr>
                <w:rStyle w:val="InstructionsTabelleberschrift"/>
                <w:rFonts w:ascii="Times New Roman" w:hAnsi="Times New Roman"/>
                <w:b w:val="0"/>
                <w:sz w:val="24"/>
                <w:u w:val="none"/>
              </w:rPr>
              <w:t xml:space="preserve">Expozice s CCR, u nichž bylo identifikováno specifické riziko pozitivní korelace v souladu s článkem 291 </w:t>
            </w:r>
            <w:r>
              <w:rPr>
                <w:rFonts w:ascii="Times New Roman" w:hAnsi="Times New Roman"/>
                <w:sz w:val="24"/>
              </w:rPr>
              <w:t>nařízení (EU) č. 575/2013</w:t>
            </w:r>
            <w:r>
              <w:rPr>
                <w:rStyle w:val="InstructionsTabelleberschrift"/>
                <w:rFonts w:ascii="Times New Roman" w:hAnsi="Times New Roman"/>
                <w:b w:val="0"/>
                <w:sz w:val="24"/>
                <w:u w:val="none"/>
              </w:rPr>
              <w:t>.</w:t>
            </w:r>
          </w:p>
        </w:tc>
      </w:tr>
      <w:tr w:rsidR="00EF74C7" w:rsidRPr="002A677E" w14:paraId="59B010B6" w14:textId="77777777" w:rsidTr="00822842">
        <w:trPr>
          <w:trHeight w:val="426"/>
        </w:trPr>
        <w:tc>
          <w:tcPr>
            <w:tcW w:w="1384" w:type="dxa"/>
          </w:tcPr>
          <w:p w14:paraId="11F4D998" w14:textId="77777777" w:rsidR="00EF74C7" w:rsidRPr="002A677E" w:rsidDel="003E0C6A" w:rsidRDefault="00EF74C7" w:rsidP="00822842">
            <w:pPr>
              <w:pStyle w:val="Applicationdirecte"/>
              <w:spacing w:before="60" w:after="0"/>
              <w:jc w:val="left"/>
            </w:pPr>
            <w:r>
              <w:t>0130</w:t>
            </w:r>
          </w:p>
        </w:tc>
        <w:tc>
          <w:tcPr>
            <w:tcW w:w="7655" w:type="dxa"/>
          </w:tcPr>
          <w:p w14:paraId="794C69D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Maržové obchody</w:t>
            </w:r>
          </w:p>
          <w:p w14:paraId="03856435" w14:textId="77777777" w:rsidR="00EF74C7" w:rsidRPr="002A677E" w:rsidRDefault="00EF74C7" w:rsidP="00822842">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272 odst. 7 </w:t>
            </w:r>
            <w:r>
              <w:rPr>
                <w:rFonts w:ascii="Times New Roman" w:hAnsi="Times New Roman"/>
                <w:sz w:val="24"/>
              </w:rPr>
              <w:t>nařízení (EU) č. 575/2013</w:t>
            </w:r>
          </w:p>
          <w:p w14:paraId="2F61E58D" w14:textId="77777777" w:rsidR="00EF74C7" w:rsidRPr="002A677E" w:rsidDel="003E0C6A" w:rsidRDefault="00EF74C7" w:rsidP="00822842">
            <w:pPr>
              <w:keepNext/>
              <w:spacing w:before="60"/>
              <w:rPr>
                <w:rFonts w:ascii="Times New Roman" w:hAnsi="Times New Roman"/>
                <w:sz w:val="24"/>
              </w:rPr>
            </w:pPr>
            <w:r>
              <w:rPr>
                <w:rStyle w:val="InstructionsTabelleberschrift"/>
                <w:rFonts w:ascii="Times New Roman" w:hAnsi="Times New Roman"/>
                <w:b w:val="0"/>
                <w:sz w:val="24"/>
                <w:u w:val="none"/>
              </w:rPr>
              <w:t xml:space="preserve">Expozice s CCR, na které se vztahuje maržová dohoda, tj. skupiny transakcí se započtením podléhající maržové dohodě v souladu s čl. 272 bodem 7 </w:t>
            </w:r>
            <w:r>
              <w:rPr>
                <w:rFonts w:ascii="Times New Roman" w:hAnsi="Times New Roman"/>
                <w:sz w:val="24"/>
              </w:rPr>
              <w:t>nařízení (EU) č. 575/2013</w:t>
            </w:r>
            <w:r>
              <w:rPr>
                <w:rStyle w:val="InstructionsTabelleberschrift"/>
                <w:rFonts w:ascii="Times New Roman" w:hAnsi="Times New Roman"/>
                <w:b w:val="0"/>
                <w:sz w:val="24"/>
                <w:u w:val="none"/>
              </w:rPr>
              <w:t>.</w:t>
            </w:r>
          </w:p>
        </w:tc>
      </w:tr>
      <w:tr w:rsidR="00EF74C7" w:rsidRPr="002A677E" w14:paraId="518FA613" w14:textId="77777777" w:rsidTr="00822842">
        <w:trPr>
          <w:trHeight w:val="829"/>
        </w:trPr>
        <w:tc>
          <w:tcPr>
            <w:tcW w:w="1384" w:type="dxa"/>
          </w:tcPr>
          <w:p w14:paraId="527E02B0" w14:textId="77777777" w:rsidR="00EF74C7" w:rsidRPr="002A677E" w:rsidDel="003E0C6A" w:rsidRDefault="00EF74C7" w:rsidP="00822842">
            <w:pPr>
              <w:pStyle w:val="Applicationdirecte"/>
              <w:spacing w:before="60" w:after="0"/>
              <w:jc w:val="left"/>
            </w:pPr>
            <w:r>
              <w:t>0140</w:t>
            </w:r>
          </w:p>
        </w:tc>
        <w:tc>
          <w:tcPr>
            <w:tcW w:w="7655" w:type="dxa"/>
          </w:tcPr>
          <w:p w14:paraId="4739FB5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Obchody bez marží</w:t>
            </w:r>
          </w:p>
          <w:p w14:paraId="166C3DE8" w14:textId="77777777" w:rsidR="00EF74C7" w:rsidRPr="002A677E" w:rsidDel="003E0C6A" w:rsidRDefault="00EF74C7" w:rsidP="00822842">
            <w:pPr>
              <w:rPr>
                <w:rFonts w:ascii="Times New Roman" w:hAnsi="Times New Roman"/>
                <w:sz w:val="24"/>
              </w:rPr>
            </w:pPr>
            <w:r>
              <w:rPr>
                <w:rFonts w:ascii="Times New Roman" w:hAnsi="Times New Roman"/>
                <w:sz w:val="24"/>
              </w:rPr>
              <w:t>Expozice s CCR, které nejsou zahrnuty v řádku 0130.</w:t>
            </w:r>
          </w:p>
        </w:tc>
      </w:tr>
    </w:tbl>
    <w:p w14:paraId="0EE31AF8" w14:textId="77777777" w:rsidR="00EF74C7" w:rsidRPr="002A677E" w:rsidRDefault="00EF74C7" w:rsidP="00EF74C7">
      <w:pPr>
        <w:rPr>
          <w:rFonts w:ascii="Times New Roman" w:hAnsi="Times New Roman"/>
          <w:noProof/>
          <w:sz w:val="24"/>
        </w:rPr>
      </w:pPr>
    </w:p>
    <w:p w14:paraId="398E5D6F"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28" w:name="_Toc19715809"/>
      <w:bookmarkStart w:id="29" w:name="_Toc151714449"/>
      <w:r>
        <w:rPr>
          <w:rFonts w:ascii="Times New Roman" w:hAnsi="Times New Roman"/>
          <w:sz w:val="24"/>
        </w:rPr>
        <w:t>C 34.03 – Expozice s CCR, s nimiž se zachází standardizovanými přístupy: přístupem SA-CCR a zjednodušeným přístupem SA-CCR</w:t>
      </w:r>
      <w:bookmarkEnd w:id="28"/>
      <w:bookmarkEnd w:id="29"/>
    </w:p>
    <w:p w14:paraId="25A32DCA"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30" w:name="_Toc19715810"/>
      <w:bookmarkStart w:id="31" w:name="_Toc151714450"/>
      <w:r>
        <w:rPr>
          <w:rFonts w:ascii="Times New Roman" w:hAnsi="Times New Roman"/>
          <w:sz w:val="24"/>
        </w:rPr>
        <w:t>Obecné poznámky</w:t>
      </w:r>
      <w:bookmarkEnd w:id="30"/>
      <w:bookmarkEnd w:id="31"/>
    </w:p>
    <w:p w14:paraId="00205649" w14:textId="08D8CDD1"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125</w:t>
      </w:r>
      <w:r>
        <w:fldChar w:fldCharType="end"/>
      </w:r>
      <w:r>
        <w:t>. Šablona se použije samostatně pro vykazování expozic CCR vypočítaných pomocí přístupu SA-CCR a expozic s CCR vypočítaných pomocí zjednodušeného přístupu SA-CCR.</w:t>
      </w:r>
    </w:p>
    <w:p w14:paraId="739ACEF6"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32" w:name="_Toc19715811"/>
      <w:bookmarkStart w:id="33" w:name="_Toc151714451"/>
      <w:r>
        <w:rPr>
          <w:rFonts w:ascii="Times New Roman" w:hAnsi="Times New Roman"/>
          <w:sz w:val="24"/>
        </w:rPr>
        <w:t>Pokyny pro konkrétní pozice</w:t>
      </w:r>
      <w:bookmarkEnd w:id="32"/>
      <w:bookmarkEnd w:id="3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1AD3F40" w14:textId="77777777" w:rsidTr="00822842">
        <w:trPr>
          <w:trHeight w:val="717"/>
        </w:trPr>
        <w:tc>
          <w:tcPr>
            <w:tcW w:w="9039" w:type="dxa"/>
            <w:gridSpan w:val="2"/>
            <w:shd w:val="clear" w:color="auto" w:fill="D9D9D9" w:themeFill="background1" w:themeFillShade="D9"/>
          </w:tcPr>
          <w:p w14:paraId="1502A629"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Sloupce</w:t>
            </w:r>
          </w:p>
        </w:tc>
      </w:tr>
      <w:tr w:rsidR="00EF74C7" w:rsidRPr="002A677E" w14:paraId="672D2ACD" w14:textId="77777777" w:rsidTr="00822842">
        <w:trPr>
          <w:trHeight w:val="680"/>
        </w:trPr>
        <w:tc>
          <w:tcPr>
            <w:tcW w:w="1384" w:type="dxa"/>
          </w:tcPr>
          <w:p w14:paraId="0E603140" w14:textId="77777777" w:rsidR="00EF74C7" w:rsidRPr="002A677E" w:rsidRDefault="00EF74C7" w:rsidP="00822842">
            <w:pPr>
              <w:pStyle w:val="Applicationdirecte"/>
              <w:spacing w:before="0" w:after="0"/>
            </w:pPr>
            <w:r>
              <w:t>0010</w:t>
            </w:r>
          </w:p>
        </w:tc>
        <w:tc>
          <w:tcPr>
            <w:tcW w:w="7655" w:type="dxa"/>
            <w:vAlign w:val="center"/>
          </w:tcPr>
          <w:p w14:paraId="1B4E242B" w14:textId="77777777" w:rsidR="00EF74C7" w:rsidRPr="002A677E" w:rsidRDefault="00EF74C7" w:rsidP="00822842">
            <w:pPr>
              <w:keepNext/>
              <w:spacing w:before="60"/>
              <w:rPr>
                <w:rFonts w:ascii="Times New Roman" w:hAnsi="Times New Roman"/>
                <w:sz w:val="24"/>
              </w:rPr>
            </w:pPr>
            <w:r>
              <w:rPr>
                <w:rStyle w:val="InstructionsTabelleberschrift"/>
                <w:rFonts w:ascii="Times New Roman" w:hAnsi="Times New Roman"/>
                <w:sz w:val="24"/>
              </w:rPr>
              <w:t>MĚNA</w:t>
            </w:r>
          </w:p>
          <w:p w14:paraId="1FCE36C7" w14:textId="77777777" w:rsidR="00EF74C7" w:rsidRPr="002A677E" w:rsidRDefault="00EF74C7" w:rsidP="00822842">
            <w:pPr>
              <w:keepNext/>
              <w:spacing w:before="60"/>
              <w:rPr>
                <w:rFonts w:ascii="Times New Roman" w:hAnsi="Times New Roman"/>
                <w:sz w:val="24"/>
              </w:rPr>
            </w:pPr>
            <w:r>
              <w:rPr>
                <w:rFonts w:ascii="Times New Roman" w:hAnsi="Times New Roman"/>
                <w:sz w:val="24"/>
              </w:rPr>
              <w:t>U transakcí přiřazených ke kategorii úrokového rizika se vykazuje měna denominace transakce.</w:t>
            </w:r>
          </w:p>
          <w:p w14:paraId="451829C3"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U transakcí přiřazených ke kategorii měnového rizika se vykazuje měna denominace jedné ze dvou částí transakce. Instituce uvedou měny v měnovém </w:t>
            </w:r>
            <w:r>
              <w:rPr>
                <w:rFonts w:ascii="Times New Roman" w:hAnsi="Times New Roman"/>
                <w:sz w:val="24"/>
              </w:rPr>
              <w:lastRenderedPageBreak/>
              <w:t xml:space="preserve">páru v abecedním pořadí, např. u měnového páru americký dolar/euro se do tohoto sloupce uvede EUR a do sloupce 0020 USD. </w:t>
            </w:r>
          </w:p>
          <w:p w14:paraId="4B0703E4"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Pro zápis měn se použijí</w:t>
            </w:r>
            <w:r>
              <w:t xml:space="preserve"> </w:t>
            </w:r>
            <w:hyperlink r:id="rId10" w:history="1">
              <w:r>
                <w:rPr>
                  <w:rFonts w:ascii="Times New Roman" w:hAnsi="Times New Roman"/>
                  <w:sz w:val="24"/>
                </w:rPr>
                <w:t>kódy ISO</w:t>
              </w:r>
            </w:hyperlink>
            <w:r>
              <w:rPr>
                <w:rFonts w:ascii="Times New Roman" w:hAnsi="Times New Roman"/>
                <w:sz w:val="24"/>
              </w:rPr>
              <w:t>.</w:t>
            </w:r>
          </w:p>
        </w:tc>
      </w:tr>
      <w:tr w:rsidR="00EF74C7" w:rsidRPr="002A677E" w14:paraId="5C5AF16A" w14:textId="77777777" w:rsidTr="00822842">
        <w:trPr>
          <w:trHeight w:val="680"/>
        </w:trPr>
        <w:tc>
          <w:tcPr>
            <w:tcW w:w="1384" w:type="dxa"/>
          </w:tcPr>
          <w:p w14:paraId="4ACFE6AB" w14:textId="77777777" w:rsidR="00EF74C7" w:rsidRPr="002A677E" w:rsidRDefault="00EF74C7" w:rsidP="00822842">
            <w:pPr>
              <w:pStyle w:val="Applicationdirecte"/>
              <w:spacing w:before="0" w:after="0"/>
            </w:pPr>
            <w:r>
              <w:lastRenderedPageBreak/>
              <w:t>0020</w:t>
            </w:r>
          </w:p>
        </w:tc>
        <w:tc>
          <w:tcPr>
            <w:tcW w:w="7655" w:type="dxa"/>
            <w:vAlign w:val="center"/>
          </w:tcPr>
          <w:p w14:paraId="24D1130D"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DRUHÁ MĚNA V PÁRU</w:t>
            </w:r>
          </w:p>
          <w:p w14:paraId="03D4A6E7" w14:textId="77777777" w:rsidR="00EF74C7" w:rsidRPr="002A677E" w:rsidRDefault="00EF74C7" w:rsidP="00822842">
            <w:pPr>
              <w:keepNext/>
              <w:spacing w:before="60"/>
              <w:rPr>
                <w:rFonts w:ascii="Times New Roman" w:hAnsi="Times New Roman"/>
                <w:sz w:val="24"/>
              </w:rPr>
            </w:pPr>
            <w:r>
              <w:rPr>
                <w:rFonts w:ascii="Times New Roman" w:hAnsi="Times New Roman"/>
                <w:sz w:val="24"/>
              </w:rPr>
              <w:t>U transakcí přiřazených ke kategorii měnového rizika se vykazuje měna denominace druhé části transakce (vzhledem k části vykázané ve sloupci 0010). Instituce uvedou měny v měnovém páru v abecedním pořadí, např. u měnového páru americký dolar/euro se do tohoto sloupce uvede USD a do sloupce 0010 EUR.</w:t>
            </w:r>
          </w:p>
          <w:p w14:paraId="1013A2D8"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Pro zápis měn se použijí</w:t>
            </w:r>
            <w:r>
              <w:t xml:space="preserve"> </w:t>
            </w:r>
            <w:hyperlink r:id="rId11" w:history="1">
              <w:r>
                <w:rPr>
                  <w:rFonts w:ascii="Times New Roman" w:hAnsi="Times New Roman"/>
                  <w:sz w:val="24"/>
                </w:rPr>
                <w:t>kódy ISO</w:t>
              </w:r>
            </w:hyperlink>
            <w:r>
              <w:rPr>
                <w:rFonts w:ascii="Times New Roman" w:hAnsi="Times New Roman"/>
                <w:sz w:val="24"/>
              </w:rPr>
              <w:t>.</w:t>
            </w:r>
          </w:p>
        </w:tc>
      </w:tr>
      <w:tr w:rsidR="00EF74C7" w:rsidRPr="002A677E" w14:paraId="269AB735" w14:textId="77777777" w:rsidTr="00822842">
        <w:trPr>
          <w:trHeight w:val="680"/>
        </w:trPr>
        <w:tc>
          <w:tcPr>
            <w:tcW w:w="1384" w:type="dxa"/>
          </w:tcPr>
          <w:p w14:paraId="27EC4B26" w14:textId="77777777" w:rsidR="00EF74C7" w:rsidRPr="002A677E" w:rsidRDefault="00EF74C7" w:rsidP="00822842">
            <w:pPr>
              <w:pStyle w:val="Applicationdirecte"/>
              <w:spacing w:before="0" w:after="0"/>
            </w:pPr>
            <w:r>
              <w:t>0030</w:t>
            </w:r>
          </w:p>
        </w:tc>
        <w:tc>
          <w:tcPr>
            <w:tcW w:w="7655" w:type="dxa"/>
            <w:vAlign w:val="center"/>
          </w:tcPr>
          <w:p w14:paraId="2F0BA9E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POČET TRANSAKCÍ</w:t>
            </w:r>
          </w:p>
          <w:p w14:paraId="6D81C620"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Viz pokyny ke sloupci 0020 v šabloně C 34.02.</w:t>
            </w:r>
          </w:p>
        </w:tc>
      </w:tr>
      <w:tr w:rsidR="00EF74C7" w:rsidRPr="002A677E" w14:paraId="01ECDEDD" w14:textId="77777777" w:rsidTr="00822842">
        <w:trPr>
          <w:trHeight w:val="680"/>
        </w:trPr>
        <w:tc>
          <w:tcPr>
            <w:tcW w:w="1384" w:type="dxa"/>
          </w:tcPr>
          <w:p w14:paraId="18733037" w14:textId="77777777" w:rsidR="00EF74C7" w:rsidRPr="002A677E" w:rsidRDefault="00EF74C7" w:rsidP="00822842">
            <w:pPr>
              <w:pStyle w:val="Applicationdirecte"/>
              <w:spacing w:before="0" w:after="0"/>
            </w:pPr>
            <w:r>
              <w:t>0040</w:t>
            </w:r>
          </w:p>
        </w:tc>
        <w:tc>
          <w:tcPr>
            <w:tcW w:w="7655" w:type="dxa"/>
            <w:vAlign w:val="center"/>
          </w:tcPr>
          <w:p w14:paraId="160D7E2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POMYSLNÉ HODNOTY</w:t>
            </w:r>
          </w:p>
          <w:p w14:paraId="1EAD85A5" w14:textId="77777777" w:rsidR="00EF74C7" w:rsidRPr="002A677E" w:rsidRDefault="00EF74C7" w:rsidP="00822842">
            <w:pPr>
              <w:keepNext/>
              <w:spacing w:before="60"/>
              <w:rPr>
                <w:rFonts w:ascii="Times New Roman" w:hAnsi="Times New Roman"/>
                <w:sz w:val="24"/>
              </w:rPr>
            </w:pPr>
            <w:r>
              <w:rPr>
                <w:rFonts w:ascii="Times New Roman" w:hAnsi="Times New Roman"/>
                <w:sz w:val="24"/>
              </w:rPr>
              <w:t>Viz pokyny ke sloupci 0030 v šabloně C 34.02.</w:t>
            </w:r>
          </w:p>
        </w:tc>
      </w:tr>
      <w:tr w:rsidR="00EF74C7" w:rsidRPr="002A677E" w14:paraId="3AC762E1" w14:textId="77777777" w:rsidTr="00822842">
        <w:trPr>
          <w:trHeight w:val="680"/>
        </w:trPr>
        <w:tc>
          <w:tcPr>
            <w:tcW w:w="1384" w:type="dxa"/>
          </w:tcPr>
          <w:p w14:paraId="772E888B" w14:textId="77777777" w:rsidR="00EF74C7" w:rsidRPr="002A677E" w:rsidRDefault="00EF74C7" w:rsidP="00822842">
            <w:pPr>
              <w:pStyle w:val="Applicationdirecte"/>
              <w:spacing w:before="0" w:after="0"/>
            </w:pPr>
            <w:r>
              <w:t>0050</w:t>
            </w:r>
          </w:p>
        </w:tc>
        <w:tc>
          <w:tcPr>
            <w:tcW w:w="7655" w:type="dxa"/>
            <w:vAlign w:val="center"/>
          </w:tcPr>
          <w:p w14:paraId="4F39288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SOUČASNÁ TRŽNÍ HODNOTA (CMV), KLADNÁ</w:t>
            </w:r>
          </w:p>
          <w:p w14:paraId="5ED54A90" w14:textId="77777777" w:rsidR="00EF74C7" w:rsidRPr="002A677E" w:rsidRDefault="00EF74C7" w:rsidP="00822842">
            <w:pPr>
              <w:keepNext/>
              <w:spacing w:before="60"/>
              <w:rPr>
                <w:rFonts w:ascii="Times New Roman" w:hAnsi="Times New Roman"/>
                <w:sz w:val="24"/>
              </w:rPr>
            </w:pPr>
            <w:r>
              <w:rPr>
                <w:rFonts w:ascii="Times New Roman" w:hAnsi="Times New Roman"/>
                <w:sz w:val="24"/>
              </w:rPr>
              <w:t>Součet současných tržních hodnot (CMV) všech skupin zajistitelných transakcí s kladnou CMV v příslušné kategorii rizika.</w:t>
            </w:r>
          </w:p>
          <w:p w14:paraId="379A6FFF" w14:textId="77777777" w:rsidR="00EF74C7" w:rsidRPr="002A677E" w:rsidRDefault="00EF74C7" w:rsidP="00822842">
            <w:pPr>
              <w:keepNext/>
              <w:spacing w:before="60"/>
              <w:rPr>
                <w:rFonts w:ascii="Times New Roman" w:hAnsi="Times New Roman"/>
                <w:sz w:val="24"/>
              </w:rPr>
            </w:pPr>
            <w:r>
              <w:rPr>
                <w:rFonts w:ascii="Times New Roman" w:hAnsi="Times New Roman"/>
                <w:sz w:val="24"/>
              </w:rPr>
              <w:t>CMV na úrovni skupiny zajistitelných transakcí se určí započtením kladných a záporných tržních hodnot transakcí v rámci jedné skupiny zajistitelných transakcí bez zohlednění drženého nebo poskytnutého kolaterálu.</w:t>
            </w:r>
          </w:p>
        </w:tc>
      </w:tr>
      <w:tr w:rsidR="00EF74C7" w:rsidRPr="002A677E" w14:paraId="08BA8DB4" w14:textId="77777777" w:rsidTr="00822842">
        <w:trPr>
          <w:trHeight w:val="680"/>
        </w:trPr>
        <w:tc>
          <w:tcPr>
            <w:tcW w:w="1384" w:type="dxa"/>
          </w:tcPr>
          <w:p w14:paraId="0E291208" w14:textId="77777777" w:rsidR="00EF74C7" w:rsidRPr="002A677E" w:rsidRDefault="00EF74C7" w:rsidP="00822842">
            <w:pPr>
              <w:pStyle w:val="Applicationdirecte"/>
              <w:spacing w:before="0" w:after="0"/>
            </w:pPr>
            <w:r>
              <w:t>0060</w:t>
            </w:r>
          </w:p>
        </w:tc>
        <w:tc>
          <w:tcPr>
            <w:tcW w:w="7655" w:type="dxa"/>
            <w:vAlign w:val="center"/>
          </w:tcPr>
          <w:p w14:paraId="58A56A89"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SOUČASNÁ TRŽNÍ HODNOTA (CMV), ZÁPORNÁ</w:t>
            </w:r>
          </w:p>
          <w:p w14:paraId="5CF4FB5C" w14:textId="77777777" w:rsidR="00EF74C7" w:rsidRPr="002A677E" w:rsidRDefault="00EF74C7" w:rsidP="00822842">
            <w:pPr>
              <w:keepNext/>
              <w:spacing w:before="60"/>
              <w:rPr>
                <w:rFonts w:ascii="Times New Roman" w:hAnsi="Times New Roman"/>
                <w:sz w:val="24"/>
              </w:rPr>
            </w:pPr>
            <w:r>
              <w:rPr>
                <w:rFonts w:ascii="Times New Roman" w:hAnsi="Times New Roman"/>
                <w:sz w:val="24"/>
              </w:rPr>
              <w:t>Součet absolutních současných tržních hodnot (CMV) všech skupin zajistitelných transakcí s kladnou CMV v příslušné kategorii rizika.</w:t>
            </w:r>
          </w:p>
          <w:p w14:paraId="3D5BE059"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CMV na úrovni skupiny zajistitelných transakcí se určí započtením kladných a záporných tržních hodnot transakcí v rámci jedné skupiny zajistitelných transakcí bez zohlednění drženého nebo poskytnutého kolaterálu.</w:t>
            </w:r>
          </w:p>
        </w:tc>
      </w:tr>
      <w:tr w:rsidR="00EF74C7" w:rsidRPr="002A677E" w14:paraId="345E1772" w14:textId="77777777" w:rsidTr="00822842">
        <w:trPr>
          <w:trHeight w:val="680"/>
        </w:trPr>
        <w:tc>
          <w:tcPr>
            <w:tcW w:w="1384" w:type="dxa"/>
          </w:tcPr>
          <w:p w14:paraId="77DADDEC" w14:textId="77777777" w:rsidR="00EF74C7" w:rsidRPr="002A677E" w:rsidRDefault="00EF74C7" w:rsidP="00822842">
            <w:pPr>
              <w:pStyle w:val="Applicationdirecte"/>
              <w:spacing w:before="0" w:after="0"/>
            </w:pPr>
            <w:r>
              <w:t>0070</w:t>
            </w:r>
          </w:p>
        </w:tc>
        <w:tc>
          <w:tcPr>
            <w:tcW w:w="7655" w:type="dxa"/>
            <w:vAlign w:val="center"/>
          </w:tcPr>
          <w:p w14:paraId="22809508" w14:textId="77777777" w:rsidR="00EF74C7" w:rsidRPr="002A677E" w:rsidRDefault="00EF74C7" w:rsidP="00822842">
            <w:pPr>
              <w:keepNext/>
              <w:spacing w:before="60"/>
              <w:rPr>
                <w:rFonts w:ascii="Times New Roman" w:hAnsi="Times New Roman"/>
                <w:sz w:val="24"/>
              </w:rPr>
            </w:pPr>
            <w:r>
              <w:rPr>
                <w:rStyle w:val="InstructionsTabelleberschrift"/>
                <w:rFonts w:ascii="Times New Roman" w:hAnsi="Times New Roman"/>
                <w:sz w:val="24"/>
              </w:rPr>
              <w:t>NAVÝŠENÍ</w:t>
            </w:r>
            <w:r>
              <w:rPr>
                <w:rFonts w:ascii="Times New Roman" w:hAnsi="Times New Roman"/>
                <w:sz w:val="24"/>
              </w:rPr>
              <w:t xml:space="preserve"> </w:t>
            </w:r>
          </w:p>
          <w:p w14:paraId="39E215C5" w14:textId="77777777" w:rsidR="00EF74C7" w:rsidRPr="002A677E" w:rsidRDefault="00EF74C7" w:rsidP="00822842">
            <w:pPr>
              <w:keepNext/>
              <w:spacing w:before="60"/>
              <w:rPr>
                <w:rFonts w:ascii="Times New Roman" w:hAnsi="Times New Roman"/>
                <w:sz w:val="24"/>
              </w:rPr>
            </w:pPr>
            <w:r>
              <w:rPr>
                <w:rFonts w:ascii="Times New Roman" w:hAnsi="Times New Roman"/>
                <w:sz w:val="24"/>
              </w:rPr>
              <w:t>Ustanovení článků 280a až 280f a čl. 281 odst. 2 nařízení (EU) č. 575/2013</w:t>
            </w:r>
          </w:p>
          <w:p w14:paraId="3169F372"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Instituce vykazuje součet všech navýšení v příslušné skupině zajistitelných transakcí / kategorii rizika. </w:t>
            </w:r>
          </w:p>
          <w:p w14:paraId="48AD1DD4" w14:textId="77777777" w:rsidR="00EF74C7" w:rsidRPr="002A677E" w:rsidRDefault="00EF74C7" w:rsidP="00822842">
            <w:pPr>
              <w:keepNext/>
              <w:spacing w:before="60"/>
              <w:rPr>
                <w:rFonts w:ascii="Times New Roman" w:hAnsi="Times New Roman"/>
                <w:sz w:val="24"/>
              </w:rPr>
            </w:pPr>
            <w:r>
              <w:rPr>
                <w:rFonts w:ascii="Times New Roman" w:hAnsi="Times New Roman"/>
                <w:sz w:val="24"/>
              </w:rPr>
              <w:t>Navýšení pro každou kategorii rizika, které se používá ke stanovení potenciální budoucí expozice skupiny transakcí se započtením v souladu s čl. 278 odst. 1 nebo čl. 281 odst. 2 písm. f) nařízení (EU) č. 575/2013, se vypočítá v souladu s články 280a až 280f uvedeného nařízení. Pro zjednodušený přístup SA-CCR se použijí ustanovení čl. 281 odst. 2 nařízení (EU) č. 575/2013.</w:t>
            </w:r>
          </w:p>
        </w:tc>
      </w:tr>
      <w:tr w:rsidR="00EF74C7" w:rsidRPr="002A677E" w14:paraId="2456F0C5" w14:textId="77777777" w:rsidTr="00822842">
        <w:trPr>
          <w:trHeight w:val="680"/>
        </w:trPr>
        <w:tc>
          <w:tcPr>
            <w:tcW w:w="9039" w:type="dxa"/>
            <w:gridSpan w:val="2"/>
            <w:tcBorders>
              <w:left w:val="nil"/>
              <w:right w:val="nil"/>
            </w:tcBorders>
          </w:tcPr>
          <w:p w14:paraId="18B64A8E" w14:textId="77777777" w:rsidR="00EF74C7" w:rsidRPr="002A677E" w:rsidDel="00DF07F8" w:rsidRDefault="00EF74C7" w:rsidP="00822842">
            <w:pPr>
              <w:keepNext/>
              <w:spacing w:before="60"/>
              <w:rPr>
                <w:rFonts w:ascii="Times New Roman" w:hAnsi="Times New Roman"/>
                <w:i/>
                <w:szCs w:val="22"/>
                <w:lang w:eastAsia="en-CA"/>
              </w:rPr>
            </w:pPr>
          </w:p>
        </w:tc>
      </w:tr>
      <w:tr w:rsidR="00EF74C7" w:rsidRPr="002A677E" w14:paraId="0883B7AF"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5F7E79" w14:textId="77777777" w:rsidR="00EF74C7" w:rsidRPr="002A677E" w:rsidRDefault="00EF74C7" w:rsidP="00822842">
            <w:pPr>
              <w:pStyle w:val="Applicationdirecte"/>
              <w:spacing w:before="0"/>
              <w:jc w:val="left"/>
              <w:rPr>
                <w:b/>
              </w:rPr>
            </w:pPr>
            <w:r>
              <w:rPr>
                <w:b/>
              </w:rPr>
              <w:t xml:space="preserve">Řádky </w:t>
            </w:r>
          </w:p>
        </w:tc>
      </w:tr>
      <w:tr w:rsidR="00EF74C7" w:rsidRPr="002A677E" w14:paraId="3248D686" w14:textId="77777777" w:rsidTr="00822842">
        <w:trPr>
          <w:trHeight w:val="680"/>
        </w:trPr>
        <w:tc>
          <w:tcPr>
            <w:tcW w:w="1384" w:type="dxa"/>
          </w:tcPr>
          <w:p w14:paraId="402A723E" w14:textId="77777777" w:rsidR="00EF74C7" w:rsidRPr="002A677E" w:rsidRDefault="00EF74C7" w:rsidP="00822842">
            <w:pPr>
              <w:pStyle w:val="Applicationdirecte"/>
              <w:spacing w:before="0" w:after="0"/>
            </w:pPr>
            <w:r>
              <w:t>0050,0120, 0190, 0230, 0270, 0340</w:t>
            </w:r>
          </w:p>
        </w:tc>
        <w:tc>
          <w:tcPr>
            <w:tcW w:w="7655" w:type="dxa"/>
          </w:tcPr>
          <w:p w14:paraId="376D7AC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KATEGORIE RIZIKA</w:t>
            </w:r>
          </w:p>
          <w:p w14:paraId="7E0D1935" w14:textId="77777777" w:rsidR="00EF74C7" w:rsidRPr="002A677E" w:rsidRDefault="00EF74C7" w:rsidP="00822842">
            <w:pPr>
              <w:keepNext/>
              <w:spacing w:before="60"/>
              <w:rPr>
                <w:rFonts w:ascii="Times New Roman" w:hAnsi="Times New Roman"/>
                <w:sz w:val="24"/>
              </w:rPr>
            </w:pPr>
            <w:r>
              <w:rPr>
                <w:rFonts w:ascii="Times New Roman" w:hAnsi="Times New Roman"/>
                <w:sz w:val="24"/>
              </w:rPr>
              <w:t>Články 277 a 277a nařízení (EU) č. 575/2013</w:t>
            </w:r>
          </w:p>
          <w:p w14:paraId="578D076E"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Transakce se klasifikují podle kategorie rizika, do níž patří v souladu s čl. 277 odst. 1 až 4 nařízení (EU) č. 575/2013.</w:t>
            </w:r>
          </w:p>
          <w:p w14:paraId="5862E67E" w14:textId="77777777" w:rsidR="00EF74C7" w:rsidRPr="002A677E" w:rsidRDefault="00EF74C7" w:rsidP="00822842">
            <w:pPr>
              <w:pStyle w:val="TableMainHeading"/>
              <w:spacing w:before="60"/>
              <w:jc w:val="both"/>
              <w:rPr>
                <w:rFonts w:ascii="Times New Roman" w:hAnsi="Times New Roman"/>
                <w:sz w:val="24"/>
              </w:rPr>
            </w:pPr>
            <w:r>
              <w:rPr>
                <w:rFonts w:ascii="Times New Roman" w:hAnsi="Times New Roman"/>
                <w:sz w:val="24"/>
              </w:rPr>
              <w:t>Zařazení do skupin zajistitelných transakcí podle kategorie rizika se provádí v souladu s článkem 277a nařízení (EU) č. 575/2013.</w:t>
            </w:r>
          </w:p>
          <w:p w14:paraId="65316050" w14:textId="77777777" w:rsidR="00EF74C7" w:rsidRPr="002A677E" w:rsidRDefault="00EF74C7" w:rsidP="00822842">
            <w:pPr>
              <w:pStyle w:val="TableMainHeading"/>
              <w:spacing w:before="60"/>
              <w:jc w:val="both"/>
              <w:rPr>
                <w:rFonts w:ascii="Times New Roman" w:hAnsi="Times New Roman"/>
                <w:sz w:val="24"/>
              </w:rPr>
            </w:pPr>
            <w:r>
              <w:rPr>
                <w:rFonts w:ascii="Times New Roman" w:hAnsi="Times New Roman"/>
                <w:sz w:val="24"/>
              </w:rPr>
              <w:t>Pro zjednodušený přístup SA-CCR se použijí ustanovení čl. 281 odst. 2 nařízení (EU) č. 575/2013.</w:t>
            </w:r>
          </w:p>
        </w:tc>
      </w:tr>
      <w:tr w:rsidR="00EF74C7" w:rsidRPr="002A677E" w14:paraId="21933761" w14:textId="77777777" w:rsidTr="00822842">
        <w:trPr>
          <w:trHeight w:val="680"/>
        </w:trPr>
        <w:tc>
          <w:tcPr>
            <w:tcW w:w="1384" w:type="dxa"/>
          </w:tcPr>
          <w:p w14:paraId="2F5A9704" w14:textId="77777777" w:rsidR="00EF74C7" w:rsidRPr="002A677E" w:rsidRDefault="00EF74C7" w:rsidP="00822842">
            <w:pPr>
              <w:pStyle w:val="Applicationdirecte"/>
              <w:spacing w:before="0" w:after="0"/>
            </w:pPr>
            <w:r>
              <w:t>0020–0040</w:t>
            </w:r>
          </w:p>
        </w:tc>
        <w:tc>
          <w:tcPr>
            <w:tcW w:w="7655" w:type="dxa"/>
          </w:tcPr>
          <w:p w14:paraId="4160411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Z toho přiřazeno k více než jedné kategorii rizik</w:t>
            </w:r>
          </w:p>
          <w:p w14:paraId="24AE7BAE" w14:textId="77777777" w:rsidR="00EF74C7" w:rsidRPr="002A677E" w:rsidRDefault="00EF74C7" w:rsidP="00822842">
            <w:pPr>
              <w:keepNext/>
              <w:spacing w:before="60"/>
              <w:rPr>
                <w:rFonts w:ascii="Times New Roman" w:hAnsi="Times New Roman"/>
                <w:sz w:val="24"/>
              </w:rPr>
            </w:pPr>
            <w:r>
              <w:rPr>
                <w:rFonts w:ascii="Times New Roman" w:hAnsi="Times New Roman"/>
                <w:sz w:val="24"/>
              </w:rPr>
              <w:t>Ustanovení čl. 277 odst. 3 nařízení (EU) č. 575/2013</w:t>
            </w:r>
          </w:p>
          <w:p w14:paraId="54CB9801" w14:textId="77777777" w:rsidR="00EF74C7" w:rsidRPr="002A677E" w:rsidRDefault="00EF74C7" w:rsidP="00822842">
            <w:pPr>
              <w:pStyle w:val="TableMainHeading"/>
              <w:spacing w:before="60"/>
              <w:jc w:val="both"/>
              <w:rPr>
                <w:rFonts w:ascii="Times New Roman" w:hAnsi="Times New Roman"/>
                <w:i/>
                <w:sz w:val="24"/>
                <w:szCs w:val="24"/>
              </w:rPr>
            </w:pPr>
            <w:r>
              <w:rPr>
                <w:rFonts w:ascii="Times New Roman" w:hAnsi="Times New Roman"/>
                <w:sz w:val="24"/>
              </w:rPr>
              <w:t>Derivátové transakce s více než jedním významným rizikovým faktorem přiřazeným ke dvěma (0020), třem (0030) nebo více než třem (0040) kategoriím rizika na základě nejvýznamnějších rizikových faktorů v každé kategorii rizika v souladu s čl. 277 odst. 3 nařízení (EU) č. 575/2013 a regulačními technickými normami orgánu EBA uvedenými v čl. 277 odst. 5 zmíněného nařízení.</w:t>
            </w:r>
          </w:p>
        </w:tc>
      </w:tr>
      <w:tr w:rsidR="00EF74C7" w:rsidRPr="002A677E" w14:paraId="5AE04D2C" w14:textId="77777777" w:rsidTr="00822842">
        <w:trPr>
          <w:trHeight w:val="680"/>
        </w:trPr>
        <w:tc>
          <w:tcPr>
            <w:tcW w:w="1384" w:type="dxa"/>
          </w:tcPr>
          <w:p w14:paraId="27C055FD" w14:textId="77777777" w:rsidR="00EF74C7" w:rsidRPr="002A677E" w:rsidRDefault="00EF74C7" w:rsidP="00822842">
            <w:pPr>
              <w:pStyle w:val="Applicationdirecte"/>
              <w:spacing w:before="0" w:after="0"/>
              <w:jc w:val="left"/>
            </w:pPr>
            <w:r>
              <w:t>0070–0110 a 0140–0180</w:t>
            </w:r>
          </w:p>
        </w:tc>
        <w:tc>
          <w:tcPr>
            <w:tcW w:w="7655" w:type="dxa"/>
          </w:tcPr>
          <w:p w14:paraId="18AF84E8" w14:textId="77777777" w:rsidR="00EF74C7" w:rsidRPr="002A677E" w:rsidRDefault="00EF74C7" w:rsidP="00822842">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Nejpoužívanější měna a měnový pár</w:t>
            </w:r>
          </w:p>
          <w:p w14:paraId="208A8263" w14:textId="77777777" w:rsidR="00EF74C7" w:rsidRPr="002A677E" w:rsidRDefault="00EF74C7" w:rsidP="00822842">
            <w:pPr>
              <w:rPr>
                <w:rFonts w:ascii="Times New Roman" w:hAnsi="Times New Roman"/>
                <w:sz w:val="24"/>
              </w:rPr>
            </w:pPr>
            <w:r>
              <w:rPr>
                <w:rFonts w:ascii="Times New Roman" w:hAnsi="Times New Roman"/>
                <w:sz w:val="24"/>
              </w:rPr>
              <w:t xml:space="preserve">Tato klasifikace se provádí na základě CMV portfolia instituce v rámci přístupu SA-CCR nebo případně zjednodušeného přístupu SA-CCR pro transakce přiřazené k úrokovému riziku a kategorii měnového rizika. </w:t>
            </w:r>
          </w:p>
          <w:p w14:paraId="7CB8DC17" w14:textId="77777777" w:rsidR="00EF74C7" w:rsidRPr="002A677E" w:rsidRDefault="00EF74C7" w:rsidP="00822842">
            <w:pPr>
              <w:rPr>
                <w:rFonts w:ascii="Times New Roman" w:hAnsi="Times New Roman"/>
                <w:i/>
                <w:sz w:val="24"/>
              </w:rPr>
            </w:pPr>
            <w:r>
              <w:rPr>
                <w:rFonts w:ascii="Times New Roman" w:hAnsi="Times New Roman"/>
                <w:sz w:val="24"/>
              </w:rPr>
              <w:t>Pro účely klasifikace se sečte absolutní hodnota CMV pozic.</w:t>
            </w:r>
          </w:p>
        </w:tc>
      </w:tr>
      <w:tr w:rsidR="00EF74C7" w:rsidRPr="002A677E" w14:paraId="2A739349" w14:textId="77777777" w:rsidTr="00822842">
        <w:trPr>
          <w:trHeight w:val="2279"/>
        </w:trPr>
        <w:tc>
          <w:tcPr>
            <w:tcW w:w="1384" w:type="dxa"/>
          </w:tcPr>
          <w:p w14:paraId="69FD83B3" w14:textId="77777777" w:rsidR="00EF74C7" w:rsidRPr="002A677E" w:rsidRDefault="00EF74C7" w:rsidP="00822842">
            <w:pPr>
              <w:pStyle w:val="Applicationdirecte"/>
              <w:spacing w:before="0" w:after="0"/>
            </w:pPr>
            <w:r>
              <w:t>0060,0130, 0200,0240, 0280</w:t>
            </w:r>
          </w:p>
        </w:tc>
        <w:tc>
          <w:tcPr>
            <w:tcW w:w="7655" w:type="dxa"/>
          </w:tcPr>
          <w:p w14:paraId="3DB2476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Transakce přiřazené výhradně k jedné kategorii rizika</w:t>
            </w:r>
          </w:p>
          <w:p w14:paraId="7B69873D" w14:textId="77777777" w:rsidR="00EF74C7" w:rsidRPr="002A677E" w:rsidRDefault="00EF74C7" w:rsidP="00822842">
            <w:pPr>
              <w:keepNext/>
              <w:spacing w:before="60"/>
              <w:rPr>
                <w:rFonts w:ascii="Times New Roman" w:hAnsi="Times New Roman"/>
                <w:sz w:val="24"/>
              </w:rPr>
            </w:pPr>
            <w:r>
              <w:rPr>
                <w:rFonts w:ascii="Times New Roman" w:hAnsi="Times New Roman"/>
                <w:sz w:val="24"/>
              </w:rPr>
              <w:t>Ustanovení čl. 277 odst. 1 a 2 nařízení (EU) č. 575/2013</w:t>
            </w:r>
          </w:p>
          <w:p w14:paraId="1A762D0B"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Derivátové transakce přiřazené výhradně k jedné kategorii rizika v souladu s čl. 277 odst. 1 a 2 nařízení (EU) č. 575/2013. </w:t>
            </w:r>
          </w:p>
          <w:p w14:paraId="42AAB877"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Transakce, které jsou přiřazeny k různým kategoriím rizika v souladu s čl. 277 odst. 3 nařízení (EU) č. 575/2013, jsou vyloučeny.</w:t>
            </w:r>
          </w:p>
        </w:tc>
      </w:tr>
      <w:tr w:rsidR="00EF74C7" w:rsidRPr="002A677E" w14:paraId="17A6F38B" w14:textId="77777777" w:rsidTr="00822842">
        <w:trPr>
          <w:trHeight w:val="680"/>
        </w:trPr>
        <w:tc>
          <w:tcPr>
            <w:tcW w:w="1384" w:type="dxa"/>
          </w:tcPr>
          <w:p w14:paraId="2EE61A22" w14:textId="77777777" w:rsidR="00EF74C7" w:rsidRPr="002A677E" w:rsidRDefault="00EF74C7" w:rsidP="00822842">
            <w:pPr>
              <w:pStyle w:val="Applicationdirecte"/>
              <w:spacing w:before="0" w:after="0"/>
            </w:pPr>
            <w:r>
              <w:t xml:space="preserve">0210, 0250 </w:t>
            </w:r>
          </w:p>
        </w:tc>
        <w:tc>
          <w:tcPr>
            <w:tcW w:w="7655" w:type="dxa"/>
          </w:tcPr>
          <w:p w14:paraId="4C85502F" w14:textId="77777777" w:rsidR="00EF74C7" w:rsidRPr="00624117" w:rsidRDefault="00EF74C7" w:rsidP="00822842">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Transakce na jedno jméno </w:t>
            </w:r>
          </w:p>
          <w:p w14:paraId="31620001" w14:textId="77777777" w:rsidR="00EF74C7" w:rsidRPr="002A677E" w:rsidRDefault="00EF74C7" w:rsidP="00822842">
            <w:pPr>
              <w:pStyle w:val="TableMainHeading"/>
              <w:spacing w:before="60"/>
              <w:jc w:val="both"/>
              <w:rPr>
                <w:rStyle w:val="InstructionsTabelleberschrift"/>
                <w:rFonts w:ascii="Times New Roman" w:hAnsi="Times New Roman"/>
                <w:sz w:val="24"/>
              </w:rPr>
            </w:pPr>
            <w:r>
              <w:rPr>
                <w:rFonts w:ascii="Times New Roman" w:hAnsi="Times New Roman"/>
                <w:sz w:val="24"/>
              </w:rPr>
              <w:t>Transakce na jedno jméno, které jsou přiřazeny ke kategorii úvěrového rizika a akciového rizika</w:t>
            </w:r>
            <w:r>
              <w:rPr>
                <w:rStyle w:val="InstructionsTabelleberschrift"/>
                <w:rFonts w:ascii="Times New Roman" w:hAnsi="Times New Roman"/>
                <w:sz w:val="24"/>
              </w:rPr>
              <w:t xml:space="preserve"> </w:t>
            </w:r>
          </w:p>
        </w:tc>
      </w:tr>
      <w:tr w:rsidR="00EF74C7" w:rsidRPr="002A677E" w14:paraId="411237CA" w14:textId="77777777" w:rsidTr="00822842">
        <w:trPr>
          <w:trHeight w:val="680"/>
        </w:trPr>
        <w:tc>
          <w:tcPr>
            <w:tcW w:w="1384" w:type="dxa"/>
          </w:tcPr>
          <w:p w14:paraId="7AD9D26A" w14:textId="77777777" w:rsidR="00EF74C7" w:rsidRPr="002A677E" w:rsidRDefault="00EF74C7" w:rsidP="00822842">
            <w:pPr>
              <w:pStyle w:val="Applicationdirecte"/>
              <w:spacing w:before="0" w:after="0"/>
            </w:pPr>
            <w:r>
              <w:t>0220, 0260</w:t>
            </w:r>
          </w:p>
        </w:tc>
        <w:tc>
          <w:tcPr>
            <w:tcW w:w="7655" w:type="dxa"/>
          </w:tcPr>
          <w:p w14:paraId="116A322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Transakce na více jmen</w:t>
            </w:r>
          </w:p>
          <w:p w14:paraId="3213EA59"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 xml:space="preserve">Transakce na více jmen, které jsou přiřazeny ke kategorii úvěrového rizika a akciového rizika </w:t>
            </w:r>
          </w:p>
        </w:tc>
      </w:tr>
      <w:tr w:rsidR="00EF74C7" w:rsidRPr="002A677E" w14:paraId="7EFE115E" w14:textId="77777777" w:rsidTr="00822842">
        <w:trPr>
          <w:trHeight w:val="680"/>
        </w:trPr>
        <w:tc>
          <w:tcPr>
            <w:tcW w:w="1384" w:type="dxa"/>
          </w:tcPr>
          <w:p w14:paraId="72F329F4" w14:textId="77777777" w:rsidR="00EF74C7" w:rsidRPr="002A677E" w:rsidRDefault="00EF74C7" w:rsidP="00822842">
            <w:pPr>
              <w:pStyle w:val="Applicationdirecte"/>
              <w:spacing w:before="0" w:after="0"/>
            </w:pPr>
            <w:r>
              <w:lastRenderedPageBreak/>
              <w:t>0290–0330</w:t>
            </w:r>
          </w:p>
        </w:tc>
        <w:tc>
          <w:tcPr>
            <w:tcW w:w="7655" w:type="dxa"/>
          </w:tcPr>
          <w:p w14:paraId="759D733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Skupiny zajistitelných transakcí kategorie komoditního rizika</w:t>
            </w:r>
          </w:p>
          <w:p w14:paraId="345A15AB" w14:textId="77777777" w:rsidR="00EF74C7" w:rsidRPr="002A677E" w:rsidRDefault="00EF74C7" w:rsidP="00822842">
            <w:pPr>
              <w:keepNext/>
              <w:spacing w:before="60"/>
              <w:rPr>
                <w:rFonts w:ascii="Times New Roman" w:hAnsi="Times New Roman"/>
                <w:sz w:val="24"/>
              </w:rPr>
            </w:pPr>
            <w:r>
              <w:rPr>
                <w:rFonts w:ascii="Times New Roman" w:hAnsi="Times New Roman"/>
                <w:sz w:val="24"/>
              </w:rPr>
              <w:t>Derivátové transakce zařazené do skupin zajistitelných transakcí kategorie komoditního rizika uvedených v čl. 277a odst. 1 písm. e) nařízení (EU) č. 575/2013.</w:t>
            </w:r>
          </w:p>
        </w:tc>
      </w:tr>
    </w:tbl>
    <w:p w14:paraId="73ED3197" w14:textId="77777777" w:rsidR="00EF74C7" w:rsidRPr="002A677E" w:rsidRDefault="00EF74C7" w:rsidP="00EF74C7">
      <w:pPr>
        <w:tabs>
          <w:tab w:val="left" w:pos="1430"/>
        </w:tabs>
        <w:rPr>
          <w:rFonts w:ascii="Times New Roman" w:hAnsi="Times New Roman"/>
        </w:rPr>
      </w:pPr>
    </w:p>
    <w:p w14:paraId="6D94642A"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34" w:name="_Toc19715812"/>
      <w:bookmarkStart w:id="35" w:name="_Toc151714452"/>
      <w:r>
        <w:rPr>
          <w:rFonts w:ascii="Times New Roman" w:hAnsi="Times New Roman"/>
          <w:sz w:val="24"/>
        </w:rPr>
        <w:t>C 34.04 – Expozice s CCR, s nimiž se zachází metodou původní expozice (OEM)</w:t>
      </w:r>
      <w:bookmarkEnd w:id="34"/>
      <w:bookmarkEnd w:id="35"/>
    </w:p>
    <w:p w14:paraId="70D39844"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36" w:name="_Toc19715813"/>
      <w:bookmarkStart w:id="37" w:name="_Toc151714453"/>
      <w:r>
        <w:rPr>
          <w:rFonts w:ascii="Times New Roman" w:hAnsi="Times New Roman"/>
          <w:sz w:val="24"/>
        </w:rPr>
        <w:t>Pokyny pro konkrétní pozice</w:t>
      </w:r>
      <w:bookmarkEnd w:id="36"/>
      <w:bookmarkEnd w:id="3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55C08F8" w14:textId="77777777" w:rsidTr="00822842">
        <w:trPr>
          <w:trHeight w:val="238"/>
        </w:trPr>
        <w:tc>
          <w:tcPr>
            <w:tcW w:w="9039" w:type="dxa"/>
            <w:gridSpan w:val="2"/>
            <w:shd w:val="clear" w:color="auto" w:fill="D9D9D9" w:themeFill="background1" w:themeFillShade="D9"/>
          </w:tcPr>
          <w:p w14:paraId="00855009"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Sloupce</w:t>
            </w:r>
          </w:p>
        </w:tc>
      </w:tr>
      <w:tr w:rsidR="00EF74C7" w:rsidRPr="002A677E" w14:paraId="77E289F2" w14:textId="77777777" w:rsidTr="00822842">
        <w:trPr>
          <w:trHeight w:val="680"/>
        </w:trPr>
        <w:tc>
          <w:tcPr>
            <w:tcW w:w="1384" w:type="dxa"/>
          </w:tcPr>
          <w:p w14:paraId="06D0BF35" w14:textId="77777777" w:rsidR="00EF74C7" w:rsidRPr="002A677E" w:rsidRDefault="00EF74C7" w:rsidP="00822842">
            <w:pPr>
              <w:pStyle w:val="Applicationdirecte"/>
              <w:spacing w:before="0" w:after="0"/>
            </w:pPr>
            <w:r>
              <w:t>0010–0020</w:t>
            </w:r>
          </w:p>
        </w:tc>
        <w:tc>
          <w:tcPr>
            <w:tcW w:w="7655" w:type="dxa"/>
            <w:vAlign w:val="center"/>
          </w:tcPr>
          <w:p w14:paraId="1143FA35" w14:textId="77777777" w:rsidR="00EF74C7" w:rsidRPr="002A677E" w:rsidRDefault="00EF74C7" w:rsidP="00822842">
            <w:pPr>
              <w:keepNext/>
              <w:spacing w:before="60"/>
              <w:rPr>
                <w:rFonts w:ascii="Times New Roman" w:hAnsi="Times New Roman"/>
                <w:sz w:val="24"/>
              </w:rPr>
            </w:pPr>
            <w:r>
              <w:rPr>
                <w:rFonts w:ascii="Times New Roman" w:hAnsi="Times New Roman"/>
                <w:sz w:val="24"/>
              </w:rPr>
              <w:t>Pokyny ke sloupcům 0010 a 0020 jsou shodné s pokyny pro šablonu C 34.02.</w:t>
            </w:r>
          </w:p>
        </w:tc>
      </w:tr>
      <w:tr w:rsidR="00EF74C7" w:rsidRPr="002A677E" w14:paraId="246DE35A" w14:textId="77777777" w:rsidTr="00822842">
        <w:trPr>
          <w:trHeight w:val="680"/>
        </w:trPr>
        <w:tc>
          <w:tcPr>
            <w:tcW w:w="1384" w:type="dxa"/>
          </w:tcPr>
          <w:p w14:paraId="48D3046F" w14:textId="77777777" w:rsidR="00EF74C7" w:rsidRPr="002A677E" w:rsidRDefault="00EF74C7" w:rsidP="00822842">
            <w:pPr>
              <w:pStyle w:val="Applicationdirecte"/>
              <w:spacing w:before="0" w:after="0"/>
              <w:jc w:val="left"/>
            </w:pPr>
            <w:r>
              <w:t>0030</w:t>
            </w:r>
          </w:p>
        </w:tc>
        <w:tc>
          <w:tcPr>
            <w:tcW w:w="7655" w:type="dxa"/>
            <w:vAlign w:val="center"/>
          </w:tcPr>
          <w:p w14:paraId="625DEDC4"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SOUČASNÁ TRŽNÍ HODNOTA (CMV), KLADNÁ</w:t>
            </w:r>
          </w:p>
          <w:p w14:paraId="48775111" w14:textId="77777777" w:rsidR="00EF74C7" w:rsidRPr="002A677E" w:rsidRDefault="00EF74C7" w:rsidP="00822842">
            <w:pPr>
              <w:keepNext/>
              <w:spacing w:before="60"/>
              <w:rPr>
                <w:rFonts w:ascii="Times New Roman" w:hAnsi="Times New Roman"/>
                <w:sz w:val="24"/>
              </w:rPr>
            </w:pPr>
            <w:r>
              <w:rPr>
                <w:rFonts w:ascii="Times New Roman" w:hAnsi="Times New Roman"/>
                <w:sz w:val="24"/>
              </w:rPr>
              <w:t>Součet současných tržních hodnot (CMV) všech transakcí s kladnou CMV v příslušné kategorii rizika</w:t>
            </w:r>
          </w:p>
        </w:tc>
      </w:tr>
      <w:tr w:rsidR="00EF74C7" w:rsidRPr="002A677E" w14:paraId="755B978D" w14:textId="77777777" w:rsidTr="00822842">
        <w:trPr>
          <w:trHeight w:val="680"/>
        </w:trPr>
        <w:tc>
          <w:tcPr>
            <w:tcW w:w="1384" w:type="dxa"/>
          </w:tcPr>
          <w:p w14:paraId="26B7B5EF" w14:textId="77777777" w:rsidR="00EF74C7" w:rsidRPr="002A677E" w:rsidRDefault="00EF74C7" w:rsidP="00822842">
            <w:pPr>
              <w:pStyle w:val="Applicationdirecte"/>
              <w:spacing w:before="0" w:after="0"/>
              <w:jc w:val="left"/>
            </w:pPr>
            <w:r>
              <w:t>0040</w:t>
            </w:r>
          </w:p>
        </w:tc>
        <w:tc>
          <w:tcPr>
            <w:tcW w:w="7655" w:type="dxa"/>
            <w:vAlign w:val="center"/>
          </w:tcPr>
          <w:p w14:paraId="70CB5B2D"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SOUČASNÁ TRŽNÍ HODNOTA (CMV), ZÁPORNÁ</w:t>
            </w:r>
          </w:p>
          <w:p w14:paraId="4475C6E2" w14:textId="77777777" w:rsidR="00EF74C7" w:rsidRPr="002A677E" w:rsidRDefault="00EF74C7" w:rsidP="00822842">
            <w:pPr>
              <w:keepNext/>
              <w:spacing w:before="60"/>
              <w:rPr>
                <w:rStyle w:val="InstructionsTabelleberschrift"/>
                <w:rFonts w:ascii="Times New Roman" w:hAnsi="Times New Roman"/>
                <w:b w:val="0"/>
                <w:bCs w:val="0"/>
                <w:sz w:val="24"/>
                <w:u w:val="none"/>
              </w:rPr>
            </w:pPr>
            <w:r>
              <w:rPr>
                <w:rFonts w:ascii="Times New Roman" w:hAnsi="Times New Roman"/>
                <w:sz w:val="24"/>
              </w:rPr>
              <w:t>Součet absolutních současných tržních hodnot (CMV) všech transakcí se zápornou CMV v příslušné kategorii rizika</w:t>
            </w:r>
          </w:p>
        </w:tc>
      </w:tr>
      <w:tr w:rsidR="00EF74C7" w:rsidRPr="002A677E" w14:paraId="02760C8A" w14:textId="77777777" w:rsidTr="00822842">
        <w:trPr>
          <w:trHeight w:val="680"/>
        </w:trPr>
        <w:tc>
          <w:tcPr>
            <w:tcW w:w="1384" w:type="dxa"/>
          </w:tcPr>
          <w:p w14:paraId="55D1F90D" w14:textId="77777777" w:rsidR="00EF74C7" w:rsidRPr="002A677E" w:rsidRDefault="00EF74C7" w:rsidP="00822842">
            <w:pPr>
              <w:pStyle w:val="Applicationdirecte"/>
              <w:spacing w:before="0" w:after="0"/>
              <w:jc w:val="left"/>
            </w:pPr>
            <w:r>
              <w:t>0050</w:t>
            </w:r>
          </w:p>
        </w:tc>
        <w:tc>
          <w:tcPr>
            <w:tcW w:w="7655" w:type="dxa"/>
            <w:vAlign w:val="center"/>
          </w:tcPr>
          <w:p w14:paraId="734C593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POTENCIÁLNÍ BUDOUCÍ EXPOZICE (PFE)</w:t>
            </w:r>
          </w:p>
          <w:p w14:paraId="53085A1E"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Instituce vykazuje součet PFE za všechny transakce, které patří do stejné kategorie rizika.</w:t>
            </w:r>
          </w:p>
        </w:tc>
      </w:tr>
      <w:tr w:rsidR="00EF74C7" w:rsidRPr="002A677E" w14:paraId="750D71A5" w14:textId="77777777" w:rsidTr="00822842">
        <w:trPr>
          <w:trHeight w:val="238"/>
        </w:trPr>
        <w:tc>
          <w:tcPr>
            <w:tcW w:w="9039" w:type="dxa"/>
            <w:gridSpan w:val="2"/>
            <w:tcBorders>
              <w:right w:val="single" w:sz="4" w:space="0" w:color="auto"/>
            </w:tcBorders>
            <w:shd w:val="clear" w:color="auto" w:fill="D9D9D9" w:themeFill="background1" w:themeFillShade="D9"/>
          </w:tcPr>
          <w:p w14:paraId="05CBC33B"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Řádky</w:t>
            </w:r>
          </w:p>
        </w:tc>
      </w:tr>
      <w:tr w:rsidR="00EF74C7" w:rsidRPr="002A677E" w14:paraId="753D4ED0" w14:textId="77777777" w:rsidTr="00822842">
        <w:trPr>
          <w:trHeight w:val="680"/>
        </w:trPr>
        <w:tc>
          <w:tcPr>
            <w:tcW w:w="1384" w:type="dxa"/>
          </w:tcPr>
          <w:p w14:paraId="1FCDB527" w14:textId="77777777" w:rsidR="00EF74C7" w:rsidRPr="002A677E" w:rsidRDefault="00EF74C7" w:rsidP="00822842">
            <w:pPr>
              <w:pStyle w:val="Applicationdirecte"/>
              <w:spacing w:before="0" w:after="0"/>
            </w:pPr>
            <w:r>
              <w:t>0020–0070</w:t>
            </w:r>
          </w:p>
        </w:tc>
        <w:tc>
          <w:tcPr>
            <w:tcW w:w="7655" w:type="dxa"/>
            <w:vAlign w:val="center"/>
          </w:tcPr>
          <w:p w14:paraId="31AB6B3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KATEGORIE RIZIKA</w:t>
            </w:r>
          </w:p>
          <w:p w14:paraId="183CF2DA" w14:textId="77777777" w:rsidR="00EF74C7" w:rsidRPr="002A677E" w:rsidRDefault="00EF74C7" w:rsidP="00822842">
            <w:pPr>
              <w:keepNext/>
              <w:spacing w:before="60"/>
              <w:rPr>
                <w:rFonts w:ascii="Times New Roman" w:hAnsi="Times New Roman"/>
                <w:sz w:val="24"/>
              </w:rPr>
            </w:pPr>
            <w:r>
              <w:rPr>
                <w:rFonts w:ascii="Times New Roman" w:hAnsi="Times New Roman"/>
                <w:sz w:val="24"/>
              </w:rPr>
              <w:t>Derivátové transakce přiřazené ke kategoriím rizika uvedeným v čl. 282 odst. 4 písm. b) nařízení (EU) č. 575/2013</w:t>
            </w:r>
          </w:p>
        </w:tc>
      </w:tr>
    </w:tbl>
    <w:p w14:paraId="4C05758D" w14:textId="77777777" w:rsidR="00EF74C7" w:rsidRPr="002A677E" w:rsidRDefault="00EF74C7" w:rsidP="00EF74C7">
      <w:pPr>
        <w:tabs>
          <w:tab w:val="left" w:pos="1430"/>
        </w:tabs>
        <w:rPr>
          <w:rFonts w:ascii="Times New Roman" w:hAnsi="Times New Roman"/>
        </w:rPr>
      </w:pPr>
    </w:p>
    <w:p w14:paraId="087B82F5"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38" w:name="_Toc19715814"/>
      <w:bookmarkStart w:id="39" w:name="_Toc151714454"/>
      <w:r>
        <w:rPr>
          <w:rFonts w:ascii="Times New Roman" w:hAnsi="Times New Roman"/>
          <w:sz w:val="24"/>
        </w:rPr>
        <w:t>C 34.05 – Expozice s CCR, s nimiž se zachází metodou interního modelu</w:t>
      </w:r>
      <w:bookmarkEnd w:id="38"/>
      <w:bookmarkEnd w:id="39"/>
    </w:p>
    <w:p w14:paraId="055BB797"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40" w:name="_Toc19715815"/>
      <w:bookmarkStart w:id="41" w:name="_Toc151714455"/>
      <w:r>
        <w:rPr>
          <w:rFonts w:ascii="Times New Roman" w:hAnsi="Times New Roman"/>
          <w:sz w:val="24"/>
        </w:rPr>
        <w:t>Pokyny pro konkrétní pozice</w:t>
      </w:r>
      <w:bookmarkEnd w:id="40"/>
      <w:bookmarkEnd w:id="4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A1FFA92" w14:textId="77777777" w:rsidTr="00822842">
        <w:trPr>
          <w:trHeight w:val="238"/>
        </w:trPr>
        <w:tc>
          <w:tcPr>
            <w:tcW w:w="9039" w:type="dxa"/>
            <w:gridSpan w:val="2"/>
            <w:shd w:val="clear" w:color="auto" w:fill="D9D9D9" w:themeFill="background1" w:themeFillShade="D9"/>
          </w:tcPr>
          <w:p w14:paraId="2A9ED361"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Sloupce</w:t>
            </w:r>
          </w:p>
        </w:tc>
      </w:tr>
      <w:tr w:rsidR="00EF74C7" w:rsidRPr="002A677E" w14:paraId="38FC6FA5" w14:textId="77777777" w:rsidTr="00822842">
        <w:trPr>
          <w:trHeight w:val="680"/>
        </w:trPr>
        <w:tc>
          <w:tcPr>
            <w:tcW w:w="1384" w:type="dxa"/>
          </w:tcPr>
          <w:p w14:paraId="27DC6DB6" w14:textId="77777777" w:rsidR="00EF74C7" w:rsidRPr="002A677E" w:rsidRDefault="00EF74C7" w:rsidP="00822842">
            <w:pPr>
              <w:pStyle w:val="Applicationdirecte"/>
              <w:spacing w:before="0" w:after="0"/>
            </w:pPr>
            <w:r>
              <w:t>00010–0080</w:t>
            </w:r>
          </w:p>
        </w:tc>
        <w:tc>
          <w:tcPr>
            <w:tcW w:w="7655" w:type="dxa"/>
            <w:vAlign w:val="center"/>
          </w:tcPr>
          <w:p w14:paraId="4E699B36" w14:textId="77777777" w:rsidR="00EF74C7" w:rsidRPr="002A677E" w:rsidRDefault="00EF74C7" w:rsidP="00822842">
            <w:pPr>
              <w:keepNext/>
              <w:spacing w:before="60"/>
              <w:rPr>
                <w:rFonts w:ascii="Times New Roman" w:hAnsi="Times New Roman"/>
                <w:strike/>
                <w:sz w:val="24"/>
              </w:rPr>
            </w:pPr>
            <w:r>
              <w:rPr>
                <w:rStyle w:val="InstructionsTabelleberschrift"/>
                <w:rFonts w:ascii="Times New Roman" w:hAnsi="Times New Roman"/>
                <w:sz w:val="24"/>
              </w:rPr>
              <w:t xml:space="preserve">MARŽOVÉ </w:t>
            </w:r>
          </w:p>
          <w:p w14:paraId="44743405"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Viz pokyny k řádku 0130 v šabloně C 34.02.</w:t>
            </w:r>
          </w:p>
        </w:tc>
      </w:tr>
      <w:tr w:rsidR="00EF74C7" w:rsidRPr="002A677E" w14:paraId="2E882AEE" w14:textId="77777777" w:rsidTr="00822842">
        <w:trPr>
          <w:trHeight w:val="680"/>
        </w:trPr>
        <w:tc>
          <w:tcPr>
            <w:tcW w:w="1384" w:type="dxa"/>
          </w:tcPr>
          <w:p w14:paraId="4753DFE3" w14:textId="77777777" w:rsidR="00EF74C7" w:rsidRPr="002A677E" w:rsidRDefault="00EF74C7" w:rsidP="00822842">
            <w:pPr>
              <w:pStyle w:val="Applicationdirecte"/>
              <w:spacing w:before="0" w:after="0"/>
            </w:pPr>
            <w:r>
              <w:t>0090–0160</w:t>
            </w:r>
          </w:p>
        </w:tc>
        <w:tc>
          <w:tcPr>
            <w:tcW w:w="7655" w:type="dxa"/>
            <w:vAlign w:val="center"/>
          </w:tcPr>
          <w:p w14:paraId="77C0E439"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BEZ MARŽE </w:t>
            </w:r>
          </w:p>
          <w:p w14:paraId="3E0059F7"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Viz pokyny k řádku 0140 v šabloně C 34.02.</w:t>
            </w:r>
          </w:p>
        </w:tc>
      </w:tr>
      <w:tr w:rsidR="00EF74C7" w:rsidRPr="002A677E" w14:paraId="11088642" w14:textId="77777777" w:rsidTr="00822842">
        <w:trPr>
          <w:trHeight w:val="680"/>
        </w:trPr>
        <w:tc>
          <w:tcPr>
            <w:tcW w:w="1384" w:type="dxa"/>
          </w:tcPr>
          <w:p w14:paraId="38E3A9E7" w14:textId="77777777" w:rsidR="00EF74C7" w:rsidRPr="002A677E" w:rsidRDefault="00EF74C7" w:rsidP="00822842">
            <w:pPr>
              <w:pStyle w:val="Applicationdirecte"/>
              <w:spacing w:before="0" w:after="0"/>
              <w:jc w:val="left"/>
            </w:pPr>
            <w:r>
              <w:lastRenderedPageBreak/>
              <w:t>0010,0090</w:t>
            </w:r>
          </w:p>
        </w:tc>
        <w:tc>
          <w:tcPr>
            <w:tcW w:w="7655" w:type="dxa"/>
            <w:vAlign w:val="center"/>
          </w:tcPr>
          <w:p w14:paraId="10F9DAAA"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POČET TRANSAKCÍ </w:t>
            </w:r>
          </w:p>
          <w:p w14:paraId="5C4653C5"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Viz pokyny ke sloupci 0020 v šabloně C 34.02.</w:t>
            </w:r>
          </w:p>
        </w:tc>
      </w:tr>
      <w:tr w:rsidR="00EF74C7" w:rsidRPr="002A677E" w14:paraId="2A1C3305" w14:textId="77777777" w:rsidTr="00822842">
        <w:trPr>
          <w:trHeight w:val="680"/>
        </w:trPr>
        <w:tc>
          <w:tcPr>
            <w:tcW w:w="1384" w:type="dxa"/>
          </w:tcPr>
          <w:p w14:paraId="0F1355B7" w14:textId="77777777" w:rsidR="00EF74C7" w:rsidRPr="002A677E" w:rsidRDefault="00EF74C7" w:rsidP="00822842">
            <w:pPr>
              <w:pStyle w:val="Applicationdirecte"/>
              <w:spacing w:before="0" w:after="0"/>
              <w:jc w:val="left"/>
            </w:pPr>
            <w:r>
              <w:t>0020,0100</w:t>
            </w:r>
          </w:p>
        </w:tc>
        <w:tc>
          <w:tcPr>
            <w:tcW w:w="7655" w:type="dxa"/>
            <w:vAlign w:val="center"/>
          </w:tcPr>
          <w:p w14:paraId="73CC08BF"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POMYSLNÉ HODNOTY </w:t>
            </w:r>
          </w:p>
          <w:p w14:paraId="75787B39" w14:textId="77777777" w:rsidR="00EF74C7" w:rsidRPr="002A677E" w:rsidRDefault="00EF74C7" w:rsidP="00822842">
            <w:pPr>
              <w:keepNext/>
              <w:spacing w:before="60"/>
              <w:rPr>
                <w:rFonts w:ascii="Times New Roman" w:hAnsi="Times New Roman"/>
                <w:i/>
                <w:strike/>
                <w:sz w:val="24"/>
              </w:rPr>
            </w:pPr>
            <w:r>
              <w:rPr>
                <w:rFonts w:ascii="Times New Roman" w:hAnsi="Times New Roman"/>
                <w:sz w:val="24"/>
              </w:rPr>
              <w:t>Viz pokyny ke sloupci 0030 v šabloně C 34.02.</w:t>
            </w:r>
          </w:p>
        </w:tc>
      </w:tr>
      <w:tr w:rsidR="00EF74C7" w:rsidRPr="002A677E" w14:paraId="07CB3F2E" w14:textId="77777777" w:rsidTr="00822842">
        <w:trPr>
          <w:trHeight w:val="680"/>
        </w:trPr>
        <w:tc>
          <w:tcPr>
            <w:tcW w:w="1384" w:type="dxa"/>
          </w:tcPr>
          <w:p w14:paraId="16DDFD4B" w14:textId="77777777" w:rsidR="00EF74C7" w:rsidRPr="002A677E" w:rsidRDefault="00EF74C7" w:rsidP="00822842">
            <w:pPr>
              <w:pStyle w:val="Applicationdirecte"/>
              <w:spacing w:before="0" w:after="0"/>
              <w:jc w:val="left"/>
            </w:pPr>
            <w:r>
              <w:t>0030,0110</w:t>
            </w:r>
          </w:p>
        </w:tc>
        <w:tc>
          <w:tcPr>
            <w:tcW w:w="7655" w:type="dxa"/>
            <w:vAlign w:val="center"/>
          </w:tcPr>
          <w:p w14:paraId="5D4ADBBE"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SOUČASNÁ TRŽNÍ HODNOTA (CMV), KLADNÁ</w:t>
            </w:r>
          </w:p>
          <w:p w14:paraId="1BDCFC64" w14:textId="77777777" w:rsidR="00EF74C7" w:rsidRPr="002A677E" w:rsidRDefault="00EF74C7" w:rsidP="00822842">
            <w:pPr>
              <w:keepNext/>
              <w:spacing w:before="60"/>
              <w:rPr>
                <w:rFonts w:ascii="Times New Roman" w:hAnsi="Times New Roman"/>
                <w:sz w:val="24"/>
              </w:rPr>
            </w:pPr>
            <w:r>
              <w:rPr>
                <w:rFonts w:ascii="Times New Roman" w:hAnsi="Times New Roman"/>
                <w:sz w:val="24"/>
              </w:rPr>
              <w:t>Součet současných tržních hodnot (CMV) všech transakcí s kladnou CMV ze stejné třídy aktiv</w:t>
            </w:r>
          </w:p>
        </w:tc>
      </w:tr>
      <w:tr w:rsidR="00EF74C7" w:rsidRPr="002A677E" w14:paraId="1D55DF7C" w14:textId="77777777" w:rsidTr="00822842">
        <w:trPr>
          <w:trHeight w:val="680"/>
        </w:trPr>
        <w:tc>
          <w:tcPr>
            <w:tcW w:w="1384" w:type="dxa"/>
          </w:tcPr>
          <w:p w14:paraId="1B4379B1" w14:textId="77777777" w:rsidR="00EF74C7" w:rsidRPr="002A677E" w:rsidRDefault="00EF74C7" w:rsidP="00822842">
            <w:pPr>
              <w:pStyle w:val="Applicationdirecte"/>
              <w:spacing w:before="0" w:after="0"/>
              <w:jc w:val="left"/>
            </w:pPr>
            <w:r>
              <w:t>0040,0120</w:t>
            </w:r>
          </w:p>
        </w:tc>
        <w:tc>
          <w:tcPr>
            <w:tcW w:w="7655" w:type="dxa"/>
            <w:vAlign w:val="center"/>
          </w:tcPr>
          <w:p w14:paraId="06A034B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SOUČASNÁ TRŽNÍ HODNOTA (CMV), ZÁPORNÁ</w:t>
            </w:r>
          </w:p>
          <w:p w14:paraId="4B126FBF"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Součet absolutních současných tržních hodnot (CMV) všech transakcí se zápornou CMV ze stejné třídy aktiv</w:t>
            </w:r>
          </w:p>
        </w:tc>
      </w:tr>
      <w:tr w:rsidR="00EF74C7" w:rsidRPr="002A677E" w14:paraId="5443ACE2" w14:textId="77777777" w:rsidTr="00822842">
        <w:trPr>
          <w:trHeight w:val="680"/>
        </w:trPr>
        <w:tc>
          <w:tcPr>
            <w:tcW w:w="1384" w:type="dxa"/>
          </w:tcPr>
          <w:p w14:paraId="026B5D82" w14:textId="77777777" w:rsidR="00EF74C7" w:rsidRPr="002A677E" w:rsidRDefault="00EF74C7" w:rsidP="00822842">
            <w:pPr>
              <w:pStyle w:val="Applicationdirecte"/>
              <w:spacing w:before="0" w:after="0"/>
              <w:jc w:val="left"/>
            </w:pPr>
            <w:r>
              <w:t>0050,0130</w:t>
            </w:r>
          </w:p>
        </w:tc>
        <w:tc>
          <w:tcPr>
            <w:tcW w:w="7655" w:type="dxa"/>
            <w:vAlign w:val="center"/>
          </w:tcPr>
          <w:p w14:paraId="6BEF0650"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STÁVAJÍCÍ EXPOZICE</w:t>
            </w:r>
          </w:p>
          <w:p w14:paraId="4BD20CD9"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Viz pokyny ke sloupci 0120 v šabloně C 34.02.</w:t>
            </w:r>
          </w:p>
        </w:tc>
      </w:tr>
      <w:tr w:rsidR="00EF74C7" w:rsidRPr="002A677E" w14:paraId="33A01D3A" w14:textId="77777777" w:rsidTr="00822842">
        <w:trPr>
          <w:trHeight w:val="680"/>
        </w:trPr>
        <w:tc>
          <w:tcPr>
            <w:tcW w:w="1384" w:type="dxa"/>
          </w:tcPr>
          <w:p w14:paraId="434C41F4" w14:textId="77777777" w:rsidR="00EF74C7" w:rsidRPr="002A677E" w:rsidRDefault="00EF74C7" w:rsidP="00822842">
            <w:pPr>
              <w:pStyle w:val="Applicationdirecte"/>
              <w:spacing w:before="0" w:after="0"/>
              <w:jc w:val="left"/>
            </w:pPr>
            <w:r>
              <w:t>0060,0140</w:t>
            </w:r>
          </w:p>
        </w:tc>
        <w:tc>
          <w:tcPr>
            <w:tcW w:w="7655" w:type="dxa"/>
            <w:vAlign w:val="center"/>
          </w:tcPr>
          <w:p w14:paraId="5F8AFE09"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EFEKTIVNÍ OČEKÁVANÁ POZITIVNÍ EXPOZICE (EEPE)</w:t>
            </w:r>
          </w:p>
          <w:p w14:paraId="72409BA6" w14:textId="77777777" w:rsidR="00EF74C7" w:rsidRPr="002A677E" w:rsidRDefault="00EF74C7" w:rsidP="00822842">
            <w:pPr>
              <w:pStyle w:val="Default"/>
              <w:spacing w:after="120"/>
              <w:jc w:val="both"/>
              <w:rPr>
                <w:rFonts w:ascii="Times New Roman" w:hAnsi="Times New Roman" w:cs="Times New Roman"/>
                <w:strike/>
                <w:color w:val="auto"/>
              </w:rPr>
            </w:pPr>
            <w:r>
              <w:rPr>
                <w:rFonts w:ascii="Times New Roman" w:hAnsi="Times New Roman"/>
                <w:color w:val="auto"/>
              </w:rPr>
              <w:t>Viz pokyny ke sloupci 0130 v šabloně C 34.02.</w:t>
            </w:r>
          </w:p>
        </w:tc>
      </w:tr>
      <w:tr w:rsidR="00EF74C7" w:rsidRPr="002A677E" w14:paraId="1D10918D" w14:textId="77777777" w:rsidTr="00822842">
        <w:trPr>
          <w:trHeight w:val="680"/>
        </w:trPr>
        <w:tc>
          <w:tcPr>
            <w:tcW w:w="1384" w:type="dxa"/>
          </w:tcPr>
          <w:p w14:paraId="208DFF88" w14:textId="77777777" w:rsidR="00EF74C7" w:rsidRPr="002A677E" w:rsidRDefault="00EF74C7" w:rsidP="00822842">
            <w:pPr>
              <w:pStyle w:val="Applicationdirecte"/>
              <w:spacing w:before="0" w:after="0"/>
              <w:jc w:val="left"/>
            </w:pPr>
            <w:r>
              <w:t>0070,0150</w:t>
            </w:r>
          </w:p>
        </w:tc>
        <w:tc>
          <w:tcPr>
            <w:tcW w:w="7655" w:type="dxa"/>
            <w:vAlign w:val="center"/>
          </w:tcPr>
          <w:p w14:paraId="0290C67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ZÁTĚŽOVÁ EEPE</w:t>
            </w:r>
          </w:p>
          <w:p w14:paraId="071BB18F" w14:textId="77777777" w:rsidR="00EF74C7" w:rsidRPr="002A677E" w:rsidRDefault="00EF74C7" w:rsidP="00822842">
            <w:pPr>
              <w:keepNext/>
              <w:spacing w:before="60"/>
              <w:rPr>
                <w:rFonts w:ascii="Times New Roman" w:hAnsi="Times New Roman"/>
                <w:sz w:val="24"/>
              </w:rPr>
            </w:pPr>
            <w:r>
              <w:rPr>
                <w:rFonts w:ascii="Times New Roman" w:hAnsi="Times New Roman"/>
                <w:sz w:val="24"/>
              </w:rPr>
              <w:t>Ustanovení čl. 284 odst. 6 a čl. 292 odst. 2 nařízení (EU) č. 575/2013</w:t>
            </w:r>
          </w:p>
          <w:p w14:paraId="4C777000" w14:textId="77777777" w:rsidR="00EF74C7" w:rsidRPr="002A677E" w:rsidRDefault="00EF74C7" w:rsidP="00822842">
            <w:pPr>
              <w:keepNext/>
              <w:spacing w:before="60"/>
              <w:rPr>
                <w:rFonts w:ascii="Times New Roman" w:hAnsi="Times New Roman"/>
                <w:sz w:val="24"/>
              </w:rPr>
            </w:pPr>
            <w:r>
              <w:rPr>
                <w:rFonts w:ascii="Times New Roman" w:hAnsi="Times New Roman"/>
                <w:sz w:val="24"/>
              </w:rPr>
              <w:t>Zátěžová EEPE se vypočítá analogicky k EEPE (čl. 284 odst. 6 nařízení (EU) č. 575/2013), avšak za použití zátěžové kalibrace v souladu s čl. 292 odst. 2 nařízení (EU) č. 575/2013.</w:t>
            </w:r>
          </w:p>
        </w:tc>
      </w:tr>
      <w:tr w:rsidR="00EF74C7" w:rsidRPr="002A677E" w14:paraId="2950463C" w14:textId="77777777" w:rsidTr="00822842">
        <w:trPr>
          <w:trHeight w:val="680"/>
        </w:trPr>
        <w:tc>
          <w:tcPr>
            <w:tcW w:w="1384" w:type="dxa"/>
          </w:tcPr>
          <w:p w14:paraId="1FAC8572" w14:textId="77777777" w:rsidR="00EF74C7" w:rsidRPr="002A677E" w:rsidRDefault="00EF74C7" w:rsidP="00822842">
            <w:pPr>
              <w:pStyle w:val="Applicationdirecte"/>
              <w:spacing w:before="0" w:after="0"/>
              <w:jc w:val="left"/>
            </w:pPr>
            <w:r>
              <w:t>0080, 0160, 0170</w:t>
            </w:r>
          </w:p>
        </w:tc>
        <w:tc>
          <w:tcPr>
            <w:tcW w:w="7655" w:type="dxa"/>
            <w:vAlign w:val="center"/>
          </w:tcPr>
          <w:p w14:paraId="38883B3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HODNOTA EXPOZICE</w:t>
            </w:r>
          </w:p>
          <w:p w14:paraId="5D5537F3"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Viz pokyny ke sloupci 0170 v šabloně C 34.02.</w:t>
            </w:r>
          </w:p>
        </w:tc>
      </w:tr>
      <w:tr w:rsidR="00EF74C7" w:rsidRPr="00403B9F" w14:paraId="1DF28D0B" w14:textId="77777777" w:rsidTr="00822842">
        <w:trPr>
          <w:trHeight w:val="680"/>
        </w:trPr>
        <w:tc>
          <w:tcPr>
            <w:tcW w:w="9039" w:type="dxa"/>
            <w:gridSpan w:val="2"/>
            <w:tcBorders>
              <w:left w:val="nil"/>
              <w:right w:val="nil"/>
            </w:tcBorders>
          </w:tcPr>
          <w:p w14:paraId="07A3474A" w14:textId="77777777" w:rsidR="00EF74C7" w:rsidRPr="00D768D3" w:rsidDel="00291448" w:rsidRDefault="00EF74C7" w:rsidP="00822842">
            <w:pPr>
              <w:rPr>
                <w:rFonts w:ascii="Times New Roman" w:hAnsi="Times New Roman"/>
                <w:sz w:val="24"/>
              </w:rPr>
            </w:pPr>
          </w:p>
        </w:tc>
      </w:tr>
      <w:tr w:rsidR="00EF74C7" w:rsidRPr="002A677E" w14:paraId="6D57400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19AA72" w14:textId="77777777" w:rsidR="00EF74C7" w:rsidRPr="002A677E" w:rsidRDefault="00EF74C7" w:rsidP="00822842">
            <w:pPr>
              <w:pStyle w:val="Applicationdirecte"/>
              <w:spacing w:before="0"/>
              <w:jc w:val="left"/>
              <w:rPr>
                <w:b/>
              </w:rPr>
            </w:pPr>
            <w:r>
              <w:rPr>
                <w:b/>
              </w:rPr>
              <w:t xml:space="preserve">Řádek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CD43E" w14:textId="77777777" w:rsidR="00EF74C7" w:rsidRPr="002A677E" w:rsidRDefault="00EF74C7" w:rsidP="00822842">
            <w:pPr>
              <w:pStyle w:val="TableMainHeading"/>
              <w:spacing w:before="60"/>
              <w:rPr>
                <w:rFonts w:ascii="Times New Roman" w:hAnsi="Times New Roman"/>
                <w:b/>
                <w:sz w:val="24"/>
                <w:szCs w:val="24"/>
              </w:rPr>
            </w:pPr>
            <w:r>
              <w:rPr>
                <w:rFonts w:ascii="Times New Roman" w:hAnsi="Times New Roman"/>
                <w:b/>
                <w:sz w:val="24"/>
              </w:rPr>
              <w:t xml:space="preserve">Vysvětlení </w:t>
            </w:r>
          </w:p>
        </w:tc>
      </w:tr>
      <w:tr w:rsidR="00EF74C7" w:rsidRPr="002A677E" w14:paraId="09B9D5F2" w14:textId="77777777" w:rsidTr="00822842">
        <w:trPr>
          <w:trHeight w:val="426"/>
        </w:trPr>
        <w:tc>
          <w:tcPr>
            <w:tcW w:w="1384" w:type="dxa"/>
          </w:tcPr>
          <w:p w14:paraId="4740A097" w14:textId="77777777" w:rsidR="00EF74C7" w:rsidRPr="002A677E" w:rsidRDefault="00EF74C7" w:rsidP="00822842">
            <w:pPr>
              <w:pStyle w:val="Applicationdirecte"/>
              <w:spacing w:before="0" w:after="0"/>
            </w:pPr>
            <w:r>
              <w:t>0010</w:t>
            </w:r>
          </w:p>
        </w:tc>
        <w:tc>
          <w:tcPr>
            <w:tcW w:w="7655" w:type="dxa"/>
          </w:tcPr>
          <w:p w14:paraId="155D9C7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CELKEM </w:t>
            </w:r>
          </w:p>
          <w:p w14:paraId="43496D3B" w14:textId="77777777" w:rsidR="00EF74C7" w:rsidRPr="002A677E" w:rsidRDefault="00EF74C7" w:rsidP="00822842">
            <w:pPr>
              <w:keepNext/>
              <w:spacing w:before="60"/>
              <w:rPr>
                <w:sz w:val="24"/>
              </w:rPr>
            </w:pPr>
            <w:r>
              <w:rPr>
                <w:rFonts w:ascii="Times New Roman" w:hAnsi="Times New Roman"/>
                <w:sz w:val="24"/>
              </w:rPr>
              <w:t>Článek 283 nařízení (EU) č. 575/2013</w:t>
            </w:r>
          </w:p>
          <w:p w14:paraId="72F05A01" w14:textId="77777777" w:rsidR="00EF74C7" w:rsidRPr="002A677E" w:rsidRDefault="00EF74C7" w:rsidP="00822842">
            <w:pPr>
              <w:rPr>
                <w:sz w:val="24"/>
              </w:rPr>
            </w:pPr>
            <w:r>
              <w:rPr>
                <w:rFonts w:ascii="Times New Roman" w:hAnsi="Times New Roman"/>
                <w:sz w:val="24"/>
              </w:rPr>
              <w:t>Instituce podává příslušné informace týkající se derivátů, transakcí s delší dobou vypořádání a transakcí s financováním cenných papírů, u nichž jí bylo povoleno určit hodnotu expozice vypočítanou metodou interního modelu v souladu s článkem 283 nařízení (EU) č. 575/2013.</w:t>
            </w:r>
          </w:p>
        </w:tc>
      </w:tr>
      <w:tr w:rsidR="00EF74C7" w:rsidRPr="002A677E" w14:paraId="61D3022A" w14:textId="77777777" w:rsidTr="00822842">
        <w:trPr>
          <w:trHeight w:val="829"/>
        </w:trPr>
        <w:tc>
          <w:tcPr>
            <w:tcW w:w="1384" w:type="dxa"/>
          </w:tcPr>
          <w:p w14:paraId="395168E0" w14:textId="77777777" w:rsidR="00EF74C7" w:rsidRPr="002A677E" w:rsidRDefault="00EF74C7" w:rsidP="00822842">
            <w:pPr>
              <w:pStyle w:val="Applicationdirecte"/>
              <w:spacing w:before="0" w:after="0"/>
            </w:pPr>
            <w:r>
              <w:t>0020</w:t>
            </w:r>
          </w:p>
        </w:tc>
        <w:tc>
          <w:tcPr>
            <w:tcW w:w="7655" w:type="dxa"/>
          </w:tcPr>
          <w:p w14:paraId="0331298D"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Z toho: Pozice se specifickým rizikem pozitivní korelace</w:t>
            </w:r>
          </w:p>
          <w:p w14:paraId="1013C757" w14:textId="77777777" w:rsidR="00EF74C7" w:rsidRPr="002A677E" w:rsidRDefault="00EF74C7" w:rsidP="00822842">
            <w:pPr>
              <w:rPr>
                <w:rFonts w:ascii="Times New Roman" w:hAnsi="Times New Roman"/>
                <w:sz w:val="24"/>
              </w:rPr>
            </w:pPr>
            <w:r>
              <w:rPr>
                <w:rFonts w:ascii="Times New Roman" w:hAnsi="Times New Roman"/>
                <w:sz w:val="24"/>
              </w:rPr>
              <w:t>Viz pokyny k řádku 0120 v šabloně C 34.02.</w:t>
            </w:r>
          </w:p>
        </w:tc>
      </w:tr>
      <w:tr w:rsidR="00EF74C7" w:rsidRPr="002A677E" w14:paraId="53E2F2D0" w14:textId="77777777" w:rsidTr="00822842">
        <w:trPr>
          <w:trHeight w:val="842"/>
        </w:trPr>
        <w:tc>
          <w:tcPr>
            <w:tcW w:w="1384" w:type="dxa"/>
          </w:tcPr>
          <w:p w14:paraId="7706E084" w14:textId="77777777" w:rsidR="00EF74C7" w:rsidRPr="002A677E" w:rsidRDefault="00EF74C7" w:rsidP="00822842">
            <w:pPr>
              <w:pStyle w:val="Applicationdirecte"/>
              <w:spacing w:before="0" w:after="0"/>
              <w:jc w:val="left"/>
            </w:pPr>
            <w:r>
              <w:t>0030</w:t>
            </w:r>
          </w:p>
        </w:tc>
        <w:tc>
          <w:tcPr>
            <w:tcW w:w="7655" w:type="dxa"/>
          </w:tcPr>
          <w:p w14:paraId="5DE0314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Skupiny transakcí se započtením, na něž se uplatňuje standardizovaný přístup k úvěrovému riziku</w:t>
            </w:r>
          </w:p>
          <w:p w14:paraId="7CD0087F" w14:textId="77777777" w:rsidR="00EF74C7" w:rsidRPr="002A677E" w:rsidRDefault="00EF74C7" w:rsidP="00822842">
            <w:pPr>
              <w:rPr>
                <w:rStyle w:val="InstructionsTabelleberschrift"/>
                <w:rFonts w:ascii="Times New Roman" w:hAnsi="Times New Roman" w:cstheme="minorBidi"/>
                <w:b w:val="0"/>
                <w:bCs w:val="0"/>
                <w:sz w:val="24"/>
              </w:rPr>
            </w:pPr>
            <w:r>
              <w:rPr>
                <w:rFonts w:ascii="Times New Roman" w:hAnsi="Times New Roman"/>
                <w:sz w:val="24"/>
              </w:rPr>
              <w:t>Viz pokyny ke sloupci 0180 v šabloně C 34.02.</w:t>
            </w:r>
          </w:p>
        </w:tc>
      </w:tr>
      <w:tr w:rsidR="00EF74C7" w:rsidRPr="002A677E" w14:paraId="246949FB" w14:textId="77777777" w:rsidTr="00822842">
        <w:trPr>
          <w:trHeight w:val="839"/>
        </w:trPr>
        <w:tc>
          <w:tcPr>
            <w:tcW w:w="1384" w:type="dxa"/>
          </w:tcPr>
          <w:p w14:paraId="4489E702" w14:textId="77777777" w:rsidR="00EF74C7" w:rsidRPr="002A677E" w:rsidRDefault="00EF74C7" w:rsidP="00822842">
            <w:pPr>
              <w:pStyle w:val="Applicationdirecte"/>
              <w:spacing w:before="0" w:after="0"/>
              <w:jc w:val="left"/>
            </w:pPr>
            <w:r>
              <w:lastRenderedPageBreak/>
              <w:t>0040</w:t>
            </w:r>
          </w:p>
        </w:tc>
        <w:tc>
          <w:tcPr>
            <w:tcW w:w="7655" w:type="dxa"/>
          </w:tcPr>
          <w:p w14:paraId="79702292"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Skupiny transakcí se započtením, na něž se uplatňuje přístup k úvěrovému riziku založený na interním ratingu</w:t>
            </w:r>
          </w:p>
          <w:p w14:paraId="5DEB3BFD" w14:textId="77777777" w:rsidR="00EF74C7" w:rsidRPr="002A677E" w:rsidRDefault="00EF74C7" w:rsidP="00822842">
            <w:pPr>
              <w:rPr>
                <w:rStyle w:val="InstructionsTabelleberschrift"/>
                <w:rFonts w:ascii="Times New Roman" w:hAnsi="Times New Roman" w:cstheme="minorBidi"/>
                <w:b w:val="0"/>
                <w:bCs w:val="0"/>
                <w:sz w:val="24"/>
              </w:rPr>
            </w:pPr>
            <w:r>
              <w:rPr>
                <w:rFonts w:ascii="Times New Roman" w:hAnsi="Times New Roman"/>
                <w:sz w:val="24"/>
              </w:rPr>
              <w:t>Viz pokyny ke sloupci 0190 v šabloně C 34.02.</w:t>
            </w:r>
          </w:p>
        </w:tc>
      </w:tr>
      <w:tr w:rsidR="00EF74C7" w:rsidRPr="002A677E" w14:paraId="6C69A9B4" w14:textId="77777777" w:rsidTr="00822842">
        <w:trPr>
          <w:trHeight w:val="1971"/>
        </w:trPr>
        <w:tc>
          <w:tcPr>
            <w:tcW w:w="1384" w:type="dxa"/>
          </w:tcPr>
          <w:p w14:paraId="7647D954" w14:textId="77777777" w:rsidR="00EF74C7" w:rsidRPr="002A677E" w:rsidRDefault="00EF74C7" w:rsidP="00822842">
            <w:pPr>
              <w:pStyle w:val="Applicationdirecte"/>
              <w:spacing w:before="0" w:after="0"/>
              <w:jc w:val="left"/>
            </w:pPr>
            <w:r>
              <w:t>0050–0110</w:t>
            </w:r>
          </w:p>
        </w:tc>
        <w:tc>
          <w:tcPr>
            <w:tcW w:w="7655" w:type="dxa"/>
          </w:tcPr>
          <w:p w14:paraId="3D695FB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OTC DERIVÁTY</w:t>
            </w:r>
          </w:p>
          <w:p w14:paraId="0E8A5849" w14:textId="77777777" w:rsidR="00EF74C7" w:rsidRPr="002A677E" w:rsidRDefault="00EF74C7" w:rsidP="00822842">
            <w:pPr>
              <w:rPr>
                <w:rFonts w:ascii="Times New Roman" w:hAnsi="Times New Roman"/>
                <w:sz w:val="24"/>
              </w:rPr>
            </w:pPr>
            <w:r>
              <w:rPr>
                <w:rFonts w:ascii="Times New Roman" w:hAnsi="Times New Roman"/>
                <w:sz w:val="24"/>
              </w:rPr>
              <w:t>Instituce vykáže příslušné informace týkající se skupin transakcí se započtením obsahujících pouze OTC deriváty nebo transakce s delší dobou vypořádání, u nichž jí bylo povoleno určit hodnotu expozice pomocí metody interního modelu v členění podle různých tříd aktiv s ohledem na podkladový nástroj (úroková sazba, směnný kurz, úvěr, akcie, komodity nebo jiné).</w:t>
            </w:r>
          </w:p>
        </w:tc>
      </w:tr>
      <w:tr w:rsidR="00EF74C7" w:rsidRPr="002A677E" w14:paraId="32F0A14D" w14:textId="77777777" w:rsidTr="00822842">
        <w:trPr>
          <w:trHeight w:val="1970"/>
        </w:trPr>
        <w:tc>
          <w:tcPr>
            <w:tcW w:w="1384" w:type="dxa"/>
          </w:tcPr>
          <w:p w14:paraId="2CA05FA5" w14:textId="77777777" w:rsidR="00EF74C7" w:rsidRPr="002A677E" w:rsidRDefault="00EF74C7" w:rsidP="00822842">
            <w:pPr>
              <w:pStyle w:val="Applicationdirecte"/>
              <w:spacing w:before="0" w:after="0"/>
            </w:pPr>
            <w:r>
              <w:t>0120–0180</w:t>
            </w:r>
          </w:p>
        </w:tc>
        <w:tc>
          <w:tcPr>
            <w:tcW w:w="7655" w:type="dxa"/>
          </w:tcPr>
          <w:p w14:paraId="1F81FD2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BURZOVNÍ DERIVÁTY</w:t>
            </w:r>
          </w:p>
          <w:p w14:paraId="58D9B48E" w14:textId="77777777" w:rsidR="00EF74C7" w:rsidRPr="002A677E" w:rsidRDefault="00EF74C7" w:rsidP="00822842">
            <w:pPr>
              <w:rPr>
                <w:rFonts w:ascii="Times New Roman" w:hAnsi="Times New Roman"/>
                <w:sz w:val="24"/>
              </w:rPr>
            </w:pPr>
            <w:r>
              <w:rPr>
                <w:rFonts w:ascii="Times New Roman" w:hAnsi="Times New Roman"/>
                <w:sz w:val="24"/>
              </w:rPr>
              <w:t>Instituce vykáže příslušné informace týkající se skupin transakcí se započtením obsahujících pouze burzovní deriváty nebo transakce s delší dobou vypořádání, u nichž jí bylo povoleno určit hodnotu expozice pomocí metody interního modelu v členění podle různých tříd aktiv s ohledem na podkladový nástroj (úroková sazba, směnný kurz, úvěr, akcie, komodity nebo jiné).</w:t>
            </w:r>
          </w:p>
        </w:tc>
      </w:tr>
      <w:tr w:rsidR="00EF74C7" w:rsidRPr="002A677E" w14:paraId="3A390CF4" w14:textId="77777777" w:rsidTr="00822842">
        <w:trPr>
          <w:trHeight w:val="1701"/>
        </w:trPr>
        <w:tc>
          <w:tcPr>
            <w:tcW w:w="1384" w:type="dxa"/>
          </w:tcPr>
          <w:p w14:paraId="5468C829" w14:textId="77777777" w:rsidR="00EF74C7" w:rsidRPr="002A677E" w:rsidRDefault="00EF74C7" w:rsidP="00822842">
            <w:pPr>
              <w:pStyle w:val="Applicationdirecte"/>
              <w:spacing w:before="0" w:after="0"/>
            </w:pPr>
            <w:r>
              <w:t>0190–0220</w:t>
            </w:r>
          </w:p>
        </w:tc>
        <w:tc>
          <w:tcPr>
            <w:tcW w:w="7655" w:type="dxa"/>
          </w:tcPr>
          <w:p w14:paraId="52D3A7C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TRANSAKCE S FINANCOVÁNÍM CENNÝCH PAPÍRŮ</w:t>
            </w:r>
          </w:p>
          <w:p w14:paraId="1CD88A29" w14:textId="77777777" w:rsidR="00EF74C7" w:rsidRPr="002A677E" w:rsidRDefault="00EF74C7" w:rsidP="00822842">
            <w:pPr>
              <w:rPr>
                <w:rFonts w:ascii="Times New Roman" w:hAnsi="Times New Roman"/>
                <w:sz w:val="24"/>
              </w:rPr>
            </w:pPr>
            <w:r>
              <w:rPr>
                <w:rFonts w:ascii="Times New Roman" w:hAnsi="Times New Roman"/>
                <w:sz w:val="24"/>
              </w:rPr>
              <w:t>Instituce vykáže příslušné informace týkající se skupin transakcí se započtením obsahujících pouze transakce s financováním cenných papírů, u nichž jí bylo povoleno určit hodnotu expozice pomocí metody interního modelu v členění podle podkladového nástroje ve složce cenných papírů (dluhopis, akcie aj.).</w:t>
            </w:r>
          </w:p>
        </w:tc>
      </w:tr>
      <w:tr w:rsidR="00EF74C7" w:rsidRPr="002A677E" w14:paraId="64C592C4" w14:textId="77777777" w:rsidTr="00822842">
        <w:trPr>
          <w:trHeight w:val="833"/>
        </w:trPr>
        <w:tc>
          <w:tcPr>
            <w:tcW w:w="1384" w:type="dxa"/>
          </w:tcPr>
          <w:p w14:paraId="39B2C01D" w14:textId="77777777" w:rsidR="00EF74C7" w:rsidRPr="002A677E" w:rsidRDefault="00EF74C7" w:rsidP="00822842">
            <w:pPr>
              <w:pStyle w:val="Applicationdirecte"/>
              <w:spacing w:before="0" w:after="0"/>
            </w:pPr>
            <w:r>
              <w:t>0230</w:t>
            </w:r>
          </w:p>
        </w:tc>
        <w:tc>
          <w:tcPr>
            <w:tcW w:w="7655" w:type="dxa"/>
          </w:tcPr>
          <w:p w14:paraId="1980D95A"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KŘÍŽOVÉ ZAPOČTENÍ NA ZÁKLADĚ SMLOUVY</w:t>
            </w:r>
          </w:p>
          <w:p w14:paraId="7F1F09BD" w14:textId="77777777" w:rsidR="00EF74C7" w:rsidRPr="002A677E" w:rsidRDefault="00EF74C7" w:rsidP="00822842">
            <w:pPr>
              <w:rPr>
                <w:rFonts w:ascii="Times New Roman" w:hAnsi="Times New Roman"/>
                <w:sz w:val="24"/>
              </w:rPr>
            </w:pPr>
            <w:r>
              <w:rPr>
                <w:rFonts w:ascii="Times New Roman" w:hAnsi="Times New Roman"/>
                <w:sz w:val="24"/>
              </w:rPr>
              <w:t>Viz pokyny k řádku 0070 v šabloně C 34.02.</w:t>
            </w:r>
          </w:p>
        </w:tc>
      </w:tr>
    </w:tbl>
    <w:p w14:paraId="0A9C53D4" w14:textId="77777777" w:rsidR="00EF74C7" w:rsidRPr="002A677E" w:rsidRDefault="00EF74C7" w:rsidP="00EF74C7">
      <w:pPr>
        <w:tabs>
          <w:tab w:val="left" w:pos="1430"/>
        </w:tabs>
        <w:rPr>
          <w:rFonts w:ascii="Times New Roman" w:hAnsi="Times New Roman"/>
        </w:rPr>
      </w:pPr>
    </w:p>
    <w:p w14:paraId="2A48B1B3"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42" w:name="_Toc19715816"/>
      <w:bookmarkStart w:id="43" w:name="_Toc151714456"/>
      <w:r>
        <w:rPr>
          <w:rFonts w:ascii="Times New Roman" w:hAnsi="Times New Roman"/>
          <w:sz w:val="24"/>
        </w:rPr>
        <w:t>C 34.06 – Dvacet nejvýznamnějších protistran</w:t>
      </w:r>
      <w:bookmarkEnd w:id="42"/>
      <w:bookmarkEnd w:id="43"/>
    </w:p>
    <w:p w14:paraId="41D5F705"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44" w:name="_Toc19715817"/>
      <w:bookmarkStart w:id="45" w:name="_Toc151714457"/>
      <w:r>
        <w:rPr>
          <w:rFonts w:ascii="Times New Roman" w:hAnsi="Times New Roman"/>
          <w:sz w:val="24"/>
        </w:rPr>
        <w:t>Obecné poznámky</w:t>
      </w:r>
      <w:bookmarkEnd w:id="44"/>
      <w:bookmarkEnd w:id="45"/>
    </w:p>
    <w:p w14:paraId="4872503C" w14:textId="005C8DB1"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126</w:t>
      </w:r>
      <w:r>
        <w:fldChar w:fldCharType="end"/>
      </w:r>
      <w:r>
        <w:t>. Instituce vykazují informace o dvaceti nejvýznamnějších protistranách, které představují nejvyšší expozice s CCR. Pořadí se stanoví pomocí hodnot expozice s CCR, vykázaných ve sloupci 0120 této šablony, pro všechny skupiny transakcí se započtením s příslušnými protistranami. Při stanovení seznamu dvaceti nejvýznamnějších protistran se berou v úvahu i expozice uvnitř skupiny nebo jiné expozice, na jejichž základě vzniká úvěrové riziko protistrany, ale kterým instituce pro výpočet kapitálových požadavků přidělila nulovou rizikovou váhu v souladu s čl. 113 odst. 6 a 7 nařízení (EU) č. 575/2013.</w:t>
      </w:r>
    </w:p>
    <w:p w14:paraId="647CEA55" w14:textId="4D261834"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127</w:t>
      </w:r>
      <w:r>
        <w:fldChar w:fldCharType="end"/>
      </w:r>
      <w:r>
        <w:t xml:space="preserve">. Instituce, které pro výpočet expozic s CCR používají standardizovaný přístup (SA-CCR) nebo metodu interního modelu (IMM) podle části třetí hlavy II kapitoly 6 oddílů 3 a 6 nařízení (EU) č. 575/2013, vykazují tuto šablonu čtvrtletně. Instituce, které pro výpočet expozic s CCR používají zjednodušený standardizovaný přístup nebo metodu původní expozice podle části třetí hlavy II kapitoly 6 oddílů 4 a 5 </w:t>
      </w:r>
      <w:r>
        <w:lastRenderedPageBreak/>
        <w:t xml:space="preserve">nařízení (EU) č. 575/2013, vykazují tuto šablonu jednou za půl roku. </w:t>
      </w:r>
      <w:bookmarkStart w:id="46" w:name="_Toc19715818"/>
      <w:r>
        <w:t>Pokyny pro konkrétní pozice</w:t>
      </w:r>
      <w:bookmarkEnd w:id="46"/>
    </w:p>
    <w:p w14:paraId="2736A53C"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47" w:name="_Toc151714458"/>
      <w:r>
        <w:rPr>
          <w:rFonts w:ascii="Times New Roman" w:hAnsi="Times New Roman"/>
          <w:sz w:val="24"/>
        </w:rPr>
        <w:t>Pokyny pro konkrétní pozice</w:t>
      </w:r>
      <w:bookmarkEnd w:id="4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7A96115" w14:textId="77777777" w:rsidTr="00822842">
        <w:trPr>
          <w:trHeight w:val="238"/>
        </w:trPr>
        <w:tc>
          <w:tcPr>
            <w:tcW w:w="9039" w:type="dxa"/>
            <w:gridSpan w:val="2"/>
            <w:tcBorders>
              <w:right w:val="single" w:sz="4" w:space="0" w:color="auto"/>
            </w:tcBorders>
            <w:shd w:val="clear" w:color="auto" w:fill="D9D9D9" w:themeFill="background1" w:themeFillShade="D9"/>
          </w:tcPr>
          <w:p w14:paraId="766DA6EA"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Sloupce</w:t>
            </w:r>
          </w:p>
        </w:tc>
      </w:tr>
      <w:tr w:rsidR="00EF74C7" w:rsidRPr="002A677E" w14:paraId="1E5ECC03" w14:textId="77777777" w:rsidTr="00822842">
        <w:trPr>
          <w:trHeight w:val="680"/>
        </w:trPr>
        <w:tc>
          <w:tcPr>
            <w:tcW w:w="1384" w:type="dxa"/>
          </w:tcPr>
          <w:p w14:paraId="67FE490E" w14:textId="77777777" w:rsidR="00EF74C7" w:rsidRPr="002A677E" w:rsidRDefault="00EF74C7" w:rsidP="00822842">
            <w:pPr>
              <w:pStyle w:val="Applicationdirecte"/>
              <w:spacing w:before="0" w:after="0"/>
            </w:pPr>
            <w:r>
              <w:t>0011</w:t>
            </w:r>
          </w:p>
        </w:tc>
        <w:tc>
          <w:tcPr>
            <w:tcW w:w="7655" w:type="dxa"/>
            <w:vAlign w:val="center"/>
          </w:tcPr>
          <w:p w14:paraId="2145838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NÁZEV</w:t>
            </w:r>
          </w:p>
          <w:p w14:paraId="02D41CBA" w14:textId="77777777" w:rsidR="00EF74C7" w:rsidRPr="002A677E" w:rsidRDefault="00EF74C7" w:rsidP="00822842">
            <w:pPr>
              <w:keepNext/>
              <w:spacing w:before="60"/>
              <w:rPr>
                <w:rFonts w:ascii="Times New Roman" w:hAnsi="Times New Roman"/>
                <w:szCs w:val="22"/>
              </w:rPr>
            </w:pPr>
            <w:r>
              <w:rPr>
                <w:rFonts w:ascii="Times New Roman" w:hAnsi="Times New Roman"/>
                <w:sz w:val="24"/>
              </w:rPr>
              <w:t>Název protistrany</w:t>
            </w:r>
          </w:p>
        </w:tc>
      </w:tr>
      <w:tr w:rsidR="00EF74C7" w:rsidRPr="002A677E" w14:paraId="4B2EA2C4" w14:textId="77777777" w:rsidTr="00822842">
        <w:trPr>
          <w:trHeight w:val="680"/>
        </w:trPr>
        <w:tc>
          <w:tcPr>
            <w:tcW w:w="1384" w:type="dxa"/>
          </w:tcPr>
          <w:p w14:paraId="35C54AA9" w14:textId="77777777" w:rsidR="00EF74C7" w:rsidRPr="002A677E" w:rsidRDefault="00EF74C7" w:rsidP="00822842">
            <w:pPr>
              <w:pStyle w:val="Applicationdirecte"/>
              <w:spacing w:before="0" w:after="0"/>
            </w:pPr>
            <w:r>
              <w:t>0020</w:t>
            </w:r>
          </w:p>
        </w:tc>
        <w:tc>
          <w:tcPr>
            <w:tcW w:w="7655" w:type="dxa"/>
            <w:vAlign w:val="center"/>
          </w:tcPr>
          <w:p w14:paraId="6CCE0F62"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KÓD</w:t>
            </w:r>
          </w:p>
          <w:p w14:paraId="38310236" w14:textId="77777777" w:rsidR="00EF74C7" w:rsidRPr="002A677E" w:rsidRDefault="00EF74C7" w:rsidP="00822842">
            <w:pPr>
              <w:keepNext/>
              <w:spacing w:before="60"/>
              <w:rPr>
                <w:rFonts w:ascii="Times New Roman" w:hAnsi="Times New Roman"/>
                <w:sz w:val="24"/>
                <w:u w:val="single"/>
              </w:rPr>
            </w:pPr>
            <w:r>
              <w:rPr>
                <w:rFonts w:ascii="Times New Roman" w:hAnsi="Times New Roman"/>
                <w:sz w:val="24"/>
              </w:rPr>
              <w:t>Tento kód je součástí identifikátoru řádku a musí být pro každý vykazovaný subjekt jedinečný. V případě institucí a pojišťoven je tímto kódem kód LEI. U ostatních subjektů je jím kód LEI; není-li kód LEI k dispozici, vykáže se jiný kód než LEI. Kód je jedinečný a v šablonách se v průběhu času používá konzistentně. Kód má vždy hodnotu.</w:t>
            </w:r>
          </w:p>
        </w:tc>
      </w:tr>
      <w:tr w:rsidR="00EF74C7" w:rsidRPr="002A677E" w14:paraId="2DAA4B2D" w14:textId="77777777" w:rsidTr="00822842">
        <w:trPr>
          <w:trHeight w:val="680"/>
        </w:trPr>
        <w:tc>
          <w:tcPr>
            <w:tcW w:w="1384" w:type="dxa"/>
          </w:tcPr>
          <w:p w14:paraId="5727082D" w14:textId="77777777" w:rsidR="00EF74C7" w:rsidRPr="002A677E" w:rsidRDefault="00EF74C7" w:rsidP="00822842">
            <w:pPr>
              <w:pStyle w:val="Applicationdirecte"/>
              <w:spacing w:before="0" w:after="0"/>
            </w:pPr>
            <w:r>
              <w:t>0030</w:t>
            </w:r>
          </w:p>
        </w:tc>
        <w:tc>
          <w:tcPr>
            <w:tcW w:w="7655" w:type="dxa"/>
            <w:vAlign w:val="center"/>
          </w:tcPr>
          <w:p w14:paraId="0F71916C"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TYP KÓDU</w:t>
            </w:r>
          </w:p>
          <w:p w14:paraId="12E4A55E" w14:textId="77777777" w:rsidR="00EF74C7" w:rsidRPr="002A677E" w:rsidRDefault="00EF74C7" w:rsidP="00822842">
            <w:pPr>
              <w:rPr>
                <w:rStyle w:val="FormatvorlageInstructionsTabelleText"/>
                <w:rFonts w:ascii="Calibri" w:hAnsi="Calibri" w:cs="Calibri"/>
              </w:rPr>
            </w:pPr>
            <w:r>
              <w:rPr>
                <w:rFonts w:ascii="Times New Roman" w:hAnsi="Times New Roman"/>
                <w:sz w:val="24"/>
              </w:rPr>
              <w:t>Instituce označí typ kódu vykázaného ve</w:t>
            </w:r>
            <w:r>
              <w:rPr>
                <w:rStyle w:val="FormatvorlageInstructionsTabelleText"/>
                <w:rFonts w:ascii="Times New Roman" w:hAnsi="Times New Roman"/>
                <w:sz w:val="24"/>
              </w:rPr>
              <w:t xml:space="preserve"> sloupci 0020 jako „kód LEI“ nebo „vnitrostátní kód“.</w:t>
            </w:r>
          </w:p>
          <w:p w14:paraId="68A8C569" w14:textId="77777777" w:rsidR="00EF74C7" w:rsidRPr="002A677E" w:rsidRDefault="00EF74C7" w:rsidP="00822842">
            <w:pPr>
              <w:rPr>
                <w:rFonts w:ascii="Times New Roman" w:hAnsi="Times New Roman"/>
                <w:bCs/>
                <w:sz w:val="24"/>
              </w:rPr>
            </w:pPr>
            <w:r>
              <w:rPr>
                <w:rFonts w:ascii="Times New Roman" w:hAnsi="Times New Roman"/>
                <w:sz w:val="24"/>
              </w:rPr>
              <w:t>Typ kódu se vykazuje vždy.</w:t>
            </w:r>
          </w:p>
        </w:tc>
      </w:tr>
      <w:tr w:rsidR="00EF74C7" w:rsidRPr="002A677E" w14:paraId="5CE3DDA8" w14:textId="77777777" w:rsidTr="00822842">
        <w:trPr>
          <w:trHeight w:val="680"/>
        </w:trPr>
        <w:tc>
          <w:tcPr>
            <w:tcW w:w="1384" w:type="dxa"/>
          </w:tcPr>
          <w:p w14:paraId="7912C4C0" w14:textId="77777777" w:rsidR="00EF74C7" w:rsidRPr="002A677E" w:rsidRDefault="00EF74C7" w:rsidP="00822842">
            <w:pPr>
              <w:pStyle w:val="Applicationdirecte"/>
              <w:spacing w:before="0" w:after="0"/>
            </w:pPr>
            <w:r>
              <w:t>0035</w:t>
            </w:r>
          </w:p>
        </w:tc>
        <w:tc>
          <w:tcPr>
            <w:tcW w:w="7655" w:type="dxa"/>
            <w:vAlign w:val="center"/>
          </w:tcPr>
          <w:p w14:paraId="6012FDEC"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VNITROSTÁTNÍ KÓD</w:t>
            </w:r>
          </w:p>
          <w:p w14:paraId="53A43075" w14:textId="77777777" w:rsidR="00EF74C7" w:rsidRPr="002A677E" w:rsidRDefault="00EF74C7" w:rsidP="00822842">
            <w:pPr>
              <w:pStyle w:val="ListParagraph"/>
              <w:ind w:left="65"/>
              <w:rPr>
                <w:rFonts w:ascii="Times New Roman" w:hAnsi="Times New Roman"/>
                <w:b/>
                <w:sz w:val="24"/>
                <w:u w:val="single"/>
              </w:rPr>
            </w:pPr>
            <w:r>
              <w:rPr>
                <w:rFonts w:ascii="Times New Roman" w:hAnsi="Times New Roman"/>
                <w:sz w:val="24"/>
              </w:rPr>
              <w:t>Instituce, která ve sloupci 0020 „Kód“ jako identifikátor vykázala kód LEI, může dodatečně vykázat vnitrostátní kód.</w:t>
            </w:r>
          </w:p>
        </w:tc>
      </w:tr>
      <w:tr w:rsidR="00EF74C7" w:rsidRPr="002A677E" w14:paraId="224798DC" w14:textId="77777777" w:rsidTr="00822842">
        <w:trPr>
          <w:trHeight w:val="680"/>
        </w:trPr>
        <w:tc>
          <w:tcPr>
            <w:tcW w:w="1384" w:type="dxa"/>
          </w:tcPr>
          <w:p w14:paraId="2CBB581D" w14:textId="77777777" w:rsidR="00EF74C7" w:rsidRPr="002A677E" w:rsidRDefault="00EF74C7" w:rsidP="00822842">
            <w:pPr>
              <w:pStyle w:val="Applicationdirecte"/>
              <w:spacing w:before="0" w:after="0"/>
            </w:pPr>
            <w:r>
              <w:t>0040</w:t>
            </w:r>
          </w:p>
        </w:tc>
        <w:tc>
          <w:tcPr>
            <w:tcW w:w="7655" w:type="dxa"/>
            <w:vAlign w:val="center"/>
          </w:tcPr>
          <w:p w14:paraId="2A302176"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ODVĚTVÍ PROTISTRANY</w:t>
            </w:r>
          </w:p>
          <w:p w14:paraId="138065F1" w14:textId="77777777" w:rsidR="00EF74C7" w:rsidRPr="002A677E" w:rsidRDefault="00EF74C7" w:rsidP="00822842">
            <w:pPr>
              <w:keepNext/>
              <w:spacing w:before="60"/>
              <w:rPr>
                <w:rFonts w:ascii="Times New Roman" w:hAnsi="Times New Roman"/>
                <w:sz w:val="24"/>
              </w:rPr>
            </w:pPr>
            <w:r>
              <w:rPr>
                <w:rFonts w:ascii="Times New Roman" w:hAnsi="Times New Roman"/>
                <w:sz w:val="24"/>
              </w:rPr>
              <w:t>Pro každou protistranu se vybere jedno odvětví na základě následujících tříd hospodářských odvětví dle FINREP (viz příloha V část 3 tohoto prováděcího nařízení):</w:t>
            </w:r>
          </w:p>
          <w:p w14:paraId="3FD37943"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i) </w:t>
            </w:r>
            <w:r>
              <w:tab/>
            </w:r>
            <w:r>
              <w:rPr>
                <w:rFonts w:ascii="Times New Roman" w:hAnsi="Times New Roman"/>
                <w:sz w:val="24"/>
              </w:rPr>
              <w:t>centrální banky;</w:t>
            </w:r>
          </w:p>
          <w:p w14:paraId="2EDFC759" w14:textId="77777777" w:rsidR="00EF74C7" w:rsidRPr="002A677E" w:rsidRDefault="00EF74C7" w:rsidP="00822842">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vládní instituce;</w:t>
            </w:r>
          </w:p>
          <w:p w14:paraId="59EF6A29" w14:textId="77777777" w:rsidR="00EF74C7" w:rsidRPr="002A677E" w:rsidRDefault="00EF74C7" w:rsidP="00822842">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úvěrové instituce;</w:t>
            </w:r>
          </w:p>
          <w:p w14:paraId="50C89603" w14:textId="77777777" w:rsidR="00EF74C7" w:rsidRPr="002A677E" w:rsidRDefault="00EF74C7" w:rsidP="00822842">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investiční podniky ve smyslu čl. 4 odst. 1 bodu 2 nařízení (EU) č. 575/2013;</w:t>
            </w:r>
          </w:p>
          <w:p w14:paraId="3A2FD93E" w14:textId="77777777" w:rsidR="00EF74C7" w:rsidRPr="002A677E" w:rsidRDefault="00EF74C7" w:rsidP="00822842">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jiné finanční instituce (kromě investičních podniků);</w:t>
            </w:r>
          </w:p>
          <w:p w14:paraId="58ADE56E" w14:textId="77777777" w:rsidR="00EF74C7" w:rsidRPr="002A677E" w:rsidRDefault="00EF74C7" w:rsidP="00822842">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nefinanční podniky.</w:t>
            </w:r>
          </w:p>
        </w:tc>
      </w:tr>
      <w:tr w:rsidR="00EF74C7" w:rsidRPr="002A677E" w14:paraId="24F599F8" w14:textId="77777777" w:rsidTr="00822842">
        <w:trPr>
          <w:trHeight w:val="680"/>
        </w:trPr>
        <w:tc>
          <w:tcPr>
            <w:tcW w:w="1384" w:type="dxa"/>
          </w:tcPr>
          <w:p w14:paraId="2FBFF8FA" w14:textId="77777777" w:rsidR="00EF74C7" w:rsidRPr="002A677E" w:rsidRDefault="00EF74C7" w:rsidP="00822842">
            <w:pPr>
              <w:pStyle w:val="Applicationdirecte"/>
              <w:spacing w:before="0" w:after="0"/>
            </w:pPr>
            <w:r>
              <w:lastRenderedPageBreak/>
              <w:t>0050</w:t>
            </w:r>
          </w:p>
        </w:tc>
        <w:tc>
          <w:tcPr>
            <w:tcW w:w="7655" w:type="dxa"/>
            <w:vAlign w:val="center"/>
          </w:tcPr>
          <w:p w14:paraId="72BF6C7A"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DRUH PROTISTRANY</w:t>
            </w:r>
          </w:p>
          <w:p w14:paraId="34B18679" w14:textId="77777777" w:rsidR="00EF74C7" w:rsidRPr="002A677E" w:rsidRDefault="00EF74C7" w:rsidP="00822842">
            <w:pPr>
              <w:keepNext/>
              <w:spacing w:before="60"/>
              <w:rPr>
                <w:rFonts w:ascii="Times New Roman" w:hAnsi="Times New Roman"/>
                <w:sz w:val="24"/>
              </w:rPr>
            </w:pPr>
            <w:r>
              <w:rPr>
                <w:rFonts w:ascii="Times New Roman" w:hAnsi="Times New Roman"/>
                <w:sz w:val="24"/>
              </w:rPr>
              <w:t>Instituce uvede typ protistrany, jímž může být:</w:t>
            </w:r>
          </w:p>
          <w:p w14:paraId="19809711" w14:textId="77777777" w:rsidR="00EF74C7" w:rsidRPr="002A677E" w:rsidRDefault="00EF74C7" w:rsidP="00822842">
            <w:pPr>
              <w:keepNext/>
              <w:spacing w:before="60"/>
              <w:rPr>
                <w:rFonts w:ascii="Times New Roman" w:hAnsi="Times New Roman"/>
                <w:sz w:val="24"/>
              </w:rPr>
            </w:pPr>
            <w:r>
              <w:rPr>
                <w:rFonts w:ascii="Times New Roman" w:hAnsi="Times New Roman"/>
                <w:sz w:val="24"/>
              </w:rPr>
              <w:t>– způsobilá ústřední protistrana: pokud je protistranou způsobilá ústřední protistrana;</w:t>
            </w:r>
          </w:p>
          <w:p w14:paraId="7530291C" w14:textId="77777777" w:rsidR="00EF74C7" w:rsidRPr="002A677E" w:rsidRDefault="00EF74C7" w:rsidP="00822842">
            <w:pPr>
              <w:keepNext/>
              <w:spacing w:before="60"/>
              <w:rPr>
                <w:rFonts w:ascii="Times New Roman" w:hAnsi="Times New Roman"/>
                <w:sz w:val="24"/>
              </w:rPr>
            </w:pPr>
            <w:r>
              <w:rPr>
                <w:rFonts w:ascii="Times New Roman" w:hAnsi="Times New Roman"/>
                <w:sz w:val="24"/>
              </w:rPr>
              <w:t>– nezpůsobilá ústřední protistrana: pokud je protistranou nezpůsobilá ústřední protistrana;</w:t>
            </w:r>
          </w:p>
          <w:p w14:paraId="53A61161"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 jiný subjekt než ústřední protistrana: pokud protistranou není ústřední protistrana. </w:t>
            </w:r>
          </w:p>
        </w:tc>
      </w:tr>
      <w:tr w:rsidR="00EF74C7" w:rsidRPr="002A677E" w14:paraId="7138E79A" w14:textId="77777777" w:rsidTr="00822842">
        <w:trPr>
          <w:trHeight w:val="680"/>
        </w:trPr>
        <w:tc>
          <w:tcPr>
            <w:tcW w:w="1384" w:type="dxa"/>
          </w:tcPr>
          <w:p w14:paraId="7D208FDD" w14:textId="77777777" w:rsidR="00EF74C7" w:rsidRPr="002A677E" w:rsidRDefault="00EF74C7" w:rsidP="00822842">
            <w:pPr>
              <w:pStyle w:val="Applicationdirecte"/>
              <w:spacing w:before="0" w:after="0"/>
            </w:pPr>
            <w:r>
              <w:t>0060</w:t>
            </w:r>
          </w:p>
        </w:tc>
        <w:tc>
          <w:tcPr>
            <w:tcW w:w="7655" w:type="dxa"/>
            <w:vAlign w:val="center"/>
          </w:tcPr>
          <w:p w14:paraId="653C0A24"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SÍDLO PROTISTRANY</w:t>
            </w:r>
          </w:p>
          <w:p w14:paraId="4B5E06D5" w14:textId="77777777" w:rsidR="00EF74C7" w:rsidRPr="002A677E" w:rsidRDefault="00EF74C7" w:rsidP="00822842">
            <w:pPr>
              <w:keepNext/>
              <w:spacing w:before="60"/>
              <w:rPr>
                <w:rFonts w:ascii="Times New Roman" w:hAnsi="Times New Roman"/>
                <w:sz w:val="24"/>
              </w:rPr>
            </w:pPr>
            <w:r>
              <w:rPr>
                <w:rFonts w:ascii="Times New Roman" w:hAnsi="Times New Roman"/>
                <w:sz w:val="24"/>
              </w:rPr>
              <w:t>Užije se kód ISO 3166-1-alfa-2 země registrace protistrany (včetně pseudo-ISO kódů pro mezinárodní organizace, které jsou k dispozici v příručce Eurostatu „</w:t>
            </w:r>
            <w:r>
              <w:rPr>
                <w:rFonts w:ascii="Times New Roman" w:hAnsi="Times New Roman"/>
                <w:i/>
                <w:sz w:val="24"/>
              </w:rPr>
              <w:t>Balance of Payments Vademecum</w:t>
            </w:r>
            <w:r>
              <w:rPr>
                <w:rFonts w:ascii="Times New Roman" w:hAnsi="Times New Roman"/>
                <w:sz w:val="24"/>
              </w:rPr>
              <w:t>“ v platném znění).</w:t>
            </w:r>
          </w:p>
        </w:tc>
      </w:tr>
      <w:tr w:rsidR="00EF74C7" w:rsidRPr="002A677E" w14:paraId="27926B1D" w14:textId="77777777" w:rsidTr="00822842">
        <w:trPr>
          <w:trHeight w:val="680"/>
        </w:trPr>
        <w:tc>
          <w:tcPr>
            <w:tcW w:w="1384" w:type="dxa"/>
          </w:tcPr>
          <w:p w14:paraId="2F19F110" w14:textId="77777777" w:rsidR="00EF74C7" w:rsidRPr="002A677E" w:rsidRDefault="00EF74C7" w:rsidP="00822842">
            <w:pPr>
              <w:pStyle w:val="Applicationdirecte"/>
              <w:spacing w:before="0" w:after="0"/>
            </w:pPr>
            <w:r>
              <w:t>0070</w:t>
            </w:r>
          </w:p>
        </w:tc>
        <w:tc>
          <w:tcPr>
            <w:tcW w:w="7655" w:type="dxa"/>
            <w:vAlign w:val="center"/>
          </w:tcPr>
          <w:p w14:paraId="1141BEDE"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POČET TRANSAKCÍ</w:t>
            </w:r>
          </w:p>
          <w:p w14:paraId="22440C23"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Viz pokyny ke sloupci 0020 v šabloně C 34.02.</w:t>
            </w:r>
          </w:p>
        </w:tc>
      </w:tr>
      <w:tr w:rsidR="00EF74C7" w:rsidRPr="002A677E" w14:paraId="41609849" w14:textId="77777777" w:rsidTr="00822842">
        <w:trPr>
          <w:trHeight w:val="426"/>
        </w:trPr>
        <w:tc>
          <w:tcPr>
            <w:tcW w:w="1384" w:type="dxa"/>
          </w:tcPr>
          <w:p w14:paraId="37240D8E" w14:textId="77777777" w:rsidR="00EF74C7" w:rsidRPr="002A677E" w:rsidRDefault="00EF74C7" w:rsidP="00822842">
            <w:pPr>
              <w:pStyle w:val="Applicationdirecte"/>
              <w:spacing w:before="0" w:after="0"/>
            </w:pPr>
            <w:r>
              <w:t>0080</w:t>
            </w:r>
          </w:p>
        </w:tc>
        <w:tc>
          <w:tcPr>
            <w:tcW w:w="7655" w:type="dxa"/>
            <w:vAlign w:val="center"/>
          </w:tcPr>
          <w:p w14:paraId="7D28C824"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POMYSLNÉ HODNOTY</w:t>
            </w:r>
          </w:p>
          <w:p w14:paraId="2092F8D4" w14:textId="77777777" w:rsidR="00EF74C7" w:rsidRPr="002A677E" w:rsidRDefault="00EF74C7" w:rsidP="00822842">
            <w:pPr>
              <w:keepNext/>
              <w:spacing w:before="60"/>
              <w:rPr>
                <w:rFonts w:ascii="Times New Roman" w:hAnsi="Times New Roman"/>
                <w:sz w:val="24"/>
              </w:rPr>
            </w:pPr>
            <w:r>
              <w:rPr>
                <w:rFonts w:ascii="Times New Roman" w:hAnsi="Times New Roman"/>
                <w:sz w:val="24"/>
              </w:rPr>
              <w:t>Viz pokyny ke sloupci 0030 v šabloně C 34.02.</w:t>
            </w:r>
          </w:p>
        </w:tc>
      </w:tr>
      <w:tr w:rsidR="00EF74C7" w:rsidRPr="002A677E" w14:paraId="6B0D6FEC" w14:textId="77777777" w:rsidTr="00822842">
        <w:trPr>
          <w:trHeight w:val="680"/>
        </w:trPr>
        <w:tc>
          <w:tcPr>
            <w:tcW w:w="1384" w:type="dxa"/>
          </w:tcPr>
          <w:p w14:paraId="31BEF5FF" w14:textId="77777777" w:rsidR="00EF74C7" w:rsidRPr="002A677E" w:rsidRDefault="00EF74C7" w:rsidP="00822842">
            <w:pPr>
              <w:pStyle w:val="Applicationdirecte"/>
              <w:spacing w:before="0" w:after="0"/>
            </w:pPr>
            <w:r>
              <w:t>0090</w:t>
            </w:r>
          </w:p>
        </w:tc>
        <w:tc>
          <w:tcPr>
            <w:tcW w:w="7655" w:type="dxa"/>
            <w:vAlign w:val="center"/>
          </w:tcPr>
          <w:p w14:paraId="05F00A70"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SOUČASNÁ TRŽNÍ HODNOTA (CMV), kladná</w:t>
            </w:r>
          </w:p>
          <w:p w14:paraId="64CD1326" w14:textId="77777777" w:rsidR="00EF74C7" w:rsidRPr="002A677E" w:rsidRDefault="00EF74C7" w:rsidP="00822842">
            <w:pPr>
              <w:keepNext/>
              <w:spacing w:before="60"/>
              <w:rPr>
                <w:rFonts w:ascii="Times New Roman" w:hAnsi="Times New Roman"/>
                <w:sz w:val="24"/>
              </w:rPr>
            </w:pPr>
            <w:r>
              <w:rPr>
                <w:rFonts w:ascii="Times New Roman" w:hAnsi="Times New Roman"/>
                <w:sz w:val="24"/>
              </w:rPr>
              <w:t>Viz pokyny ke sloupci 0040 v šabloně C 34.02.</w:t>
            </w:r>
          </w:p>
          <w:p w14:paraId="2A6475F1"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Pokud pro tutéž protistranu existuje několik skupin transakcí se započtením, vykazuje instituce součet skupin transakcí se započtením s kladnou CMV.</w:t>
            </w:r>
          </w:p>
        </w:tc>
      </w:tr>
      <w:tr w:rsidR="00EF74C7" w:rsidRPr="002A677E" w14:paraId="11A7EB1F" w14:textId="77777777" w:rsidTr="00822842">
        <w:trPr>
          <w:trHeight w:val="680"/>
        </w:trPr>
        <w:tc>
          <w:tcPr>
            <w:tcW w:w="1384" w:type="dxa"/>
          </w:tcPr>
          <w:p w14:paraId="7D8B949C" w14:textId="77777777" w:rsidR="00EF74C7" w:rsidRPr="002A677E" w:rsidRDefault="00EF74C7" w:rsidP="00822842">
            <w:pPr>
              <w:pStyle w:val="Applicationdirecte"/>
              <w:spacing w:before="0" w:after="0"/>
            </w:pPr>
            <w:r>
              <w:t>0100</w:t>
            </w:r>
          </w:p>
        </w:tc>
        <w:tc>
          <w:tcPr>
            <w:tcW w:w="7655" w:type="dxa"/>
            <w:vAlign w:val="center"/>
          </w:tcPr>
          <w:p w14:paraId="6ED129D1"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SOUČASNÁ TRŽNÍ HODNOTA (CMV), záporná</w:t>
            </w:r>
          </w:p>
          <w:p w14:paraId="693E2E96" w14:textId="77777777" w:rsidR="00EF74C7" w:rsidRPr="002A677E" w:rsidRDefault="00EF74C7" w:rsidP="00822842">
            <w:pPr>
              <w:keepNext/>
              <w:spacing w:before="60"/>
              <w:rPr>
                <w:rFonts w:ascii="Times New Roman" w:hAnsi="Times New Roman"/>
                <w:sz w:val="24"/>
              </w:rPr>
            </w:pPr>
            <w:r>
              <w:rPr>
                <w:rFonts w:ascii="Times New Roman" w:hAnsi="Times New Roman"/>
                <w:sz w:val="24"/>
              </w:rPr>
              <w:t>Viz pokyny ke sloupci 0040 v šabloně C 34.02.</w:t>
            </w:r>
          </w:p>
          <w:p w14:paraId="118E0D7B"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Pokud pro tutéž protistranu existuje několik skupin transakcí se započtením, vykazuje instituce součet absolutních hodnot skupin transakcí se započtením se zápornou CMV.</w:t>
            </w:r>
          </w:p>
        </w:tc>
      </w:tr>
      <w:tr w:rsidR="00EF74C7" w:rsidRPr="002A677E" w14:paraId="733474D0" w14:textId="77777777" w:rsidTr="00822842">
        <w:trPr>
          <w:trHeight w:val="680"/>
        </w:trPr>
        <w:tc>
          <w:tcPr>
            <w:tcW w:w="1384" w:type="dxa"/>
          </w:tcPr>
          <w:p w14:paraId="71F3CA04" w14:textId="77777777" w:rsidR="00EF74C7" w:rsidRPr="002A677E" w:rsidRDefault="00EF74C7" w:rsidP="00822842">
            <w:pPr>
              <w:pStyle w:val="Applicationdirecte"/>
              <w:spacing w:before="0" w:after="0"/>
            </w:pPr>
            <w:r>
              <w:t>0110</w:t>
            </w:r>
          </w:p>
        </w:tc>
        <w:tc>
          <w:tcPr>
            <w:tcW w:w="7655" w:type="dxa"/>
            <w:vAlign w:val="center"/>
          </w:tcPr>
          <w:p w14:paraId="3099FFC7"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HODNOTA EXPOZICE PO SNÍŽENÍ ÚVĚROVÉHO RIZIKA</w:t>
            </w:r>
          </w:p>
          <w:p w14:paraId="1EF646BE"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Viz pokyny ke sloupci 0160 v šabloně C 34.02. </w:t>
            </w:r>
          </w:p>
          <w:p w14:paraId="6904AB81"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Pokud pro tutéž protistranu existuje několik skupin transakcí se započtením, vykazuje instituce součet hodnot expozice skupin transakcí se započtením po snížení úvěrového rizika.</w:t>
            </w:r>
          </w:p>
        </w:tc>
      </w:tr>
      <w:tr w:rsidR="00EF74C7" w:rsidRPr="002A677E" w14:paraId="2DC25145" w14:textId="77777777" w:rsidTr="00822842">
        <w:trPr>
          <w:trHeight w:val="680"/>
        </w:trPr>
        <w:tc>
          <w:tcPr>
            <w:tcW w:w="1384" w:type="dxa"/>
          </w:tcPr>
          <w:p w14:paraId="3E72408E" w14:textId="77777777" w:rsidR="00EF74C7" w:rsidRPr="002A677E" w:rsidRDefault="00EF74C7" w:rsidP="00822842">
            <w:pPr>
              <w:pStyle w:val="Applicationdirecte"/>
              <w:spacing w:before="0" w:after="0"/>
            </w:pPr>
            <w:r>
              <w:t>0120</w:t>
            </w:r>
          </w:p>
        </w:tc>
        <w:tc>
          <w:tcPr>
            <w:tcW w:w="7655" w:type="dxa"/>
            <w:vAlign w:val="center"/>
          </w:tcPr>
          <w:p w14:paraId="40235E21"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HODNOTA EXPOZICE</w:t>
            </w:r>
          </w:p>
          <w:p w14:paraId="27DEE9F6"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Viz pokyny ke sloupci 0170 v šabloně C 34.02.</w:t>
            </w:r>
          </w:p>
        </w:tc>
      </w:tr>
      <w:tr w:rsidR="00EF74C7" w:rsidRPr="002A677E" w14:paraId="00801519" w14:textId="77777777" w:rsidTr="00822842">
        <w:trPr>
          <w:trHeight w:val="680"/>
        </w:trPr>
        <w:tc>
          <w:tcPr>
            <w:tcW w:w="1384" w:type="dxa"/>
          </w:tcPr>
          <w:p w14:paraId="12B481CF" w14:textId="77777777" w:rsidR="00EF74C7" w:rsidRPr="002A677E" w:rsidRDefault="00EF74C7" w:rsidP="00822842">
            <w:pPr>
              <w:pStyle w:val="Applicationdirecte"/>
              <w:spacing w:before="0" w:after="0"/>
            </w:pPr>
            <w:r>
              <w:t>0130</w:t>
            </w:r>
          </w:p>
        </w:tc>
        <w:tc>
          <w:tcPr>
            <w:tcW w:w="7655" w:type="dxa"/>
            <w:vAlign w:val="center"/>
          </w:tcPr>
          <w:p w14:paraId="31E4AF74"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OBJEM RIZIKOVĚ VÁŽENÝCH EXPOZIC</w:t>
            </w:r>
          </w:p>
          <w:p w14:paraId="2D2BB308"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Viz pokyny ke sloupci 0200 v šabloně C 34.02.</w:t>
            </w:r>
          </w:p>
        </w:tc>
      </w:tr>
    </w:tbl>
    <w:p w14:paraId="4CB615BB" w14:textId="77777777" w:rsidR="00EF74C7" w:rsidRPr="002A677E" w:rsidRDefault="00EF74C7" w:rsidP="00EF74C7">
      <w:pPr>
        <w:pStyle w:val="Titlelevel2"/>
        <w:spacing w:before="120" w:after="120"/>
        <w:jc w:val="both"/>
        <w:rPr>
          <w:rFonts w:ascii="Times New Roman" w:hAnsi="Times New Roman" w:cs="Times New Roman"/>
          <w:color w:val="auto"/>
          <w:sz w:val="24"/>
          <w:lang w:val="en-GB"/>
        </w:rPr>
      </w:pPr>
    </w:p>
    <w:p w14:paraId="006C82E0"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48" w:name="_Toc19715819"/>
      <w:bookmarkStart w:id="49" w:name="_Toc151714459"/>
      <w:r>
        <w:rPr>
          <w:rFonts w:ascii="Times New Roman" w:hAnsi="Times New Roman"/>
          <w:sz w:val="24"/>
        </w:rPr>
        <w:lastRenderedPageBreak/>
        <w:t>C 34.07 – Přístup IRB – expozice s CCR podle kategorie expozic a stupnice PD</w:t>
      </w:r>
      <w:bookmarkEnd w:id="48"/>
      <w:bookmarkEnd w:id="49"/>
      <w:r>
        <w:rPr>
          <w:rFonts w:ascii="Times New Roman" w:hAnsi="Times New Roman"/>
          <w:sz w:val="24"/>
        </w:rPr>
        <w:t xml:space="preserve"> </w:t>
      </w:r>
    </w:p>
    <w:p w14:paraId="5DE58571"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0" w:name="_Toc19715820"/>
      <w:bookmarkStart w:id="51" w:name="_Toc151714460"/>
      <w:r>
        <w:rPr>
          <w:rFonts w:ascii="Times New Roman" w:hAnsi="Times New Roman"/>
          <w:sz w:val="24"/>
        </w:rPr>
        <w:t>Obecné poznámky</w:t>
      </w:r>
      <w:bookmarkEnd w:id="50"/>
      <w:bookmarkEnd w:id="51"/>
    </w:p>
    <w:p w14:paraId="493D377D" w14:textId="08D4F1D7"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128</w:t>
      </w:r>
      <w:r>
        <w:fldChar w:fldCharType="end"/>
      </w:r>
      <w:r>
        <w:t xml:space="preserve">. Tuto šablonu vykazují instituce, které používají pokročilý nebo základní přístup IRB pro výpočet objemů rizikově vážených expozic pro všechny expozice s CCR nebo jejich část v souladu s článkem 107 nařízení (EU) č. 575/2013, bez ohledu na přístup CCR použitý ke stanovení hodnot expozic v souladu s částí třetí hlavou II kapitolami 4 a 6 nařízení (EU) č. 575/2013. </w:t>
      </w:r>
    </w:p>
    <w:p w14:paraId="4C8689E1" w14:textId="222A66BC"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129</w:t>
      </w:r>
      <w:r>
        <w:fldChar w:fldCharType="end"/>
      </w:r>
      <w:r>
        <w:t xml:space="preserve">. Šablona se vykazuje samostatně pro všechny kategorie expozic a pro každou kategorii expozic uvedenou v článku 147 nařízení (EU) č. 575/2013. Tato šablona nezahrnuje expozice s clearingem prostřednictvím ústřední protistrany. </w:t>
      </w:r>
    </w:p>
    <w:p w14:paraId="606463EA" w14:textId="4FB3F052" w:rsidR="00EF74C7" w:rsidRPr="002A677E" w:rsidRDefault="00EF74C7" w:rsidP="00EF74C7">
      <w:pPr>
        <w:pStyle w:val="InstructionsText2"/>
        <w:numPr>
          <w:ilvl w:val="0"/>
          <w:numId w:val="0"/>
        </w:numPr>
        <w:ind w:left="993"/>
      </w:pPr>
      <w:r>
        <w:fldChar w:fldCharType="begin"/>
      </w:r>
      <w:r>
        <w:instrText>seq paragraphs</w:instrText>
      </w:r>
      <w:r>
        <w:fldChar w:fldCharType="separate"/>
      </w:r>
      <w:r>
        <w:t>130</w:t>
      </w:r>
      <w:r>
        <w:fldChar w:fldCharType="end"/>
      </w:r>
      <w:r>
        <w:t>. S cílem objasnit, zda instituce používá vlastní odhady LGD a/nebo konverzní faktory k úvěrovému riziku, se u každé vykazované kategorie expozic uvádí tyto informace:</w:t>
      </w:r>
    </w:p>
    <w:p w14:paraId="0659E66C" w14:textId="77777777" w:rsidR="00EF74C7" w:rsidRPr="002A677E" w:rsidRDefault="00EF74C7" w:rsidP="00EF74C7">
      <w:pPr>
        <w:autoSpaceDE w:val="0"/>
        <w:autoSpaceDN w:val="0"/>
        <w:adjustRightInd w:val="0"/>
        <w:spacing w:after="240"/>
        <w:ind w:left="709"/>
        <w:rPr>
          <w:rFonts w:ascii="Times New Roman" w:hAnsi="Times New Roman"/>
          <w:sz w:val="24"/>
        </w:rPr>
      </w:pPr>
      <w:r>
        <w:rPr>
          <w:rFonts w:ascii="Times New Roman" w:hAnsi="Times New Roman"/>
          <w:sz w:val="24"/>
        </w:rPr>
        <w:t>„NE“ se uvede v případě, že se používají regulatorní odhady LGD a konverzních faktorů k úvěrovému riziku (základní přístup IRB).</w:t>
      </w:r>
    </w:p>
    <w:p w14:paraId="41E96B9D" w14:textId="77777777" w:rsidR="00EF74C7" w:rsidRPr="002A677E" w:rsidRDefault="00EF74C7" w:rsidP="00EF74C7">
      <w:pPr>
        <w:autoSpaceDE w:val="0"/>
        <w:autoSpaceDN w:val="0"/>
        <w:adjustRightInd w:val="0"/>
        <w:spacing w:after="240"/>
        <w:ind w:left="709"/>
        <w:rPr>
          <w:rFonts w:ascii="Times New Roman" w:hAnsi="Times New Roman"/>
          <w:sz w:val="24"/>
        </w:rPr>
      </w:pPr>
      <w:r>
        <w:rPr>
          <w:rFonts w:ascii="Times New Roman" w:hAnsi="Times New Roman"/>
          <w:sz w:val="24"/>
        </w:rPr>
        <w:t xml:space="preserve">„ANO“ se uvede v případě, že se používají vlastní odhady LGD a konverzních faktorů k úvěrovému riziku (pokročilý přístup IRB). </w:t>
      </w:r>
    </w:p>
    <w:p w14:paraId="32D25096"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2" w:name="_Toc19715821"/>
      <w:bookmarkStart w:id="53" w:name="_Toc151714461"/>
      <w:r>
        <w:rPr>
          <w:rFonts w:ascii="Times New Roman" w:hAnsi="Times New Roman"/>
          <w:sz w:val="24"/>
        </w:rPr>
        <w:t>Pokyny pro konkrétní pozice</w:t>
      </w:r>
      <w:bookmarkEnd w:id="52"/>
      <w:bookmarkEnd w:id="53"/>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EF74C7" w:rsidRPr="002A677E" w14:paraId="0D87515F" w14:textId="77777777" w:rsidTr="00822842">
        <w:trPr>
          <w:trHeight w:val="238"/>
        </w:trPr>
        <w:tc>
          <w:tcPr>
            <w:tcW w:w="9067" w:type="dxa"/>
            <w:shd w:val="clear" w:color="auto" w:fill="D9D9D9" w:themeFill="background1" w:themeFillShade="D9"/>
          </w:tcPr>
          <w:p w14:paraId="496A4935"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Sloupce</w:t>
            </w:r>
          </w:p>
        </w:tc>
      </w:tr>
    </w:tbl>
    <w:tbl>
      <w:tblPr>
        <w:tblStyle w:val="TableGrid"/>
        <w:tblW w:w="9067" w:type="dxa"/>
        <w:tblLook w:val="04A0" w:firstRow="1" w:lastRow="0" w:firstColumn="1" w:lastColumn="0" w:noHBand="0" w:noVBand="1"/>
      </w:tblPr>
      <w:tblGrid>
        <w:gridCol w:w="1413"/>
        <w:gridCol w:w="7654"/>
      </w:tblGrid>
      <w:tr w:rsidR="00EF74C7" w:rsidRPr="002A677E" w14:paraId="5CB4A790" w14:textId="77777777" w:rsidTr="00822842">
        <w:tc>
          <w:tcPr>
            <w:tcW w:w="1413" w:type="dxa"/>
          </w:tcPr>
          <w:p w14:paraId="1B495832"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0010</w:t>
            </w:r>
          </w:p>
        </w:tc>
        <w:tc>
          <w:tcPr>
            <w:tcW w:w="7654" w:type="dxa"/>
          </w:tcPr>
          <w:p w14:paraId="67C92FDB"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Hodnota expozice </w:t>
            </w:r>
          </w:p>
          <w:p w14:paraId="2C3DDF84" w14:textId="77777777" w:rsidR="00EF74C7" w:rsidRPr="002A677E" w:rsidRDefault="00EF74C7" w:rsidP="00822842">
            <w:pPr>
              <w:spacing w:before="60" w:after="240"/>
              <w:rPr>
                <w:rFonts w:ascii="Times New Roman" w:hAnsi="Times New Roman"/>
                <w:sz w:val="24"/>
              </w:rPr>
            </w:pPr>
            <w:r>
              <w:rPr>
                <w:rFonts w:ascii="Times New Roman" w:hAnsi="Times New Roman"/>
                <w:sz w:val="24"/>
              </w:rPr>
              <w:t>Hodnota expozice (viz pokyny ke sloupci 0170 v šabloně C 34.02), v členění podle dané stupnice PD</w:t>
            </w:r>
          </w:p>
        </w:tc>
      </w:tr>
      <w:tr w:rsidR="00EF74C7" w:rsidRPr="002A677E" w14:paraId="7A3BA614" w14:textId="77777777" w:rsidTr="00822842">
        <w:tc>
          <w:tcPr>
            <w:tcW w:w="1413" w:type="dxa"/>
          </w:tcPr>
          <w:p w14:paraId="198D2CA3"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0020</w:t>
            </w:r>
          </w:p>
        </w:tc>
        <w:tc>
          <w:tcPr>
            <w:tcW w:w="7654" w:type="dxa"/>
          </w:tcPr>
          <w:p w14:paraId="57F61D37" w14:textId="77777777" w:rsidR="00EF74C7" w:rsidRPr="001235ED" w:rsidRDefault="00EF74C7" w:rsidP="00822842">
            <w:pPr>
              <w:spacing w:before="60" w:after="240"/>
              <w:rPr>
                <w:rStyle w:val="InstructionsTabelleberschrift"/>
                <w:rFonts w:ascii="Times New Roman" w:hAnsi="Times New Roman"/>
                <w:sz w:val="24"/>
              </w:rPr>
            </w:pPr>
            <w:r>
              <w:rPr>
                <w:rStyle w:val="InstructionsTabelleberschrift"/>
                <w:rFonts w:ascii="Times New Roman" w:hAnsi="Times New Roman"/>
                <w:sz w:val="24"/>
              </w:rPr>
              <w:t>Expozicí vážená průměrná hodnota PD (%)</w:t>
            </w:r>
          </w:p>
          <w:p w14:paraId="17CBA312" w14:textId="77777777" w:rsidR="00EF74C7" w:rsidRPr="002A677E" w:rsidRDefault="00EF74C7" w:rsidP="00822842">
            <w:pPr>
              <w:spacing w:before="60" w:after="240"/>
              <w:rPr>
                <w:rFonts w:ascii="Times New Roman" w:hAnsi="Times New Roman"/>
                <w:sz w:val="24"/>
              </w:rPr>
            </w:pPr>
            <w:r>
              <w:rPr>
                <w:rFonts w:ascii="Times New Roman" w:hAnsi="Times New Roman"/>
                <w:sz w:val="24"/>
              </w:rPr>
              <w:t>Průměr PD jednotlivých stupňů dlužníka vážených jejich odpovídající hodnotou expozice, jak je definována ve sloupci 0010</w:t>
            </w:r>
          </w:p>
        </w:tc>
      </w:tr>
      <w:tr w:rsidR="00EF74C7" w:rsidRPr="002A677E" w14:paraId="463531AA" w14:textId="77777777" w:rsidTr="00822842">
        <w:tc>
          <w:tcPr>
            <w:tcW w:w="1413" w:type="dxa"/>
          </w:tcPr>
          <w:p w14:paraId="5D5F447A"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0030</w:t>
            </w:r>
          </w:p>
        </w:tc>
        <w:tc>
          <w:tcPr>
            <w:tcW w:w="7654" w:type="dxa"/>
          </w:tcPr>
          <w:p w14:paraId="2AD2D5DC"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Počet dlužníků </w:t>
            </w:r>
          </w:p>
          <w:p w14:paraId="75633515" w14:textId="77777777" w:rsidR="00EF74C7" w:rsidRPr="002A677E" w:rsidRDefault="00EF74C7" w:rsidP="00822842">
            <w:pPr>
              <w:rPr>
                <w:rFonts w:ascii="Times New Roman" w:hAnsi="Times New Roman"/>
                <w:sz w:val="24"/>
              </w:rPr>
            </w:pPr>
            <w:r>
              <w:rPr>
                <w:rFonts w:ascii="Times New Roman" w:hAnsi="Times New Roman"/>
                <w:sz w:val="24"/>
              </w:rPr>
              <w:t>Počet právních subjektů nebo dlužníků přiřazených ke každému koši pevně stanovené stupnice PD, jež byli ohodnoceni odděleně, bez ohledu na počet různých poskytnutých úvěrů nebo expozic</w:t>
            </w:r>
          </w:p>
          <w:p w14:paraId="79F85080" w14:textId="77777777" w:rsidR="00EF74C7" w:rsidRPr="002A677E" w:rsidRDefault="00EF74C7" w:rsidP="00822842">
            <w:pPr>
              <w:rPr>
                <w:rFonts w:ascii="Times New Roman" w:hAnsi="Times New Roman"/>
                <w:sz w:val="24"/>
              </w:rPr>
            </w:pPr>
            <w:r>
              <w:rPr>
                <w:rFonts w:ascii="Times New Roman" w:hAnsi="Times New Roman"/>
                <w:sz w:val="24"/>
              </w:rPr>
              <w:t>Pokud jsou různé expozice vůči stejnému dlužníkovi ohodnoceny samostatně, započítávají se samostatně. K takové situaci může dojít, pokud jsou různým expozicím vůči témuž dlužníkovi přiřazeny různé ratingové stupně dlužníka v souladu s čl. 172 odst. 1 písm. e) druhou větou nařízení (EU) č. 575/2013.</w:t>
            </w:r>
          </w:p>
        </w:tc>
      </w:tr>
      <w:tr w:rsidR="00EF74C7" w:rsidRPr="002A677E" w14:paraId="239943F5" w14:textId="77777777" w:rsidTr="00822842">
        <w:tc>
          <w:tcPr>
            <w:tcW w:w="1413" w:type="dxa"/>
          </w:tcPr>
          <w:p w14:paraId="01BF27A5"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0040</w:t>
            </w:r>
          </w:p>
        </w:tc>
        <w:tc>
          <w:tcPr>
            <w:tcW w:w="7654" w:type="dxa"/>
          </w:tcPr>
          <w:p w14:paraId="1D60931A" w14:textId="77777777" w:rsidR="00EF74C7" w:rsidRPr="001235ED" w:rsidRDefault="00EF74C7" w:rsidP="00822842">
            <w:pPr>
              <w:spacing w:before="60" w:after="240"/>
              <w:rPr>
                <w:rStyle w:val="InstructionsTabelleberschrift"/>
                <w:rFonts w:ascii="Times New Roman" w:hAnsi="Times New Roman"/>
                <w:sz w:val="24"/>
              </w:rPr>
            </w:pPr>
            <w:r>
              <w:rPr>
                <w:rStyle w:val="InstructionsTabelleberschrift"/>
                <w:rFonts w:ascii="Times New Roman" w:hAnsi="Times New Roman"/>
                <w:sz w:val="24"/>
              </w:rPr>
              <w:t>Expozicí vážená průměrná hodnota LGD (%)</w:t>
            </w:r>
          </w:p>
          <w:p w14:paraId="1CF7FBBB" w14:textId="77777777" w:rsidR="00EF74C7" w:rsidRPr="002A677E" w:rsidRDefault="00EF74C7" w:rsidP="00822842">
            <w:pPr>
              <w:spacing w:before="60" w:after="240"/>
              <w:rPr>
                <w:rFonts w:ascii="Times New Roman" w:hAnsi="Times New Roman"/>
                <w:sz w:val="24"/>
              </w:rPr>
            </w:pPr>
            <w:r>
              <w:rPr>
                <w:rFonts w:ascii="Times New Roman" w:hAnsi="Times New Roman"/>
                <w:sz w:val="24"/>
              </w:rPr>
              <w:lastRenderedPageBreak/>
              <w:t>Průměr LGD stupňů dlužníka vážených jejich odpovídající hodnotou expozice, jak je definována ve sloupci 0010</w:t>
            </w:r>
          </w:p>
          <w:p w14:paraId="7080F0A6" w14:textId="080029A0" w:rsidR="00EF74C7" w:rsidRPr="002A677E" w:rsidRDefault="00EF74C7" w:rsidP="00822842">
            <w:pPr>
              <w:rPr>
                <w:rFonts w:ascii="Times New Roman" w:hAnsi="Times New Roman"/>
                <w:sz w:val="24"/>
              </w:rPr>
            </w:pPr>
            <w:r>
              <w:rPr>
                <w:rFonts w:ascii="Times New Roman" w:hAnsi="Times New Roman"/>
                <w:sz w:val="24"/>
              </w:rPr>
              <w:t>Vykazovaná LGD odpovídá konečnému odhadu LGD použitému pro výpočet objemů rizikově vážených expozic získaných po zvážení případných dopadů snižování úvěrového rizika a podmínek hospodářského poklesu, jak je uvedeno v části třetí hlavě II kapitolách 3 a 4 nařízení (EU) č. 575/2013. Zejména u institucí, které uplatňují přístup IRB, ale nepoužívají vlastní odhady LGD, se dopady finančního kolaterálu na snižování rizika odráží v E*, tedy plně upravené hodnotě expozice, a následně se odráží v LGD* v souladu s článkem 230 nařízení (EU) č. 575/2013. Pokud jsou používány vlastní odhady LGD, zohledňují se ustanovení článku 175 a čl. 181 odst. 1 a 2 nařízení (EU) č. 575/2013.</w:t>
            </w:r>
          </w:p>
          <w:p w14:paraId="1D9D0798" w14:textId="77777777" w:rsidR="00EF74C7" w:rsidRPr="002A677E" w:rsidRDefault="00EF74C7" w:rsidP="00822842">
            <w:pPr>
              <w:rPr>
                <w:rFonts w:ascii="Times New Roman" w:hAnsi="Times New Roman"/>
                <w:sz w:val="24"/>
              </w:rPr>
            </w:pPr>
            <w:r>
              <w:rPr>
                <w:rFonts w:ascii="Times New Roman" w:hAnsi="Times New Roman"/>
                <w:sz w:val="24"/>
              </w:rPr>
              <w:t>V případě, že expozice podléhají přístupu dvojího selhání, odpovídá hodnota LGD, která má být vykázána, LGD vybrané v souladu s čl. 161 odst. 4 nařízení (EU) č. 575/2013.</w:t>
            </w:r>
          </w:p>
          <w:p w14:paraId="2C390C4A" w14:textId="77777777" w:rsidR="00EF74C7" w:rsidRPr="002A677E" w:rsidRDefault="00EF74C7" w:rsidP="00822842">
            <w:pPr>
              <w:spacing w:before="60" w:after="240"/>
              <w:rPr>
                <w:rFonts w:ascii="Times New Roman" w:hAnsi="Times New Roman"/>
                <w:strike/>
                <w:sz w:val="24"/>
              </w:rPr>
            </w:pPr>
            <w:r>
              <w:rPr>
                <w:rFonts w:ascii="Times New Roman" w:hAnsi="Times New Roman"/>
                <w:sz w:val="24"/>
              </w:rPr>
              <w:t xml:space="preserve">V případě expozic, u nichž došlo k selhání podle přístupu A-IRB, se zohlední ustanovení čl. 181 odst. 1 písm. h) nařízení (EU) č. 575/2013. Vykázaná LGD odpovídá odhadu LGD v selhání. </w:t>
            </w:r>
          </w:p>
        </w:tc>
      </w:tr>
      <w:tr w:rsidR="00EF74C7" w:rsidRPr="002A677E" w14:paraId="6EA42417" w14:textId="77777777" w:rsidTr="00822842">
        <w:tc>
          <w:tcPr>
            <w:tcW w:w="1413" w:type="dxa"/>
          </w:tcPr>
          <w:p w14:paraId="49D0D602" w14:textId="77777777" w:rsidR="00EF74C7" w:rsidRPr="002A677E" w:rsidRDefault="00EF74C7" w:rsidP="00822842">
            <w:pPr>
              <w:spacing w:before="60" w:after="240"/>
              <w:rPr>
                <w:rFonts w:ascii="Times New Roman" w:hAnsi="Times New Roman"/>
                <w:sz w:val="24"/>
              </w:rPr>
            </w:pPr>
            <w:r>
              <w:rPr>
                <w:rFonts w:ascii="Times New Roman" w:hAnsi="Times New Roman"/>
                <w:sz w:val="24"/>
              </w:rPr>
              <w:lastRenderedPageBreak/>
              <w:t>0050</w:t>
            </w:r>
          </w:p>
        </w:tc>
        <w:tc>
          <w:tcPr>
            <w:tcW w:w="7654" w:type="dxa"/>
          </w:tcPr>
          <w:p w14:paraId="6BAEF9EB"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Expozicí vážená průměrná splatnost (roky)</w:t>
            </w:r>
          </w:p>
          <w:p w14:paraId="32B69B7E" w14:textId="77777777" w:rsidR="00EF74C7" w:rsidRPr="002A677E" w:rsidRDefault="00EF74C7" w:rsidP="00822842">
            <w:pPr>
              <w:spacing w:before="60"/>
              <w:rPr>
                <w:rFonts w:ascii="Times New Roman" w:hAnsi="Times New Roman"/>
                <w:sz w:val="24"/>
              </w:rPr>
            </w:pPr>
            <w:r>
              <w:rPr>
                <w:rStyle w:val="InstructionsTabelleberschrift"/>
                <w:rFonts w:ascii="Times New Roman" w:hAnsi="Times New Roman"/>
                <w:b w:val="0"/>
                <w:sz w:val="24"/>
                <w:u w:val="none"/>
              </w:rPr>
              <w:t xml:space="preserve">Průměr </w:t>
            </w:r>
            <w:r>
              <w:rPr>
                <w:rFonts w:ascii="Times New Roman" w:hAnsi="Times New Roman"/>
                <w:sz w:val="24"/>
              </w:rPr>
              <w:t>splatností dlužníka vážených jejich odpovídající hodnotou expozice, jak je definována ve sloupci 0010, vyjádřený v letech</w:t>
            </w:r>
          </w:p>
          <w:p w14:paraId="2277F2A3" w14:textId="77777777" w:rsidR="00EF74C7" w:rsidRPr="002A677E" w:rsidRDefault="00EF74C7" w:rsidP="00822842">
            <w:pPr>
              <w:rPr>
                <w:rFonts w:ascii="Times New Roman" w:hAnsi="Times New Roman"/>
                <w:sz w:val="24"/>
              </w:rPr>
            </w:pPr>
            <w:r>
              <w:rPr>
                <w:rFonts w:ascii="Times New Roman" w:hAnsi="Times New Roman"/>
                <w:sz w:val="24"/>
              </w:rPr>
              <w:t xml:space="preserve">Splatnost se určí v souladu s článkem 162 nařízení (EU) č. 575/2013. </w:t>
            </w:r>
          </w:p>
        </w:tc>
      </w:tr>
      <w:tr w:rsidR="00EF74C7" w:rsidRPr="002A677E" w14:paraId="5B18C05A" w14:textId="77777777" w:rsidTr="00822842">
        <w:tc>
          <w:tcPr>
            <w:tcW w:w="1413" w:type="dxa"/>
          </w:tcPr>
          <w:p w14:paraId="2A096E22" w14:textId="77777777" w:rsidR="00EF74C7" w:rsidRPr="002A677E" w:rsidRDefault="00EF74C7" w:rsidP="00822842">
            <w:pPr>
              <w:spacing w:before="60" w:after="240"/>
              <w:rPr>
                <w:sz w:val="24"/>
              </w:rPr>
            </w:pPr>
            <w:r>
              <w:rPr>
                <w:rFonts w:ascii="Times New Roman" w:hAnsi="Times New Roman"/>
                <w:sz w:val="24"/>
              </w:rPr>
              <w:t>0060</w:t>
            </w:r>
          </w:p>
        </w:tc>
        <w:tc>
          <w:tcPr>
            <w:tcW w:w="7654" w:type="dxa"/>
          </w:tcPr>
          <w:p w14:paraId="46D2D7DB" w14:textId="77777777" w:rsidR="00EF74C7" w:rsidRPr="002A677E" w:rsidRDefault="00EF74C7" w:rsidP="00822842">
            <w:pPr>
              <w:spacing w:before="60"/>
              <w:rPr>
                <w:rFonts w:ascii="Times New Roman" w:hAnsi="Times New Roman"/>
                <w:sz w:val="24"/>
              </w:rPr>
            </w:pPr>
            <w:r>
              <w:rPr>
                <w:rStyle w:val="InstructionsTabelleberschrift"/>
                <w:rFonts w:ascii="Times New Roman" w:hAnsi="Times New Roman"/>
                <w:sz w:val="24"/>
              </w:rPr>
              <w:t>Objemy rizikově vážených expozic</w:t>
            </w:r>
            <w:r>
              <w:rPr>
                <w:rFonts w:ascii="Times New Roman" w:hAnsi="Times New Roman"/>
                <w:i/>
                <w:sz w:val="24"/>
              </w:rPr>
              <w:t xml:space="preserve"> </w:t>
            </w:r>
          </w:p>
          <w:p w14:paraId="21AFCDAB" w14:textId="09499DC5" w:rsidR="00EF74C7" w:rsidRPr="002A677E" w:rsidRDefault="00EF74C7" w:rsidP="00822842">
            <w:pPr>
              <w:spacing w:before="60"/>
              <w:rPr>
                <w:rFonts w:ascii="Times New Roman" w:hAnsi="Times New Roman"/>
                <w:sz w:val="24"/>
              </w:rPr>
            </w:pPr>
            <w:r>
              <w:rPr>
                <w:rFonts w:ascii="Times New Roman" w:hAnsi="Times New Roman"/>
                <w:sz w:val="24"/>
              </w:rPr>
              <w:t xml:space="preserve">Objemy rizikově vážených expozic ve smyslu čl. 92 odst. 3 nařízení (EU) č. 575/2013 u pozic, jejichž rizikové váhy se odhadují na základě požadavků stanovených v části třetí hlavě II kapitole 3 nařízení (EU) č. 575/2013 a u nichž se hodnota expozice vyplývající z CCR vypočítá v souladu s částí třetí hlavou II kapitolami 4 a 6 uvedeného nařízení </w:t>
            </w:r>
          </w:p>
          <w:p w14:paraId="7071DC2E" w14:textId="77777777" w:rsidR="00EF74C7" w:rsidRPr="002A677E" w:rsidRDefault="00EF74C7" w:rsidP="00822842">
            <w:pPr>
              <w:spacing w:before="60" w:after="240"/>
              <w:rPr>
                <w:rFonts w:ascii="Times New Roman" w:hAnsi="Times New Roman"/>
                <w:i/>
                <w:sz w:val="24"/>
              </w:rPr>
            </w:pPr>
            <w:r>
              <w:rPr>
                <w:rFonts w:ascii="Times New Roman" w:hAnsi="Times New Roman"/>
                <w:sz w:val="24"/>
              </w:rPr>
              <w:t xml:space="preserve">Zohledňují se podpůrné koeficienty pro malé a střední podniky a infrastrukturu podle článků 501 a 501a nařízení (EU) č. 575/2013. </w:t>
            </w:r>
          </w:p>
        </w:tc>
      </w:tr>
      <w:tr w:rsidR="00EF74C7" w:rsidRPr="002A677E" w14:paraId="4BA3B7AB" w14:textId="77777777" w:rsidTr="00822842">
        <w:tc>
          <w:tcPr>
            <w:tcW w:w="1413" w:type="dxa"/>
          </w:tcPr>
          <w:p w14:paraId="5F982F69" w14:textId="77777777" w:rsidR="00EF74C7" w:rsidRPr="002A677E" w:rsidRDefault="00EF74C7" w:rsidP="00822842">
            <w:pPr>
              <w:spacing w:before="60" w:after="240"/>
              <w:rPr>
                <w:sz w:val="24"/>
              </w:rPr>
            </w:pPr>
            <w:r>
              <w:rPr>
                <w:rFonts w:ascii="Times New Roman" w:hAnsi="Times New Roman"/>
                <w:sz w:val="24"/>
              </w:rPr>
              <w:t>0070</w:t>
            </w:r>
          </w:p>
        </w:tc>
        <w:tc>
          <w:tcPr>
            <w:tcW w:w="7654" w:type="dxa"/>
          </w:tcPr>
          <w:p w14:paraId="6C5FAC81"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Hustota objemů rizikově vážených expozic </w:t>
            </w:r>
          </w:p>
          <w:p w14:paraId="2D69B724" w14:textId="77777777" w:rsidR="00EF74C7" w:rsidRPr="002A677E" w:rsidDel="00291448" w:rsidRDefault="00EF74C7" w:rsidP="00822842">
            <w:pPr>
              <w:spacing w:before="60"/>
              <w:rPr>
                <w:rFonts w:ascii="Times New Roman" w:hAnsi="Times New Roman"/>
                <w:sz w:val="24"/>
              </w:rPr>
            </w:pPr>
            <w:r>
              <w:rPr>
                <w:rFonts w:ascii="Times New Roman" w:hAnsi="Times New Roman"/>
                <w:sz w:val="24"/>
              </w:rPr>
              <w:t>Poměr celkových objemů rizikově vážených expozic (vykazovaných ve sloupci 0060) k hodnotě expozice (vykazované ve sloupci 0010)</w:t>
            </w:r>
          </w:p>
        </w:tc>
      </w:tr>
    </w:tbl>
    <w:p w14:paraId="62CA01EC" w14:textId="77777777" w:rsidR="00EF74C7" w:rsidRPr="002A677E" w:rsidRDefault="00EF74C7" w:rsidP="00EF74C7">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75F0F1C" w14:textId="77777777" w:rsidTr="00822842">
        <w:trPr>
          <w:trHeight w:val="720"/>
        </w:trPr>
        <w:tc>
          <w:tcPr>
            <w:tcW w:w="9039" w:type="dxa"/>
            <w:gridSpan w:val="2"/>
            <w:shd w:val="clear" w:color="auto" w:fill="D9D9D9" w:themeFill="background1" w:themeFillShade="D9"/>
          </w:tcPr>
          <w:p w14:paraId="7AB89CAA"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Řádky </w:t>
            </w:r>
          </w:p>
        </w:tc>
      </w:tr>
      <w:tr w:rsidR="00EF74C7" w:rsidRPr="002A677E" w14:paraId="68004F65" w14:textId="77777777" w:rsidTr="00822842">
        <w:trPr>
          <w:trHeight w:val="680"/>
        </w:trPr>
        <w:tc>
          <w:tcPr>
            <w:tcW w:w="1384" w:type="dxa"/>
          </w:tcPr>
          <w:p w14:paraId="34D367A2" w14:textId="77777777" w:rsidR="00EF74C7" w:rsidRPr="002A677E" w:rsidRDefault="00EF74C7" w:rsidP="00822842">
            <w:pPr>
              <w:pStyle w:val="Applicationdirecte"/>
              <w:spacing w:before="60" w:after="0"/>
              <w:jc w:val="center"/>
            </w:pPr>
            <w:r>
              <w:t>0010–0170</w:t>
            </w:r>
          </w:p>
        </w:tc>
        <w:tc>
          <w:tcPr>
            <w:tcW w:w="7655" w:type="dxa"/>
            <w:vAlign w:val="center"/>
          </w:tcPr>
          <w:p w14:paraId="2D3B901D" w14:textId="77777777" w:rsidR="00EF74C7" w:rsidRPr="002A677E" w:rsidRDefault="00EF74C7" w:rsidP="00822842">
            <w:pPr>
              <w:spacing w:before="60"/>
              <w:rPr>
                <w:rFonts w:ascii="Times New Roman" w:hAnsi="Times New Roman"/>
                <w:b/>
                <w:bCs/>
                <w:sz w:val="24"/>
                <w:u w:val="single"/>
              </w:rPr>
            </w:pPr>
            <w:r>
              <w:rPr>
                <w:rStyle w:val="InstructionsTabelleberschrift"/>
                <w:rFonts w:ascii="Times New Roman" w:hAnsi="Times New Roman"/>
                <w:sz w:val="24"/>
              </w:rPr>
              <w:t>Stupnice PD</w:t>
            </w:r>
          </w:p>
          <w:p w14:paraId="61146F57" w14:textId="68363C58" w:rsidR="00EF74C7" w:rsidRPr="002A677E" w:rsidRDefault="00EF74C7" w:rsidP="00822842">
            <w:pPr>
              <w:spacing w:before="60"/>
              <w:rPr>
                <w:rFonts w:ascii="Times New Roman" w:hAnsi="Times New Roman"/>
                <w:sz w:val="24"/>
              </w:rPr>
            </w:pPr>
            <w:r>
              <w:rPr>
                <w:rFonts w:ascii="Times New Roman" w:hAnsi="Times New Roman"/>
                <w:sz w:val="24"/>
              </w:rPr>
              <w:t xml:space="preserve">Expozice s CCR (stanovené na úrovni protistrany) se přiřadí ke vhodnému koši pevného rozmezí PD na základě PD odhadnuté pro každého dlužníka zařazeného do této kategorie expozic (se zohledněním případné substituce v </w:t>
            </w:r>
            <w:r>
              <w:rPr>
                <w:rFonts w:ascii="Times New Roman" w:hAnsi="Times New Roman"/>
                <w:sz w:val="24"/>
              </w:rPr>
              <w:lastRenderedPageBreak/>
              <w:t>důsledku existence záruky nebo úvěrového derivátu). Instituce přiřadí jednotlivé expozice k rozmezí PD uvedenému v šabloně s přehlédnutím ke kontinuálním stupnicím. Všechny expozice, u nichž došlo k selhání, se zahrnují do koše PD o hodnotě 100 %.</w:t>
            </w:r>
          </w:p>
        </w:tc>
      </w:tr>
    </w:tbl>
    <w:p w14:paraId="6EF2BA05"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54" w:name="_Toc19715822"/>
      <w:bookmarkStart w:id="55" w:name="_Toc151714462"/>
      <w:r>
        <w:rPr>
          <w:rFonts w:ascii="Times New Roman" w:hAnsi="Times New Roman"/>
          <w:sz w:val="24"/>
        </w:rPr>
        <w:lastRenderedPageBreak/>
        <w:t>C 34.08 – Složení kolaterálu pro expozice s CCR</w:t>
      </w:r>
      <w:bookmarkEnd w:id="54"/>
      <w:bookmarkEnd w:id="55"/>
    </w:p>
    <w:p w14:paraId="70D733F8"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6" w:name="_Toc19715823"/>
      <w:bookmarkStart w:id="57" w:name="_Toc151714463"/>
      <w:r>
        <w:rPr>
          <w:rFonts w:ascii="Times New Roman" w:hAnsi="Times New Roman"/>
          <w:sz w:val="24"/>
        </w:rPr>
        <w:t>Obecné poznámky</w:t>
      </w:r>
      <w:bookmarkEnd w:id="56"/>
      <w:bookmarkEnd w:id="57"/>
    </w:p>
    <w:p w14:paraId="0AF1AF80" w14:textId="794CBD92" w:rsidR="00EF74C7" w:rsidRPr="002A677E" w:rsidRDefault="00EF74C7" w:rsidP="00EF74C7">
      <w:pPr>
        <w:pStyle w:val="InstructionsText2"/>
        <w:numPr>
          <w:ilvl w:val="0"/>
          <w:numId w:val="0"/>
        </w:numPr>
        <w:ind w:left="993"/>
      </w:pPr>
      <w:r>
        <w:fldChar w:fldCharType="begin"/>
      </w:r>
      <w:r>
        <w:instrText>seq paragraphs</w:instrText>
      </w:r>
      <w:r>
        <w:fldChar w:fldCharType="separate"/>
      </w:r>
      <w:r>
        <w:t>131</w:t>
      </w:r>
      <w:r>
        <w:fldChar w:fldCharType="end"/>
      </w:r>
      <w:r>
        <w:t xml:space="preserve">. Do této šablony se uvede reálná hodnota kolaterálu (poskytnutého nebo obdrženého) použitého v expozicích s CCR týkajících se derivátových transakcí, transakcí s delší dobou vypořádání nebo transakcí s financováním cenných papírů, bez ohledu na to, zda jsou transakce zúčtovány prostřednictvím ústřední protistrany a zda je ústřední protistraně poskytnut kolaterál, či nikoli. </w:t>
      </w:r>
    </w:p>
    <w:p w14:paraId="74E68575"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8" w:name="_Toc19715824"/>
      <w:bookmarkStart w:id="59" w:name="_Toc151714464"/>
      <w:r>
        <w:rPr>
          <w:rFonts w:ascii="Times New Roman" w:hAnsi="Times New Roman"/>
          <w:sz w:val="24"/>
        </w:rPr>
        <w:t>Pokyny pro konkrétní pozice</w:t>
      </w:r>
      <w:bookmarkEnd w:id="58"/>
      <w:bookmarkEnd w:id="5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302BF743"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9AD00A" w14:textId="77777777" w:rsidR="00EF74C7" w:rsidRPr="002A677E" w:rsidRDefault="00EF74C7" w:rsidP="00822842">
            <w:pPr>
              <w:pStyle w:val="TableMainHeading"/>
              <w:spacing w:before="60"/>
              <w:rPr>
                <w:rFonts w:ascii="Times New Roman" w:hAnsi="Times New Roman"/>
                <w:b/>
                <w:sz w:val="24"/>
                <w:szCs w:val="24"/>
              </w:rPr>
            </w:pPr>
            <w:r>
              <w:rPr>
                <w:rFonts w:ascii="Times New Roman" w:hAnsi="Times New Roman"/>
                <w:b/>
                <w:sz w:val="24"/>
              </w:rPr>
              <w:t xml:space="preserve">Sloupce </w:t>
            </w:r>
          </w:p>
        </w:tc>
      </w:tr>
      <w:tr w:rsidR="00EF74C7" w:rsidRPr="002A677E" w14:paraId="26586561" w14:textId="77777777" w:rsidTr="00822842">
        <w:trPr>
          <w:trHeight w:val="680"/>
        </w:trPr>
        <w:tc>
          <w:tcPr>
            <w:tcW w:w="1384" w:type="dxa"/>
          </w:tcPr>
          <w:p w14:paraId="21B980D6" w14:textId="77777777" w:rsidR="00EF74C7" w:rsidRPr="002A677E" w:rsidRDefault="00EF74C7" w:rsidP="00822842">
            <w:pPr>
              <w:pStyle w:val="Applicationdirecte"/>
              <w:spacing w:before="60" w:after="0"/>
            </w:pPr>
            <w:r>
              <w:t>0010–0080</w:t>
            </w:r>
          </w:p>
        </w:tc>
        <w:tc>
          <w:tcPr>
            <w:tcW w:w="7655" w:type="dxa"/>
            <w:vAlign w:val="center"/>
          </w:tcPr>
          <w:p w14:paraId="64904DC2"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Kolaterál použitý v transakcích s deriváty </w:t>
            </w:r>
          </w:p>
          <w:p w14:paraId="0F03F847" w14:textId="77777777" w:rsidR="00EF74C7" w:rsidRPr="002A677E" w:rsidRDefault="00EF74C7" w:rsidP="00822842">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Instituce vykazují kolaterál (včetně počáteční marže a variační marže) použitý v expozicích s CCR týkajících se jakéhokoli derivátového nástroje uvedeného v příloze II nařízení (EU) č. 575/2013 nebo transakce s delší dobou vypořádání podle čl. 272 bodu 2 téhož nařízení, které nelze považovat za transakce s financováním cenných papírů. </w:t>
            </w:r>
          </w:p>
        </w:tc>
      </w:tr>
      <w:tr w:rsidR="00EF74C7" w:rsidRPr="002A677E" w14:paraId="1B7CDC53" w14:textId="77777777" w:rsidTr="00822842">
        <w:trPr>
          <w:trHeight w:val="680"/>
        </w:trPr>
        <w:tc>
          <w:tcPr>
            <w:tcW w:w="1384" w:type="dxa"/>
          </w:tcPr>
          <w:p w14:paraId="28360CD0" w14:textId="77777777" w:rsidR="00EF74C7" w:rsidRPr="002A677E" w:rsidRDefault="00EF74C7" w:rsidP="00822842">
            <w:pPr>
              <w:pStyle w:val="Applicationdirecte"/>
              <w:spacing w:before="60" w:after="0"/>
            </w:pPr>
            <w:r>
              <w:t>0090–0180</w:t>
            </w:r>
          </w:p>
        </w:tc>
        <w:tc>
          <w:tcPr>
            <w:tcW w:w="7655" w:type="dxa"/>
            <w:vAlign w:val="center"/>
          </w:tcPr>
          <w:p w14:paraId="3C96417C"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Kolaterál použitý v transakcích s financováním cenných papírů </w:t>
            </w:r>
          </w:p>
          <w:p w14:paraId="6B5AF52E" w14:textId="77777777" w:rsidR="00EF74C7" w:rsidRPr="002A677E" w:rsidRDefault="00EF74C7" w:rsidP="00822842">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Instituce vykazují kolaterál (včetně počáteční marže a variační marže, jakož i kolaterálu uvedeného jako zajištění transakce s financováním cenných papírů), který se používá v expozicích s CCR v souvislosti s jakoukoli transakcí s financováním cenných papírů nebo transakcí s delší dobou vypořádání, kterou nelze považovat za derivátovou. </w:t>
            </w:r>
          </w:p>
        </w:tc>
      </w:tr>
      <w:tr w:rsidR="00EF74C7" w:rsidRPr="002A677E" w14:paraId="0B6009FC" w14:textId="77777777" w:rsidTr="00822842">
        <w:trPr>
          <w:trHeight w:val="416"/>
        </w:trPr>
        <w:tc>
          <w:tcPr>
            <w:tcW w:w="1384" w:type="dxa"/>
          </w:tcPr>
          <w:p w14:paraId="201D2450" w14:textId="77777777" w:rsidR="00EF74C7" w:rsidRPr="002A677E" w:rsidRDefault="00EF74C7" w:rsidP="00822842">
            <w:pPr>
              <w:pStyle w:val="Applicationdirecte"/>
              <w:spacing w:before="60" w:after="0"/>
            </w:pPr>
            <w:r>
              <w:t>0010, 0020, 0050, 0060, 0090, 0100, 0140, 0150</w:t>
            </w:r>
          </w:p>
        </w:tc>
        <w:tc>
          <w:tcPr>
            <w:tcW w:w="7655" w:type="dxa"/>
            <w:vAlign w:val="center"/>
          </w:tcPr>
          <w:p w14:paraId="1906C178"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Oddělený</w:t>
            </w:r>
          </w:p>
          <w:p w14:paraId="3338D91C" w14:textId="77777777" w:rsidR="00EF74C7" w:rsidRPr="002A677E" w:rsidRDefault="00EF74C7" w:rsidP="00822842">
            <w:pPr>
              <w:spacing w:before="60"/>
              <w:rPr>
                <w:rStyle w:val="InstructionsTabelleberschrift"/>
                <w:rFonts w:ascii="Times New Roman" w:hAnsi="Times New Roman"/>
                <w:sz w:val="24"/>
              </w:rPr>
            </w:pPr>
            <w:r>
              <w:rPr>
                <w:rFonts w:ascii="Times New Roman" w:hAnsi="Times New Roman"/>
                <w:sz w:val="24"/>
              </w:rPr>
              <w:t>Ustanovení čl. 300 odst. 1 nařízení (EU) č. 575/2013</w:t>
            </w:r>
          </w:p>
          <w:p w14:paraId="26EDC9B6" w14:textId="77777777" w:rsidR="00EF74C7" w:rsidRPr="002A677E" w:rsidRDefault="00EF74C7" w:rsidP="00822842">
            <w:pPr>
              <w:spacing w:before="60"/>
              <w:rPr>
                <w:rFonts w:ascii="Times New Roman" w:hAnsi="Times New Roman"/>
                <w:sz w:val="24"/>
              </w:rPr>
            </w:pPr>
            <w:r>
              <w:rPr>
                <w:rFonts w:ascii="Times New Roman" w:hAnsi="Times New Roman"/>
                <w:sz w:val="24"/>
              </w:rPr>
              <w:t>Instituce vykazují kolaterál, který je držen způsobem odolným vůči úpadku podle čl. 300 bodu 1 nařízení (EU) č. 575/2013, dále rozčleněný na kolaterál ve formě počáteční nebo variační marže.</w:t>
            </w:r>
          </w:p>
        </w:tc>
      </w:tr>
      <w:tr w:rsidR="00EF74C7" w:rsidRPr="002A677E" w14:paraId="72806B64" w14:textId="77777777" w:rsidTr="00822842">
        <w:trPr>
          <w:trHeight w:val="680"/>
        </w:trPr>
        <w:tc>
          <w:tcPr>
            <w:tcW w:w="1384" w:type="dxa"/>
          </w:tcPr>
          <w:p w14:paraId="7E6BCB3B" w14:textId="77777777" w:rsidR="00EF74C7" w:rsidRPr="002A677E" w:rsidRDefault="00EF74C7" w:rsidP="00822842">
            <w:pPr>
              <w:pStyle w:val="Applicationdirecte"/>
              <w:spacing w:before="60" w:after="0"/>
            </w:pPr>
            <w:r>
              <w:t xml:space="preserve">0030, 0040, 0070, 0080, 0110, 0120, 0130, 0160, 0170, 0180 </w:t>
            </w:r>
          </w:p>
        </w:tc>
        <w:tc>
          <w:tcPr>
            <w:tcW w:w="7655" w:type="dxa"/>
          </w:tcPr>
          <w:p w14:paraId="0860899A"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Neoddělený </w:t>
            </w:r>
          </w:p>
          <w:p w14:paraId="7A8B9376" w14:textId="77777777" w:rsidR="00EF74C7" w:rsidRPr="002A677E" w:rsidRDefault="00EF74C7" w:rsidP="00822842">
            <w:pPr>
              <w:spacing w:before="60"/>
              <w:rPr>
                <w:rStyle w:val="InstructionsTabelleberschrift"/>
                <w:rFonts w:ascii="Times New Roman" w:hAnsi="Times New Roman"/>
                <w:sz w:val="24"/>
              </w:rPr>
            </w:pPr>
            <w:r>
              <w:rPr>
                <w:rFonts w:ascii="Times New Roman" w:hAnsi="Times New Roman"/>
                <w:sz w:val="24"/>
              </w:rPr>
              <w:t>Ustanovení čl. 300 odst. 1 nařízení (EU) č. 575/2013</w:t>
            </w:r>
          </w:p>
          <w:p w14:paraId="57A510C0" w14:textId="77777777" w:rsidR="00EF74C7" w:rsidRPr="002A677E" w:rsidRDefault="00EF74C7" w:rsidP="00822842">
            <w:pPr>
              <w:rPr>
                <w:rFonts w:ascii="Times New Roman" w:hAnsi="Times New Roman"/>
                <w:sz w:val="24"/>
              </w:rPr>
            </w:pPr>
            <w:r>
              <w:rPr>
                <w:rFonts w:ascii="Times New Roman" w:hAnsi="Times New Roman"/>
                <w:sz w:val="24"/>
              </w:rPr>
              <w:t>Instituce vykazují kolaterál, který není držen způsobem odolným vůči úpadku podle čl. 300 bodu 1 nařízení (EU) č. 575/2013, dále rozčleněný na počáteční marži, variační marži a zajištění transakcí s financováním cenných papírů.</w:t>
            </w:r>
          </w:p>
        </w:tc>
      </w:tr>
      <w:tr w:rsidR="00EF74C7" w:rsidRPr="002A677E" w14:paraId="10122572" w14:textId="77777777" w:rsidTr="00822842">
        <w:trPr>
          <w:trHeight w:val="680"/>
        </w:trPr>
        <w:tc>
          <w:tcPr>
            <w:tcW w:w="1384" w:type="dxa"/>
          </w:tcPr>
          <w:p w14:paraId="43A4CCC5" w14:textId="77777777" w:rsidR="00EF74C7" w:rsidRPr="002A677E" w:rsidRDefault="00EF74C7" w:rsidP="00822842">
            <w:pPr>
              <w:pStyle w:val="Applicationdirecte"/>
              <w:spacing w:before="60" w:after="0"/>
            </w:pPr>
            <w:r>
              <w:t xml:space="preserve">0010, 0030, 0050, 0070, </w:t>
            </w:r>
            <w:r>
              <w:lastRenderedPageBreak/>
              <w:t>0090, 0110, 0140, 0160</w:t>
            </w:r>
          </w:p>
        </w:tc>
        <w:tc>
          <w:tcPr>
            <w:tcW w:w="7655" w:type="dxa"/>
            <w:vAlign w:val="center"/>
          </w:tcPr>
          <w:p w14:paraId="24507BB5"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lastRenderedPageBreak/>
              <w:t>Počáteční marže</w:t>
            </w:r>
          </w:p>
          <w:p w14:paraId="3EA695F0" w14:textId="77777777" w:rsidR="00EF74C7" w:rsidRPr="002A677E" w:rsidRDefault="00EF74C7" w:rsidP="00822842">
            <w:pPr>
              <w:spacing w:before="60"/>
              <w:rPr>
                <w:rFonts w:ascii="Times New Roman" w:hAnsi="Times New Roman"/>
                <w:sz w:val="24"/>
              </w:rPr>
            </w:pPr>
            <w:r>
              <w:rPr>
                <w:rFonts w:ascii="Times New Roman" w:hAnsi="Times New Roman"/>
                <w:sz w:val="24"/>
              </w:rPr>
              <w:t>Ustanovení čl. 4 odst. 1 bodu 140 nařízení (EU) č. 575/2013</w:t>
            </w:r>
          </w:p>
          <w:p w14:paraId="17D2E118" w14:textId="77777777" w:rsidR="00EF74C7" w:rsidRPr="002A677E" w:rsidRDefault="00EF74C7" w:rsidP="00822842">
            <w:pPr>
              <w:spacing w:before="60"/>
              <w:rPr>
                <w:rFonts w:ascii="Times New Roman" w:hAnsi="Times New Roman"/>
                <w:sz w:val="24"/>
              </w:rPr>
            </w:pPr>
            <w:r>
              <w:rPr>
                <w:rFonts w:ascii="Times New Roman" w:hAnsi="Times New Roman"/>
                <w:sz w:val="24"/>
              </w:rPr>
              <w:lastRenderedPageBreak/>
              <w:t>Instituce vykazují reálné hodnoty obdrženého nebo poskytnutého kolaterálu jako počáteční marži (definovanou v čl. 4 odst. 1 bodě 140 nařízení (EU) č. 575/2013).</w:t>
            </w:r>
          </w:p>
        </w:tc>
      </w:tr>
      <w:tr w:rsidR="00EF74C7" w:rsidRPr="002A677E" w14:paraId="32DE18A2" w14:textId="77777777" w:rsidTr="00822842">
        <w:trPr>
          <w:trHeight w:val="680"/>
        </w:trPr>
        <w:tc>
          <w:tcPr>
            <w:tcW w:w="1384" w:type="dxa"/>
          </w:tcPr>
          <w:p w14:paraId="23334415" w14:textId="77777777" w:rsidR="00EF74C7" w:rsidRPr="002A677E" w:rsidRDefault="00EF74C7" w:rsidP="00822842">
            <w:pPr>
              <w:pStyle w:val="Applicationdirecte"/>
              <w:spacing w:before="60" w:after="0"/>
            </w:pPr>
            <w:r>
              <w:lastRenderedPageBreak/>
              <w:t>0020, 0040, 0060, 0080, 0100, 0120, 0150, 0170</w:t>
            </w:r>
          </w:p>
        </w:tc>
        <w:tc>
          <w:tcPr>
            <w:tcW w:w="7655" w:type="dxa"/>
            <w:vAlign w:val="center"/>
          </w:tcPr>
          <w:p w14:paraId="00C79FEA"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Variační marže</w:t>
            </w:r>
          </w:p>
          <w:p w14:paraId="054E9606"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Instituce vykazují reálné hodnoty obdrženého nebo poskytnutého kolaterálu jako variační marži.</w:t>
            </w:r>
          </w:p>
        </w:tc>
      </w:tr>
      <w:tr w:rsidR="00EF74C7" w:rsidRPr="002A677E" w14:paraId="1FB544F3" w14:textId="77777777" w:rsidTr="00822842">
        <w:trPr>
          <w:trHeight w:val="680"/>
        </w:trPr>
        <w:tc>
          <w:tcPr>
            <w:tcW w:w="1384" w:type="dxa"/>
          </w:tcPr>
          <w:p w14:paraId="0D63C386" w14:textId="77777777" w:rsidR="00EF74C7" w:rsidRPr="002A677E" w:rsidRDefault="00EF74C7" w:rsidP="00822842">
            <w:pPr>
              <w:pStyle w:val="Applicationdirecte"/>
              <w:spacing w:before="60" w:after="0"/>
            </w:pPr>
            <w:r>
              <w:t>0130, 0180</w:t>
            </w:r>
          </w:p>
        </w:tc>
        <w:tc>
          <w:tcPr>
            <w:tcW w:w="7655" w:type="dxa"/>
            <w:vAlign w:val="center"/>
          </w:tcPr>
          <w:p w14:paraId="47509680"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Zajištění transakcí s financováním cenných papírů </w:t>
            </w:r>
          </w:p>
          <w:p w14:paraId="79AA9223" w14:textId="77777777" w:rsidR="00EF74C7" w:rsidRPr="002A677E" w:rsidRDefault="00EF74C7" w:rsidP="00822842">
            <w:pPr>
              <w:spacing w:before="60"/>
              <w:rPr>
                <w:rFonts w:ascii="Times New Roman" w:eastAsia="Calibri" w:hAnsi="Times New Roman"/>
                <w:i/>
                <w:sz w:val="24"/>
              </w:rPr>
            </w:pPr>
            <w:r>
              <w:rPr>
                <w:rFonts w:ascii="Times New Roman" w:hAnsi="Times New Roman"/>
                <w:sz w:val="24"/>
              </w:rPr>
              <w:t>Instituce vykazují reálné hodnoty kolaterálu, který je v transakcích s financováním cenných papírů uveden jako zajištění (např. zajišťovací složka transakcí s financováním cenných papírů, která byla obdržena, ve sloupci 0130 nebo poskytnuta, ve sloupci 0180).</w:t>
            </w:r>
          </w:p>
        </w:tc>
      </w:tr>
    </w:tbl>
    <w:p w14:paraId="0822D80D" w14:textId="77777777" w:rsidR="00EF74C7" w:rsidRPr="002A677E" w:rsidRDefault="00EF74C7" w:rsidP="00EF74C7">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1207939" w14:textId="77777777" w:rsidTr="00822842">
        <w:trPr>
          <w:trHeight w:val="238"/>
        </w:trPr>
        <w:tc>
          <w:tcPr>
            <w:tcW w:w="9039" w:type="dxa"/>
            <w:gridSpan w:val="2"/>
            <w:shd w:val="clear" w:color="auto" w:fill="D9D9D9" w:themeFill="background1" w:themeFillShade="D9"/>
          </w:tcPr>
          <w:p w14:paraId="3BC71FEC"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Řádky </w:t>
            </w:r>
          </w:p>
        </w:tc>
      </w:tr>
      <w:tr w:rsidR="00EF74C7" w:rsidRPr="002A677E" w14:paraId="69BA6111"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D76D67"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8CDF43"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Typ kolaterálu</w:t>
            </w:r>
          </w:p>
          <w:p w14:paraId="4B5DD4D2"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Členění podle různých typů kolaterálu</w:t>
            </w:r>
          </w:p>
        </w:tc>
      </w:tr>
    </w:tbl>
    <w:p w14:paraId="2E2AAEC8" w14:textId="77777777" w:rsidR="00EF74C7" w:rsidRPr="002A677E" w:rsidRDefault="00EF74C7" w:rsidP="00EF74C7">
      <w:pPr>
        <w:pStyle w:val="Titlelevel2"/>
        <w:spacing w:before="120" w:after="120"/>
        <w:rPr>
          <w:rFonts w:ascii="Times New Roman" w:hAnsi="Times New Roman" w:cs="Times New Roman"/>
          <w:color w:val="auto"/>
          <w:sz w:val="24"/>
        </w:rPr>
      </w:pPr>
    </w:p>
    <w:p w14:paraId="367FEDD2"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60" w:name="_Toc19715825"/>
      <w:bookmarkStart w:id="61" w:name="_Toc151714465"/>
      <w:r>
        <w:rPr>
          <w:rFonts w:ascii="Times New Roman" w:hAnsi="Times New Roman"/>
          <w:sz w:val="24"/>
        </w:rPr>
        <w:t>C 34.09 – Expozice úvěrových derivátů</w:t>
      </w:r>
      <w:bookmarkEnd w:id="60"/>
      <w:bookmarkEnd w:id="61"/>
    </w:p>
    <w:p w14:paraId="64D36FD9"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62" w:name="_Toc19715826"/>
      <w:bookmarkStart w:id="63" w:name="_Toc151714466"/>
      <w:r>
        <w:rPr>
          <w:rFonts w:ascii="Times New Roman" w:hAnsi="Times New Roman"/>
          <w:sz w:val="24"/>
        </w:rPr>
        <w:t>Pokyny pro konkrétní pozice</w:t>
      </w:r>
      <w:bookmarkEnd w:id="62"/>
      <w:bookmarkEnd w:id="6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BDE15E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76BA84"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 xml:space="preserve">Sloupce </w:t>
            </w:r>
          </w:p>
        </w:tc>
      </w:tr>
      <w:tr w:rsidR="00EF74C7" w:rsidRPr="002A677E" w14:paraId="09C3983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FAD805"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3E0BE3"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ZAJIŠTĚNÍ ÚVĚROVÝCH DERIVÁTŮ</w:t>
            </w:r>
          </w:p>
          <w:p w14:paraId="7A5AD5A8" w14:textId="77777777" w:rsidR="00EF74C7" w:rsidRPr="002A677E" w:rsidRDefault="00EF74C7" w:rsidP="00822842">
            <w:pPr>
              <w:autoSpaceDE w:val="0"/>
              <w:autoSpaceDN w:val="0"/>
              <w:adjustRightInd w:val="0"/>
              <w:spacing w:before="60"/>
              <w:rPr>
                <w:rFonts w:ascii="Times New Roman" w:hAnsi="Times New Roman"/>
                <w:b/>
                <w:sz w:val="24"/>
              </w:rPr>
            </w:pPr>
            <w:r>
              <w:rPr>
                <w:rFonts w:ascii="Times New Roman" w:hAnsi="Times New Roman"/>
                <w:sz w:val="24"/>
              </w:rPr>
              <w:t>Koupené nebo prodané zajištění úvěrového derivátu</w:t>
            </w:r>
          </w:p>
        </w:tc>
      </w:tr>
      <w:tr w:rsidR="00EF74C7" w:rsidRPr="002A677E" w14:paraId="3E4575D5"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B2B445"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BA8970"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POMYSLNÉ HODNOTY </w:t>
            </w:r>
          </w:p>
          <w:p w14:paraId="10378DBE" w14:textId="77777777" w:rsidR="00EF74C7" w:rsidRPr="002A677E" w:rsidRDefault="00EF74C7" w:rsidP="00822842">
            <w:pPr>
              <w:autoSpaceDE w:val="0"/>
              <w:autoSpaceDN w:val="0"/>
              <w:adjustRightInd w:val="0"/>
              <w:spacing w:before="60"/>
              <w:rPr>
                <w:rFonts w:ascii="Times New Roman" w:hAnsi="Times New Roman"/>
                <w:i/>
                <w:sz w:val="24"/>
              </w:rPr>
            </w:pPr>
            <w:r>
              <w:rPr>
                <w:rFonts w:ascii="Times New Roman" w:hAnsi="Times New Roman"/>
                <w:sz w:val="24"/>
              </w:rPr>
              <w:t>Součet pomyslných derivátových částek před započtením v členění podle typu produktu</w:t>
            </w:r>
          </w:p>
        </w:tc>
      </w:tr>
      <w:tr w:rsidR="00EF74C7" w:rsidRPr="002A677E" w14:paraId="77CA12A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C654FC"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8B6EA8B" w14:textId="77777777" w:rsidR="00EF74C7" w:rsidRPr="002A677E" w:rsidRDefault="00EF74C7" w:rsidP="00822842">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REÁLNÉ HODNOTY</w:t>
            </w:r>
          </w:p>
          <w:p w14:paraId="3C50834E" w14:textId="77777777" w:rsidR="00EF74C7" w:rsidRPr="002A677E" w:rsidRDefault="00EF74C7" w:rsidP="00822842">
            <w:pPr>
              <w:autoSpaceDE w:val="0"/>
              <w:autoSpaceDN w:val="0"/>
              <w:adjustRightInd w:val="0"/>
              <w:spacing w:before="60"/>
              <w:rPr>
                <w:rFonts w:ascii="Times New Roman" w:hAnsi="Times New Roman"/>
                <w:i/>
                <w:sz w:val="24"/>
              </w:rPr>
            </w:pPr>
            <w:r>
              <w:rPr>
                <w:rFonts w:ascii="Times New Roman" w:hAnsi="Times New Roman"/>
                <w:sz w:val="24"/>
              </w:rPr>
              <w:t xml:space="preserve">Součet reálných hodnot v členění podle koupeného a prodaného zajištění </w:t>
            </w:r>
          </w:p>
        </w:tc>
      </w:tr>
    </w:tbl>
    <w:p w14:paraId="1E39E61C" w14:textId="77777777" w:rsidR="00EF74C7" w:rsidRPr="002A677E" w:rsidRDefault="00EF74C7" w:rsidP="00EF74C7">
      <w:pPr>
        <w:pStyle w:val="InstructionsText2"/>
        <w:numPr>
          <w:ilvl w:val="0"/>
          <w:numId w:val="0"/>
        </w:numPr>
        <w:ind w:left="993"/>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0B4D4225" w14:textId="77777777" w:rsidTr="00822842">
        <w:trPr>
          <w:trHeight w:val="238"/>
        </w:trPr>
        <w:tc>
          <w:tcPr>
            <w:tcW w:w="9039" w:type="dxa"/>
            <w:gridSpan w:val="2"/>
            <w:shd w:val="clear" w:color="auto" w:fill="D9D9D9" w:themeFill="background1" w:themeFillShade="D9"/>
          </w:tcPr>
          <w:p w14:paraId="2E3D936B"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Řádky </w:t>
            </w:r>
          </w:p>
        </w:tc>
      </w:tr>
      <w:tr w:rsidR="00EF74C7" w:rsidRPr="002A677E" w14:paraId="7760BE0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EF49DA"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F103D1"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Druh produktu</w:t>
            </w:r>
          </w:p>
          <w:p w14:paraId="6C2C37AC"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Členění typů úvěrových derivátových produktů</w:t>
            </w:r>
          </w:p>
        </w:tc>
      </w:tr>
      <w:tr w:rsidR="00EF74C7" w:rsidRPr="002A677E" w14:paraId="4256109A"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667518"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A70B3C"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Celkem</w:t>
            </w:r>
          </w:p>
          <w:p w14:paraId="6166DDC1" w14:textId="77777777" w:rsidR="00EF74C7" w:rsidRPr="002A677E" w:rsidRDefault="00EF74C7" w:rsidP="00822842">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Součet všech typů produktů</w:t>
            </w:r>
          </w:p>
        </w:tc>
      </w:tr>
      <w:tr w:rsidR="00EF74C7" w:rsidRPr="002A677E" w14:paraId="32F011E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C7B577"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lastRenderedPageBreak/>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89880C"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Reálné hodnoty</w:t>
            </w:r>
          </w:p>
          <w:p w14:paraId="69350AE6" w14:textId="77777777" w:rsidR="00EF74C7" w:rsidRPr="002A677E" w:rsidRDefault="00EF74C7" w:rsidP="00822842">
            <w:pPr>
              <w:autoSpaceDE w:val="0"/>
              <w:autoSpaceDN w:val="0"/>
              <w:adjustRightInd w:val="0"/>
              <w:rPr>
                <w:rFonts w:ascii="Times New Roman" w:hAnsi="Times New Roman"/>
                <w:bCs/>
                <w:sz w:val="24"/>
              </w:rPr>
            </w:pPr>
            <w:r>
              <w:rPr>
                <w:rFonts w:ascii="Times New Roman" w:hAnsi="Times New Roman"/>
                <w:sz w:val="24"/>
              </w:rPr>
              <w:t>Reálné hodnoty v členění podle typu produktu, aktiv (kladné reálné hodnoty) a pasiv (záporné reálné hodnoty)</w:t>
            </w:r>
          </w:p>
        </w:tc>
      </w:tr>
    </w:tbl>
    <w:p w14:paraId="3EEB26BA" w14:textId="77777777" w:rsidR="00EF74C7" w:rsidRPr="002A677E" w:rsidRDefault="00EF74C7" w:rsidP="00EF74C7">
      <w:pPr>
        <w:pStyle w:val="Titlelevel2"/>
        <w:spacing w:before="120" w:after="120"/>
        <w:rPr>
          <w:rFonts w:ascii="Times New Roman" w:hAnsi="Times New Roman" w:cs="Times New Roman"/>
          <w:b/>
          <w:color w:val="auto"/>
          <w:sz w:val="24"/>
        </w:rPr>
      </w:pPr>
    </w:p>
    <w:p w14:paraId="5E3991AC"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64" w:name="_Toc19715827"/>
      <w:bookmarkStart w:id="65" w:name="_Toc151714467"/>
      <w:r>
        <w:rPr>
          <w:rFonts w:ascii="Times New Roman" w:hAnsi="Times New Roman"/>
          <w:sz w:val="24"/>
        </w:rPr>
        <w:t>C 34.10 – Expozice vůči ústředním protistranám</w:t>
      </w:r>
      <w:bookmarkEnd w:id="64"/>
      <w:bookmarkEnd w:id="65"/>
    </w:p>
    <w:p w14:paraId="61966719"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66" w:name="_Toc19715828"/>
      <w:bookmarkStart w:id="67" w:name="_Toc151714468"/>
      <w:r>
        <w:rPr>
          <w:rFonts w:ascii="Times New Roman" w:hAnsi="Times New Roman"/>
          <w:sz w:val="24"/>
        </w:rPr>
        <w:t>Obecné poznámky</w:t>
      </w:r>
      <w:bookmarkEnd w:id="66"/>
      <w:bookmarkEnd w:id="67"/>
    </w:p>
    <w:p w14:paraId="61FE0E56" w14:textId="36BE8166" w:rsidR="00EF74C7" w:rsidRPr="002A677E" w:rsidRDefault="00EF74C7" w:rsidP="00EF74C7">
      <w:pPr>
        <w:pStyle w:val="InstructionsText2"/>
        <w:numPr>
          <w:ilvl w:val="0"/>
          <w:numId w:val="0"/>
        </w:numPr>
        <w:ind w:left="993"/>
      </w:pPr>
      <w:r>
        <w:fldChar w:fldCharType="begin"/>
      </w:r>
      <w:r>
        <w:instrText>seq paragraphs</w:instrText>
      </w:r>
      <w:r>
        <w:fldChar w:fldCharType="separate"/>
      </w:r>
      <w:r>
        <w:t>132</w:t>
      </w:r>
      <w:r>
        <w:fldChar w:fldCharType="end"/>
      </w:r>
      <w:r>
        <w:t xml:space="preserve">. Instituce vykazují informace o expozicích vůči ústředním protistranám, tj. smlouvách a transakcích uvedených v čl. 301 bodu 1 nařízení (EU) č. 575/2013, dokud jsou u ústřední protistrany nesplacené, a o expozicích z transakcí souvisejících s ústřední protistranou v souladu s čl. 300 bodem 2 uvedeného nařízení, pro které se kapitálové požadavky vypočítávají v souladu s částí třetí hlavou II kapitolou 6 oddílem 9 uvedeného nařízení. </w:t>
      </w:r>
    </w:p>
    <w:p w14:paraId="6A78D46D"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68" w:name="_Toc19715829"/>
      <w:bookmarkStart w:id="69" w:name="_Toc151714469"/>
      <w:r>
        <w:rPr>
          <w:rFonts w:ascii="Times New Roman" w:hAnsi="Times New Roman"/>
          <w:sz w:val="24"/>
        </w:rPr>
        <w:t>Pokyny pro konkrétní pozice</w:t>
      </w:r>
      <w:bookmarkEnd w:id="68"/>
      <w:bookmarkEnd w:id="6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9273B6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7A5BF9"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 xml:space="preserve">Sloupce </w:t>
            </w:r>
          </w:p>
        </w:tc>
      </w:tr>
      <w:tr w:rsidR="00EF74C7" w:rsidRPr="002A677E" w14:paraId="124AAA9B" w14:textId="77777777" w:rsidTr="00822842">
        <w:trPr>
          <w:trHeight w:val="680"/>
        </w:trPr>
        <w:tc>
          <w:tcPr>
            <w:tcW w:w="1384" w:type="dxa"/>
          </w:tcPr>
          <w:p w14:paraId="011E66AA" w14:textId="77777777" w:rsidR="00EF74C7" w:rsidRPr="002A677E" w:rsidRDefault="00EF74C7" w:rsidP="00822842">
            <w:pPr>
              <w:pStyle w:val="Applicationdirecte"/>
              <w:spacing w:before="0" w:after="0"/>
            </w:pPr>
            <w:r>
              <w:t>0010</w:t>
            </w:r>
          </w:p>
        </w:tc>
        <w:tc>
          <w:tcPr>
            <w:tcW w:w="7655" w:type="dxa"/>
            <w:vAlign w:val="center"/>
          </w:tcPr>
          <w:p w14:paraId="06553A7D"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HODNOTA EXPOZICE </w:t>
            </w:r>
          </w:p>
          <w:p w14:paraId="0EB17FC4" w14:textId="77777777" w:rsidR="00EF74C7" w:rsidRPr="002A677E" w:rsidRDefault="00EF74C7" w:rsidP="00822842">
            <w:pPr>
              <w:keepNext/>
              <w:spacing w:before="60"/>
              <w:rPr>
                <w:rFonts w:ascii="Times New Roman" w:hAnsi="Times New Roman"/>
                <w:sz w:val="24"/>
              </w:rPr>
            </w:pPr>
            <w:r>
              <w:rPr>
                <w:rFonts w:ascii="Times New Roman" w:hAnsi="Times New Roman"/>
                <w:sz w:val="24"/>
              </w:rPr>
              <w:t>Hodnota expozice transakcí spadajících do oblasti působnosti části třetí hlavy II kapitoly 6 oddílu 9 nařízení (EU) č. 575/2013 vypočtená podle příslušných metod stanovených v uvedené kapitole, a zejména v jejím oddíle 9</w:t>
            </w:r>
          </w:p>
          <w:p w14:paraId="4A7F4393" w14:textId="77777777" w:rsidR="00EF74C7" w:rsidRPr="002A677E" w:rsidRDefault="00EF74C7" w:rsidP="00822842">
            <w:pPr>
              <w:keepNext/>
              <w:spacing w:before="60"/>
              <w:rPr>
                <w:rFonts w:ascii="Times New Roman" w:hAnsi="Times New Roman"/>
                <w:sz w:val="24"/>
              </w:rPr>
            </w:pPr>
            <w:r>
              <w:rPr>
                <w:rFonts w:ascii="Times New Roman" w:hAnsi="Times New Roman"/>
                <w:sz w:val="24"/>
              </w:rPr>
              <w:t>Vykazovanou hodnotou expozice je částka relevantní pro výpočet kapitálových požadavků v souladu s částí třetí hlavou II kapitolou 6 oddílem 9 nařízení (EU) č. 575/2013 s ohledem na požadavky článku 497 zmíněného nařízení během přechodného období stanoveného v uvedeném článku.</w:t>
            </w:r>
          </w:p>
          <w:p w14:paraId="0F502FE9" w14:textId="77777777" w:rsidR="00EF74C7" w:rsidRPr="002A677E" w:rsidRDefault="00EF74C7" w:rsidP="00822842">
            <w:pPr>
              <w:keepNext/>
              <w:spacing w:before="60"/>
              <w:rPr>
                <w:rFonts w:ascii="Times New Roman" w:hAnsi="Times New Roman"/>
                <w:sz w:val="24"/>
              </w:rPr>
            </w:pPr>
            <w:r>
              <w:rPr>
                <w:rFonts w:ascii="Times New Roman" w:hAnsi="Times New Roman"/>
                <w:sz w:val="24"/>
              </w:rPr>
              <w:t>Expozicí může být obchodní expozice ve smyslu čl. 4 odst. 1 bodu 91 nařízení (EU) č. 575/2013.</w:t>
            </w:r>
          </w:p>
        </w:tc>
      </w:tr>
      <w:tr w:rsidR="00EF74C7" w:rsidRPr="002A677E" w14:paraId="774930E7" w14:textId="77777777" w:rsidTr="00822842">
        <w:trPr>
          <w:trHeight w:val="680"/>
        </w:trPr>
        <w:tc>
          <w:tcPr>
            <w:tcW w:w="1384" w:type="dxa"/>
          </w:tcPr>
          <w:p w14:paraId="557FAF2F" w14:textId="77777777" w:rsidR="00EF74C7" w:rsidRPr="002A677E" w:rsidRDefault="00EF74C7" w:rsidP="00822842">
            <w:pPr>
              <w:pStyle w:val="Applicationdirecte"/>
              <w:spacing w:before="0" w:after="0"/>
            </w:pPr>
            <w:r>
              <w:t>0020</w:t>
            </w:r>
          </w:p>
        </w:tc>
        <w:tc>
          <w:tcPr>
            <w:tcW w:w="7655" w:type="dxa"/>
            <w:vAlign w:val="center"/>
          </w:tcPr>
          <w:p w14:paraId="1E7084BA" w14:textId="77777777" w:rsidR="00EF74C7" w:rsidRPr="002A677E" w:rsidRDefault="00EF74C7" w:rsidP="00822842">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OBJEM RIZIKOVĚ VÁŽENÝCH EXPOZIC</w:t>
            </w:r>
          </w:p>
          <w:p w14:paraId="5DA0A790"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Objemy rizikově vážených expozic určené v souladu s částí třetí hlavou II kapitolou 6 oddílem 9 nařízení (EU) č. 575/2013 s ohledem na požadavky článku 497 zmíněného nařízení během přechodného období stanoveného v uvedeném článku</w:t>
            </w:r>
          </w:p>
        </w:tc>
      </w:tr>
    </w:tbl>
    <w:p w14:paraId="4DE5F5D8" w14:textId="77777777" w:rsidR="00EF74C7" w:rsidRPr="002A677E" w:rsidRDefault="00EF74C7" w:rsidP="00EF74C7">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AE86182" w14:textId="77777777" w:rsidTr="00822842">
        <w:trPr>
          <w:trHeight w:val="238"/>
        </w:trPr>
        <w:tc>
          <w:tcPr>
            <w:tcW w:w="9039" w:type="dxa"/>
            <w:gridSpan w:val="2"/>
            <w:shd w:val="clear" w:color="auto" w:fill="D9D9D9" w:themeFill="background1" w:themeFillShade="D9"/>
          </w:tcPr>
          <w:p w14:paraId="0A1536EA"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Řádky </w:t>
            </w:r>
          </w:p>
        </w:tc>
      </w:tr>
      <w:tr w:rsidR="00EF74C7" w:rsidRPr="002A677E" w14:paraId="2D4AF3E6" w14:textId="77777777" w:rsidTr="00822842">
        <w:trPr>
          <w:trHeight w:val="680"/>
        </w:trPr>
        <w:tc>
          <w:tcPr>
            <w:tcW w:w="1384" w:type="dxa"/>
          </w:tcPr>
          <w:p w14:paraId="6FF1A266" w14:textId="77777777" w:rsidR="00EF74C7" w:rsidRPr="002A677E" w:rsidRDefault="00EF74C7" w:rsidP="00822842">
            <w:pPr>
              <w:pStyle w:val="Applicationdirecte"/>
              <w:spacing w:before="0" w:after="0"/>
            </w:pPr>
            <w:r>
              <w:t>0010–0100</w:t>
            </w:r>
          </w:p>
        </w:tc>
        <w:tc>
          <w:tcPr>
            <w:tcW w:w="7655" w:type="dxa"/>
            <w:vAlign w:val="center"/>
          </w:tcPr>
          <w:p w14:paraId="23F00BBB" w14:textId="77777777" w:rsidR="00EF74C7" w:rsidRPr="002A677E" w:rsidRDefault="00EF74C7" w:rsidP="00822842">
            <w:pPr>
              <w:spacing w:beforeLines="60" w:before="144" w:afterLines="60" w:after="144"/>
              <w:rPr>
                <w:rFonts w:ascii="Times New Roman" w:hAnsi="Times New Roman"/>
                <w:sz w:val="24"/>
              </w:rPr>
            </w:pPr>
            <w:r>
              <w:rPr>
                <w:rStyle w:val="InstructionsTabelleberschrift"/>
                <w:rFonts w:ascii="Times New Roman" w:hAnsi="Times New Roman"/>
                <w:sz w:val="24"/>
              </w:rPr>
              <w:t>Způsobilá ústřední protistrana</w:t>
            </w:r>
            <w:r>
              <w:rPr>
                <w:rFonts w:ascii="Times New Roman" w:hAnsi="Times New Roman"/>
                <w:sz w:val="24"/>
              </w:rPr>
              <w:t xml:space="preserve"> </w:t>
            </w:r>
          </w:p>
          <w:p w14:paraId="4AFED555"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 xml:space="preserve">Způsobilá ústřední protistrana ve smyslu čl. 4 odst. 1 bodu 88 nařízení (EU) č. 575/2013 </w:t>
            </w:r>
          </w:p>
        </w:tc>
      </w:tr>
      <w:tr w:rsidR="00EF74C7" w:rsidRPr="002A677E" w14:paraId="4EE07156" w14:textId="77777777" w:rsidTr="00822842">
        <w:trPr>
          <w:trHeight w:val="680"/>
        </w:trPr>
        <w:tc>
          <w:tcPr>
            <w:tcW w:w="1384" w:type="dxa"/>
          </w:tcPr>
          <w:p w14:paraId="2F7B861D" w14:textId="77777777" w:rsidR="00EF74C7" w:rsidRPr="002A677E" w:rsidRDefault="00EF74C7" w:rsidP="00822842">
            <w:pPr>
              <w:pStyle w:val="Applicationdirecte"/>
              <w:spacing w:before="0" w:after="0"/>
            </w:pPr>
            <w:r>
              <w:lastRenderedPageBreak/>
              <w:t>0070, 0080</w:t>
            </w:r>
          </w:p>
          <w:p w14:paraId="30D4CBEC" w14:textId="77777777" w:rsidR="00EF74C7" w:rsidRPr="002A677E" w:rsidRDefault="00EF74C7" w:rsidP="00822842">
            <w:pPr>
              <w:pStyle w:val="Fait"/>
            </w:pPr>
            <w:r>
              <w:t>0170, 0180</w:t>
            </w:r>
          </w:p>
        </w:tc>
        <w:tc>
          <w:tcPr>
            <w:tcW w:w="7655" w:type="dxa"/>
            <w:vAlign w:val="center"/>
          </w:tcPr>
          <w:p w14:paraId="6E9FD7DA" w14:textId="77777777" w:rsidR="00EF74C7" w:rsidRPr="002A677E" w:rsidRDefault="00EF74C7" w:rsidP="00822842">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Počáteční marže</w:t>
            </w:r>
          </w:p>
          <w:p w14:paraId="0528AC1A" w14:textId="77777777" w:rsidR="00EF74C7" w:rsidRPr="002A677E" w:rsidRDefault="00EF74C7" w:rsidP="00822842">
            <w:pPr>
              <w:keepNext/>
              <w:spacing w:before="60"/>
              <w:rPr>
                <w:rFonts w:ascii="Times New Roman" w:hAnsi="Times New Roman"/>
                <w:sz w:val="24"/>
              </w:rPr>
            </w:pPr>
            <w:r>
              <w:rPr>
                <w:rFonts w:ascii="Times New Roman" w:hAnsi="Times New Roman"/>
                <w:sz w:val="24"/>
              </w:rPr>
              <w:t>Viz pokyny k šabloně C 34.08.</w:t>
            </w:r>
          </w:p>
          <w:p w14:paraId="045F1620"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 xml:space="preserve">Pro účely této šablony počáteční marže nezahrnuje příspěvky ústřední protistraně za rozložené sdílení ztráty (tj. v případech, kdy ústřední protistrana použije počáteční marži k rozložení ztrát mezi členy clearingového systému, bude považována za expozici z příspěvků fondu pro riziko selhání). </w:t>
            </w:r>
          </w:p>
        </w:tc>
      </w:tr>
      <w:tr w:rsidR="00EF74C7" w:rsidRPr="002A677E" w14:paraId="678BD1FD" w14:textId="77777777" w:rsidTr="00822842">
        <w:trPr>
          <w:trHeight w:val="680"/>
        </w:trPr>
        <w:tc>
          <w:tcPr>
            <w:tcW w:w="1384" w:type="dxa"/>
          </w:tcPr>
          <w:p w14:paraId="1368D46D" w14:textId="77777777" w:rsidR="00EF74C7" w:rsidRPr="002A677E" w:rsidRDefault="00EF74C7" w:rsidP="00822842">
            <w:pPr>
              <w:pStyle w:val="Applicationdirecte"/>
              <w:spacing w:before="0" w:after="0"/>
            </w:pPr>
            <w:r>
              <w:t>0090, 0190</w:t>
            </w:r>
          </w:p>
        </w:tc>
        <w:tc>
          <w:tcPr>
            <w:tcW w:w="7655" w:type="dxa"/>
            <w:vAlign w:val="center"/>
          </w:tcPr>
          <w:p w14:paraId="37AA0774"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Předfinancované příspěvky do fondu pro riziko selhání</w:t>
            </w:r>
          </w:p>
          <w:p w14:paraId="10ECCD47" w14:textId="77777777" w:rsidR="00EF74C7" w:rsidRPr="002A677E" w:rsidRDefault="00EF74C7" w:rsidP="00822842">
            <w:pPr>
              <w:keepNext/>
              <w:spacing w:before="60"/>
              <w:rPr>
                <w:rFonts w:ascii="Times New Roman" w:hAnsi="Times New Roman"/>
                <w:sz w:val="24"/>
              </w:rPr>
            </w:pPr>
            <w:r>
              <w:rPr>
                <w:rFonts w:ascii="Times New Roman" w:hAnsi="Times New Roman"/>
                <w:sz w:val="24"/>
              </w:rPr>
              <w:t>Články 308 a 309 nařízení (EU) č. 575/2013; fond pro riziko selhání ve smyslu čl. 4 odst. 1 bodu 89 nařízení (EU) č. 575/2013; příspěvek do fondu pro riziko selhání zřízeného ústřední protistranou, který instituce platí</w:t>
            </w:r>
          </w:p>
        </w:tc>
      </w:tr>
      <w:tr w:rsidR="00EF74C7" w:rsidRPr="002A677E" w14:paraId="7BD4821D" w14:textId="77777777" w:rsidTr="00822842">
        <w:trPr>
          <w:trHeight w:val="680"/>
        </w:trPr>
        <w:tc>
          <w:tcPr>
            <w:tcW w:w="1384" w:type="dxa"/>
          </w:tcPr>
          <w:p w14:paraId="7A03D5C3" w14:textId="77777777" w:rsidR="00EF74C7" w:rsidRPr="002A677E" w:rsidRDefault="00EF74C7" w:rsidP="00822842">
            <w:pPr>
              <w:pStyle w:val="Applicationdirecte"/>
              <w:spacing w:before="0" w:after="0"/>
            </w:pPr>
            <w:r>
              <w:t>0100, 0200</w:t>
            </w:r>
          </w:p>
        </w:tc>
        <w:tc>
          <w:tcPr>
            <w:tcW w:w="7655" w:type="dxa"/>
            <w:vAlign w:val="center"/>
          </w:tcPr>
          <w:p w14:paraId="002C878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Příspěvky osobního zajištění do fondu pro riziko selhání</w:t>
            </w:r>
          </w:p>
          <w:p w14:paraId="4758699C" w14:textId="77777777" w:rsidR="00EF74C7" w:rsidRPr="002A677E" w:rsidRDefault="00EF74C7" w:rsidP="00822842">
            <w:pPr>
              <w:keepNext/>
              <w:spacing w:before="60"/>
              <w:rPr>
                <w:rStyle w:val="InstructionsTabelleberschrift"/>
                <w:rFonts w:ascii="Times New Roman" w:hAnsi="Times New Roman"/>
                <w:b w:val="0"/>
                <w:bCs w:val="0"/>
                <w:sz w:val="24"/>
              </w:rPr>
            </w:pPr>
            <w:r>
              <w:rPr>
                <w:rFonts w:ascii="Times New Roman" w:hAnsi="Times New Roman"/>
                <w:sz w:val="24"/>
              </w:rPr>
              <w:t>Články 309 a 310 nařízení (EU) č. 575/2013; fond pro riziko selhání ve smyslu čl. 4 odst. 1 bodu 89 nařízení (EU) č. 575/2013</w:t>
            </w:r>
          </w:p>
          <w:p w14:paraId="25D87385" w14:textId="77777777" w:rsidR="00EF74C7" w:rsidRPr="002A677E" w:rsidRDefault="00EF74C7" w:rsidP="00822842">
            <w:pPr>
              <w:keepNext/>
              <w:spacing w:before="60"/>
              <w:rPr>
                <w:rFonts w:ascii="Times New Roman" w:hAnsi="Times New Roman"/>
                <w:sz w:val="24"/>
              </w:rPr>
            </w:pPr>
            <w:r>
              <w:rPr>
                <w:rFonts w:ascii="Times New Roman" w:hAnsi="Times New Roman"/>
                <w:sz w:val="24"/>
              </w:rPr>
              <w:t>Instituce vykážou příspěvky, které má instituce působící jako člen clearingového systému na základě smluvního závazku poskytnout ústřední protistraně poté, co tato ústřední protistrana vyčerpala svůj fond pro riziko selhání na pokrytí ztrát vzniklých v důsledku selhání jednoho nebo více členů jejího clearingového systému.</w:t>
            </w:r>
          </w:p>
        </w:tc>
      </w:tr>
      <w:tr w:rsidR="00EF74C7" w:rsidRPr="002A677E" w14:paraId="7623E425" w14:textId="77777777" w:rsidTr="00822842">
        <w:trPr>
          <w:trHeight w:val="680"/>
        </w:trPr>
        <w:tc>
          <w:tcPr>
            <w:tcW w:w="1384" w:type="dxa"/>
          </w:tcPr>
          <w:p w14:paraId="229099B5" w14:textId="77777777" w:rsidR="00EF74C7" w:rsidRPr="002A677E" w:rsidRDefault="00EF74C7" w:rsidP="00822842">
            <w:pPr>
              <w:pStyle w:val="Applicationdirecte"/>
              <w:spacing w:before="0" w:after="0"/>
            </w:pPr>
            <w:r>
              <w:t>0070, 0170</w:t>
            </w:r>
          </w:p>
        </w:tc>
        <w:tc>
          <w:tcPr>
            <w:tcW w:w="7655" w:type="dxa"/>
            <w:vAlign w:val="center"/>
          </w:tcPr>
          <w:p w14:paraId="2065824F"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Oddělené</w:t>
            </w:r>
          </w:p>
          <w:p w14:paraId="7144C419"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Viz pokyny k šabloně C 34.08.</w:t>
            </w:r>
          </w:p>
        </w:tc>
      </w:tr>
      <w:tr w:rsidR="00EF74C7" w:rsidRPr="002A677E" w14:paraId="26D915DB" w14:textId="77777777" w:rsidTr="00822842">
        <w:trPr>
          <w:trHeight w:val="680"/>
        </w:trPr>
        <w:tc>
          <w:tcPr>
            <w:tcW w:w="1384" w:type="dxa"/>
          </w:tcPr>
          <w:p w14:paraId="59F46364" w14:textId="77777777" w:rsidR="00EF74C7" w:rsidRPr="002A677E" w:rsidRDefault="00EF74C7" w:rsidP="00822842">
            <w:pPr>
              <w:pStyle w:val="Applicationdirecte"/>
              <w:spacing w:before="0" w:after="0"/>
            </w:pPr>
            <w:r>
              <w:t>0080, 0180</w:t>
            </w:r>
          </w:p>
        </w:tc>
        <w:tc>
          <w:tcPr>
            <w:tcW w:w="7655" w:type="dxa"/>
            <w:vAlign w:val="center"/>
          </w:tcPr>
          <w:p w14:paraId="0F95C83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Neoddělené</w:t>
            </w:r>
          </w:p>
          <w:p w14:paraId="002F04D5"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Viz pokyny k šabloně C 34.08.</w:t>
            </w:r>
          </w:p>
        </w:tc>
      </w:tr>
    </w:tbl>
    <w:p w14:paraId="7128280E"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70" w:name="_Toc19715830"/>
      <w:bookmarkStart w:id="71" w:name="_Toc151714470"/>
      <w:r>
        <w:rPr>
          <w:rFonts w:ascii="Times New Roman" w:hAnsi="Times New Roman"/>
          <w:sz w:val="24"/>
        </w:rPr>
        <w:t>C 34.11 – Výkazy toků objemů rizikově vážených expozic (RWEA) pro expozice s CCR podle metody interního modelu</w:t>
      </w:r>
      <w:bookmarkEnd w:id="70"/>
      <w:bookmarkEnd w:id="71"/>
    </w:p>
    <w:p w14:paraId="2C95A3D6"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72" w:name="_Toc19715831"/>
      <w:bookmarkStart w:id="73" w:name="_Toc151714471"/>
      <w:r>
        <w:rPr>
          <w:rFonts w:ascii="Times New Roman" w:hAnsi="Times New Roman"/>
          <w:sz w:val="24"/>
        </w:rPr>
        <w:t>Obecné poznámky</w:t>
      </w:r>
      <w:bookmarkEnd w:id="72"/>
      <w:bookmarkEnd w:id="73"/>
    </w:p>
    <w:p w14:paraId="03BB213D" w14:textId="647FCB93" w:rsidR="00EF74C7" w:rsidRPr="002A677E" w:rsidRDefault="00EF74C7" w:rsidP="00EF74C7">
      <w:pPr>
        <w:pStyle w:val="InstructionsText2"/>
        <w:numPr>
          <w:ilvl w:val="0"/>
          <w:numId w:val="0"/>
        </w:numPr>
        <w:ind w:left="993"/>
      </w:pPr>
      <w:r>
        <w:fldChar w:fldCharType="begin"/>
      </w:r>
      <w:r>
        <w:instrText>seq paragraphs</w:instrText>
      </w:r>
      <w:r>
        <w:fldChar w:fldCharType="separate"/>
      </w:r>
      <w:r>
        <w:t>133</w:t>
      </w:r>
      <w:r>
        <w:fldChar w:fldCharType="end"/>
      </w:r>
      <w:r>
        <w:t>. Instituce, které používají metodu interního modelu pro výpočet objemů rizikově vážených expozic pro všechny expozice s CCR nebo jejich část v souladu s částí třetí hlavou II kapitolou 6 nařízení (EU) č. 575/2013, bez ohledu na přístup k úvěrovému riziku použitý ke stanovení odpovídajících rizikových vah, vykážou tuto šablonu s výkazem o tocích vysvětlujícím změny objemů rizikově vážených expozic derivátů a SFT v rozsahu působnosti metody interního modelu v rozlišení podle klíčových faktorů a na základě přiměřených odhadů.</w:t>
      </w:r>
    </w:p>
    <w:p w14:paraId="3CF6C221" w14:textId="3050BF14" w:rsidR="00EF74C7" w:rsidRPr="002A677E" w:rsidRDefault="00EF74C7" w:rsidP="00EF74C7">
      <w:pPr>
        <w:pStyle w:val="InstructionsText2"/>
        <w:numPr>
          <w:ilvl w:val="0"/>
          <w:numId w:val="0"/>
        </w:numPr>
        <w:ind w:left="993"/>
      </w:pPr>
      <w:r>
        <w:fldChar w:fldCharType="begin"/>
      </w:r>
      <w:r>
        <w:instrText>seq paragraphs</w:instrText>
      </w:r>
      <w:r>
        <w:fldChar w:fldCharType="separate"/>
      </w:r>
      <w:r>
        <w:t>134</w:t>
      </w:r>
      <w:r>
        <w:fldChar w:fldCharType="end"/>
      </w:r>
      <w:r>
        <w:t xml:space="preserve">. Instituce, které vykazují tuto šablonu se čtvrtletní periodicitou, vyplní pouze sloupec 0010. Instituce, které vykazují tuto šablonu s roční periodicitou, vyplní pouze sloupec 0020. </w:t>
      </w:r>
    </w:p>
    <w:p w14:paraId="618242D4" w14:textId="24BF40AD" w:rsidR="00EF74C7" w:rsidRPr="002A677E" w:rsidRDefault="00EF74C7" w:rsidP="00EF74C7">
      <w:pPr>
        <w:pStyle w:val="InstructionsText2"/>
        <w:numPr>
          <w:ilvl w:val="0"/>
          <w:numId w:val="0"/>
        </w:numPr>
        <w:ind w:left="993"/>
      </w:pPr>
      <w:r>
        <w:fldChar w:fldCharType="begin"/>
      </w:r>
      <w:r>
        <w:instrText>seq paragraphs</w:instrText>
      </w:r>
      <w:r>
        <w:fldChar w:fldCharType="separate"/>
      </w:r>
      <w:r>
        <w:t>135</w:t>
      </w:r>
      <w:r>
        <w:fldChar w:fldCharType="end"/>
      </w:r>
      <w:r>
        <w:t>. Tato šablona nezahrnuje objemy rizikově vážených expozic u expozic vůči ústřední protistraně (část třetí hlava II kapitola 6 oddíl 9 nařízení (EU) č. 575/2013).</w:t>
      </w:r>
    </w:p>
    <w:p w14:paraId="5D4AACDC"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74" w:name="_Toc19715832"/>
      <w:bookmarkStart w:id="75" w:name="_Toc151714472"/>
      <w:r>
        <w:rPr>
          <w:rFonts w:ascii="Times New Roman" w:hAnsi="Times New Roman"/>
          <w:sz w:val="24"/>
        </w:rPr>
        <w:lastRenderedPageBreak/>
        <w:t>Pokyny pro konkrétní pozice</w:t>
      </w:r>
      <w:bookmarkEnd w:id="74"/>
      <w:bookmarkEnd w:id="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7E15B0A0"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D658B4" w14:textId="77777777" w:rsidR="00EF74C7" w:rsidRPr="002A677E" w:rsidRDefault="00EF74C7" w:rsidP="00822842">
            <w:pPr>
              <w:rPr>
                <w:rFonts w:ascii="Times New Roman" w:hAnsi="Times New Roman"/>
                <w:b/>
                <w:sz w:val="24"/>
              </w:rPr>
            </w:pPr>
            <w:r>
              <w:rPr>
                <w:rFonts w:ascii="Times New Roman" w:hAnsi="Times New Roman"/>
                <w:b/>
                <w:sz w:val="24"/>
              </w:rPr>
              <w:t>Sloupce</w:t>
            </w:r>
          </w:p>
        </w:tc>
      </w:tr>
      <w:tr w:rsidR="00EF74C7" w:rsidRPr="002A677E" w14:paraId="535FF70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25F605" w14:textId="77777777" w:rsidR="00EF74C7" w:rsidRPr="002A677E" w:rsidRDefault="00EF74C7" w:rsidP="00822842">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5BD616"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OBJEMY RIZIKOVĚ VÁŽENÝCH EXPOZIC</w:t>
            </w:r>
          </w:p>
          <w:p w14:paraId="0630F3A5" w14:textId="03B5FB80" w:rsidR="00EF74C7" w:rsidRPr="002A677E" w:rsidRDefault="00EF74C7" w:rsidP="00822842">
            <w:pPr>
              <w:rPr>
                <w:rFonts w:ascii="Times New Roman" w:hAnsi="Times New Roman"/>
                <w:sz w:val="24"/>
              </w:rPr>
            </w:pPr>
            <w:r>
              <w:rPr>
                <w:rFonts w:ascii="Times New Roman" w:hAnsi="Times New Roman"/>
                <w:sz w:val="24"/>
              </w:rPr>
              <w:t xml:space="preserve">Objemy rizikově vážených expozic ve smyslu čl. 92 odst. 3 nařízení (EU) č. 575/2013 u pozic, jejichž rizikové váhy se odhadují na základě požadavků stanovených v části třetí hlavě II kapitolách 2 a 3 uvedeného nařízení a u nichž bylo instituci povoleno vypočítat hodnotu expozice za použití metody interního modelu v souladu s částí třetí hlavou II kapitolou 6 oddílem 6 uvedeného nařízení </w:t>
            </w:r>
          </w:p>
          <w:p w14:paraId="1EFFB8C4" w14:textId="77777777" w:rsidR="00EF74C7" w:rsidRPr="002A677E" w:rsidRDefault="00EF74C7" w:rsidP="00822842">
            <w:pPr>
              <w:spacing w:before="60"/>
              <w:rPr>
                <w:rFonts w:ascii="Times New Roman" w:hAnsi="Times New Roman"/>
                <w:i/>
                <w:sz w:val="24"/>
              </w:rPr>
            </w:pPr>
            <w:r>
              <w:rPr>
                <w:rFonts w:ascii="Times New Roman" w:hAnsi="Times New Roman"/>
                <w:sz w:val="24"/>
              </w:rPr>
              <w:t>Zohledňují se podpůrné koeficienty pro malé a střední podniky a infrastrukturu podle článků 501 a 501a nařízení (EU) č. 575/2013.</w:t>
            </w:r>
          </w:p>
        </w:tc>
      </w:tr>
    </w:tbl>
    <w:p w14:paraId="2395318C" w14:textId="77777777" w:rsidR="00EF74C7" w:rsidRPr="002A677E" w:rsidRDefault="00EF74C7" w:rsidP="00EF74C7">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BFE7275"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9A8574" w14:textId="77777777" w:rsidR="00EF74C7" w:rsidRPr="002A677E" w:rsidRDefault="00EF74C7" w:rsidP="00822842">
            <w:pPr>
              <w:rPr>
                <w:rFonts w:ascii="Times New Roman" w:hAnsi="Times New Roman"/>
                <w:b/>
                <w:sz w:val="24"/>
              </w:rPr>
            </w:pPr>
            <w:r>
              <w:rPr>
                <w:rFonts w:ascii="Times New Roman" w:hAnsi="Times New Roman"/>
                <w:b/>
                <w:sz w:val="24"/>
              </w:rPr>
              <w:t>Řádky</w:t>
            </w:r>
          </w:p>
        </w:tc>
      </w:tr>
      <w:tr w:rsidR="00EF74C7" w:rsidRPr="002A677E" w14:paraId="605493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79B8A4" w14:textId="77777777" w:rsidR="00EF74C7" w:rsidRPr="002A677E" w:rsidRDefault="00EF74C7" w:rsidP="00822842">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14:paraId="57AD1FA7"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Objemy rizikově vážených expozic na konci předchozího vykazovaného období</w:t>
            </w:r>
          </w:p>
          <w:p w14:paraId="27A42CBA" w14:textId="77777777" w:rsidR="00EF74C7" w:rsidRPr="002A677E" w:rsidRDefault="00EF74C7" w:rsidP="00822842">
            <w:pPr>
              <w:spacing w:before="60"/>
              <w:rPr>
                <w:rFonts w:ascii="Times New Roman" w:hAnsi="Times New Roman"/>
                <w:sz w:val="24"/>
              </w:rPr>
            </w:pPr>
            <w:r>
              <w:rPr>
                <w:rFonts w:ascii="Times New Roman" w:hAnsi="Times New Roman"/>
                <w:sz w:val="24"/>
              </w:rPr>
              <w:t>Objemy rizikově vážených expozic pro expozice s CCR v rámci metody interního modelu na konci předchozího vykazovaného období</w:t>
            </w:r>
          </w:p>
        </w:tc>
      </w:tr>
      <w:tr w:rsidR="00EF74C7" w:rsidRPr="002A677E" w14:paraId="07E271D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27BE487F" w14:textId="77777777" w:rsidR="00EF74C7" w:rsidRPr="002A677E" w:rsidRDefault="00EF74C7" w:rsidP="00822842">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14:paraId="49F00614"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Výše aktiv</w:t>
            </w:r>
          </w:p>
          <w:p w14:paraId="18261438" w14:textId="77777777" w:rsidR="00EF74C7" w:rsidRPr="002A677E" w:rsidRDefault="00EF74C7" w:rsidP="00822842">
            <w:pPr>
              <w:spacing w:before="60"/>
              <w:rPr>
                <w:rFonts w:ascii="Times New Roman" w:hAnsi="Times New Roman"/>
                <w:sz w:val="24"/>
              </w:rPr>
            </w:pPr>
            <w:r>
              <w:rPr>
                <w:rFonts w:ascii="Times New Roman" w:hAnsi="Times New Roman"/>
                <w:sz w:val="24"/>
              </w:rPr>
              <w:t>Změny objemu rizikově vážených expozic (kladné nebo záporné) z důvodu změn velikosti a složení portfolia vyplývajících z obvyklých obchodních činností (včetně vzniku nových podniků a splatných expozic), avšak s vyloučením změn velikosti portfolia v důsledku nabytí a pozbytí subjektů</w:t>
            </w:r>
          </w:p>
        </w:tc>
      </w:tr>
      <w:tr w:rsidR="00EF74C7" w:rsidRPr="002A677E" w14:paraId="530A19A1"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53672F1" w14:textId="77777777" w:rsidR="00EF74C7" w:rsidRPr="002A677E" w:rsidRDefault="00EF74C7" w:rsidP="00822842">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14:paraId="64E44A9C"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Úvěrová kvalita protistran </w:t>
            </w:r>
          </w:p>
          <w:p w14:paraId="250F3251" w14:textId="77777777" w:rsidR="00EF74C7" w:rsidRPr="002A677E" w:rsidRDefault="00EF74C7" w:rsidP="00822842">
            <w:pPr>
              <w:spacing w:before="60"/>
              <w:rPr>
                <w:rFonts w:ascii="Times New Roman" w:hAnsi="Times New Roman"/>
                <w:sz w:val="24"/>
              </w:rPr>
            </w:pPr>
            <w:r>
              <w:rPr>
                <w:rFonts w:ascii="Times New Roman" w:hAnsi="Times New Roman"/>
                <w:sz w:val="24"/>
              </w:rPr>
              <w:t>Změny objemu rizikově vážených expozic (kladné nebo záporné) v důsledku změn v hodnocení kvality protistran instituce měřených podle rámce pro úvěrové riziko bez ohledu na přístup, který instituce používá Pokud instituce používá přístup IRB, vykáže v tomto řádku rovněž potenciální změny objemu rizikově vážených expozic na základě modelů IRB.</w:t>
            </w:r>
          </w:p>
        </w:tc>
      </w:tr>
      <w:tr w:rsidR="00EF74C7" w:rsidRPr="002A677E" w14:paraId="2E1CAD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458604EA" w14:textId="77777777" w:rsidR="00EF74C7" w:rsidRPr="002A677E" w:rsidRDefault="00EF74C7" w:rsidP="00822842">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14:paraId="41774D2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Aktualizace modelu (pouze v případě metody interního modelu)</w:t>
            </w:r>
          </w:p>
          <w:p w14:paraId="18D81B07" w14:textId="77777777" w:rsidR="00EF74C7" w:rsidRPr="002A677E" w:rsidRDefault="00EF74C7" w:rsidP="00822842">
            <w:pPr>
              <w:spacing w:before="60"/>
              <w:rPr>
                <w:rFonts w:ascii="Times New Roman" w:hAnsi="Times New Roman"/>
                <w:sz w:val="24"/>
              </w:rPr>
            </w:pPr>
            <w:r>
              <w:rPr>
                <w:rFonts w:ascii="Times New Roman" w:hAnsi="Times New Roman"/>
                <w:sz w:val="24"/>
              </w:rPr>
              <w:t>Změny objemu rizikově vážených expozic (kladné nebo záporné) v důsledku zavedení modelu, změn rozsahu modelu nebo jakýchkoli změn týkajících se řešení slabých stránek modelu</w:t>
            </w:r>
          </w:p>
          <w:p w14:paraId="35919C0F" w14:textId="77777777" w:rsidR="00EF74C7" w:rsidRPr="002A677E" w:rsidRDefault="00EF74C7" w:rsidP="00822842">
            <w:pPr>
              <w:spacing w:before="60"/>
              <w:rPr>
                <w:rFonts w:ascii="Times New Roman" w:hAnsi="Times New Roman"/>
                <w:sz w:val="24"/>
              </w:rPr>
            </w:pPr>
            <w:r>
              <w:rPr>
                <w:rFonts w:ascii="Times New Roman" w:hAnsi="Times New Roman"/>
                <w:sz w:val="24"/>
              </w:rPr>
              <w:t>Tento řádek se týká pouze změn v metodě interního modelu.</w:t>
            </w:r>
          </w:p>
        </w:tc>
      </w:tr>
      <w:tr w:rsidR="00EF74C7" w:rsidRPr="002A677E" w14:paraId="0A0C826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D4B81C7" w14:textId="77777777" w:rsidR="00EF74C7" w:rsidRPr="002A677E" w:rsidRDefault="00EF74C7" w:rsidP="00822842">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14:paraId="74BE71F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Metodika a politika (pouze v případě metody interního modelu)</w:t>
            </w:r>
          </w:p>
          <w:p w14:paraId="492776FC" w14:textId="77777777" w:rsidR="00EF74C7" w:rsidRPr="002A677E" w:rsidRDefault="00EF74C7" w:rsidP="00822842">
            <w:pPr>
              <w:spacing w:before="60"/>
              <w:rPr>
                <w:rFonts w:ascii="Times New Roman" w:hAnsi="Times New Roman"/>
                <w:sz w:val="24"/>
              </w:rPr>
            </w:pPr>
            <w:r>
              <w:rPr>
                <w:rFonts w:ascii="Times New Roman" w:hAnsi="Times New Roman"/>
                <w:sz w:val="24"/>
              </w:rPr>
              <w:t>Změny objemu rizikově vážených expozic (kladné nebo záporné) v důsledku metodických změn ve výpočtech způsobených změnami regulační politiky, jako jsou nové předpisy (pouze v případě metody interního modelu)</w:t>
            </w:r>
          </w:p>
        </w:tc>
      </w:tr>
      <w:tr w:rsidR="00EF74C7" w:rsidRPr="002A677E" w14:paraId="2F18F45C"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CF48A7C" w14:textId="77777777" w:rsidR="00EF74C7" w:rsidRPr="002A677E" w:rsidRDefault="00EF74C7" w:rsidP="00822842">
            <w:pPr>
              <w:pStyle w:val="Applicationdirecte"/>
              <w:spacing w:before="0" w:after="0"/>
            </w:pPr>
            <w:r>
              <w:lastRenderedPageBreak/>
              <w:t>0060</w:t>
            </w:r>
          </w:p>
        </w:tc>
        <w:tc>
          <w:tcPr>
            <w:tcW w:w="7655" w:type="dxa"/>
            <w:tcBorders>
              <w:top w:val="single" w:sz="4" w:space="0" w:color="auto"/>
              <w:left w:val="single" w:sz="4" w:space="0" w:color="auto"/>
              <w:bottom w:val="single" w:sz="4" w:space="0" w:color="auto"/>
              <w:right w:val="single" w:sz="4" w:space="0" w:color="auto"/>
            </w:tcBorders>
            <w:vAlign w:val="center"/>
          </w:tcPr>
          <w:p w14:paraId="6C716653"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Nabytí a pozbytí</w:t>
            </w:r>
          </w:p>
          <w:p w14:paraId="556F6F98" w14:textId="77777777" w:rsidR="00EF74C7" w:rsidRPr="002A677E" w:rsidRDefault="00EF74C7" w:rsidP="00822842">
            <w:pPr>
              <w:spacing w:before="60"/>
              <w:rPr>
                <w:rFonts w:ascii="Times New Roman" w:hAnsi="Times New Roman"/>
                <w:sz w:val="24"/>
              </w:rPr>
            </w:pPr>
            <w:r>
              <w:rPr>
                <w:rFonts w:ascii="Times New Roman" w:hAnsi="Times New Roman"/>
                <w:sz w:val="24"/>
              </w:rPr>
              <w:t>Změny objemu rizikově vážených expozic (kladné nebo záporné) v důsledku změn velikosti portfolia v důsledku nabytí a pozbytí subjektů</w:t>
            </w:r>
          </w:p>
        </w:tc>
      </w:tr>
      <w:tr w:rsidR="00EF74C7" w:rsidRPr="002A677E" w14:paraId="29CBD54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B63349A" w14:textId="77777777" w:rsidR="00EF74C7" w:rsidRPr="002A677E" w:rsidRDefault="00EF74C7" w:rsidP="00822842">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14:paraId="57E5E736"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Devizové pohyby</w:t>
            </w:r>
          </w:p>
          <w:p w14:paraId="29E3F8C8"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Změny objemu rizikově vážených expozic (kladné nebo záporné) v důsledku změn vyplývajících z pohybů převodů z cizích měn </w:t>
            </w:r>
          </w:p>
        </w:tc>
      </w:tr>
      <w:tr w:rsidR="00EF74C7" w:rsidRPr="002A677E" w14:paraId="6EB9C3F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C26069" w14:textId="77777777" w:rsidR="00EF74C7" w:rsidRPr="002A677E" w:rsidRDefault="00EF74C7" w:rsidP="00822842">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14:paraId="3AF95E88"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Ostatní</w:t>
            </w:r>
          </w:p>
          <w:p w14:paraId="0BAC5EB4"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Tato kategorie se použije k zachycení změn objemu rizikově vážených expozic (kladných nebo záporných), které nelze přiřadit k výše uvedeným kategoriím. </w:t>
            </w:r>
          </w:p>
        </w:tc>
      </w:tr>
      <w:tr w:rsidR="00EF74C7" w:rsidRPr="002A677E" w14:paraId="2BDFC76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79F5A0E" w14:textId="77777777" w:rsidR="00EF74C7" w:rsidRPr="002A677E" w:rsidRDefault="00EF74C7" w:rsidP="00822842">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14:paraId="674EB302"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Objemy rizikově vážených expozic na konci běžného vykazovaného období</w:t>
            </w:r>
          </w:p>
          <w:p w14:paraId="51365175" w14:textId="77777777" w:rsidR="00EF74C7" w:rsidRPr="002A677E" w:rsidRDefault="00EF74C7" w:rsidP="00822842">
            <w:pPr>
              <w:spacing w:before="60"/>
              <w:rPr>
                <w:rFonts w:ascii="Times New Roman" w:hAnsi="Times New Roman"/>
                <w:i/>
                <w:sz w:val="24"/>
              </w:rPr>
            </w:pPr>
            <w:r>
              <w:rPr>
                <w:rFonts w:ascii="Times New Roman" w:hAnsi="Times New Roman"/>
                <w:sz w:val="24"/>
              </w:rPr>
              <w:t>Objemy rizikově vážených expozic pro expozice s CCR v rámci metody interního modelu na konci běžného vykazovaného období</w:t>
            </w:r>
          </w:p>
        </w:tc>
      </w:tr>
    </w:tbl>
    <w:p w14:paraId="46880A2A" w14:textId="77777777" w:rsidR="00EF74C7" w:rsidRDefault="00EF74C7"/>
    <w:p w14:paraId="0CA113AF" w14:textId="77777777" w:rsidR="00EF74C7" w:rsidRDefault="00EF74C7"/>
    <w:sectPr w:rsidR="00EF74C7">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0"/>
  </w:num>
  <w:num w:numId="3" w16cid:durableId="286200695">
    <w:abstractNumId w:val="28"/>
  </w:num>
  <w:num w:numId="4" w16cid:durableId="487287975">
    <w:abstractNumId w:val="15"/>
  </w:num>
  <w:num w:numId="5" w16cid:durableId="1754350949">
    <w:abstractNumId w:val="23"/>
  </w:num>
  <w:num w:numId="6" w16cid:durableId="1507597667">
    <w:abstractNumId w:val="12"/>
  </w:num>
  <w:num w:numId="7" w16cid:durableId="139271283">
    <w:abstractNumId w:val="27"/>
  </w:num>
  <w:num w:numId="8" w16cid:durableId="763764270">
    <w:abstractNumId w:val="5"/>
  </w:num>
  <w:num w:numId="9" w16cid:durableId="1561986968">
    <w:abstractNumId w:val="21"/>
  </w:num>
  <w:num w:numId="10" w16cid:durableId="1349260748">
    <w:abstractNumId w:val="10"/>
  </w:num>
  <w:num w:numId="11" w16cid:durableId="1097991330">
    <w:abstractNumId w:val="17"/>
  </w:num>
  <w:num w:numId="12" w16cid:durableId="858469680">
    <w:abstractNumId w:val="6"/>
  </w:num>
  <w:num w:numId="13" w16cid:durableId="1485394352">
    <w:abstractNumId w:val="22"/>
  </w:num>
  <w:num w:numId="14" w16cid:durableId="881021889">
    <w:abstractNumId w:val="19"/>
  </w:num>
  <w:num w:numId="15" w16cid:durableId="1923681300">
    <w:abstractNumId w:val="9"/>
  </w:num>
  <w:num w:numId="16" w16cid:durableId="211188018">
    <w:abstractNumId w:val="16"/>
  </w:num>
  <w:num w:numId="17" w16cid:durableId="373817584">
    <w:abstractNumId w:val="8"/>
  </w:num>
  <w:num w:numId="18" w16cid:durableId="1615165847">
    <w:abstractNumId w:val="24"/>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6"/>
  </w:num>
  <w:num w:numId="24" w16cid:durableId="166527561">
    <w:abstractNumId w:val="1"/>
  </w:num>
  <w:num w:numId="25" w16cid:durableId="1544101633">
    <w:abstractNumId w:val="25"/>
  </w:num>
  <w:num w:numId="26" w16cid:durableId="44380249">
    <w:abstractNumId w:val="18"/>
  </w:num>
  <w:num w:numId="27" w16cid:durableId="1838038624">
    <w:abstractNumId w:val="0"/>
  </w:num>
  <w:num w:numId="28" w16cid:durableId="1856265522">
    <w:abstractNumId w:val="7"/>
  </w:num>
  <w:num w:numId="29" w16cid:durableId="2081713154">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122B"/>
    <w:rsid w:val="00013986"/>
    <w:rsid w:val="00074AC8"/>
    <w:rsid w:val="00631623"/>
    <w:rsid w:val="00632962"/>
    <w:rsid w:val="00793BDE"/>
    <w:rsid w:val="007D3B3D"/>
    <w:rsid w:val="00A6002C"/>
    <w:rsid w:val="00A6246E"/>
    <w:rsid w:val="00B5223F"/>
    <w:rsid w:val="00B71F25"/>
    <w:rsid w:val="00BD63AA"/>
    <w:rsid w:val="00D57F80"/>
    <w:rsid w:val="00DE7FB9"/>
    <w:rsid w:val="00E26A90"/>
    <w:rsid w:val="00EF07A1"/>
    <w:rsid w:val="00EF74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15:docId w15:val="{9763B1B4-A265-4636-BFE7-4B5FDE4C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4C7"/>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EF74C7"/>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F74C7"/>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EF74C7"/>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EF74C7"/>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EF74C7"/>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EF74C7"/>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EF74C7"/>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EF74C7"/>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EF74C7"/>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EF74C7"/>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EF74C7"/>
    <w:rPr>
      <w:rFonts w:ascii="Verdana" w:eastAsia="Arial" w:hAnsi="Verdana" w:cs="Times New Roman"/>
      <w:b/>
      <w:kern w:val="0"/>
      <w:sz w:val="24"/>
      <w:szCs w:val="24"/>
      <w:u w:val="single"/>
      <w:lang w:val="cs-CZ" w:eastAsia="x-none"/>
      <w14:ligatures w14:val="none"/>
    </w:rPr>
  </w:style>
  <w:style w:type="character" w:customStyle="1" w:styleId="Heading3Char">
    <w:name w:val="Heading 3 Char"/>
    <w:aliases w:val="Title 2 Char"/>
    <w:basedOn w:val="DefaultParagraphFont"/>
    <w:uiPriority w:val="99"/>
    <w:rsid w:val="00EF74C7"/>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EF74C7"/>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EF74C7"/>
    <w:rPr>
      <w:rFonts w:ascii="Arial" w:eastAsia="Arial" w:hAnsi="Arial" w:cs="Times New Roman"/>
      <w:b/>
      <w:i/>
      <w:kern w:val="0"/>
      <w:sz w:val="20"/>
      <w:szCs w:val="20"/>
      <w:lang w:val="cs-CZ" w:eastAsia="de-DE"/>
      <w14:ligatures w14:val="none"/>
    </w:rPr>
  </w:style>
  <w:style w:type="character" w:customStyle="1" w:styleId="Heading6Char">
    <w:name w:val="Heading 6 Char"/>
    <w:basedOn w:val="DefaultParagraphFont"/>
    <w:link w:val="Heading6"/>
    <w:rsid w:val="00EF74C7"/>
    <w:rPr>
      <w:rFonts w:ascii="Times New Roman" w:eastAsia="Arial" w:hAnsi="Times New Roman" w:cs="Times New Roman"/>
      <w:b/>
      <w:bCs/>
      <w:kern w:val="0"/>
      <w:sz w:val="20"/>
      <w:szCs w:val="20"/>
      <w:lang w:val="cs-CZ" w:eastAsia="de-DE"/>
      <w14:ligatures w14:val="none"/>
    </w:rPr>
  </w:style>
  <w:style w:type="character" w:customStyle="1" w:styleId="Heading7Char">
    <w:name w:val="Heading 7 Char"/>
    <w:basedOn w:val="DefaultParagraphFont"/>
    <w:link w:val="Heading7"/>
    <w:rsid w:val="00EF74C7"/>
    <w:rPr>
      <w:rFonts w:ascii="Times New Roman" w:eastAsia="Arial" w:hAnsi="Times New Roman" w:cs="Times New Roman"/>
      <w:kern w:val="0"/>
      <w:sz w:val="20"/>
      <w:szCs w:val="20"/>
      <w:lang w:val="cs-CZ" w:eastAsia="de-DE"/>
      <w14:ligatures w14:val="none"/>
    </w:rPr>
  </w:style>
  <w:style w:type="character" w:customStyle="1" w:styleId="Heading8Char">
    <w:name w:val="Heading 8 Char"/>
    <w:basedOn w:val="DefaultParagraphFont"/>
    <w:link w:val="Heading8"/>
    <w:rsid w:val="00EF74C7"/>
    <w:rPr>
      <w:rFonts w:ascii="Times New Roman" w:eastAsia="Arial" w:hAnsi="Times New Roman" w:cs="Times New Roman"/>
      <w:i/>
      <w:iCs/>
      <w:kern w:val="0"/>
      <w:sz w:val="20"/>
      <w:szCs w:val="20"/>
      <w:lang w:val="cs-CZ" w:eastAsia="de-DE"/>
      <w14:ligatures w14:val="none"/>
    </w:rPr>
  </w:style>
  <w:style w:type="character" w:customStyle="1" w:styleId="Heading9Char">
    <w:name w:val="Heading 9 Char"/>
    <w:basedOn w:val="DefaultParagraphFont"/>
    <w:link w:val="Heading9"/>
    <w:rsid w:val="00EF74C7"/>
    <w:rPr>
      <w:rFonts w:ascii="Arial" w:eastAsia="Arial" w:hAnsi="Arial" w:cs="Times New Roman"/>
      <w:kern w:val="0"/>
      <w:sz w:val="20"/>
      <w:szCs w:val="20"/>
      <w:lang w:val="cs-CZ" w:eastAsia="de-DE"/>
      <w14:ligatures w14:val="none"/>
    </w:rPr>
  </w:style>
  <w:style w:type="paragraph" w:styleId="TableofFigures">
    <w:name w:val="table of figures"/>
    <w:basedOn w:val="Normal"/>
    <w:next w:val="Normal"/>
    <w:qFormat/>
    <w:rsid w:val="00EF74C7"/>
    <w:pPr>
      <w:ind w:left="440" w:hanging="440"/>
    </w:pPr>
  </w:style>
  <w:style w:type="paragraph" w:customStyle="1" w:styleId="Aufzhlungszeichen1">
    <w:name w:val="Aufzählungszeichen1"/>
    <w:basedOn w:val="Normal"/>
    <w:uiPriority w:val="1"/>
    <w:qFormat/>
    <w:rsid w:val="00EF74C7"/>
    <w:pPr>
      <w:numPr>
        <w:numId w:val="1"/>
      </w:numPr>
      <w:spacing w:line="240" w:lineRule="exact"/>
    </w:pPr>
  </w:style>
  <w:style w:type="paragraph" w:customStyle="1" w:styleId="Aufzhlungszeichen2">
    <w:name w:val="Aufzählungszeichen2"/>
    <w:basedOn w:val="Normal"/>
    <w:uiPriority w:val="1"/>
    <w:qFormat/>
    <w:rsid w:val="00EF74C7"/>
    <w:pPr>
      <w:numPr>
        <w:numId w:val="2"/>
      </w:numPr>
      <w:spacing w:line="240" w:lineRule="exact"/>
    </w:pPr>
  </w:style>
  <w:style w:type="paragraph" w:customStyle="1" w:styleId="Aufzhlungszeichen3">
    <w:name w:val="Aufzählungszeichen3"/>
    <w:basedOn w:val="Normal"/>
    <w:uiPriority w:val="1"/>
    <w:qFormat/>
    <w:rsid w:val="00EF74C7"/>
    <w:pPr>
      <w:numPr>
        <w:numId w:val="3"/>
      </w:numPr>
      <w:spacing w:line="240" w:lineRule="exact"/>
    </w:pPr>
  </w:style>
  <w:style w:type="paragraph" w:customStyle="1" w:styleId="Aufzhlungszeichen4">
    <w:name w:val="Aufzählungszeichen4"/>
    <w:basedOn w:val="Normal"/>
    <w:uiPriority w:val="1"/>
    <w:qFormat/>
    <w:rsid w:val="00EF74C7"/>
    <w:pPr>
      <w:numPr>
        <w:numId w:val="4"/>
      </w:numPr>
      <w:spacing w:line="240" w:lineRule="exact"/>
    </w:pPr>
  </w:style>
  <w:style w:type="paragraph" w:styleId="FootnoteText">
    <w:name w:val="footnote text"/>
    <w:basedOn w:val="Normal"/>
    <w:link w:val="FootnoteTextChar"/>
    <w:qFormat/>
    <w:rsid w:val="00EF74C7"/>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EF74C7"/>
    <w:rPr>
      <w:rFonts w:ascii="Arial" w:eastAsia="Arial" w:hAnsi="Arial" w:cs="Times New Roman"/>
      <w:kern w:val="0"/>
      <w:sz w:val="16"/>
      <w:szCs w:val="16"/>
      <w:lang w:val="cs-CZ"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EF74C7"/>
    <w:rPr>
      <w:rFonts w:ascii="Arial" w:hAnsi="Arial" w:cs="Times New Roman"/>
      <w:kern w:val="0"/>
      <w:position w:val="4"/>
      <w:sz w:val="12"/>
      <w:szCs w:val="12"/>
      <w:vertAlign w:val="baseline"/>
    </w:rPr>
  </w:style>
  <w:style w:type="paragraph" w:styleId="Footer">
    <w:name w:val="footer"/>
    <w:basedOn w:val="Normal"/>
    <w:link w:val="FooterChar"/>
    <w:uiPriority w:val="99"/>
    <w:rsid w:val="00EF74C7"/>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EF74C7"/>
    <w:rPr>
      <w:rFonts w:ascii="Arial" w:eastAsia="Arial" w:hAnsi="Arial" w:cs="Times New Roman"/>
      <w:kern w:val="0"/>
      <w:sz w:val="14"/>
      <w:szCs w:val="14"/>
      <w:lang w:val="cs-CZ" w:eastAsia="de-DE"/>
      <w14:ligatures w14:val="none"/>
    </w:rPr>
  </w:style>
  <w:style w:type="paragraph" w:customStyle="1" w:styleId="GliederungmitAufzhlung">
    <w:name w:val="Gliederung mit Aufzählung"/>
    <w:basedOn w:val="Normal"/>
    <w:uiPriority w:val="1"/>
    <w:qFormat/>
    <w:rsid w:val="00EF74C7"/>
    <w:pPr>
      <w:numPr>
        <w:numId w:val="7"/>
      </w:numPr>
      <w:spacing w:line="312" w:lineRule="auto"/>
    </w:pPr>
  </w:style>
  <w:style w:type="paragraph" w:customStyle="1" w:styleId="GliederungmitNummerierung">
    <w:name w:val="Gliederung mit Nummerierung"/>
    <w:basedOn w:val="Normal"/>
    <w:uiPriority w:val="1"/>
    <w:qFormat/>
    <w:rsid w:val="00EF74C7"/>
    <w:pPr>
      <w:numPr>
        <w:numId w:val="8"/>
      </w:numPr>
      <w:spacing w:line="312" w:lineRule="auto"/>
    </w:pPr>
  </w:style>
  <w:style w:type="paragraph" w:customStyle="1" w:styleId="HngEinrckung1">
    <w:name w:val="Häng. Einrückung1"/>
    <w:basedOn w:val="Normal"/>
    <w:uiPriority w:val="1"/>
    <w:qFormat/>
    <w:rsid w:val="00EF74C7"/>
    <w:pPr>
      <w:spacing w:line="312" w:lineRule="auto"/>
      <w:ind w:left="567" w:hanging="567"/>
    </w:pPr>
  </w:style>
  <w:style w:type="paragraph" w:customStyle="1" w:styleId="HngEinrckung2">
    <w:name w:val="Häng. Einrückung2"/>
    <w:basedOn w:val="Normal"/>
    <w:uiPriority w:val="1"/>
    <w:qFormat/>
    <w:rsid w:val="00EF74C7"/>
    <w:pPr>
      <w:spacing w:line="312" w:lineRule="auto"/>
      <w:ind w:left="1134" w:hanging="567"/>
    </w:pPr>
  </w:style>
  <w:style w:type="paragraph" w:customStyle="1" w:styleId="HngEinrckung3">
    <w:name w:val="Häng. Einrückung3"/>
    <w:basedOn w:val="Normal"/>
    <w:uiPriority w:val="1"/>
    <w:qFormat/>
    <w:rsid w:val="00EF74C7"/>
    <w:pPr>
      <w:spacing w:line="312" w:lineRule="auto"/>
      <w:ind w:left="1701" w:hanging="567"/>
    </w:pPr>
  </w:style>
  <w:style w:type="character" w:styleId="Hyperlink">
    <w:name w:val="Hyperlink"/>
    <w:uiPriority w:val="99"/>
    <w:rsid w:val="00EF74C7"/>
    <w:rPr>
      <w:rFonts w:cs="Times New Roman"/>
      <w:color w:val="0000FF"/>
      <w:u w:val="single"/>
    </w:rPr>
  </w:style>
  <w:style w:type="paragraph" w:customStyle="1" w:styleId="Marginalspalte">
    <w:name w:val="Marginalspalte"/>
    <w:basedOn w:val="Normal"/>
    <w:uiPriority w:val="1"/>
    <w:qFormat/>
    <w:rsid w:val="00EF74C7"/>
    <w:pPr>
      <w:framePr w:w="851" w:h="851" w:hSpace="284" w:wrap="around" w:vAnchor="text" w:hAnchor="page" w:y="1"/>
    </w:pPr>
    <w:rPr>
      <w:i/>
      <w:szCs w:val="22"/>
    </w:rPr>
  </w:style>
  <w:style w:type="paragraph" w:customStyle="1" w:styleId="Nummerierungsart1">
    <w:name w:val="Nummerierungsart1"/>
    <w:basedOn w:val="Normal"/>
    <w:uiPriority w:val="1"/>
    <w:qFormat/>
    <w:rsid w:val="00EF74C7"/>
    <w:pPr>
      <w:numPr>
        <w:numId w:val="9"/>
      </w:numPr>
    </w:pPr>
  </w:style>
  <w:style w:type="paragraph" w:customStyle="1" w:styleId="Nummerierungsart2">
    <w:name w:val="Nummerierungsart2"/>
    <w:basedOn w:val="Normal"/>
    <w:uiPriority w:val="1"/>
    <w:qFormat/>
    <w:rsid w:val="00EF74C7"/>
    <w:pPr>
      <w:numPr>
        <w:numId w:val="10"/>
      </w:numPr>
    </w:pPr>
  </w:style>
  <w:style w:type="paragraph" w:customStyle="1" w:styleId="Nummerierungsart3">
    <w:name w:val="Nummerierungsart3"/>
    <w:basedOn w:val="Normal"/>
    <w:uiPriority w:val="1"/>
    <w:qFormat/>
    <w:rsid w:val="00EF74C7"/>
    <w:pPr>
      <w:numPr>
        <w:numId w:val="11"/>
      </w:numPr>
    </w:pPr>
  </w:style>
  <w:style w:type="paragraph" w:customStyle="1" w:styleId="Nummerierungsart4">
    <w:name w:val="Nummerierungsart4"/>
    <w:basedOn w:val="Normal"/>
    <w:uiPriority w:val="1"/>
    <w:qFormat/>
    <w:rsid w:val="00EF74C7"/>
    <w:pPr>
      <w:numPr>
        <w:numId w:val="12"/>
      </w:numPr>
    </w:pPr>
  </w:style>
  <w:style w:type="character" w:styleId="PageNumber">
    <w:name w:val="page number"/>
    <w:uiPriority w:val="99"/>
    <w:rsid w:val="00EF74C7"/>
    <w:rPr>
      <w:rFonts w:ascii="Arial" w:hAnsi="Arial" w:cs="Times New Roman"/>
      <w:sz w:val="22"/>
    </w:rPr>
  </w:style>
  <w:style w:type="character" w:customStyle="1" w:styleId="Heading3Char1">
    <w:name w:val="Heading 3 Char1"/>
    <w:aliases w:val="Title 2 Char1"/>
    <w:link w:val="Heading3"/>
    <w:uiPriority w:val="99"/>
    <w:locked/>
    <w:rsid w:val="00EF74C7"/>
    <w:rPr>
      <w:rFonts w:ascii="Arial" w:eastAsia="Arial" w:hAnsi="Arial" w:cs="Times New Roman"/>
      <w:b/>
      <w:kern w:val="0"/>
      <w:sz w:val="20"/>
      <w:szCs w:val="20"/>
      <w:lang w:val="cs-CZ" w:eastAsia="de-DE"/>
      <w14:ligatures w14:val="none"/>
    </w:rPr>
  </w:style>
  <w:style w:type="paragraph" w:styleId="TOC1">
    <w:name w:val="toc 1"/>
    <w:basedOn w:val="Normal"/>
    <w:next w:val="Normal"/>
    <w:autoRedefine/>
    <w:uiPriority w:val="39"/>
    <w:qFormat/>
    <w:rsid w:val="00EF74C7"/>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F74C7"/>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EF74C7"/>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EF74C7"/>
    <w:pPr>
      <w:tabs>
        <w:tab w:val="left" w:pos="2058"/>
        <w:tab w:val="right" w:leader="dot" w:pos="9071"/>
      </w:tabs>
      <w:ind w:left="1134" w:hanging="1134"/>
    </w:pPr>
    <w:rPr>
      <w:noProof/>
      <w:sz w:val="16"/>
    </w:rPr>
  </w:style>
  <w:style w:type="paragraph" w:styleId="TOC7">
    <w:name w:val="toc 7"/>
    <w:basedOn w:val="Normal"/>
    <w:next w:val="Normal"/>
    <w:autoRedefine/>
    <w:uiPriority w:val="39"/>
    <w:rsid w:val="00EF74C7"/>
    <w:pPr>
      <w:tabs>
        <w:tab w:val="right" w:leader="dot" w:pos="9071"/>
      </w:tabs>
      <w:ind w:left="1134" w:hanging="1134"/>
    </w:pPr>
    <w:rPr>
      <w:sz w:val="16"/>
    </w:rPr>
  </w:style>
  <w:style w:type="paragraph" w:styleId="TOC8">
    <w:name w:val="toc 8"/>
    <w:basedOn w:val="Normal"/>
    <w:next w:val="Normal"/>
    <w:autoRedefine/>
    <w:uiPriority w:val="39"/>
    <w:rsid w:val="00EF74C7"/>
    <w:pPr>
      <w:tabs>
        <w:tab w:val="left" w:pos="2758"/>
        <w:tab w:val="right" w:leader="dot" w:pos="9071"/>
      </w:tabs>
      <w:ind w:left="1361" w:hanging="1361"/>
    </w:pPr>
    <w:rPr>
      <w:noProof/>
      <w:sz w:val="16"/>
    </w:rPr>
  </w:style>
  <w:style w:type="paragraph" w:styleId="TOC9">
    <w:name w:val="toc 9"/>
    <w:basedOn w:val="Normal"/>
    <w:next w:val="Normal"/>
    <w:autoRedefine/>
    <w:uiPriority w:val="39"/>
    <w:rsid w:val="00EF74C7"/>
    <w:pPr>
      <w:tabs>
        <w:tab w:val="right" w:leader="dot" w:pos="9071"/>
      </w:tabs>
      <w:ind w:left="1361" w:hanging="1361"/>
    </w:pPr>
    <w:rPr>
      <w:sz w:val="16"/>
    </w:rPr>
  </w:style>
  <w:style w:type="paragraph" w:styleId="Quote">
    <w:name w:val="Quote"/>
    <w:basedOn w:val="Normal"/>
    <w:next w:val="Normal"/>
    <w:link w:val="QuoteChar"/>
    <w:uiPriority w:val="29"/>
    <w:qFormat/>
    <w:rsid w:val="00EF74C7"/>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EF74C7"/>
    <w:rPr>
      <w:rFonts w:ascii="Arial" w:eastAsia="Arial" w:hAnsi="Arial" w:cs="Times New Roman"/>
      <w:i/>
      <w:iCs/>
      <w:color w:val="000000"/>
      <w:kern w:val="0"/>
      <w:sz w:val="20"/>
      <w:szCs w:val="20"/>
      <w:lang w:val="cs-CZ" w:eastAsia="de-DE"/>
      <w14:ligatures w14:val="none"/>
    </w:rPr>
  </w:style>
  <w:style w:type="paragraph" w:styleId="TOCHeading">
    <w:name w:val="TOC Heading"/>
    <w:basedOn w:val="Heading1"/>
    <w:next w:val="Normal"/>
    <w:uiPriority w:val="39"/>
    <w:qFormat/>
    <w:rsid w:val="00EF74C7"/>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EF74C7"/>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EF74C7"/>
    <w:rPr>
      <w:rFonts w:ascii="Arial" w:eastAsia="Arial" w:hAnsi="Arial" w:cs="Times New Roman"/>
      <w:kern w:val="0"/>
      <w:sz w:val="20"/>
      <w:szCs w:val="20"/>
      <w:lang w:val="cs-CZ" w:eastAsia="de-DE"/>
      <w14:ligatures w14:val="none"/>
    </w:rPr>
  </w:style>
  <w:style w:type="character" w:styleId="EndnoteReference">
    <w:name w:val="endnote reference"/>
    <w:uiPriority w:val="1"/>
    <w:rsid w:val="00EF74C7"/>
    <w:rPr>
      <w:rFonts w:ascii="Arial" w:hAnsi="Arial" w:cs="Times New Roman"/>
      <w:color w:val="auto"/>
      <w:position w:val="4"/>
      <w:sz w:val="12"/>
      <w:vertAlign w:val="baseline"/>
    </w:rPr>
  </w:style>
  <w:style w:type="paragraph" w:customStyle="1" w:styleId="Ballontekst">
    <w:name w:val="Ballontekst"/>
    <w:basedOn w:val="Normal"/>
    <w:uiPriority w:val="99"/>
    <w:semiHidden/>
    <w:rsid w:val="00EF74C7"/>
    <w:rPr>
      <w:rFonts w:ascii="Tahoma" w:hAnsi="Tahoma" w:cs="Tahoma"/>
      <w:sz w:val="16"/>
      <w:szCs w:val="16"/>
    </w:rPr>
  </w:style>
  <w:style w:type="character" w:styleId="CommentReference">
    <w:name w:val="annotation reference"/>
    <w:uiPriority w:val="99"/>
    <w:rsid w:val="00EF74C7"/>
    <w:rPr>
      <w:rFonts w:cs="Times New Roman"/>
      <w:sz w:val="16"/>
      <w:szCs w:val="16"/>
    </w:rPr>
  </w:style>
  <w:style w:type="paragraph" w:styleId="CommentText">
    <w:name w:val="annotation text"/>
    <w:basedOn w:val="Normal"/>
    <w:link w:val="CommentTextChar"/>
    <w:uiPriority w:val="99"/>
    <w:rsid w:val="00EF74C7"/>
    <w:rPr>
      <w:rFonts w:eastAsia="Arial"/>
      <w:szCs w:val="20"/>
      <w:lang w:eastAsia="x-none"/>
    </w:rPr>
  </w:style>
  <w:style w:type="character" w:customStyle="1" w:styleId="CommentTextChar">
    <w:name w:val="Comment Text Char"/>
    <w:basedOn w:val="DefaultParagraphFont"/>
    <w:link w:val="CommentText"/>
    <w:uiPriority w:val="99"/>
    <w:rsid w:val="00EF74C7"/>
    <w:rPr>
      <w:rFonts w:ascii="Verdana" w:eastAsia="Arial" w:hAnsi="Verdana" w:cs="Times New Roman"/>
      <w:kern w:val="0"/>
      <w:sz w:val="20"/>
      <w:szCs w:val="20"/>
      <w:lang w:val="cs-CZ" w:eastAsia="x-none"/>
      <w14:ligatures w14:val="none"/>
    </w:rPr>
  </w:style>
  <w:style w:type="paragraph" w:customStyle="1" w:styleId="Onderwerpvanopmerking">
    <w:name w:val="Onderwerp van opmerking"/>
    <w:basedOn w:val="CommentText"/>
    <w:next w:val="CommentText"/>
    <w:uiPriority w:val="99"/>
    <w:semiHidden/>
    <w:rsid w:val="00EF74C7"/>
    <w:rPr>
      <w:b/>
      <w:bCs/>
    </w:rPr>
  </w:style>
  <w:style w:type="character" w:styleId="FollowedHyperlink">
    <w:name w:val="FollowedHyperlink"/>
    <w:uiPriority w:val="99"/>
    <w:rsid w:val="00EF74C7"/>
    <w:rPr>
      <w:rFonts w:cs="Times New Roman"/>
      <w:color w:val="606420"/>
      <w:u w:val="single"/>
    </w:rPr>
  </w:style>
  <w:style w:type="paragraph" w:styleId="BalloonText">
    <w:name w:val="Balloon Text"/>
    <w:basedOn w:val="Normal"/>
    <w:link w:val="BalloonTextChar"/>
    <w:uiPriority w:val="99"/>
    <w:rsid w:val="00EF74C7"/>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EF74C7"/>
    <w:rPr>
      <w:rFonts w:ascii="Tahoma" w:eastAsia="Arial" w:hAnsi="Tahoma" w:cs="Times New Roman"/>
      <w:kern w:val="0"/>
      <w:sz w:val="16"/>
      <w:szCs w:val="16"/>
      <w:lang w:val="cs-CZ" w:eastAsia="x-none"/>
      <w14:ligatures w14:val="none"/>
    </w:rPr>
  </w:style>
  <w:style w:type="paragraph" w:styleId="CommentSubject">
    <w:name w:val="annotation subject"/>
    <w:basedOn w:val="CommentText"/>
    <w:next w:val="CommentText"/>
    <w:link w:val="CommentSubjectChar"/>
    <w:uiPriority w:val="99"/>
    <w:rsid w:val="00EF74C7"/>
    <w:rPr>
      <w:b/>
      <w:bCs/>
    </w:rPr>
  </w:style>
  <w:style w:type="character" w:customStyle="1" w:styleId="CommentSubjectChar">
    <w:name w:val="Comment Subject Char"/>
    <w:basedOn w:val="CommentTextChar"/>
    <w:link w:val="CommentSubject"/>
    <w:uiPriority w:val="99"/>
    <w:rsid w:val="00EF74C7"/>
    <w:rPr>
      <w:rFonts w:ascii="Verdana" w:eastAsia="Arial" w:hAnsi="Verdana" w:cs="Times New Roman"/>
      <w:b/>
      <w:bCs/>
      <w:kern w:val="0"/>
      <w:sz w:val="20"/>
      <w:szCs w:val="20"/>
      <w:lang w:val="cs-CZ" w:eastAsia="x-none"/>
      <w14:ligatures w14:val="none"/>
    </w:rPr>
  </w:style>
  <w:style w:type="table" w:styleId="TableGrid">
    <w:name w:val="Table Grid"/>
    <w:aliases w:val="Tabla CUADROS"/>
    <w:basedOn w:val="TableNormal"/>
    <w:uiPriority w:val="59"/>
    <w:rsid w:val="00EF74C7"/>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EF74C7"/>
    <w:pPr>
      <w:spacing w:before="240" w:after="60"/>
    </w:pPr>
    <w:rPr>
      <w:iCs/>
      <w:szCs w:val="28"/>
    </w:rPr>
  </w:style>
  <w:style w:type="character" w:customStyle="1" w:styleId="Formatvorlageberschrift4Char">
    <w:name w:val="Formatvorlage Überschrift 4 Char"/>
    <w:link w:val="Formatvorlageberschrift4"/>
    <w:uiPriority w:val="99"/>
    <w:locked/>
    <w:rsid w:val="00EF74C7"/>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EF74C7"/>
    <w:pPr>
      <w:tabs>
        <w:tab w:val="num" w:pos="540"/>
      </w:tabs>
      <w:spacing w:before="240"/>
      <w:ind w:left="540" w:hanging="540"/>
    </w:pPr>
    <w:rPr>
      <w:b w:val="0"/>
      <w:kern w:val="32"/>
    </w:rPr>
  </w:style>
  <w:style w:type="paragraph" w:customStyle="1" w:styleId="Instructionsberschrift2">
    <w:name w:val="Instructions Überschrift 2"/>
    <w:basedOn w:val="Heading2"/>
    <w:rsid w:val="00EF74C7"/>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EF74C7"/>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EF74C7"/>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EF74C7"/>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F74C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EF74C7"/>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EF74C7"/>
    <w:rPr>
      <w:rFonts w:ascii="Verdana" w:hAnsi="Verdana" w:cs="Times New Roman"/>
      <w:b/>
      <w:bCs/>
      <w:sz w:val="20"/>
      <w:u w:val="single"/>
    </w:rPr>
  </w:style>
  <w:style w:type="character" w:customStyle="1" w:styleId="InstructionsTabelleText">
    <w:name w:val="Instructions Tabelle Text"/>
    <w:rsid w:val="00EF74C7"/>
    <w:rPr>
      <w:rFonts w:ascii="Verdana" w:hAnsi="Verdana" w:cs="Times New Roman"/>
      <w:sz w:val="20"/>
    </w:rPr>
  </w:style>
  <w:style w:type="character" w:customStyle="1" w:styleId="FormatvorlageInstructionsTabelleText">
    <w:name w:val="Formatvorlage Instructions Tabelle Text"/>
    <w:uiPriority w:val="99"/>
    <w:qFormat/>
    <w:rsid w:val="00EF74C7"/>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EF74C7"/>
    <w:pPr>
      <w:ind w:left="0" w:firstLine="0"/>
    </w:pPr>
    <w:rPr>
      <w:szCs w:val="20"/>
    </w:rPr>
  </w:style>
  <w:style w:type="paragraph" w:customStyle="1" w:styleId="Texte2">
    <w:name w:val="Texte 2"/>
    <w:basedOn w:val="Normal"/>
    <w:uiPriority w:val="99"/>
    <w:rsid w:val="00EF74C7"/>
    <w:pPr>
      <w:spacing w:after="0"/>
      <w:ind w:left="567"/>
    </w:pPr>
    <w:rPr>
      <w:sz w:val="22"/>
      <w:szCs w:val="20"/>
      <w:lang w:eastAsia="fr-FR"/>
    </w:rPr>
  </w:style>
  <w:style w:type="paragraph" w:customStyle="1" w:styleId="Prrafodelista1">
    <w:name w:val="Párrafo de lista1"/>
    <w:basedOn w:val="Normal"/>
    <w:uiPriority w:val="99"/>
    <w:rsid w:val="00EF74C7"/>
    <w:pPr>
      <w:ind w:left="720"/>
    </w:pPr>
  </w:style>
  <w:style w:type="paragraph" w:customStyle="1" w:styleId="Prrafodelista2">
    <w:name w:val="Párrafo de lista2"/>
    <w:basedOn w:val="Normal"/>
    <w:uiPriority w:val="99"/>
    <w:rsid w:val="00EF74C7"/>
    <w:pPr>
      <w:ind w:left="708"/>
    </w:pPr>
  </w:style>
  <w:style w:type="paragraph" w:styleId="PlainText">
    <w:name w:val="Plain Text"/>
    <w:basedOn w:val="Normal"/>
    <w:link w:val="PlainTextChar"/>
    <w:uiPriority w:val="99"/>
    <w:rsid w:val="00EF74C7"/>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EF74C7"/>
    <w:rPr>
      <w:rFonts w:ascii="Verdana" w:eastAsia="Arial" w:hAnsi="Verdana" w:cs="Times New Roman"/>
      <w:kern w:val="0"/>
      <w:sz w:val="20"/>
      <w:szCs w:val="20"/>
      <w:lang w:val="cs-CZ" w:eastAsia="es-ES_tradnl"/>
      <w14:ligatures w14:val="none"/>
    </w:rPr>
  </w:style>
  <w:style w:type="paragraph" w:customStyle="1" w:styleId="Listenabsatz1">
    <w:name w:val="Listenabsatz1"/>
    <w:basedOn w:val="Normal"/>
    <w:uiPriority w:val="99"/>
    <w:rsid w:val="00EF74C7"/>
    <w:pPr>
      <w:ind w:left="708"/>
    </w:pPr>
  </w:style>
  <w:style w:type="character" w:customStyle="1" w:styleId="InstructionsTextChar">
    <w:name w:val="Instructions Text Char"/>
    <w:link w:val="InstructionsText"/>
    <w:locked/>
    <w:rsid w:val="00EF74C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EF74C7"/>
    <w:pPr>
      <w:ind w:left="708"/>
    </w:pPr>
  </w:style>
  <w:style w:type="character" w:styleId="PlaceholderText">
    <w:name w:val="Placeholder Text"/>
    <w:uiPriority w:val="99"/>
    <w:semiHidden/>
    <w:rsid w:val="00EF74C7"/>
    <w:rPr>
      <w:rFonts w:cs="Times New Roman"/>
      <w:color w:val="808080"/>
    </w:rPr>
  </w:style>
  <w:style w:type="paragraph" w:customStyle="1" w:styleId="InstructionsText2">
    <w:name w:val="Instructions Text 2"/>
    <w:basedOn w:val="InstructionsText"/>
    <w:qFormat/>
    <w:rsid w:val="00EF74C7"/>
    <w:pPr>
      <w:numPr>
        <w:numId w:val="15"/>
      </w:numPr>
      <w:spacing w:after="240"/>
    </w:pPr>
  </w:style>
  <w:style w:type="character" w:customStyle="1" w:styleId="Instructionsberschrift3Char">
    <w:name w:val="Instructions Überschrift 3 Char"/>
    <w:locked/>
    <w:rsid w:val="00EF74C7"/>
    <w:rPr>
      <w:rFonts w:ascii="Verdana" w:hAnsi="Verdana" w:cs="Arial"/>
      <w:b/>
      <w:bCs/>
      <w:sz w:val="26"/>
      <w:szCs w:val="26"/>
      <w:u w:val="single"/>
      <w:lang w:val="cs-CZ" w:eastAsia="en-US" w:bidi="ar-SA"/>
    </w:rPr>
  </w:style>
  <w:style w:type="paragraph" w:customStyle="1" w:styleId="CM4">
    <w:name w:val="CM4"/>
    <w:basedOn w:val="Normal"/>
    <w:next w:val="Normal"/>
    <w:uiPriority w:val="99"/>
    <w:rsid w:val="00EF74C7"/>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EF74C7"/>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EF74C7"/>
    <w:rPr>
      <w:rFonts w:ascii="Tahoma" w:eastAsia="Arial" w:hAnsi="Tahoma" w:cs="Times New Roman"/>
      <w:kern w:val="0"/>
      <w:sz w:val="16"/>
      <w:szCs w:val="16"/>
      <w:lang w:val="cs-CZ" w:eastAsia="x-none"/>
      <w14:ligatures w14:val="none"/>
    </w:rPr>
  </w:style>
  <w:style w:type="paragraph" w:customStyle="1" w:styleId="Titrearticle">
    <w:name w:val="Titre article"/>
    <w:basedOn w:val="Normal"/>
    <w:next w:val="Normal"/>
    <w:rsid w:val="00EF74C7"/>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EF74C7"/>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EF74C7"/>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EF74C7"/>
    <w:rPr>
      <w:rFonts w:cs="Times New Roman"/>
      <w:sz w:val="24"/>
      <w:szCs w:val="24"/>
      <w:lang w:eastAsia="de-DE"/>
    </w:rPr>
  </w:style>
  <w:style w:type="paragraph" w:customStyle="1" w:styleId="NumPar1">
    <w:name w:val="NumPar 1"/>
    <w:basedOn w:val="Normal"/>
    <w:next w:val="Normal"/>
    <w:link w:val="NumPar1Char"/>
    <w:uiPriority w:val="99"/>
    <w:rsid w:val="00EF74C7"/>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EF74C7"/>
    <w:rPr>
      <w:rFonts w:cs="Times New Roman"/>
      <w:sz w:val="24"/>
      <w:szCs w:val="24"/>
    </w:rPr>
  </w:style>
  <w:style w:type="paragraph" w:customStyle="1" w:styleId="Point1letter">
    <w:name w:val="Point 1 (letter)"/>
    <w:basedOn w:val="Normal"/>
    <w:link w:val="Point1letterChar"/>
    <w:uiPriority w:val="99"/>
    <w:rsid w:val="00EF74C7"/>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EF74C7"/>
    <w:pPr>
      <w:numPr>
        <w:numId w:val="6"/>
      </w:numPr>
    </w:pPr>
  </w:style>
  <w:style w:type="numbering" w:customStyle="1" w:styleId="Formatvorlage3">
    <w:name w:val="Formatvorlage3"/>
    <w:uiPriority w:val="99"/>
    <w:rsid w:val="00EF74C7"/>
    <w:pPr>
      <w:numPr>
        <w:numId w:val="16"/>
      </w:numPr>
    </w:pPr>
  </w:style>
  <w:style w:type="numbering" w:customStyle="1" w:styleId="Formatvorlage1">
    <w:name w:val="Formatvorlage1"/>
    <w:uiPriority w:val="99"/>
    <w:rsid w:val="00EF74C7"/>
    <w:pPr>
      <w:numPr>
        <w:numId w:val="5"/>
      </w:numPr>
    </w:pPr>
  </w:style>
  <w:style w:type="numbering" w:customStyle="1" w:styleId="Formatvorlage4">
    <w:name w:val="Formatvorlage4"/>
    <w:uiPriority w:val="99"/>
    <w:rsid w:val="00EF74C7"/>
    <w:pPr>
      <w:numPr>
        <w:numId w:val="18"/>
      </w:numPr>
    </w:pPr>
  </w:style>
  <w:style w:type="paragraph" w:customStyle="1" w:styleId="ListParagraph1">
    <w:name w:val="List Paragraph1"/>
    <w:basedOn w:val="Normal"/>
    <w:uiPriority w:val="99"/>
    <w:qFormat/>
    <w:rsid w:val="00EF74C7"/>
    <w:pPr>
      <w:ind w:left="708"/>
    </w:pPr>
  </w:style>
  <w:style w:type="paragraph" w:customStyle="1" w:styleId="Anfhrungszeichen1">
    <w:name w:val="Anführungszeichen1"/>
    <w:basedOn w:val="Normal"/>
    <w:next w:val="Normal"/>
    <w:link w:val="AnfhrungszeichenZchn"/>
    <w:uiPriority w:val="29"/>
    <w:semiHidden/>
    <w:rsid w:val="00EF74C7"/>
    <w:rPr>
      <w:i/>
      <w:iCs/>
      <w:color w:val="000000"/>
    </w:rPr>
  </w:style>
  <w:style w:type="character" w:customStyle="1" w:styleId="AnfhrungszeichenZchn">
    <w:name w:val="Anführungszeichen Zchn"/>
    <w:link w:val="Anfhrungszeichen1"/>
    <w:uiPriority w:val="29"/>
    <w:semiHidden/>
    <w:rsid w:val="00EF74C7"/>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EF74C7"/>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EF74C7"/>
    <w:pPr>
      <w:ind w:left="708"/>
    </w:pPr>
  </w:style>
  <w:style w:type="character" w:customStyle="1" w:styleId="Platzhaltertext1">
    <w:name w:val="Platzhaltertext1"/>
    <w:uiPriority w:val="99"/>
    <w:semiHidden/>
    <w:rsid w:val="00EF74C7"/>
    <w:rPr>
      <w:color w:val="808080"/>
    </w:rPr>
  </w:style>
  <w:style w:type="paragraph" w:customStyle="1" w:styleId="Default">
    <w:name w:val="Default"/>
    <w:rsid w:val="00EF74C7"/>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EF74C7"/>
    <w:rPr>
      <w:rFonts w:ascii="EU Albertina" w:hAnsi="EU Albertina" w:cs="Times New Roman"/>
      <w:color w:val="auto"/>
    </w:rPr>
  </w:style>
  <w:style w:type="paragraph" w:customStyle="1" w:styleId="CM3">
    <w:name w:val="CM3"/>
    <w:basedOn w:val="Default"/>
    <w:next w:val="Default"/>
    <w:uiPriority w:val="99"/>
    <w:rsid w:val="00EF74C7"/>
    <w:rPr>
      <w:rFonts w:ascii="EU Albertina" w:hAnsi="EU Albertina" w:cs="Times New Roman"/>
      <w:color w:val="auto"/>
    </w:rPr>
  </w:style>
  <w:style w:type="paragraph" w:styleId="NormalWeb">
    <w:name w:val="Normal (Web)"/>
    <w:basedOn w:val="Normal"/>
    <w:uiPriority w:val="99"/>
    <w:unhideWhenUsed/>
    <w:rsid w:val="00EF74C7"/>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EF74C7"/>
    <w:rPr>
      <w:i/>
      <w:iCs/>
    </w:rPr>
  </w:style>
  <w:style w:type="paragraph" w:customStyle="1" w:styleId="TableMainHeading">
    <w:name w:val="TableMainHeading"/>
    <w:basedOn w:val="Normal"/>
    <w:next w:val="Normal"/>
    <w:uiPriority w:val="99"/>
    <w:rsid w:val="00EF74C7"/>
    <w:pPr>
      <w:jc w:val="left"/>
    </w:pPr>
    <w:rPr>
      <w:rFonts w:ascii="Segoe UI" w:hAnsi="Segoe UI"/>
      <w:sz w:val="22"/>
      <w:szCs w:val="20"/>
    </w:rPr>
  </w:style>
  <w:style w:type="paragraph" w:customStyle="1" w:styleId="body">
    <w:name w:val="body"/>
    <w:qFormat/>
    <w:rsid w:val="00EF74C7"/>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EF74C7"/>
    <w:pPr>
      <w:spacing w:before="480"/>
    </w:pPr>
    <w:rPr>
      <w:rFonts w:ascii="Times New Roman" w:hAnsi="Times New Roman"/>
      <w:sz w:val="24"/>
    </w:rPr>
  </w:style>
  <w:style w:type="paragraph" w:customStyle="1" w:styleId="Fait">
    <w:name w:val="Fait à"/>
    <w:basedOn w:val="Normal"/>
    <w:next w:val="Normal"/>
    <w:rsid w:val="00EF74C7"/>
    <w:pPr>
      <w:keepNext/>
      <w:spacing w:after="0"/>
    </w:pPr>
    <w:rPr>
      <w:rFonts w:ascii="Times New Roman" w:hAnsi="Times New Roman"/>
      <w:sz w:val="24"/>
    </w:rPr>
  </w:style>
  <w:style w:type="paragraph" w:customStyle="1" w:styleId="Numberedtilelevel1">
    <w:name w:val="Numbered tile level 1"/>
    <w:basedOn w:val="Titlelevel1"/>
    <w:qFormat/>
    <w:rsid w:val="00EF74C7"/>
    <w:pPr>
      <w:numPr>
        <w:numId w:val="25"/>
      </w:numPr>
    </w:pPr>
  </w:style>
  <w:style w:type="paragraph" w:customStyle="1" w:styleId="Numberedtitlelevel2">
    <w:name w:val="Numbered title level 2"/>
    <w:basedOn w:val="Titlelevel2"/>
    <w:next w:val="body"/>
    <w:qFormat/>
    <w:rsid w:val="00EF74C7"/>
    <w:pPr>
      <w:numPr>
        <w:ilvl w:val="1"/>
        <w:numId w:val="25"/>
      </w:numPr>
    </w:pPr>
  </w:style>
  <w:style w:type="paragraph" w:customStyle="1" w:styleId="Titlelevel2">
    <w:name w:val="Title level 2"/>
    <w:qFormat/>
    <w:rsid w:val="00EF74C7"/>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EF74C7"/>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EF74C7"/>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EF74C7"/>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EF74C7"/>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F74C7"/>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EF74C7"/>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EF74C7"/>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EF74C7"/>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EF74C7"/>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EF74C7"/>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EF74C7"/>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EF74C7"/>
    <w:pPr>
      <w:numPr>
        <w:numId w:val="21"/>
      </w:numPr>
    </w:pPr>
    <w:rPr>
      <w:szCs w:val="22"/>
    </w:rPr>
  </w:style>
  <w:style w:type="paragraph" w:customStyle="1" w:styleId="bullet2">
    <w:name w:val="bullet 2"/>
    <w:basedOn w:val="body"/>
    <w:qFormat/>
    <w:rsid w:val="00EF74C7"/>
    <w:pPr>
      <w:numPr>
        <w:numId w:val="20"/>
      </w:numPr>
    </w:pPr>
    <w:rPr>
      <w:szCs w:val="22"/>
    </w:rPr>
  </w:style>
  <w:style w:type="paragraph" w:customStyle="1" w:styleId="Numberedtitlelevel3">
    <w:name w:val="Numbered title level 3"/>
    <w:basedOn w:val="Titlelevel3"/>
    <w:next w:val="body"/>
    <w:qFormat/>
    <w:rsid w:val="00EF74C7"/>
    <w:pPr>
      <w:numPr>
        <w:ilvl w:val="2"/>
        <w:numId w:val="25"/>
      </w:numPr>
    </w:pPr>
  </w:style>
  <w:style w:type="table" w:styleId="LightShading">
    <w:name w:val="Light Shading"/>
    <w:basedOn w:val="TableNormal"/>
    <w:uiPriority w:val="60"/>
    <w:rsid w:val="00EF74C7"/>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F74C7"/>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EF74C7"/>
  </w:style>
  <w:style w:type="paragraph" w:customStyle="1" w:styleId="Numberedtitlelevel4">
    <w:name w:val="Numbered title level 4"/>
    <w:basedOn w:val="Titlelevel4"/>
    <w:qFormat/>
    <w:rsid w:val="00EF74C7"/>
    <w:pPr>
      <w:numPr>
        <w:numId w:val="22"/>
      </w:numPr>
    </w:pPr>
  </w:style>
  <w:style w:type="paragraph" w:styleId="Title">
    <w:name w:val="Title"/>
    <w:basedOn w:val="Normal"/>
    <w:next w:val="Normal"/>
    <w:link w:val="TitleChar"/>
    <w:qFormat/>
    <w:rsid w:val="00EF74C7"/>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EF74C7"/>
    <w:rPr>
      <w:rFonts w:asciiTheme="majorHAnsi" w:eastAsiaTheme="majorEastAsia" w:hAnsiTheme="majorHAnsi" w:cstheme="majorBidi"/>
      <w:color w:val="44546A" w:themeColor="text2"/>
      <w:spacing w:val="5"/>
      <w:kern w:val="28"/>
      <w:sz w:val="52"/>
      <w:szCs w:val="52"/>
      <w:lang w:val="cs-CZ"/>
      <w14:ligatures w14:val="none"/>
    </w:rPr>
  </w:style>
  <w:style w:type="paragraph" w:styleId="Subtitle">
    <w:name w:val="Subtitle"/>
    <w:next w:val="Normal"/>
    <w:link w:val="SubtitleChar"/>
    <w:autoRedefine/>
    <w:uiPriority w:val="11"/>
    <w:qFormat/>
    <w:rsid w:val="00EF74C7"/>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EF74C7"/>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EF74C7"/>
    <w:rPr>
      <w:b/>
      <w:bCs/>
      <w:smallCaps/>
      <w:spacing w:val="5"/>
    </w:rPr>
  </w:style>
  <w:style w:type="character" w:customStyle="1" w:styleId="Highlighttext">
    <w:name w:val="Highlight text"/>
    <w:basedOn w:val="DefaultParagraphFont"/>
    <w:uiPriority w:val="1"/>
    <w:semiHidden/>
    <w:qFormat/>
    <w:rsid w:val="00EF74C7"/>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EF74C7"/>
    <w:rPr>
      <w:bCs/>
      <w:lang w:eastAsia="en-GB"/>
    </w:rPr>
  </w:style>
  <w:style w:type="paragraph" w:styleId="ListBullet">
    <w:name w:val="List Bullet"/>
    <w:basedOn w:val="Normal"/>
    <w:semiHidden/>
    <w:qFormat/>
    <w:rsid w:val="00EF74C7"/>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EF74C7"/>
    <w:pPr>
      <w:numPr>
        <w:numId w:val="26"/>
      </w:numPr>
    </w:pPr>
  </w:style>
  <w:style w:type="character" w:customStyle="1" w:styleId="Marker">
    <w:name w:val="Marker"/>
    <w:rsid w:val="00EF74C7"/>
    <w:rPr>
      <w:color w:val="0000FF"/>
      <w:shd w:val="clear" w:color="auto" w:fill="auto"/>
    </w:rPr>
  </w:style>
  <w:style w:type="character" w:customStyle="1" w:styleId="Marker2">
    <w:name w:val="Marker2"/>
    <w:rsid w:val="00EF74C7"/>
    <w:rPr>
      <w:color w:val="FF0000"/>
      <w:shd w:val="clear" w:color="auto" w:fill="auto"/>
    </w:rPr>
  </w:style>
  <w:style w:type="paragraph" w:customStyle="1" w:styleId="Annexetitre">
    <w:name w:val="Annexe titre"/>
    <w:basedOn w:val="Normal"/>
    <w:next w:val="Normal"/>
    <w:rsid w:val="00EF74C7"/>
    <w:pPr>
      <w:jc w:val="center"/>
    </w:pPr>
    <w:rPr>
      <w:rFonts w:ascii="Times New Roman" w:hAnsi="Times New Roman"/>
      <w:b/>
      <w:sz w:val="24"/>
      <w:u w:val="single"/>
    </w:rPr>
  </w:style>
  <w:style w:type="paragraph" w:customStyle="1" w:styleId="Considrant">
    <w:name w:val="Considérant"/>
    <w:basedOn w:val="Normal"/>
    <w:rsid w:val="00EF74C7"/>
    <w:pPr>
      <w:numPr>
        <w:numId w:val="28"/>
      </w:numPr>
    </w:pPr>
    <w:rPr>
      <w:rFonts w:ascii="Times New Roman" w:hAnsi="Times New Roman"/>
      <w:sz w:val="24"/>
    </w:rPr>
  </w:style>
  <w:style w:type="paragraph" w:customStyle="1" w:styleId="Datedadoption">
    <w:name w:val="Date d'adoption"/>
    <w:basedOn w:val="Normal"/>
    <w:next w:val="Titreobjet"/>
    <w:rsid w:val="00EF74C7"/>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EF74C7"/>
    <w:pPr>
      <w:keepNext/>
    </w:pPr>
    <w:rPr>
      <w:rFonts w:ascii="Times New Roman" w:hAnsi="Times New Roman"/>
      <w:sz w:val="24"/>
    </w:rPr>
  </w:style>
  <w:style w:type="paragraph" w:customStyle="1" w:styleId="Institutionquisigne">
    <w:name w:val="Institution qui signe"/>
    <w:basedOn w:val="Normal"/>
    <w:next w:val="Personnequisigne"/>
    <w:rsid w:val="00EF74C7"/>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EF74C7"/>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EF74C7"/>
    <w:pPr>
      <w:spacing w:before="360" w:after="360"/>
      <w:jc w:val="center"/>
    </w:pPr>
    <w:rPr>
      <w:rFonts w:ascii="Times New Roman" w:hAnsi="Times New Roman"/>
      <w:b/>
      <w:sz w:val="24"/>
    </w:rPr>
  </w:style>
  <w:style w:type="paragraph" w:customStyle="1" w:styleId="Typedudocument">
    <w:name w:val="Type du document"/>
    <w:basedOn w:val="Normal"/>
    <w:next w:val="Titreobjet"/>
    <w:rsid w:val="00EF74C7"/>
    <w:pPr>
      <w:spacing w:before="360" w:after="0"/>
      <w:jc w:val="center"/>
    </w:pPr>
    <w:rPr>
      <w:rFonts w:ascii="Times New Roman" w:hAnsi="Times New Roman"/>
      <w:b/>
      <w:sz w:val="24"/>
    </w:rPr>
  </w:style>
  <w:style w:type="paragraph" w:customStyle="1" w:styleId="Pagedecouverture">
    <w:name w:val="Page de couverture"/>
    <w:basedOn w:val="Normal"/>
    <w:next w:val="Normal"/>
    <w:rsid w:val="00EF74C7"/>
    <w:rPr>
      <w:rFonts w:ascii="Times New Roman" w:hAnsi="Times New Roman"/>
      <w:sz w:val="24"/>
    </w:rPr>
  </w:style>
  <w:style w:type="paragraph" w:customStyle="1" w:styleId="Institutionquiagit">
    <w:name w:val="Institution qui agit"/>
    <w:basedOn w:val="Normal"/>
    <w:next w:val="Normal"/>
    <w:rsid w:val="00EF74C7"/>
    <w:pPr>
      <w:keepNext/>
      <w:spacing w:before="600"/>
    </w:pPr>
    <w:rPr>
      <w:rFonts w:ascii="Times New Roman" w:hAnsi="Times New Roman"/>
      <w:sz w:val="24"/>
    </w:rPr>
  </w:style>
  <w:style w:type="paragraph" w:styleId="Caption">
    <w:name w:val="caption"/>
    <w:basedOn w:val="Normal"/>
    <w:next w:val="Normal"/>
    <w:uiPriority w:val="35"/>
    <w:unhideWhenUsed/>
    <w:qFormat/>
    <w:rsid w:val="00EF74C7"/>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EF74C7"/>
    <w:pPr>
      <w:spacing w:before="60"/>
    </w:pPr>
    <w:rPr>
      <w:rFonts w:ascii="Segoe UI" w:hAnsi="Segoe UI"/>
      <w:sz w:val="15"/>
      <w:szCs w:val="20"/>
    </w:rPr>
  </w:style>
  <w:style w:type="paragraph" w:customStyle="1" w:styleId="CM11">
    <w:name w:val="CM1+1"/>
    <w:basedOn w:val="Default"/>
    <w:next w:val="Default"/>
    <w:uiPriority w:val="99"/>
    <w:rsid w:val="00EF74C7"/>
    <w:rPr>
      <w:rFonts w:ascii="EUAlbertina" w:eastAsiaTheme="minorEastAsia" w:hAnsi="EUAlbertina" w:cstheme="minorBidi"/>
      <w:color w:val="auto"/>
      <w:lang w:eastAsia="en-US"/>
    </w:rPr>
  </w:style>
  <w:style w:type="paragraph" w:customStyle="1" w:styleId="CM31">
    <w:name w:val="CM3+1"/>
    <w:basedOn w:val="Default"/>
    <w:next w:val="Default"/>
    <w:uiPriority w:val="99"/>
    <w:rsid w:val="00EF74C7"/>
    <w:rPr>
      <w:rFonts w:ascii="EUAlbertina" w:eastAsiaTheme="minorEastAsia" w:hAnsi="EUAlbertina" w:cstheme="minorBidi"/>
      <w:color w:val="auto"/>
      <w:lang w:eastAsia="en-US"/>
    </w:rPr>
  </w:style>
  <w:style w:type="paragraph" w:customStyle="1" w:styleId="CM13">
    <w:name w:val="CM1+3"/>
    <w:basedOn w:val="Default"/>
    <w:next w:val="Default"/>
    <w:uiPriority w:val="99"/>
    <w:rsid w:val="00EF74C7"/>
    <w:rPr>
      <w:rFonts w:ascii="EUAlbertina" w:eastAsiaTheme="minorEastAsia" w:hAnsi="EUAlbertina" w:cstheme="minorBidi"/>
      <w:color w:val="auto"/>
      <w:lang w:eastAsia="en-US"/>
    </w:rPr>
  </w:style>
  <w:style w:type="paragraph" w:customStyle="1" w:styleId="CM33">
    <w:name w:val="CM3+3"/>
    <w:basedOn w:val="Default"/>
    <w:next w:val="Default"/>
    <w:uiPriority w:val="99"/>
    <w:rsid w:val="00EF74C7"/>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EF74C7"/>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EF74C7"/>
    <w:rPr>
      <w:color w:val="605E5C"/>
      <w:shd w:val="clear" w:color="auto" w:fill="E1DFDD"/>
    </w:rPr>
  </w:style>
  <w:style w:type="character" w:styleId="Mention">
    <w:name w:val="Mention"/>
    <w:basedOn w:val="DefaultParagraphFont"/>
    <w:uiPriority w:val="99"/>
    <w:unhideWhenUsed/>
    <w:rsid w:val="00EF74C7"/>
    <w:rPr>
      <w:color w:val="2B579A"/>
      <w:shd w:val="clear" w:color="auto" w:fill="E1DFDD"/>
    </w:rPr>
  </w:style>
  <w:style w:type="paragraph" w:customStyle="1" w:styleId="pf0">
    <w:name w:val="pf0"/>
    <w:basedOn w:val="Normal"/>
    <w:rsid w:val="00EF74C7"/>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EF74C7"/>
  </w:style>
  <w:style w:type="character" w:customStyle="1" w:styleId="cf01">
    <w:name w:val="cf01"/>
    <w:basedOn w:val="DefaultParagraphFont"/>
    <w:rsid w:val="00EF74C7"/>
    <w:rPr>
      <w:rFonts w:ascii="Segoe UI" w:hAnsi="Segoe UI" w:cs="Segoe UI" w:hint="default"/>
      <w:sz w:val="18"/>
      <w:szCs w:val="18"/>
    </w:rPr>
  </w:style>
  <w:style w:type="paragraph" w:styleId="BodyText">
    <w:name w:val="Body Text"/>
    <w:basedOn w:val="Normal"/>
    <w:link w:val="BodyTextChar"/>
    <w:rsid w:val="00EF74C7"/>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EF74C7"/>
    <w:rPr>
      <w:rFonts w:ascii="Liberation Serif" w:eastAsia="SimSun" w:hAnsi="Liberation Serif" w:cs="Lucida Sans"/>
      <w:kern w:val="0"/>
      <w:sz w:val="24"/>
      <w:szCs w:val="24"/>
      <w:lang w:val="cs-CZ" w:eastAsia="zh-CN" w:bidi="hi-IN"/>
      <w14:ligatures w14:val="none"/>
    </w:rPr>
  </w:style>
  <w:style w:type="paragraph" w:customStyle="1" w:styleId="Tabelleninhalt">
    <w:name w:val="Tabelleninhalt"/>
    <w:basedOn w:val="Normal"/>
    <w:qFormat/>
    <w:rsid w:val="00EF74C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EF74C7"/>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EF74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7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so.org/iso-4217-currency-codes.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iso.org/iso-4217-currency-codes.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352F70-C515-4459-8338-3B2EB0E38D2D}">
  <ds:schemaRefs>
    <ds:schemaRef ds:uri="http://schemas.microsoft.com/sharepoint/v3/contenttype/forms"/>
  </ds:schemaRefs>
</ds:datastoreItem>
</file>

<file path=customXml/itemProps2.xml><?xml version="1.0" encoding="utf-8"?>
<ds:datastoreItem xmlns:ds="http://schemas.openxmlformats.org/officeDocument/2006/customXml" ds:itemID="{4FF06A24-53E1-4128-BDE5-EF027B37DF94}">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D4EE7BA2-02BF-4464-988D-5C1F6A25D44D}"/>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26</Pages>
  <Words>7353</Words>
  <Characters>41623</Characters>
  <Application>Microsoft Office Word</Application>
  <DocSecurity>0</DocSecurity>
  <Lines>1095</Lines>
  <Paragraphs>709</Paragraphs>
  <ScaleCrop>false</ScaleCrop>
  <Company>European Banking Authority</Company>
  <LinksUpToDate>false</LinksUpToDate>
  <CharactersWithSpaces>48267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YAGHMOUROVA Zita (DGT)</cp:lastModifiedBy>
  <cp:revision>5</cp:revision>
  <dcterms:created xsi:type="dcterms:W3CDTF">2024-06-19T16:03:00Z</dcterms:created>
  <dcterms:modified xsi:type="dcterms:W3CDTF">2024-11-06T10:22:00Z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4205b5a0,13da6c1b,42f1195b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2024-11-06T10:22:07Z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77f1500e-6b6c-4f10-8c39-160794282f71</vt:lpwstr>
  </property>
  <property fmtid="{D5CDD505-2E9C-101B-9397-08002B2CF9AE}" pid="12" name="MSIP_Label_6bd9ddd1-4d20-43f6-abfa-fc3c07406f94_ContentBits">
    <vt:lpwstr>0</vt:lpwstr>
  </property>
</Properties>
</file>