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IX PRIEDAS</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INFORMACIJOS APIE DIDELES POZICIJAS IR KONCENTRACIJOS RIZIKĄ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TEIKIMO NURODYMAI</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Turinys</w:t>
      </w:r>
    </w:p>
    <w:p w14:paraId="2A498951" w14:textId="57A46708" w:rsidR="00401CF2" w:rsidRDefault="00621F98">
      <w:pPr>
        <w:pStyle w:val="TOC2"/>
        <w:rPr>
          <w:rFonts w:asciiTheme="minorHAnsi" w:eastAsiaTheme="minorEastAsia" w:hAnsiTheme="minorHAnsi" w:cstheme="minorBidi"/>
          <w:b w:val="0"/>
          <w:smallCaps w:val="0"/>
          <w:kern w:val="2"/>
          <w:sz w:val="24"/>
          <w:szCs w:val="24"/>
          <w:lang w:val="en-IE" w:eastAsia="en-I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863831" w:history="1">
        <w:r w:rsidR="00401CF2" w:rsidRPr="00D21ADF">
          <w:rPr>
            <w:rStyle w:val="Hyperlink"/>
            <w:rFonts w:ascii="Times New Roman" w:hAnsi="Times New Roman"/>
          </w:rPr>
          <w:t>I DALIS. BENDRIEJI NURODYMAI</w:t>
        </w:r>
        <w:r w:rsidR="00401CF2">
          <w:rPr>
            <w:webHidden/>
          </w:rPr>
          <w:tab/>
        </w:r>
        <w:r w:rsidR="00401CF2">
          <w:rPr>
            <w:webHidden/>
          </w:rPr>
          <w:fldChar w:fldCharType="begin"/>
        </w:r>
        <w:r w:rsidR="00401CF2">
          <w:rPr>
            <w:webHidden/>
          </w:rPr>
          <w:instrText xml:space="preserve"> PAGEREF _Toc188863831 \h </w:instrText>
        </w:r>
        <w:r w:rsidR="00401CF2">
          <w:rPr>
            <w:webHidden/>
          </w:rPr>
        </w:r>
        <w:r w:rsidR="00401CF2">
          <w:rPr>
            <w:webHidden/>
          </w:rPr>
          <w:fldChar w:fldCharType="separate"/>
        </w:r>
        <w:r w:rsidR="00401CF2">
          <w:rPr>
            <w:webHidden/>
          </w:rPr>
          <w:t>2</w:t>
        </w:r>
        <w:r w:rsidR="00401CF2">
          <w:rPr>
            <w:webHidden/>
          </w:rPr>
          <w:fldChar w:fldCharType="end"/>
        </w:r>
      </w:hyperlink>
    </w:p>
    <w:p w14:paraId="6225BCDE" w14:textId="4635435F"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2" w:history="1">
        <w:r w:rsidRPr="00D21ADF">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Struktūra ir tvarka</w:t>
        </w:r>
        <w:r>
          <w:rPr>
            <w:webHidden/>
          </w:rPr>
          <w:tab/>
        </w:r>
        <w:r>
          <w:rPr>
            <w:webHidden/>
          </w:rPr>
          <w:fldChar w:fldCharType="begin"/>
        </w:r>
        <w:r>
          <w:rPr>
            <w:webHidden/>
          </w:rPr>
          <w:instrText xml:space="preserve"> PAGEREF _Toc188863832 \h </w:instrText>
        </w:r>
        <w:r>
          <w:rPr>
            <w:webHidden/>
          </w:rPr>
        </w:r>
        <w:r>
          <w:rPr>
            <w:webHidden/>
          </w:rPr>
          <w:fldChar w:fldCharType="separate"/>
        </w:r>
        <w:r>
          <w:rPr>
            <w:webHidden/>
          </w:rPr>
          <w:t>2</w:t>
        </w:r>
        <w:r>
          <w:rPr>
            <w:webHidden/>
          </w:rPr>
          <w:fldChar w:fldCharType="end"/>
        </w:r>
      </w:hyperlink>
    </w:p>
    <w:p w14:paraId="5CCB85AF" w14:textId="2D432627"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3" w:history="1">
        <w:r w:rsidRPr="00D21ADF">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Santrumpos</w:t>
        </w:r>
        <w:r>
          <w:rPr>
            <w:webHidden/>
          </w:rPr>
          <w:tab/>
        </w:r>
        <w:r>
          <w:rPr>
            <w:webHidden/>
          </w:rPr>
          <w:fldChar w:fldCharType="begin"/>
        </w:r>
        <w:r>
          <w:rPr>
            <w:webHidden/>
          </w:rPr>
          <w:instrText xml:space="preserve"> PAGEREF _Toc188863833 \h </w:instrText>
        </w:r>
        <w:r>
          <w:rPr>
            <w:webHidden/>
          </w:rPr>
        </w:r>
        <w:r>
          <w:rPr>
            <w:webHidden/>
          </w:rPr>
          <w:fldChar w:fldCharType="separate"/>
        </w:r>
        <w:r>
          <w:rPr>
            <w:webHidden/>
          </w:rPr>
          <w:t>2</w:t>
        </w:r>
        <w:r>
          <w:rPr>
            <w:webHidden/>
          </w:rPr>
          <w:fldChar w:fldCharType="end"/>
        </w:r>
      </w:hyperlink>
    </w:p>
    <w:p w14:paraId="06D48024" w14:textId="339C1D70"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4" w:history="1">
        <w:r w:rsidRPr="00D21ADF">
          <w:rPr>
            <w:rStyle w:val="Hyperlink"/>
            <w:rFonts w:ascii="Times New Roman" w:hAnsi="Times New Roman"/>
          </w:rPr>
          <w:t>II DALIS. NURODYMAI DĖL FORMŲ</w:t>
        </w:r>
        <w:r>
          <w:rPr>
            <w:webHidden/>
          </w:rPr>
          <w:tab/>
        </w:r>
        <w:r>
          <w:rPr>
            <w:webHidden/>
          </w:rPr>
          <w:fldChar w:fldCharType="begin"/>
        </w:r>
        <w:r>
          <w:rPr>
            <w:webHidden/>
          </w:rPr>
          <w:instrText xml:space="preserve"> PAGEREF _Toc188863834 \h </w:instrText>
        </w:r>
        <w:r>
          <w:rPr>
            <w:webHidden/>
          </w:rPr>
        </w:r>
        <w:r>
          <w:rPr>
            <w:webHidden/>
          </w:rPr>
          <w:fldChar w:fldCharType="separate"/>
        </w:r>
        <w:r>
          <w:rPr>
            <w:webHidden/>
          </w:rPr>
          <w:t>3</w:t>
        </w:r>
        <w:r>
          <w:rPr>
            <w:webHidden/>
          </w:rPr>
          <w:fldChar w:fldCharType="end"/>
        </w:r>
      </w:hyperlink>
    </w:p>
    <w:p w14:paraId="21449855" w14:textId="137CC0D3"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5" w:history="1">
        <w:r w:rsidRPr="00D21ADF">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Su didelėmis pozicijomis susijusios atskaitomybės aprėptis ir lygmuo</w:t>
        </w:r>
        <w:r>
          <w:rPr>
            <w:webHidden/>
          </w:rPr>
          <w:tab/>
        </w:r>
        <w:r>
          <w:rPr>
            <w:webHidden/>
          </w:rPr>
          <w:fldChar w:fldCharType="begin"/>
        </w:r>
        <w:r>
          <w:rPr>
            <w:webHidden/>
          </w:rPr>
          <w:instrText xml:space="preserve"> PAGEREF _Toc188863835 \h </w:instrText>
        </w:r>
        <w:r>
          <w:rPr>
            <w:webHidden/>
          </w:rPr>
        </w:r>
        <w:r>
          <w:rPr>
            <w:webHidden/>
          </w:rPr>
          <w:fldChar w:fldCharType="separate"/>
        </w:r>
        <w:r>
          <w:rPr>
            <w:webHidden/>
          </w:rPr>
          <w:t>3</w:t>
        </w:r>
        <w:r>
          <w:rPr>
            <w:webHidden/>
          </w:rPr>
          <w:fldChar w:fldCharType="end"/>
        </w:r>
      </w:hyperlink>
    </w:p>
    <w:p w14:paraId="5F94B1A5" w14:textId="305D9C80"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6" w:history="1">
        <w:r w:rsidRPr="00D21ADF">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LE formos struktūra</w:t>
        </w:r>
        <w:r>
          <w:rPr>
            <w:webHidden/>
          </w:rPr>
          <w:tab/>
        </w:r>
        <w:r>
          <w:rPr>
            <w:webHidden/>
          </w:rPr>
          <w:fldChar w:fldCharType="begin"/>
        </w:r>
        <w:r>
          <w:rPr>
            <w:webHidden/>
          </w:rPr>
          <w:instrText xml:space="preserve"> PAGEREF _Toc188863836 \h </w:instrText>
        </w:r>
        <w:r>
          <w:rPr>
            <w:webHidden/>
          </w:rPr>
        </w:r>
        <w:r>
          <w:rPr>
            <w:webHidden/>
          </w:rPr>
          <w:fldChar w:fldCharType="separate"/>
        </w:r>
        <w:r>
          <w:rPr>
            <w:webHidden/>
          </w:rPr>
          <w:t>4</w:t>
        </w:r>
        <w:r>
          <w:rPr>
            <w:webHidden/>
          </w:rPr>
          <w:fldChar w:fldCharType="end"/>
        </w:r>
      </w:hyperlink>
    </w:p>
    <w:p w14:paraId="666FECB1" w14:textId="112B5CBA"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7" w:history="1">
        <w:r w:rsidRPr="00D21ADF">
          <w:rPr>
            <w:rStyle w:val="Hyperlink"/>
            <w:rFonts w:ascii="Times New Roman" w:eastAsia="Arial"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LE ataskaitoje vartojamos apibrėžtys ir bendrieji nurodymai</w:t>
        </w:r>
        <w:r>
          <w:rPr>
            <w:webHidden/>
          </w:rPr>
          <w:tab/>
        </w:r>
        <w:r>
          <w:rPr>
            <w:webHidden/>
          </w:rPr>
          <w:fldChar w:fldCharType="begin"/>
        </w:r>
        <w:r>
          <w:rPr>
            <w:webHidden/>
          </w:rPr>
          <w:instrText xml:space="preserve"> PAGEREF _Toc188863837 \h </w:instrText>
        </w:r>
        <w:r>
          <w:rPr>
            <w:webHidden/>
          </w:rPr>
        </w:r>
        <w:r>
          <w:rPr>
            <w:webHidden/>
          </w:rPr>
          <w:fldChar w:fldCharType="separate"/>
        </w:r>
        <w:r>
          <w:rPr>
            <w:webHidden/>
          </w:rPr>
          <w:t>4</w:t>
        </w:r>
        <w:r>
          <w:rPr>
            <w:webHidden/>
          </w:rPr>
          <w:fldChar w:fldCharType="end"/>
        </w:r>
      </w:hyperlink>
    </w:p>
    <w:p w14:paraId="6ED835C3" w14:textId="79090AFD"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8" w:history="1">
        <w:r w:rsidRPr="00D21ADF">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C 26.00. Didelių pozicijų ribų forma (LE Limits)</w:t>
        </w:r>
        <w:r>
          <w:rPr>
            <w:webHidden/>
          </w:rPr>
          <w:tab/>
        </w:r>
        <w:r>
          <w:rPr>
            <w:webHidden/>
          </w:rPr>
          <w:fldChar w:fldCharType="begin"/>
        </w:r>
        <w:r>
          <w:rPr>
            <w:webHidden/>
          </w:rPr>
          <w:instrText xml:space="preserve"> PAGEREF _Toc188863838 \h </w:instrText>
        </w:r>
        <w:r>
          <w:rPr>
            <w:webHidden/>
          </w:rPr>
        </w:r>
        <w:r>
          <w:rPr>
            <w:webHidden/>
          </w:rPr>
          <w:fldChar w:fldCharType="separate"/>
        </w:r>
        <w:r>
          <w:rPr>
            <w:webHidden/>
          </w:rPr>
          <w:t>5</w:t>
        </w:r>
        <w:r>
          <w:rPr>
            <w:webHidden/>
          </w:rPr>
          <w:fldChar w:fldCharType="end"/>
        </w:r>
      </w:hyperlink>
    </w:p>
    <w:p w14:paraId="77937684" w14:textId="318A341B"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39" w:history="1">
        <w:r w:rsidRPr="00D21ADF">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Nurodymai dėl konkrečių eilučių</w:t>
        </w:r>
        <w:r>
          <w:rPr>
            <w:webHidden/>
          </w:rPr>
          <w:tab/>
        </w:r>
        <w:r>
          <w:rPr>
            <w:webHidden/>
          </w:rPr>
          <w:fldChar w:fldCharType="begin"/>
        </w:r>
        <w:r>
          <w:rPr>
            <w:webHidden/>
          </w:rPr>
          <w:instrText xml:space="preserve"> PAGEREF _Toc188863839 \h </w:instrText>
        </w:r>
        <w:r>
          <w:rPr>
            <w:webHidden/>
          </w:rPr>
        </w:r>
        <w:r>
          <w:rPr>
            <w:webHidden/>
          </w:rPr>
          <w:fldChar w:fldCharType="separate"/>
        </w:r>
        <w:r>
          <w:rPr>
            <w:webHidden/>
          </w:rPr>
          <w:t>5</w:t>
        </w:r>
        <w:r>
          <w:rPr>
            <w:webHidden/>
          </w:rPr>
          <w:fldChar w:fldCharType="end"/>
        </w:r>
      </w:hyperlink>
    </w:p>
    <w:p w14:paraId="6F36AFBE" w14:textId="53ECB9EE"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40" w:history="1">
        <w:r w:rsidRPr="00D21ADF">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C 27.00. Sandorio šalies identifikavimas (LE1)</w:t>
        </w:r>
        <w:r>
          <w:rPr>
            <w:webHidden/>
          </w:rPr>
          <w:tab/>
        </w:r>
        <w:r>
          <w:rPr>
            <w:webHidden/>
          </w:rPr>
          <w:fldChar w:fldCharType="begin"/>
        </w:r>
        <w:r>
          <w:rPr>
            <w:webHidden/>
          </w:rPr>
          <w:instrText xml:space="preserve"> PAGEREF _Toc188863840 \h </w:instrText>
        </w:r>
        <w:r>
          <w:rPr>
            <w:webHidden/>
          </w:rPr>
        </w:r>
        <w:r>
          <w:rPr>
            <w:webHidden/>
          </w:rPr>
          <w:fldChar w:fldCharType="separate"/>
        </w:r>
        <w:r>
          <w:rPr>
            <w:webHidden/>
          </w:rPr>
          <w:t>6</w:t>
        </w:r>
        <w:r>
          <w:rPr>
            <w:webHidden/>
          </w:rPr>
          <w:fldChar w:fldCharType="end"/>
        </w:r>
      </w:hyperlink>
    </w:p>
    <w:p w14:paraId="20010DBA" w14:textId="246960F7"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41" w:history="1">
        <w:r w:rsidRPr="00D21ADF">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_Toc188863841 \h </w:instrText>
        </w:r>
        <w:r>
          <w:rPr>
            <w:webHidden/>
          </w:rPr>
        </w:r>
        <w:r>
          <w:rPr>
            <w:webHidden/>
          </w:rPr>
          <w:fldChar w:fldCharType="separate"/>
        </w:r>
        <w:r>
          <w:rPr>
            <w:webHidden/>
          </w:rPr>
          <w:t>6</w:t>
        </w:r>
        <w:r>
          <w:rPr>
            <w:webHidden/>
          </w:rPr>
          <w:fldChar w:fldCharType="end"/>
        </w:r>
      </w:hyperlink>
    </w:p>
    <w:p w14:paraId="63785C3B" w14:textId="4C4EF5A5"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42" w:history="1">
        <w:r w:rsidRPr="00D21ADF">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C 28.00. Ne prekybos knygos ir prekybos knygos pozicijos (LE2)</w:t>
        </w:r>
        <w:r>
          <w:rPr>
            <w:webHidden/>
          </w:rPr>
          <w:tab/>
        </w:r>
        <w:r>
          <w:rPr>
            <w:webHidden/>
          </w:rPr>
          <w:fldChar w:fldCharType="begin"/>
        </w:r>
        <w:r>
          <w:rPr>
            <w:webHidden/>
          </w:rPr>
          <w:instrText xml:space="preserve"> PAGEREF _Toc188863842 \h </w:instrText>
        </w:r>
        <w:r>
          <w:rPr>
            <w:webHidden/>
          </w:rPr>
        </w:r>
        <w:r>
          <w:rPr>
            <w:webHidden/>
          </w:rPr>
          <w:fldChar w:fldCharType="separate"/>
        </w:r>
        <w:r>
          <w:rPr>
            <w:webHidden/>
          </w:rPr>
          <w:t>9</w:t>
        </w:r>
        <w:r>
          <w:rPr>
            <w:webHidden/>
          </w:rPr>
          <w:fldChar w:fldCharType="end"/>
        </w:r>
      </w:hyperlink>
    </w:p>
    <w:p w14:paraId="1B771E19" w14:textId="04A56418"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43" w:history="1">
        <w:r w:rsidRPr="00D21ADF">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_Toc188863843 \h </w:instrText>
        </w:r>
        <w:r>
          <w:rPr>
            <w:webHidden/>
          </w:rPr>
        </w:r>
        <w:r>
          <w:rPr>
            <w:webHidden/>
          </w:rPr>
          <w:fldChar w:fldCharType="separate"/>
        </w:r>
        <w:r>
          <w:rPr>
            <w:webHidden/>
          </w:rPr>
          <w:t>9</w:t>
        </w:r>
        <w:r>
          <w:rPr>
            <w:webHidden/>
          </w:rPr>
          <w:fldChar w:fldCharType="end"/>
        </w:r>
      </w:hyperlink>
    </w:p>
    <w:p w14:paraId="43CA76AE" w14:textId="01A09FF0"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44" w:history="1">
        <w:r w:rsidRPr="00D21ADF">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C 29.00. Duomenys apie atskirų klientų pozicijas susijusių klientų grupėse (LE3)</w:t>
        </w:r>
        <w:r>
          <w:rPr>
            <w:webHidden/>
          </w:rPr>
          <w:tab/>
        </w:r>
        <w:r>
          <w:rPr>
            <w:webHidden/>
          </w:rPr>
          <w:fldChar w:fldCharType="begin"/>
        </w:r>
        <w:r>
          <w:rPr>
            <w:webHidden/>
          </w:rPr>
          <w:instrText xml:space="preserve"> PAGEREF _Toc188863844 \h </w:instrText>
        </w:r>
        <w:r>
          <w:rPr>
            <w:webHidden/>
          </w:rPr>
        </w:r>
        <w:r>
          <w:rPr>
            <w:webHidden/>
          </w:rPr>
          <w:fldChar w:fldCharType="separate"/>
        </w:r>
        <w:r>
          <w:rPr>
            <w:webHidden/>
          </w:rPr>
          <w:t>17</w:t>
        </w:r>
        <w:r>
          <w:rPr>
            <w:webHidden/>
          </w:rPr>
          <w:fldChar w:fldCharType="end"/>
        </w:r>
      </w:hyperlink>
    </w:p>
    <w:p w14:paraId="4937C3A2" w14:textId="6A8458DF" w:rsidR="00401CF2" w:rsidRDefault="00401CF2">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3845" w:history="1">
        <w:r w:rsidRPr="00D21ADF">
          <w:rPr>
            <w:rStyle w:val="Hyperlink"/>
            <w:rFonts w:ascii="Times New Roman" w:hAnsi="Times New Roman"/>
          </w:rPr>
          <w:t>7.1.</w:t>
        </w:r>
        <w:r>
          <w:rPr>
            <w:rFonts w:asciiTheme="minorHAnsi" w:eastAsiaTheme="minorEastAsia" w:hAnsiTheme="minorHAnsi" w:cstheme="minorBidi"/>
            <w:b w:val="0"/>
            <w:smallCaps w:val="0"/>
            <w:kern w:val="2"/>
            <w:sz w:val="24"/>
            <w:szCs w:val="24"/>
            <w:lang w:val="en-IE" w:eastAsia="en-IE"/>
            <w14:ligatures w14:val="standardContextual"/>
          </w:rPr>
          <w:tab/>
        </w:r>
        <w:r w:rsidRPr="00D21ADF">
          <w:rPr>
            <w:rStyle w:val="Hyperlink"/>
            <w:rFonts w:ascii="Times New Roman" w:hAnsi="Times New Roman"/>
          </w:rPr>
          <w:t>Nurodymai dėl konkrečių skilčių</w:t>
        </w:r>
        <w:r>
          <w:rPr>
            <w:webHidden/>
          </w:rPr>
          <w:tab/>
        </w:r>
        <w:r>
          <w:rPr>
            <w:webHidden/>
          </w:rPr>
          <w:fldChar w:fldCharType="begin"/>
        </w:r>
        <w:r>
          <w:rPr>
            <w:webHidden/>
          </w:rPr>
          <w:instrText xml:space="preserve"> PAGEREF _Toc188863845 \h </w:instrText>
        </w:r>
        <w:r>
          <w:rPr>
            <w:webHidden/>
          </w:rPr>
        </w:r>
        <w:r>
          <w:rPr>
            <w:webHidden/>
          </w:rPr>
          <w:fldChar w:fldCharType="separate"/>
        </w:r>
        <w:r>
          <w:rPr>
            <w:webHidden/>
          </w:rPr>
          <w:t>17</w:t>
        </w:r>
        <w:r>
          <w:rPr>
            <w:webHidden/>
          </w:rPr>
          <w:fldChar w:fldCharType="end"/>
        </w:r>
      </w:hyperlink>
    </w:p>
    <w:p w14:paraId="20DF363A" w14:textId="7B58F032"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863831"/>
      <w:r>
        <w:rPr>
          <w:rFonts w:ascii="Times New Roman" w:hAnsi="Times New Roman"/>
        </w:rPr>
        <w:lastRenderedPageBreak/>
        <w:t>I DALIS.</w:t>
      </w:r>
      <w:bookmarkEnd w:id="2"/>
      <w:r>
        <w:rPr>
          <w:rFonts w:ascii="Times New Roman" w:hAnsi="Times New Roman"/>
        </w:rPr>
        <w:t xml:space="preserve"> BENDRIEJI NURODYMAI</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863832"/>
      <w:r>
        <w:rPr>
          <w:rFonts w:ascii="Times New Roman" w:hAnsi="Times New Roman"/>
          <w:b/>
          <w:sz w:val="24"/>
          <w:u w:val="none"/>
        </w:rPr>
        <w:t>Struktūra ir tvarka</w:t>
      </w:r>
      <w:bookmarkEnd w:id="4"/>
    </w:p>
    <w:p w14:paraId="5909C260" w14:textId="784FED9A" w:rsidR="00393539" w:rsidRPr="0039317F" w:rsidRDefault="00D40975" w:rsidP="00EA58FB">
      <w:pPr>
        <w:pStyle w:val="InstructionsText2"/>
      </w:pPr>
      <w:bookmarkStart w:id="5" w:name="_Toc264038399"/>
      <w:bookmarkStart w:id="6" w:name="_Toc294018834"/>
      <w:r>
        <w:t>Didelėms pozicijoms (LE) skirtą atskaitomybės sistemą sudaro keturios formos, į kurias įtraukiama ši informacija:</w:t>
      </w:r>
    </w:p>
    <w:p w14:paraId="6672C7F2" w14:textId="77777777" w:rsidR="00DA54E3" w:rsidRPr="0039317F" w:rsidRDefault="00CC2429">
      <w:pPr>
        <w:pStyle w:val="InstructionsText2"/>
        <w:numPr>
          <w:ilvl w:val="1"/>
          <w:numId w:val="15"/>
        </w:numPr>
        <w:rPr>
          <w:rFonts w:eastAsia="Arial"/>
        </w:rPr>
      </w:pPr>
      <w:r>
        <w:t>didelių pozicijų ribos,</w:t>
      </w:r>
    </w:p>
    <w:p w14:paraId="5C6D7E68" w14:textId="77777777" w:rsidR="00DA54E3" w:rsidRPr="0039317F" w:rsidRDefault="00CC2429">
      <w:pPr>
        <w:pStyle w:val="InstructionsText2"/>
        <w:numPr>
          <w:ilvl w:val="1"/>
          <w:numId w:val="15"/>
        </w:numPr>
        <w:rPr>
          <w:rFonts w:eastAsia="Arial"/>
        </w:rPr>
      </w:pPr>
      <w:r>
        <w:t>sandorio šalies identifikavimas (LE1 forma),</w:t>
      </w:r>
    </w:p>
    <w:p w14:paraId="6F974068" w14:textId="77777777" w:rsidR="00393539" w:rsidRPr="0039317F" w:rsidRDefault="00CC2429">
      <w:pPr>
        <w:pStyle w:val="InstructionsText2"/>
        <w:numPr>
          <w:ilvl w:val="1"/>
          <w:numId w:val="15"/>
        </w:numPr>
        <w:rPr>
          <w:rFonts w:eastAsia="Arial"/>
        </w:rPr>
      </w:pPr>
      <w:r>
        <w:t xml:space="preserve">ne prekybos knygos ir prekybos knygos pozicijos (LE2 forma), </w:t>
      </w:r>
    </w:p>
    <w:p w14:paraId="188ED3D0" w14:textId="77777777" w:rsidR="00393539" w:rsidRPr="0039317F" w:rsidRDefault="00CC2429">
      <w:pPr>
        <w:pStyle w:val="InstructionsText2"/>
        <w:numPr>
          <w:ilvl w:val="1"/>
          <w:numId w:val="15"/>
        </w:numPr>
        <w:rPr>
          <w:rFonts w:eastAsia="Arial"/>
        </w:rPr>
      </w:pPr>
      <w:r>
        <w:t>duomenys apie atskirų klientų pozicijas susijusių klientų grupėse (LE3 forma).</w:t>
      </w:r>
    </w:p>
    <w:p w14:paraId="13C0076D" w14:textId="77777777" w:rsidR="003D56DE" w:rsidRPr="0039317F" w:rsidRDefault="00756759">
      <w:pPr>
        <w:pStyle w:val="InstructionsText2"/>
      </w:pPr>
      <w:r>
        <w:t>Į nurodymus įtraukiamos nuorodos į teisės aktus, taip pat išsami informacija apie duomenis, kuriuos reikia pateikti kiekvienoje formoje.</w:t>
      </w:r>
    </w:p>
    <w:p w14:paraId="48E9A023" w14:textId="77777777" w:rsidR="00B0191A" w:rsidRPr="0039317F" w:rsidRDefault="003105C6">
      <w:pPr>
        <w:pStyle w:val="InstructionsText2"/>
      </w:pPr>
      <w:r>
        <w:t xml:space="preserve">Nurodymuose ir patvirtinimo taisyklėse nurodant formų skiltis, eilutes ir langelius laikomasi tolesnėse dalyse nurodytos žymėjimo tvarkos. </w:t>
      </w:r>
    </w:p>
    <w:p w14:paraId="45B139C1" w14:textId="77777777" w:rsidR="00B0191A" w:rsidRPr="0039317F" w:rsidRDefault="00F36707">
      <w:pPr>
        <w:pStyle w:val="InstructionsText2"/>
      </w:pPr>
      <w:r>
        <w:t>Nurodymuose ir patvirtinimo taisyklėse paprastai taikoma tokia tvarka: {forma;eilutė;skiltis}. Norint nurodyti, kad tvirtinamos visos eilutės, apie kurias pranešta, naudojamas žvaigždutės ženklas.</w:t>
      </w:r>
    </w:p>
    <w:p w14:paraId="3B016F30" w14:textId="77777777" w:rsidR="00B0191A" w:rsidRPr="0039317F" w:rsidRDefault="003105C6">
      <w:pPr>
        <w:pStyle w:val="InstructionsText2"/>
        <w:rPr>
          <w:rFonts w:eastAsia="Arial"/>
        </w:rPr>
      </w:pPr>
      <w:r>
        <w:t>Kai tvirtinimas atliekamas formoje ir naudojami tik tos formos duomenų vienetai, pati forma nenurodoma: {eilutė;skiltis}.</w:t>
      </w:r>
    </w:p>
    <w:p w14:paraId="4113689E" w14:textId="77777777" w:rsidR="00B0191A" w:rsidRDefault="006217F1">
      <w:pPr>
        <w:pStyle w:val="InstructionsText2"/>
      </w:pPr>
      <w:r>
        <w:t>ABS(vertė): absoliučioji vertė be ženklo.</w:t>
      </w:r>
      <w:bookmarkEnd w:id="5"/>
      <w:bookmarkEnd w:id="6"/>
      <w:r>
        <w:t xml:space="preserve"> Kiekviena suma, dėl kurios padidėja pozicijos, nurodoma kaip teigiamas skaičius. Ir priešingai – kiekviena suma, dėl kurios pozicijos sumažėja, nurodoma kaip neigiamas skaičius. Jei prieš straipsnio žymę yra minuso ženklas (−),  tame straipsnyje teigiamas skaičius nerašomas.</w:t>
      </w:r>
    </w:p>
    <w:p w14:paraId="20A1499F" w14:textId="3AE6C9A6" w:rsidR="0093135A" w:rsidRPr="0078562D" w:rsidRDefault="0078562D" w:rsidP="0078562D">
      <w:pPr>
        <w:pStyle w:val="Instructionsberschrift2"/>
        <w:numPr>
          <w:ilvl w:val="0"/>
          <w:numId w:val="20"/>
        </w:numPr>
        <w:rPr>
          <w:b/>
        </w:rPr>
      </w:pPr>
      <w:bookmarkStart w:id="7" w:name="_Toc188863833"/>
      <w:r>
        <w:rPr>
          <w:rFonts w:ascii="Times New Roman" w:hAnsi="Times New Roman"/>
          <w:b/>
          <w:sz w:val="24"/>
          <w:u w:val="none"/>
        </w:rPr>
        <w:t>Santrumpos</w:t>
      </w:r>
      <w:bookmarkEnd w:id="7"/>
    </w:p>
    <w:p w14:paraId="66921288" w14:textId="77777777" w:rsidR="0093135A" w:rsidRDefault="0093135A" w:rsidP="00EA58FB">
      <w:pPr>
        <w:pStyle w:val="InstructionsText2"/>
      </w:pPr>
      <w:r>
        <w:t>Šiame priede darant nuorodą į Reglamentą (ES) Nr. 575/2013 vartojama santrumpa KRR.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863834"/>
      <w:r>
        <w:rPr>
          <w:rFonts w:ascii="Times New Roman" w:hAnsi="Times New Roman"/>
        </w:rPr>
        <w:lastRenderedPageBreak/>
        <w:t>II DALIS. NURODYMAI DĖL FORMŲ</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863835"/>
      <w:bookmarkEnd w:id="10"/>
      <w:r>
        <w:rPr>
          <w:rFonts w:ascii="Times New Roman" w:hAnsi="Times New Roman"/>
          <w:b/>
          <w:sz w:val="24"/>
          <w:u w:val="none"/>
        </w:rPr>
        <w:t>Su didelėmis pozicijomis susijusios atskaitomybės aprėptis ir lygmuo</w:t>
      </w:r>
      <w:bookmarkEnd w:id="11"/>
    </w:p>
    <w:p w14:paraId="348AB70C" w14:textId="5B5129C3" w:rsidR="000F13EA" w:rsidRPr="00EA58FB" w:rsidRDefault="000F13EA">
      <w:pPr>
        <w:pStyle w:val="InstructionsText2"/>
        <w:numPr>
          <w:ilvl w:val="0"/>
          <w:numId w:val="27"/>
        </w:numPr>
        <w:rPr>
          <w:rFonts w:eastAsia="Arial"/>
        </w:rPr>
      </w:pPr>
      <w:r>
        <w:t xml:space="preserve">Informaciją apie dideles atskirų klientų arba susijusių klientų grupių pozicijas pagal Reglamento (ES) Nr. 575/2013 (toliau – KRR) 394 straipsnio 1 dalį įstaigos teikia naudodamos LE1, LE2 ir LE3 formas. </w:t>
      </w:r>
    </w:p>
    <w:p w14:paraId="489D28D7" w14:textId="70A5F703" w:rsidR="00B0191A" w:rsidRPr="0039317F" w:rsidRDefault="000F13EA">
      <w:pPr>
        <w:pStyle w:val="InstructionsText2"/>
        <w:rPr>
          <w:rFonts w:eastAsia="Arial"/>
        </w:rPr>
      </w:pPr>
      <w:r>
        <w:t xml:space="preserve">Informaciją apie dideles konsoliduotas klientų arba susijusių klientų grupių pozicijas pagal KRR 394 straipsnio 1 dalį patronuojančiosios įstaigos valstybėje narėje teikia naudodamos LE1, LE2 ir LE3 formas. </w:t>
      </w:r>
    </w:p>
    <w:p w14:paraId="5034A602" w14:textId="68BD3E39" w:rsidR="00B0191A" w:rsidRPr="0039317F" w:rsidRDefault="00A11FB0">
      <w:pPr>
        <w:pStyle w:val="InstructionsText2"/>
        <w:rPr>
          <w:rFonts w:eastAsia="Arial"/>
        </w:rPr>
      </w:pPr>
      <w:r>
        <w:t xml:space="preserve">Nurodoma kiekviena didelė pozicija, apibrėžta pagal KRR 392 straipsnį, įskaitant dideles pozicijas, į kurių atitiktį KRR 395 straipsnyje nustatytoms didelių pozicijų riboms neatsižvelgiama. </w:t>
      </w:r>
    </w:p>
    <w:p w14:paraId="0ED175C5" w14:textId="40979611" w:rsidR="00B0191A" w:rsidRPr="0039317F" w:rsidRDefault="001C7BF0">
      <w:pPr>
        <w:pStyle w:val="InstructionsText2"/>
        <w:rPr>
          <w:rFonts w:eastAsia="Arial"/>
        </w:rPr>
      </w:pPr>
      <w:r>
        <w:t xml:space="preserve">Informaciją apie klientų arba susijusių klientų grupių 20 didžiausių konsoliduotų pozicijų pagal KRR 394 straipsnio 1 dalies antrą pastraipą valstybėje narėje esančios patronuojančiosios įstaigos, kurioms taikomas KRR trečios dalies II antraštinės dalies 3 skyrius, teikia naudodamos LE1, LE2 ir LE3 formas. Šios 20 didžiausių pozicijų nustatomos naudojant pozicijos vertės sumą, gautą iš LE2 formos 210 skilties („Iš viso“) sumos atėmus tos pačios formos 320 skilties („Sumos, kurioms taikomos išimtys“) sumą. </w:t>
      </w:r>
    </w:p>
    <w:p w14:paraId="149FAE48" w14:textId="1F7D0EE8" w:rsidR="00B0191A" w:rsidRPr="0039317F" w:rsidRDefault="00C1644D">
      <w:pPr>
        <w:pStyle w:val="InstructionsText2"/>
        <w:rPr>
          <w:rFonts w:eastAsia="Arial"/>
        </w:rPr>
      </w:pPr>
      <w:r>
        <w:t>Informaciją apie 10 didžiausių konsoliduotų pozicijų, susidariusių įstaigų atžvilgiu, ir 10 didžiausių konsoliduotų pozicijų, susidariusių šešėlinės bankininkystės subjektų, kurie vykdo į reguliuojamą sistemą nepatenkančią bankininkystės veiklą, atžvilgiu, pagal KRR 394 straipsnio 2 dalies a–d punktus patronuojančiosios įstaigos valstybėje narėje teikia naudodamos LE1, LE2 ir LE3 formas. Šios 20 didžiausių pozicijų nustatomos naudojant sumą, atitinkančią LE2 formos 210 skiltyje („Iš viso“) apskaičiuotą pozicijos vertę.</w:t>
      </w:r>
    </w:p>
    <w:p w14:paraId="7C7B16A6" w14:textId="4D00F24A" w:rsidR="00FA26D9" w:rsidRPr="00BB02BD" w:rsidRDefault="00FA26D9">
      <w:pPr>
        <w:pStyle w:val="InstructionsText2"/>
        <w:rPr>
          <w:rFonts w:eastAsia="Arial"/>
        </w:rPr>
      </w:pPr>
      <w:r>
        <w:t xml:space="preserve">Informaciją apie konsoliduotas pozicijas, kurių vertė yra lygi 300 mln. EUR arba didesnė, bet mažesnė nei 10 % įstaigos 1 lygio kapitalo, pagal KRR 394 straipsnio 1 dalies paskutinį sakinį patronuojančiosios įstaigos valstybėje narėje teikia naudodamos LE1, LE2 ir LE3 formas. Šios pozicijos nustatomos naudojant sumą, atitinkančią LE2 formos 210 skiltyje („Iš viso“) apskaičiuotą pozicijos vertę. </w:t>
      </w:r>
    </w:p>
    <w:p w14:paraId="4CEDBDF9" w14:textId="385BED4E" w:rsidR="00B0191A" w:rsidRPr="0039317F" w:rsidRDefault="001E0F83">
      <w:pPr>
        <w:pStyle w:val="InstructionsText2"/>
        <w:rPr>
          <w:rFonts w:eastAsia="Arial"/>
        </w:rPr>
      </w:pPr>
      <w:r>
        <w:t xml:space="preserve">Duomenys apie dideles ir atitinkamas didžiausias susijusių klientų grupių ir susijusių klientų grupei nepriklausančių atskirų klientų pozicijas, taip pat duomenys apie pozicijas, kurių vertė yra lygi 300 mln. EUR arba didesnė, bet mažesnė nei 10 % įstaigos 1 lygio kapitalo, pateikiami LE2 formoje (joje susijusių klientų grupė nurodoma kaip viena pozicija). </w:t>
      </w:r>
    </w:p>
    <w:p w14:paraId="579DCDAD" w14:textId="77777777" w:rsidR="00B0191A" w:rsidRPr="0039317F" w:rsidRDefault="008A4511">
      <w:pPr>
        <w:pStyle w:val="InstructionsText2"/>
        <w:rPr>
          <w:rFonts w:eastAsia="Arial"/>
        </w:rPr>
      </w:pPr>
      <w:r>
        <w:t xml:space="preserve">LE3 formoje įstaigos pateikia duomenis apie susijusių klientų grupėms, kurių duomenys pateikiami LE2 formoje, priklausančių atskirų klientų pozicijas. LE2 formoje pateikiami duomenys apie atskirų klientų poziciją neturi dubliuotis su LE3 formos duomenimis.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863836"/>
      <w:r>
        <w:rPr>
          <w:rFonts w:ascii="Times New Roman" w:hAnsi="Times New Roman"/>
          <w:b/>
          <w:sz w:val="24"/>
          <w:u w:val="none"/>
        </w:rPr>
        <w:lastRenderedPageBreak/>
        <w:t>LE formos struktūra</w:t>
      </w:r>
      <w:bookmarkEnd w:id="12"/>
    </w:p>
    <w:p w14:paraId="78D189BE" w14:textId="77777777" w:rsidR="00A11EC0" w:rsidRPr="0039317F" w:rsidRDefault="00B945FE">
      <w:pPr>
        <w:pStyle w:val="InstructionsText2"/>
        <w:rPr>
          <w:rFonts w:eastAsia="Arial"/>
        </w:rPr>
      </w:pPr>
      <w:r>
        <w:t>LE1 formos skiltyse pateikiama informacija, susijusi su atskirų klientų arba susijusių klientų grupių, kurių atžvilgiu įstaiga turi poziciją, tapatybe.</w:t>
      </w:r>
    </w:p>
    <w:p w14:paraId="199E3CE1" w14:textId="77777777" w:rsidR="00B0191A" w:rsidRPr="0039317F" w:rsidRDefault="009362E7">
      <w:pPr>
        <w:pStyle w:val="InstructionsText2"/>
        <w:rPr>
          <w:rFonts w:eastAsia="Arial"/>
        </w:rPr>
      </w:pPr>
      <w:r>
        <w:t xml:space="preserve">LE2 ir LE3 formų skiltyse pateikiama ši informacija:   </w:t>
      </w:r>
    </w:p>
    <w:p w14:paraId="66924B25" w14:textId="77777777" w:rsidR="00B0191A" w:rsidRPr="0039317F" w:rsidRDefault="001E0F83">
      <w:pPr>
        <w:pStyle w:val="InstructionsText2"/>
        <w:numPr>
          <w:ilvl w:val="1"/>
          <w:numId w:val="15"/>
        </w:numPr>
        <w:rPr>
          <w:rFonts w:eastAsia="Arial"/>
        </w:rPr>
      </w:pPr>
      <w:r>
        <w:t>pozicijos vertė prieš pritaikant išimtis ir prieš atsižvelgiant į kredito rizikos mažinimo poveikį, įskaitant tiesioginę ir netiesioginę poziciją bei papildomas pozicijas, atsirandančias dėl sandorių, susijusių su pagrindinio turto pozicija;</w:t>
      </w:r>
    </w:p>
    <w:p w14:paraId="1559A841" w14:textId="77777777" w:rsidR="00B0191A" w:rsidRPr="0039317F" w:rsidRDefault="001E0F83">
      <w:pPr>
        <w:pStyle w:val="InstructionsText2"/>
        <w:numPr>
          <w:ilvl w:val="1"/>
          <w:numId w:val="15"/>
        </w:numPr>
        <w:rPr>
          <w:rFonts w:eastAsia="Arial"/>
        </w:rPr>
      </w:pPr>
      <w:r>
        <w:t>išimčių ir kredito rizikos mažinimo priemonių poveikis;</w:t>
      </w:r>
    </w:p>
    <w:p w14:paraId="2B9888FA" w14:textId="77777777" w:rsidR="00B0191A" w:rsidRPr="0039317F" w:rsidRDefault="001E0F83">
      <w:pPr>
        <w:pStyle w:val="InstructionsText2"/>
        <w:numPr>
          <w:ilvl w:val="1"/>
          <w:numId w:val="15"/>
        </w:numPr>
        <w:rPr>
          <w:rFonts w:eastAsia="Arial"/>
        </w:rPr>
      </w:pPr>
      <w:r>
        <w:t xml:space="preserve">taikant KRR 395 straipsnio 1 dalį apskaičiuota pozicijos vertė pritaikius išimtis ir atsižvelgus į kredito rizikos mažinimo poveikį.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863837"/>
      <w:bookmarkEnd w:id="13"/>
      <w:r>
        <w:rPr>
          <w:rFonts w:ascii="Times New Roman" w:hAnsi="Times New Roman"/>
          <w:b/>
          <w:sz w:val="24"/>
          <w:u w:val="none"/>
        </w:rPr>
        <w:t>LE ataskaitoje vartojamos apibrėžtys ir bendrieji nurodymai</w:t>
      </w:r>
      <w:bookmarkEnd w:id="14"/>
    </w:p>
    <w:p w14:paraId="6BE8FC09" w14:textId="1BB1A0CB" w:rsidR="001E0F83" w:rsidRPr="0039317F" w:rsidRDefault="00B945FE">
      <w:pPr>
        <w:pStyle w:val="InstructionsText2"/>
        <w:rPr>
          <w:rFonts w:eastAsia="Arial"/>
        </w:rPr>
      </w:pPr>
      <w:r>
        <w:t>Susijusių klientų grupė yra apibrėžta KRR 4 straipsnio 1 dalies 39 punkte.</w:t>
      </w:r>
    </w:p>
    <w:p w14:paraId="4BC25B8A" w14:textId="08723C4E" w:rsidR="00B0191A" w:rsidRPr="0039317F" w:rsidRDefault="00D441A7">
      <w:pPr>
        <w:pStyle w:val="InstructionsText2"/>
        <w:rPr>
          <w:rFonts w:eastAsia="Arial"/>
        </w:rPr>
      </w:pPr>
      <w:r>
        <w:t xml:space="preserve">Įstaiga yra apibrėžta KRR 4 straipsnio 1 dalies 3 punkte.  </w:t>
      </w:r>
    </w:p>
    <w:p w14:paraId="7A3E8C1B" w14:textId="77777777" w:rsidR="00B0191A" w:rsidRPr="0039317F" w:rsidRDefault="009B34D1">
      <w:pPr>
        <w:pStyle w:val="InstructionsText2"/>
        <w:rPr>
          <w:rFonts w:eastAsia="Arial"/>
        </w:rPr>
      </w:pPr>
      <w:r>
        <w:t xml:space="preserve">Nurodomos „civilinės teisės reglamentuojamų asociacijų“ pozicijos. Be to, įstaigos prie kiekvieno partnerio įsiskolinimo prideda civilinės teisės reglamentuojamų asociacijų kredito sumas. Civilinės teisės reglamentuojamų asociacijų, kurioms taikomos kvotos, pozicijos suskirstomos arba priskiriamos partneriams atsižvelgiant į atitinkamas jų kvotas. Informacija apie tam tikrus darinius (pvz., bendras sąskaitas, paveldėtojų bendrijas, kito asmens vardu teikiamas paskolas), kurie iš tikrųjų veikia kaip civilinės teisės reglamentuojamos asociacijos, turi būti pranešama lygiai taip pat kaip ir informacija apie asociacijas. </w:t>
      </w:r>
    </w:p>
    <w:p w14:paraId="4C91D2E1" w14:textId="0927C7CF" w:rsidR="00910E26" w:rsidRPr="0039317F" w:rsidRDefault="00D441A7">
      <w:pPr>
        <w:pStyle w:val="InstructionsText2"/>
        <w:rPr>
          <w:rFonts w:eastAsia="Arial"/>
        </w:rPr>
      </w:pPr>
      <w:r>
        <w:t>Pagal KRR 389 straipsnį turtas ir nebalansiniai straipsniai naudojami netaikant nei rizikos koeficientų, nei rizikos laipsnių. Konkrečiai nebalansiniams straipsniams kredito perskaičiavimo koeficientai netaikomi.</w:t>
      </w:r>
    </w:p>
    <w:p w14:paraId="1153F14F" w14:textId="56290BD7" w:rsidR="00B0191A" w:rsidRPr="0039317F" w:rsidRDefault="0039317F">
      <w:pPr>
        <w:pStyle w:val="InstructionsText2"/>
        <w:rPr>
          <w:rFonts w:eastAsia="Arial"/>
        </w:rPr>
      </w:pPr>
      <w:r>
        <w:t xml:space="preserve"> Pozicijos apibrėžtos KRR 389 straipsnyje: </w:t>
      </w:r>
    </w:p>
    <w:p w14:paraId="5C5D28EE" w14:textId="704D223C" w:rsidR="00B0191A" w:rsidRPr="0039317F" w:rsidRDefault="00FE293E">
      <w:pPr>
        <w:pStyle w:val="InstructionsText2"/>
        <w:numPr>
          <w:ilvl w:val="1"/>
          <w:numId w:val="15"/>
        </w:numPr>
        <w:rPr>
          <w:rFonts w:eastAsia="Arial"/>
        </w:rPr>
      </w:pPr>
      <w:r>
        <w:t xml:space="preserve">pozicijos – bet kokie turto arba nebalansiniai ne prekybos knygos ir prekybos knygos straipsniai, įskaitant KRR 400 straipsnyje nurodytus straipsnius, tačiau išskyrus straipsnius, patenkančius į KRR 390 straipsnio 6 dalies a–d punktų taikymo sritį; </w:t>
      </w:r>
    </w:p>
    <w:p w14:paraId="7CF82C5E" w14:textId="25CE0D89" w:rsidR="00B0191A" w:rsidRPr="0039317F" w:rsidRDefault="00AB5AE4">
      <w:pPr>
        <w:pStyle w:val="InstructionsText2"/>
        <w:numPr>
          <w:ilvl w:val="1"/>
          <w:numId w:val="15"/>
        </w:numPr>
        <w:rPr>
          <w:rFonts w:eastAsia="Arial"/>
        </w:rPr>
      </w:pPr>
      <w:r>
        <w:t xml:space="preserve">netiesioginės pozicijos – pozicijos, pagal KRR 403 straipsnį priskirtos ne tiesioginiam skolininkui, bet garantui arba užtikrinimo priemonės emitentui. </w:t>
      </w:r>
      <w:r>
        <w:rPr>
          <w:i/>
        </w:rPr>
        <w:t>Čia pateiktos apibrėžtys jokiais galimais aspektais negali skirtis nuo pagrindiniame akte pateiktų apibrėžčių.</w:t>
      </w:r>
    </w:p>
    <w:p w14:paraId="57CB004B" w14:textId="6CEA0075" w:rsidR="00B0191A" w:rsidRPr="0039317F" w:rsidRDefault="00F40CD9">
      <w:pPr>
        <w:pStyle w:val="InstructionsText2"/>
        <w:rPr>
          <w:rFonts w:eastAsia="Arial"/>
        </w:rPr>
      </w:pPr>
      <w:r>
        <w:t>Susijusių klientų grupių pozicijos apskaičiuojamos pagal KRR 390 straipsnio 1 dalį.</w:t>
      </w:r>
    </w:p>
    <w:p w14:paraId="7BBA31D9" w14:textId="5C64993F" w:rsidR="002803FF" w:rsidRPr="00A947CE" w:rsidRDefault="008645CF">
      <w:pPr>
        <w:pStyle w:val="InstructionsText2"/>
        <w:rPr>
          <w:rFonts w:eastAsia="Arial"/>
        </w:rPr>
      </w:pPr>
      <w:r>
        <w:t xml:space="preserve">Apskaičiuojant didelių pozicijų vertę, kaip nustatyta KRR 390 straipsnio 3, 4 ir 5 dalyse, leidžiama atsižvelgti į užskaitos susitarimus. KRR II priede išvardytų išvestinių finansinių priemonių sandorių ir kredito išvestinių finansinių priemonių sutarčių, dėl </w:t>
      </w:r>
      <w:r>
        <w:lastRenderedPageBreak/>
        <w:t>kurių su klientu susitarta tiesiogiai, pozicijos vertė nustatoma pagal KRR trečios dalies II antraštinės dalies 6 skyrių, tų metodų tikslais atsižvelgiant į novacijos sutarčių ir kitų užskaitos susitarimų poveikį, kaip numatyta KRR trečios dalies II antraštinės dalies 6 skyriaus 3–5 skirsniuose. Atpirkimo sandorių, vertybinių popierių arba biržos prekių skolinimo arba skolinimosi sandorių, ilgalaikių atsiskaitymo sandorių ir garantinės įmokos skolinimo sandorių pozicijos vertė gali būti nustatoma pagal KRR trečios dalies II antraštinės dalies 4 arba 6 skyrių. Pagal KRR 296 straipsnį su informacija teikiančia įstaiga sudarytu sutartinės kryžminės produktų užskaitos susitarimu sukurto vieno teisinio įsipareigojimo pozicijos vertė LE formose nurodoma kaip „kiti įsipareigojimai“.</w:t>
      </w:r>
    </w:p>
    <w:p w14:paraId="53B477A1" w14:textId="37E6D77A" w:rsidR="00AB28E2" w:rsidRPr="0039317F" w:rsidRDefault="001E0F83">
      <w:pPr>
        <w:pStyle w:val="InstructionsText2"/>
        <w:rPr>
          <w:rFonts w:eastAsia="Arial"/>
        </w:rPr>
      </w:pPr>
      <w:r>
        <w:t>Pozicijos vertė apskaičiuojama pagal KRR 390 straipsnį.</w:t>
      </w:r>
    </w:p>
    <w:p w14:paraId="4D5E3A46" w14:textId="4C88152A" w:rsidR="00B0191A" w:rsidRPr="0039317F" w:rsidRDefault="001E0F83">
      <w:pPr>
        <w:pStyle w:val="InstructionsText2"/>
        <w:rPr>
          <w:rFonts w:eastAsia="Arial"/>
        </w:rPr>
      </w:pPr>
      <w:r>
        <w:t xml:space="preserve">Visapusiško arba dalinio išimčių ir reikalavimus atitinkančių kredito rizikos mažinimo (KRM) priemonių taikymo apskaičiuojant pozicijas pagal KRR 395 straipsnio 1 dalį poveikis aprašytas KRR 399–403 straipsniuose. </w:t>
      </w:r>
    </w:p>
    <w:p w14:paraId="7DFEBC9B" w14:textId="10A786DF" w:rsidR="00B0191A" w:rsidRPr="00C16D53" w:rsidRDefault="002B6BEB" w:rsidP="00A55755">
      <w:pPr>
        <w:pStyle w:val="InstructionsText2"/>
        <w:rPr>
          <w:rFonts w:eastAsia="Arial"/>
        </w:rPr>
      </w:pPr>
      <w:r>
        <w:t>Apie atvirkštinio atpirkimo sandorius įstaigos praneša pagal KRR 402 straipsnio 3 dalį. Jei įvykdyti KRR 402 straipsnio 3 dalies kriterijai, nurodydama kiekvienos trečiosios šalies dideles pozicijas įstaiga nurodo ne sandorio šalies pozicijos sumą, bet reikalavimo, kurį sandorio šalis turi tos trečiosios šalies atžvilgiu, sumą.</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863838"/>
      <w:r>
        <w:rPr>
          <w:rFonts w:ascii="Times New Roman" w:hAnsi="Times New Roman"/>
          <w:b/>
          <w:sz w:val="24"/>
          <w:u w:val="none"/>
        </w:rPr>
        <w:t>C 26.00. Didelių pozicijų ribų forma (LE Limits)</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863839"/>
      <w:r>
        <w:rPr>
          <w:rFonts w:ascii="Times New Roman" w:hAnsi="Times New Roman"/>
          <w:sz w:val="24"/>
        </w:rPr>
        <w:t>Nurodymai dėl konkrečių eilučių</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Eilutės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Ne įstaigų pozicijos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458 straipsnio 2 dalies d punkto ii papunktis, 458 straipsnio 10 dalis ir 459 straipsnio b punktas</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Nurodoma sandorio šalims, išskyrus įstaigas, taikytinos ribos suma. Ši suma sudaro 25 % 1 lygio kapitalo, kuris nurodomas I priedo C 01.00 formos 015 eilutėje, nebent dėl nacionalinių priemonių, taikomų pagal KRR 458 straipsnį arba pagal 462 straipsnį priimtus deleguotuosius aktus dėl KRR 459 straipsnio b punkte nurodytų reikalavimų, taikoma mažesnė procentinė dalis.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Įstaigų pozicijos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458 straipsnio 2 dalies d punkto ii papunktis, 458 straipsnio 10 dalis ir 459 straipsnio b punktas</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nurodo sandorio šalims, kurios yra įstaigos, taikytinos ribos sumą. Pagal KRR 395 straipsnio 1 dalį šią sumą sudaro:</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jei 25 % 1 lygio kapitalo viršija 150 mln. EUR (arba kompetentingos institucijos pagal KRR 395 straipsnio 1 dalies trečią pastraipą nustatytą žemesnę nei 150 mln. EUR ribą), nurodoma 25 % 1 lygio kapitalo;</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jei 150 mln. EUR (arba kompetentingos institucijos pagal KRR 395 straipsnio 1 dalies trečią pastraipą nustatyta žemesnė nei 150 mln. EUR riba) viršija 25 % įstaigos 1 lygio kapitalo, nurodoma 150 mln. EUR (arba žemesnė riba, jei kompetentinga institucija yra ją nustačiusi). Jei įstaiga nustatė žemesnę savo 1 lygio kapitalo ribą, kaip reikalaujama pagal KRR 395 straipsnio 1 dalies antrą pastraipą, nurodoma ta riba.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Šios ribos gali būti griežtesnės, jeigu taikomos nacionalinės priemonės pagal KRR 395 straipsnio 6 dalį ar 458 straipsnį arba pagal 462 straipsnį priimtus deleguotuosius aktus dėl KRR 459 straipsnio b punkte nurodytų reikalavimų.</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Įstaigų dalis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ir 459 straipsnio a punktas</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Nurodoma suma yra absoliučioji riba (nurodoma 020 eilutėje), išreikšta procentine 1 lygio kapitalo dalimi.</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Nurodoma sandorio šalims, kurios yra įstaiga arba grupė, nustatyta kaip G-SII arba ne ES G-SII, taikytinos ribos suma. Pagal KRR 395 straipsnio 1 dalį ši riba yra tokia:</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G-SII kitos G-SII ar ne ES G-SII atžvilgiu negali susidaryti pozicija, kurios vertė, atsižvelgus į kredito rizikos mažinimo poveikį, viršytų 15 % jos 1 lygio kapitalo.</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863840"/>
      <w:r>
        <w:rPr>
          <w:rFonts w:ascii="Times New Roman" w:hAnsi="Times New Roman"/>
          <w:b/>
          <w:sz w:val="24"/>
          <w:u w:val="none"/>
        </w:rPr>
        <w:t>C 27.00. Sandorio šalies identifikavimas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863841"/>
      <w:r>
        <w:rPr>
          <w:rFonts w:ascii="Times New Roman" w:hAnsi="Times New Roman"/>
          <w:sz w:val="24"/>
        </w:rPr>
        <w:t>Nurodymai dėl konkrečių skilčių</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Skiltis</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identifikavimas</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Įstaigos nurodo kiekvienos sandorio šalies, apie kurią teikiama informacija bet kurioje iš C 28.00–C 29.00 formų, identifikavimo duomenis. Susijusių klientų grupės identifikavimo duomenys nenurodomi, nebent susijusių klientų </w:t>
            </w:r>
            <w:r>
              <w:rPr>
                <w:rStyle w:val="FormatvorlageInstructionsTabelleText"/>
                <w:rFonts w:ascii="Times New Roman" w:hAnsi="Times New Roman"/>
                <w:sz w:val="24"/>
              </w:rPr>
              <w:lastRenderedPageBreak/>
              <w:t>grupei nacionalinėje informacijos teikimo sistemoje suteikiamas unikalus kodas.</w:t>
            </w:r>
          </w:p>
          <w:p w14:paraId="4122366B" w14:textId="6A8CDE8B" w:rsidR="00B0191A" w:rsidRDefault="003A7A4B">
            <w:pPr>
              <w:pStyle w:val="InstructionsText"/>
            </w:pPr>
            <w:r>
              <w:rPr>
                <w:rStyle w:val="FormatvorlageInstructionsTabelleText"/>
                <w:rFonts w:ascii="Times New Roman" w:hAnsi="Times New Roman"/>
                <w:sz w:val="24"/>
              </w:rPr>
              <w:t>Pagal KRR 394 straipsnio 1 dalies trečią pastraipą įstaigos nurodo sandorio šalies</w:t>
            </w:r>
            <w:r>
              <w:t>, kurios atžvilgiu jos turimų pozicijų vertė yra 300 mln. EUR arba didesnė, bet mažesnė nei 10 % jų 1 lygio kapitalo, tapatybę.</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Pagal KRR 394 straipsnio 1 dalies a punktą įstaigos nurodo sandorio šalies, kurios atžvilgiu jos turi KRR 392 straipsnyje apibrėžtą didelę poziciją, tapatybę.</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Pagal KRR 394 straipsnio 2 dalies a punktą įstaigos nurodo sandorio šalies, kurios atžvilgiu jos turi didžiausias pozicijas, tapatybę (tais atvejais, kai sandorio šalis yra įstaiga arba šešėlinės bankininkystės subjektas).</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Eilutės numerio dalį sudarantis kodas turi būti unikalus kiekvienam subjektui, apie kurį teikiama informacija. Įstaigų ir draudimo įmonių atveju nurodomas LEI kodas. Kitų subjektų atveju nurodomas LEI kodas arba, jei jo nėra, nacionalinis kodas. Unikalus kodas visą laiką nuosekliai naudojamas skirtingose formose. Kodas visuomet yra išreikštas tam tikra verte.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Kodo rūšis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nurodo 010 skiltyje nurodyto kodo rūšį: „LEI kodas“ arba „ne LEI kodas“.</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Kodo rūšis nurodoma visada.</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Pavadinimas</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 nurodoma susijusių klientų grupė, nurodomas grupės pavadinimas. Visais kitais atvejais nurodomas atskiros sandorio šalies pavadinimas.</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Jei tai yra susijusių klientų grupė, nurodomas patronuojančiosios įmonės pavadinimas arba, jei susijusių klientų grupė tokios įmonės neturi, grupės komercinis pavadinimas.</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Nacionalinis kodas</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Įstaigos taip pat gali nurodyti nacionalinį kodą, kai skiltyje „Kodas“ kaip identifikatorių jos nurodo LEI kodą.</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Sandorio šalies įsisteigimo vieta</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Nurodomas sandorio šalies įsisteigimo šalies ISO 3166-1 dviraidis kodas (įskaitant paskutiniame Eurostato „Mokėjimų balanso vadovo“ leidime nurodytus tarptautinių organizacijų ISO pseudokodus).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Jei tai yra susijusių klientų grupė, įsisteigimo vieta nenurodoma.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sektorius</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Atsižvelgiant į finansinės informacijos teikimo sistemos FINREP (V priedo 1 dalies 42 punktas) ekonomikos sektorių klases ir kitas finansų bendroves padalijus į investicines įmones ir kitas finansų bendroves, kiekviena sandorio šalis priskiriama prie vieno sektoriaus taip:</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centriniai bankai;</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valdžios sektoriaus institucijos;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kredito įstaigos;</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KRR 4 straipsnio 1 dalies 2 punkte apibrėžtos investicinės įmonės;</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kitos finansų bendrovės (išskyrus investicines įmones);</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t>ne finansų bendrovės;</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namų ūkiai.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Jei tai yra susijusių klientų grupė, sektorius nenurodomas.</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 kodas</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Ekonomikos sektoriams nurodyti naudojami NACE (Europos Sąjungos ekonominės veiklos rūšių statistinio klasifikatoriaus, pranc. </w:t>
            </w:r>
            <w:r>
              <w:rPr>
                <w:rStyle w:val="FormatvorlageInstructionsTabelleText"/>
                <w:rFonts w:ascii="Times New Roman" w:hAnsi="Times New Roman"/>
                <w:i/>
                <w:sz w:val="24"/>
              </w:rPr>
              <w:t>Nomenclature statistique des activités économiques dans l’Union européenne</w:t>
            </w:r>
            <w:r>
              <w:rPr>
                <w:rStyle w:val="FormatvorlageInstructionsTabelleText"/>
                <w:rFonts w:ascii="Times New Roman" w:hAnsi="Times New Roman"/>
                <w:sz w:val="24"/>
              </w:rPr>
              <w:t xml:space="preserve">) kodai.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 skiltis taikoma tik sandorių šalims, kurios yra „kitos finansų bendrovės (išskyrus investicines įmones)“ ir „ne finansų bendrovės“. Ne finansų bendrovių NACE kodai nurodomi vieno lygmens tikslumu (pvz., „F – Statyba“), o kitų finansų bendrovių (išskyrus investicines įmones) – dviejų lygmenų tikslumu, atskirai pateikiant informaciją apie draudimo veiklą (pvz., „K65 – Draudimo, perdraudimo ir pensijų lėšų kaupimo, išskyrus privalomąjį socialinį draudimą, veikla“).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Kitų finansų bendrovių (išskyrus investicines įmones) ir ne finansų bendrovių ekonomikos sektoriai nustatomi remiantis FINREP sandorių šalių suskirstymu.</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Jei tai yra susijusių klientų grupė, NACE kodas nenurodomas.</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Sandorio šalies rūšis </w:t>
            </w:r>
          </w:p>
          <w:p w14:paraId="3522A370" w14:textId="4BC97512" w:rsidR="00B0191A" w:rsidRPr="00384ADB" w:rsidRDefault="00965DED">
            <w:pPr>
              <w:pStyle w:val="InstructionsText"/>
              <w:rPr>
                <w:rFonts w:eastAsia="Arial"/>
              </w:rPr>
            </w:pPr>
            <w:r>
              <w:t xml:space="preserve">KRR 394 straipsnio 2 dalis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10 didžiausių pozicijų, susidariusių įstaigų atžvilgiu, ir 10 didžiausių pozicijų, susidariusių šešėlinės bankininkystės subjektų, kurie vykdo į reguliuojamą sistemą nepatenkančią bankininkystės veiklą, atžvilgiu, sandorio šalies tipas nurodomas raide „I“ (įstaigos, angl. </w:t>
            </w:r>
            <w:r>
              <w:rPr>
                <w:rStyle w:val="FormatvorlageInstructionsTabelleText"/>
                <w:rFonts w:ascii="Times New Roman" w:hAnsi="Times New Roman"/>
                <w:i/>
                <w:sz w:val="24"/>
              </w:rPr>
              <w:t>institutions</w:t>
            </w:r>
            <w:r>
              <w:rPr>
                <w:rStyle w:val="FormatvorlageInstructionsTabelleText"/>
                <w:rFonts w:ascii="Times New Roman" w:hAnsi="Times New Roman"/>
                <w:sz w:val="24"/>
              </w:rPr>
              <w:t xml:space="preserve">) arba „S“ (šešėlinės bankininkystės subjektai, kurie vykdo į reguliuojamą sistemą nepatenkančią bankininkystės veiklą, angl. </w:t>
            </w:r>
            <w:r>
              <w:rPr>
                <w:rStyle w:val="FormatvorlageInstructionsTabelleText"/>
                <w:rFonts w:ascii="Times New Roman" w:hAnsi="Times New Roman"/>
                <w:i/>
                <w:sz w:val="24"/>
              </w:rPr>
              <w:t>shadow banking entities, which carry out banking activities outside the regulated framework</w:t>
            </w:r>
            <w:r>
              <w:rPr>
                <w:rStyle w:val="FormatvorlageInstructionsTabelleText"/>
                <w:rFonts w:ascii="Times New Roman" w:hAnsi="Times New Roman"/>
                <w:sz w:val="24"/>
              </w:rPr>
              <w:t>).</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863842"/>
      <w:r>
        <w:rPr>
          <w:rFonts w:ascii="Times New Roman" w:hAnsi="Times New Roman"/>
          <w:b/>
          <w:sz w:val="24"/>
          <w:u w:val="none"/>
        </w:rPr>
        <w:t>C 28.00. Ne prekybos knygos ir prekybos knygos pozicijos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863843"/>
      <w:r>
        <w:rPr>
          <w:rFonts w:ascii="Times New Roman" w:hAnsi="Times New Roman"/>
          <w:sz w:val="24"/>
        </w:rPr>
        <w:t>Nurodymai dėl konkrečių</w:t>
      </w:r>
      <w:bookmarkEnd w:id="20"/>
      <w:bookmarkEnd w:id="21"/>
      <w:r>
        <w:rPr>
          <w:rFonts w:ascii="Times New Roman" w:hAnsi="Times New Roman"/>
          <w:sz w:val="24"/>
        </w:rPr>
        <w:t xml:space="preserve"> skilčių</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susijusių klientų grupė turi nacionalinio lygmens unikalų kodą, šis kodas nurodomas kaip susijusių klientų grupės kodas. Jeigu nacionalinio lygmens unikalaus kodo nėra, nurodomas patronuojančiosios įmonės kodas, pateiktas C 27.00 formoje.</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Tais atvejais, kai susijusių klientų grupėje patronuojančiosios įmonės nėra, nurodomas atskiro subjekto, kurį įstaiga laiko svarbiausiu susijusių klientų grupėje, kodas. Visais kitais atvejais nurodomas atskiros sandorio šalies kodas.</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Šie kodai nuosekliai naudojami visą laiką.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Kodo sandara skiriasi atsižvelgiant į nacionalinę informacijos teikimo sistemą, nebent ES taikomi vienodi kodai.</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 ar atskiras klientas</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Teikdama informaciją apie atskirų klientų pozicijas įstaiga nurodo „1“, o apie susijusių klientų grupių pozicijas – „2“.</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Sandoriai, susiję su pagrindinio turto pozicija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390 straipsnio 7 dalis</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Remiantis kitomis nacionalinių kompetentingų institucijų techninėmis specifikacijomis, jeigu įstaiga turi nurodytos sandorio šalies pozicijų dėl sandorio, susijusio su pagrindinio turto pozicija, nurodomas „Taip“, kitu atveju – „Ne“ atitikmuo.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Pradinės pozicijos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KRR 24, 389, 390 ir 392 </w:t>
            </w:r>
            <w:r>
              <w:rPr>
                <w:rStyle w:val="FormatvorlageInstructionsTabelleText"/>
                <w:rFonts w:ascii="Times New Roman" w:hAnsi="Times New Roman"/>
                <w:sz w:val="24"/>
              </w:rPr>
              <w:t>straipsniai</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Šioje skilčių grupėje įstaiga nurodo tiesioginių pozicijų, netiesioginių pozicijų ir papildomų pozicijų, atsirandančių dėl sandorių, susijusių su pagrindinio turto pozicija, pradines pozicijas.</w:t>
            </w:r>
          </w:p>
          <w:p w14:paraId="5AC53BEE" w14:textId="08BE159D" w:rsidR="00B0191A" w:rsidRPr="0039317F" w:rsidRDefault="00BB3751">
            <w:pPr>
              <w:pStyle w:val="InstructionsText"/>
            </w:pPr>
            <w:r>
              <w:t xml:space="preserve">Pagal </w:t>
            </w:r>
            <w:r>
              <w:rPr>
                <w:rStyle w:val="FormatvorlageInstructionsTabelleText"/>
                <w:rFonts w:ascii="Times New Roman" w:hAnsi="Times New Roman"/>
                <w:sz w:val="24"/>
              </w:rPr>
              <w:t>KRR</w:t>
            </w:r>
            <w:r>
              <w:t xml:space="preserve"> 389 straipsnį turtas ir nebalansiniai straipsniai naudojami netaikant nei rizikos koeficientų, nei rizikos laipsnių. Konkrečiai nebalansiniams straipsniams kredito perskaičiavimo koeficientai netaikomi.  </w:t>
            </w:r>
          </w:p>
          <w:p w14:paraId="17E569B0" w14:textId="77777777" w:rsidR="00B0191A" w:rsidRPr="0039317F" w:rsidRDefault="00BB3751">
            <w:pPr>
              <w:pStyle w:val="InstructionsText"/>
            </w:pPr>
            <w:r>
              <w:t>Šiose skiltyse nurodoma pradinė pozicija, t. y. pozicijos vertė neatsižvelgiant į 210 skiltyje atskaitomus vertės koregavimus ir atidėjinius.</w:t>
            </w:r>
          </w:p>
          <w:p w14:paraId="397949C7" w14:textId="23DDEC15" w:rsidR="00B0191A" w:rsidRPr="0039317F" w:rsidRDefault="00C92E09">
            <w:pPr>
              <w:pStyle w:val="InstructionsText"/>
            </w:pPr>
            <w:r>
              <w:t>Pozicijos vertės apibrėžtis ir apskaičiavimas pateiktas KRR 389 ir 390 straipsniuose. Kaip nustatyta KRR 24 straipsnyje, turto ir nebalansinių straipsnių vertinimas atliekamas pagal įstaigai taikomą apskaitos sistemą.</w:t>
            </w:r>
          </w:p>
          <w:p w14:paraId="71173893" w14:textId="18C285D4" w:rsidR="00B0191A" w:rsidRPr="0039317F" w:rsidRDefault="00BB3751">
            <w:pPr>
              <w:pStyle w:val="InstructionsText"/>
            </w:pPr>
            <w:r>
              <w:t>Į šias skiltis įtraukiamos pozicijos, atskaitytos iš bendro 1 lygio nuosavo kapitalo arba papildomų 1 lygio straipsnių, kurios nėra KRR 390 straipsnio 6 dalies e punkte nurodytos pozicijos. Šios pozicijos atskaitomos 200 skiltyje.</w:t>
            </w:r>
          </w:p>
          <w:p w14:paraId="22E24408" w14:textId="07366094" w:rsidR="00B0191A" w:rsidRPr="0039317F" w:rsidRDefault="00BB3751">
            <w:pPr>
              <w:pStyle w:val="InstructionsText"/>
            </w:pPr>
            <w:r>
              <w:t xml:space="preserve">Į šias skiltis neįtraukiamos KRR 390 straipsnio 6 dalies a–d punktuose nurodytos pozicijos. </w:t>
            </w:r>
          </w:p>
          <w:p w14:paraId="3096B4AE" w14:textId="0C8FCDBE" w:rsidR="00B0191A" w:rsidRPr="0039317F" w:rsidRDefault="00BB3751">
            <w:pPr>
              <w:pStyle w:val="InstructionsText"/>
              <w:rPr>
                <w:rFonts w:eastAsia="Arial"/>
              </w:rPr>
            </w:pPr>
            <w:r>
              <w:t>Į pradines pozicijas įtraukiamas bet koks turtas ir nebalansiniai straipsniai. Taikant KRR 395 straipsnio 1 dalį 320 skiltyje atskaitomos KRR 400 straipsnyje numatytos išimtys.</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Įtraukiamos ne prekybos knygos ir prekybos knygos pozicijos.</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Pagal KRR 390 straipsnio 3 dalies b punktą apskaičiuota grynoji pozicija nurodoma kaip tiesioginė pozicija ir įtraukiama į (060, 070 arba 080) skiltį, kuri atitinka dominuojančios priemonės rūšį.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Dominuojanti priemonė nustatoma remiantis kiekvienos rūšies priemonės grynosios pozicijos verte. </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 skirstant pozicijas pagal finansines priemones dėl užskaitos susitarimų atsirandančios skirtingos pozicijos sudaro vieną poziciją, ji priskiriama prie finansinės priemonės, atitinkančios pagrindinį į užskaitos susitarimą įtrauktą turtą (taip pat žr. įvadinį skirsnį).</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Visa pradinė pozicija</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Įstaiga nurodo tiesioginių ir netiesioginių pozicijų sumą, taip pat</w:t>
            </w:r>
            <w:r>
              <w:rPr>
                <w:rStyle w:val="FormatvorlageInstructionsTabelleText"/>
                <w:rFonts w:ascii="Times New Roman" w:hAnsi="Times New Roman"/>
                <w:sz w:val="24"/>
              </w:rPr>
              <w:t xml:space="preserve"> papildomas pozicijas, atsirandančias dėl sandorių, susijusių su pagrindinio turto pozicija</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pozicijos esant įsipareigojimų neįvykdymui</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178 straipsnis</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Įstaiga nurodo</w:t>
            </w:r>
            <w:r>
              <w:rPr>
                <w:rStyle w:val="FormatvorlageInstructionsTabelleText"/>
                <w:rFonts w:ascii="Times New Roman" w:hAnsi="Times New Roman"/>
                <w:sz w:val="24"/>
              </w:rPr>
              <w:t xml:space="preserve"> visos pradinės pozicijos dalį, kurią sudaro neįvykdytos pozicijos.</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Tiesioginės pozicijos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Tiesioginės pozicijos – tiesioginio skolininko pagrindu atsirandančios pozicijos.</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priemonės</w:t>
            </w:r>
          </w:p>
          <w:p w14:paraId="0D12347B" w14:textId="67C87B7B" w:rsidR="00B0191A" w:rsidRPr="0039317F" w:rsidRDefault="00193DDC">
            <w:pPr>
              <w:pStyle w:val="InstructionsText"/>
            </w:pPr>
            <w:r>
              <w:t>Reglamento (ES) Nr. 1071/2013 (ECB/2013/33) II priedo 2 dalies lentelės 2 ir 3 kategorijos.</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 skolos priemones įtraukiami skolos vertybiniai popieriai, paskolos ir išankstiniai mokėjimai.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skiltį įtraukiamos tos finansinės priemonės, kurios pagal</w:t>
            </w:r>
            <w:r>
              <w:t xml:space="preserve"> ECB/2013/33 priskiriamos prie kategorijos „Paskolos, kurių pradinis terminas – iki vienų metų imtinai / nuo vienų metų ir iki penkerių metų imtinai / nuo penkerių metų“ arba prie kategorijos </w:t>
            </w:r>
            <w:r>
              <w:rPr>
                <w:rStyle w:val="FormatvorlageInstructionsTabelleText"/>
                <w:rFonts w:ascii="Times New Roman" w:hAnsi="Times New Roman"/>
                <w:sz w:val="24"/>
              </w:rPr>
              <w:t>„Skolos vertybiniai popieriai“.</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Į</w:t>
            </w:r>
            <w:r>
              <w:t xml:space="preserve"> šią skiltį įtraukiami atpirkimo sandoriai, vertybinių popierių arba biržos prekių skolinimo arba skolinimosi sandoriai (vertybinių popierių finansavimo sandoriai) ir garantinės įmokos skolinimo sandoriai.</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3C984462" w14:textId="61E69BD9" w:rsidR="00B0191A" w:rsidRPr="0039317F" w:rsidRDefault="00DF008D">
            <w:pPr>
              <w:pStyle w:val="InstructionsText"/>
            </w:pPr>
            <w:r>
              <w:t>ECB/2013/33 II priedo 2 dalies lentelės 4 ir 5 kategorijos</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Į šią skiltį įtraukiamos tos finansinės priemonės, kurios pagal</w:t>
            </w:r>
            <w:r>
              <w:t xml:space="preserve"> ECB/2013/33 priskiriamos prie kategorijos „Nuosavybės priemonės“ arba prie kategorijos „Investicinio fondo akcijos (vienetai)“.</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Išvestinės finansinės priemonės </w:t>
            </w:r>
          </w:p>
          <w:p w14:paraId="17102042" w14:textId="51CDA1FC" w:rsidR="00B0191A" w:rsidRPr="0039317F" w:rsidRDefault="00BB3751">
            <w:pPr>
              <w:pStyle w:val="InstructionsText"/>
            </w:pPr>
            <w:r>
              <w:t>KRR 272 straipsnio 2 dalis ir II priedas</w:t>
            </w:r>
          </w:p>
          <w:p w14:paraId="342DBEF7" w14:textId="2BF427FB" w:rsidR="00B0191A" w:rsidRPr="0039317F" w:rsidRDefault="009E58B0">
            <w:pPr>
              <w:pStyle w:val="InstructionsText"/>
            </w:pPr>
            <w:r>
              <w:lastRenderedPageBreak/>
              <w:t>Į šioje skiltyje nurodomas finansines priemones įtraukiamos KRR II priede nurodytos išvestinės finansinės priemonės ir KRR 272 straipsnio 2 dalyje apibrėžti ilgalaikiai atsiskaitymo sandoriai.</w:t>
            </w:r>
          </w:p>
          <w:p w14:paraId="5DE2DBE3" w14:textId="50AE93A3" w:rsidR="00B0191A" w:rsidRPr="00384ADB" w:rsidRDefault="00BB3751">
            <w:pPr>
              <w:pStyle w:val="InstructionsText"/>
              <w:rPr>
                <w:rStyle w:val="FormatvorlageInstructionsTabelleText"/>
                <w:rFonts w:ascii="Times New Roman" w:hAnsi="Times New Roman"/>
                <w:sz w:val="24"/>
              </w:rPr>
            </w:pPr>
            <w:r>
              <w:t>Į šią skiltį įtraukiamos kredito išvestinės finansinės priemonės, susijusios su sandorio šalies kredito rizika.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Nebalansiniai straipsniai</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KRR I priedas</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Šiose skiltyse nurodoma vertė yra nominalioji vertė prieš bet kokį sumažinimą dėl specifinės kredito rizikos koregavimų ir netaikant perskaičiavimo koeficientų.</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Kreditavimo įsipareigojimai</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I priedo 1 punkto c ir h papunkčiai, 2 punkto b papunkčio ii dalis, 3 punkto b papunkčio i dalis ir 4 punkto a papunktis </w:t>
            </w:r>
          </w:p>
          <w:p w14:paraId="55D0FD19" w14:textId="16139D2E" w:rsidR="00B0191A" w:rsidRPr="00384ADB" w:rsidRDefault="00BB3751">
            <w:pPr>
              <w:pStyle w:val="InstructionsText"/>
              <w:rPr>
                <w:rStyle w:val="FormatvorlageInstructionsTabelleText"/>
                <w:rFonts w:ascii="Times New Roman" w:hAnsi="Times New Roman"/>
                <w:sz w:val="24"/>
              </w:rPr>
            </w:pPr>
            <w:r>
              <w:t>Kreditavimo įsipareigojimai – tvirtas įsipareigojimas teikti kreditą pagal iš anksto nustatytus terminus ir sąlygas, išskyrus išvestines finansines priemones, nes įsipareigojimus dėl jų galima įvykdyti grynąja verte sumokant grynaisiais pinigais arba pateikiant ar išleidžiant kitą finansinę priemonę.</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Finansinės garantijos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I priedo 1 punkto a, b ir f papunkčiai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Finansinės garantijos – sutartys, pagal kurias reikalaujama, kad garantijos suteikėjas sumokėtų konkrečias sumas garantijos turėtojui, kad atlygintų nuostolius, kuriuos šis patiria dėl konkretaus skolininko laiku nesumokėtos įmokos pagal pradines ar pakeistas skolos priemonės sąlygas. Šioje skiltyje nurodomos kredito išvestinės finansinės priemonės, neįtrauktos į skiltį „Išvestinės finansinės priemonės“.</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Kiti įsipareigojimai – į pirmiau nurodytas kategorijas neįtraukti KRR I priede nurodyti straipsniai. Š</w:t>
            </w:r>
            <w:r>
              <w:rPr>
                <w:rFonts w:ascii="Times New Roman" w:hAnsi="Times New Roman"/>
                <w:sz w:val="24"/>
              </w:rPr>
              <w:t>ioje skiltyje nurodoma vieno teisinio įsipareigojimo, atsirandančio dėl su įstaigos sandorio šalimi sudaryto sutartinės abipusės produktų užskaitos susitarimo, pozicijos vertė.</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Netiesioginės pozicijos</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KRR</w:t>
            </w:r>
            <w:r>
              <w:t xml:space="preserve"> 403 straipsnis</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Kai kliento poziciją garantuoja trečioji šalis arba kai kliento pozicija yra užtikrinta trečiosios šalies išleista užtikrinimo priemone, kredito įstaiga pagal</w:t>
            </w:r>
            <w:r>
              <w:t xml:space="preserve"> </w:t>
            </w:r>
            <w:r>
              <w:rPr>
                <w:rStyle w:val="FormatvorlageInstructionsTabelleText"/>
                <w:rFonts w:ascii="Times New Roman" w:hAnsi="Times New Roman"/>
                <w:sz w:val="24"/>
              </w:rPr>
              <w:t>KRR</w:t>
            </w:r>
            <w:r>
              <w:t xml:space="preserve"> </w:t>
            </w:r>
            <w:r>
              <w:rPr>
                <w:rStyle w:val="InstructionsTabelleberschrift"/>
                <w:rFonts w:ascii="Times New Roman" w:hAnsi="Times New Roman"/>
                <w:b w:val="0"/>
                <w:sz w:val="24"/>
                <w:u w:val="none"/>
              </w:rPr>
              <w:t xml:space="preserve">403 straipsnį taiko pakeitimo metodą.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skilčių grupėje įstaiga nurodo tiesioginių pozicijų sumas, kurios iš naujo priskirtos garantui arba užtikrinimo priemonės emitentui, jei jam būtų priskirtas toks pat rizikos koeficientas, koks pagal KRR trečios dalies II antraštinės dalies 2 skyrių būtų priskirtas klientui, arba už jį mažesnis. Kai pozicijos yra užtikrintos trečiosios šalies išleista užtikrinimo priemone, KRR 403 straipsnio 3 dalyje yra numatyta alternatyvi tvarka.</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Užtikrinta referencinė pradinė pozicija (tiesioginė pozicija) iš pradinio skolininko pozicijos atskaitoma skiltyse „Reikalavimus atitinkančios kredito rizikos mažinimo priemonės“. Atsižvelgiant į pakeitimo poveikį, dėl netiesioginės pozicijos padidėja garanto arba užtikrinimo priemonės emitento pozicija. Tai taikoma ir susijusių klientų grupėje teikiamoms garantijoms.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Netiesioginių pozicijų pradinę sumą įstaiga nurodo skiltyje, atitinkančioje garantuotos arba užtikrinimo priemone apsaugotos tiesioginės pozicijos rūšį, pvz., jei garantuota tiesioginė pozicija yra skolos priemonė, „Netiesioginės pozicijos“ suma, priskiriama garantui, nurodoma skiltyje „Skolos priemonės“.</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Pagal KRR 399 straipsnį šioje skilčių grupėje taip pat nurodomos pozicijos, atsirandančios dėl su kreditu susijusių vekselių.</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priemonės</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060 skiltį.</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Žr. 070 skiltį.</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080 skiltį.</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Nebalansiniai straipsniai</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Šių skilčių vertė yra nominalioji vertė prieš bet kokį sumažinimą pritaikius specifinės kredito rizikos koregavimus ir perskaičiavimo koeficientus.</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Kreditavimo įsipareigojimai</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090 skiltį.</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Finansinės garantijos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100 skiltį.</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110 skiltį.</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Papildomos pozicijos, atsirandančios dėl sandorių, susijusių su pagrindinio turto pozicija</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390 straipsnio 7 dalis</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Papildomos pozicijos, kurios atsiranda dėl sandorių, susijusių su pagrindinio turto pozicija.</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Vertės koregavimai ir atidėjiniai</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KRR 34, 24, 110 ir 111 straipsniai</w:t>
            </w:r>
          </w:p>
          <w:p w14:paraId="4F6275C0" w14:textId="77777777" w:rsidR="00BB3751" w:rsidRPr="00401CF2"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Į atitinkamą apskaitos sistemą įtrauktas vertės koregavimas ir atidėjiniai (Direktyva 86/635/EEB arba Reglamentas (EB) Nr. 1606/2002), turintys įtakos pozicijų vertinimui, nustatomi pagal KRR 24 ir 110 straipsnius.</w:t>
            </w:r>
            <w:r>
              <w:rPr>
                <w:rFonts w:ascii="Times New Roman" w:hAnsi="Times New Roman"/>
              </w:rPr>
              <w:t xml:space="preserve"> </w:t>
            </w:r>
          </w:p>
          <w:p w14:paraId="79E96BBA" w14:textId="77777777" w:rsidR="00BB3751" w:rsidRPr="00401CF2"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 xml:space="preserve">Šioje skiltyje nurodomi </w:t>
            </w:r>
            <w:r>
              <w:rPr>
                <w:rStyle w:val="FormatvorlageInstructionsTabelleText"/>
                <w:rFonts w:ascii="Times New Roman" w:hAnsi="Times New Roman"/>
                <w:color w:val="auto"/>
                <w:sz w:val="24"/>
              </w:rPr>
              <w:t>040 skiltyje nurodytos bendrosios pozicijos vertės koregavimai ir atidėjiniai.</w:t>
            </w:r>
          </w:p>
          <w:p w14:paraId="6A02D374" w14:textId="77777777" w:rsidR="00BB3751" w:rsidRPr="00401CF2"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Iš bendro 1 lygio nuosavo kapitalo arba papildomų 1 lygio straipsnių atskaitomos pozicijos</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KRR 390 straipsnio 6 dalies e punktas</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Nurodomos iš bendro 1 lygio nuosavo kapitalo arba papildomų 1 lygio straipsnių atskaitytos pozicijos, įtraukiamos į įvairias visos pradinės pozicijos skiltis.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vertė prieš taikant išimtis ir KRM</w:t>
            </w:r>
          </w:p>
          <w:p w14:paraId="3CD948DF" w14:textId="157DE6DA" w:rsidR="00BB3751" w:rsidRPr="00384ADB" w:rsidRDefault="00BB3751">
            <w:pPr>
              <w:pStyle w:val="InstructionsText"/>
            </w:pPr>
            <w:r>
              <w:rPr>
                <w:rStyle w:val="FormatvorlageInstructionsTabelleText"/>
                <w:rFonts w:ascii="Times New Roman" w:hAnsi="Times New Roman"/>
                <w:sz w:val="24"/>
              </w:rPr>
              <w:t>KRR</w:t>
            </w:r>
            <w:r>
              <w:t xml:space="preserve"> 394 straipsnio 1 dalies b punktas</w:t>
            </w:r>
          </w:p>
          <w:p w14:paraId="09B6F993" w14:textId="1A0DFE0F" w:rsidR="00BB3751" w:rsidRPr="00384ADB" w:rsidRDefault="008A4511">
            <w:pPr>
              <w:pStyle w:val="InstructionsText"/>
              <w:rPr>
                <w:rStyle w:val="InstructionsTabelleberschrift"/>
                <w:rFonts w:ascii="Times New Roman" w:hAnsi="Times New Roman"/>
                <w:sz w:val="24"/>
              </w:rPr>
            </w:pPr>
            <w:r>
              <w:t>Įstaigos nurodo pozicijos vertę, jei taikoma, prieš atsižvelgdamos į kredito rizikos mažinimo poveikį.</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suma</w:t>
            </w:r>
          </w:p>
          <w:p w14:paraId="1BEC7AF8" w14:textId="77777777" w:rsidR="00BB3751" w:rsidRPr="0039317F" w:rsidRDefault="00BB3751">
            <w:pPr>
              <w:pStyle w:val="InstructionsText"/>
            </w:pPr>
            <w:r>
              <w:lastRenderedPageBreak/>
              <w:t xml:space="preserve">Šioje skiltyje nurodoma pozicijos vertė yra suma, naudojama nustatant, ar pozicija pagal </w:t>
            </w:r>
            <w:r>
              <w:rPr>
                <w:rStyle w:val="FormatvorlageInstructionsTabelleText"/>
                <w:rFonts w:ascii="Times New Roman" w:hAnsi="Times New Roman"/>
                <w:sz w:val="24"/>
              </w:rPr>
              <w:t>KRR</w:t>
            </w:r>
            <w:r>
              <w:t xml:space="preserve"> 392 straipsnyje pateiktą apibrėžtį yra didelė pozicija.</w:t>
            </w:r>
          </w:p>
          <w:p w14:paraId="5F3ED5A5" w14:textId="72A2528D" w:rsidR="00B0191A" w:rsidRPr="00384ADB" w:rsidRDefault="00BB3751">
            <w:pPr>
              <w:pStyle w:val="InstructionsText"/>
              <w:rPr>
                <w:rStyle w:val="FormatvorlageInstructionsTabelleText"/>
                <w:rFonts w:ascii="Times New Roman" w:hAnsi="Times New Roman"/>
                <w:b/>
                <w:sz w:val="24"/>
              </w:rPr>
            </w:pPr>
            <w:r>
              <w:t>Šioje skiltyje nurodoma pradinė pozicija, atėmus vertės koregavimus, atidėjinius ir iš bendro 1 lygio nuosavo kapitalo arba papildomų 1 lygio straipsnių atskaitytų pozicijų sumą.</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ne prekybos knyga</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Visos pozicijos ne prekybos knygai priskirta suma prieš taikant išimtis ir KRM.</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1 lygio kapitalo %</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392 ir 395 straipsniai</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Nurodoma suma yra su KRR 25 straipsnyje apibrėžtu įstaigos 1 lygio kapitalu susijusi procentinė pozicijos vertės dalis prieš taikant išimtis ir KRM.</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Reikalavimus atitinkančios kredito rizikos mažinimo (KRM) priemonės</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KRR 399 ir 401–403 straipsniai. </w:t>
            </w:r>
            <w:r>
              <w:rPr>
                <w:rStyle w:val="FormatvorlageInstructionsTabelleText"/>
                <w:rFonts w:ascii="Times New Roman" w:hAnsi="Times New Roman"/>
                <w:sz w:val="24"/>
              </w:rPr>
              <w:t>KRR 4 straipsnio 1 dalies 57 punkte apibrėžtos KRM priemonės.</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KRM priemonės, pripažintos KRR trečios dalies II antraštinės dalies 3 ir 4 skyriuose, taikomos</w:t>
            </w:r>
            <w:r>
              <w:rPr>
                <w:rStyle w:val="InstructionsTabelleberschrift"/>
                <w:rFonts w:ascii="Times New Roman" w:hAnsi="Times New Roman"/>
                <w:b w:val="0"/>
                <w:sz w:val="24"/>
                <w:u w:val="none"/>
              </w:rPr>
              <w:t>pagal KRR 401–403</w:t>
            </w:r>
            <w:r>
              <w:rPr>
                <w:rStyle w:val="FormatvorlageInstructionsTabelleText"/>
                <w:rFonts w:ascii="Times New Roman" w:hAnsi="Times New Roman"/>
                <w:sz w:val="24"/>
              </w:rPr>
              <w:t>straipsnius</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KRM priemonių poveikis didelių pozicijų režimui gali pasireikšti trejopai: kaip pakeitimo poveikis, tiesioginis kredito užtikrinimas (išskyrus pakeitimo poveikį) ir nekilnojamojo turto vertinimas.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Reikalavimus atitinkančių kredito rizikos mažinimo priemonių pakeitimo poveikis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403 straipsnis</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Šiose skiltyse nurodoma tiesioginio ir netiesioginio kredito užtikrinimo suma atitinka trečiosios šalies garantuojamas</w:t>
            </w:r>
            <w:r>
              <w:t xml:space="preserve"> arba trečiosios šalies išleistas užtikrinimo priemone užtikrintas pozicijas, kai įstaiga pozicijos dalį, kuri yra garantuojama ir (arba) užtikrinta pripažintos užtikrinimo priemonės rinkos verte, laiko garanto arba užtikrinimo priemonės emitento pozicija.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Skolos priemonės</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060 skiltį.</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Nuosavybės priemonės</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Žr. 070 skiltį.</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Išvestinės finansinės priemonės</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080 skiltį.</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Nebalansiniai straipsniai</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Šiose skiltyse nurodoma vertė nepritaikius perskaičiavimo koeficientų.</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Kreditavimo įsipareigojimai</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090 skiltį.</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Finansinės garantijos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100 skiltį.</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Kiti įsipareigojimai</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110 skiltį.</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Tiesioginis kredito užtikrinimas, išskyrus pakeitimo poveikį</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401 straipsnis</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Įstaiga nurodo KRR 4 straipsnio 1 dalies 58 punkte apibrėžto tiesioginio kredito užtikrinimo sumas,</w:t>
            </w:r>
            <w:r>
              <w:rPr>
                <w:rStyle w:val="FormatvorlageInstructionsTabelleText"/>
                <w:rFonts w:ascii="Times New Roman" w:hAnsi="Times New Roman"/>
                <w:sz w:val="24"/>
              </w:rPr>
              <w:t xml:space="preserve"> taikant KRR</w:t>
            </w:r>
            <w:r>
              <w:rPr>
                <w:rStyle w:val="InstructionsTabelleberschrift"/>
                <w:rFonts w:ascii="Times New Roman" w:hAnsi="Times New Roman"/>
                <w:b w:val="0"/>
                <w:sz w:val="24"/>
                <w:u w:val="none"/>
              </w:rPr>
              <w:t xml:space="preserve"> 401 straipsnį atskaitytas iš pozicijos</w:t>
            </w:r>
            <w:r>
              <w:rPr>
                <w:rStyle w:val="FormatvorlageInstructionsTabelleText"/>
                <w:rFonts w:ascii="Times New Roman" w:hAnsi="Times New Roman"/>
                <w:sz w:val="24"/>
              </w:rPr>
              <w:t xml:space="preserve"> vertės</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Pagal KRR 401 straipsnio 1 dalį kintamumo koregavimai taikomi pozicijos vertei ir nurodomi kaip pozicijos vertės padidėjimas.</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Nekilnojamasis turtas</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402 straipsnis</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Įstaiga nurodo sumas, taikant</w:t>
            </w:r>
            <w:r>
              <w:t xml:space="preserve"> </w:t>
            </w:r>
            <w:r>
              <w:rPr>
                <w:rStyle w:val="FormatvorlageInstructionsTabelleText"/>
                <w:rFonts w:ascii="Times New Roman" w:hAnsi="Times New Roman"/>
                <w:sz w:val="24"/>
              </w:rPr>
              <w:t>KRR</w:t>
            </w:r>
            <w:r>
              <w:t xml:space="preserve"> </w:t>
            </w:r>
            <w:r>
              <w:rPr>
                <w:rStyle w:val="InstructionsTabelleberschrift"/>
                <w:rFonts w:ascii="Times New Roman" w:hAnsi="Times New Roman"/>
                <w:b w:val="0"/>
                <w:sz w:val="24"/>
                <w:u w:val="none"/>
              </w:rPr>
              <w:t>402 straipsnį atskaitytas iš pozicijos vertės.</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Sumos, kurioms taikomos išimtys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KRR 400 straipsnis</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Įstaiga nurodo</w:t>
            </w:r>
            <w:r>
              <w:rPr>
                <w:rStyle w:val="FormatvorlageInstructionsTabelleText"/>
                <w:rFonts w:ascii="Times New Roman" w:hAnsi="Times New Roman"/>
                <w:sz w:val="24"/>
              </w:rPr>
              <w:t xml:space="preserve"> sumas, kurioms netaikomas didelių pozicijų režimas.</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vertė pritaikius išimtis ir KRM</w:t>
            </w:r>
          </w:p>
          <w:p w14:paraId="37FBBCBE" w14:textId="1989C0C0" w:rsidR="00BB3751" w:rsidRPr="0039317F" w:rsidRDefault="00BB3751">
            <w:pPr>
              <w:pStyle w:val="InstructionsText"/>
            </w:pPr>
            <w:r>
              <w:rPr>
                <w:rStyle w:val="FormatvorlageInstructionsTabelleText"/>
                <w:rFonts w:ascii="Times New Roman" w:hAnsi="Times New Roman"/>
                <w:sz w:val="24"/>
              </w:rPr>
              <w:t>KRR</w:t>
            </w:r>
            <w:r>
              <w:t xml:space="preserve"> 394 straipsnio 1 dalies d punktas</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Įstaiga nurodo taikant </w:t>
            </w:r>
            <w:r>
              <w:rPr>
                <w:rStyle w:val="FormatvorlageInstructionsTabelleText"/>
                <w:rFonts w:ascii="Times New Roman" w:hAnsi="Times New Roman"/>
                <w:sz w:val="24"/>
              </w:rPr>
              <w:t>KRR</w:t>
            </w:r>
            <w:r>
              <w:t xml:space="preserve"> 395 straipsnio 1 dalį apskaičiuotą pozicijos vertę, atsižvelgusi į išimčių ir kredito rizikos mažinimo poveikį.</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suma</w:t>
            </w:r>
          </w:p>
          <w:p w14:paraId="5EAE4D20" w14:textId="2997F914" w:rsidR="00B0191A" w:rsidRPr="00384ADB" w:rsidRDefault="00BB3751">
            <w:pPr>
              <w:pStyle w:val="InstructionsText"/>
              <w:rPr>
                <w:rStyle w:val="InstructionsTabelleberschrift"/>
                <w:rFonts w:ascii="Times New Roman" w:hAnsi="Times New Roman"/>
                <w:sz w:val="24"/>
              </w:rPr>
            </w:pPr>
            <w:r>
              <w:t>Šioje skiltyje nurodoma suma, į kurią turi būti atsižvelgiama siekiant laikytis KRR 395 straipsnyje nustatytos didelių pozicijų ribos.</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ne prekybos knyga</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Įstaiga nurodo visą į ne prekybos knygą įtrauktą poziciją pritaikius išimtis ir atsižvelgus į KRM poveikį.</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1 lygio kapitalo %</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Įstaiga nurodo</w:t>
            </w:r>
            <w:r>
              <w:rPr>
                <w:rStyle w:val="InstructionsTabelleberschrift"/>
                <w:rFonts w:ascii="Times New Roman" w:hAnsi="Times New Roman"/>
                <w:b w:val="0"/>
                <w:sz w:val="24"/>
                <w:u w:val="none"/>
              </w:rPr>
              <w:t xml:space="preserve"> su KRR 25 straipsnyje apibrėžtu 1 lygio kapitalu susijusios pozicijos vertės procentinę dalį, pritaikius išimtis ir</w:t>
            </w:r>
            <w:r>
              <w:rPr>
                <w:rStyle w:val="FormatvorlageInstructionsTabelleText"/>
                <w:rFonts w:ascii="Times New Roman" w:hAnsi="Times New Roman"/>
                <w:sz w:val="24"/>
              </w:rPr>
              <w:t xml:space="preserve"> KRM</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863844"/>
      <w:r>
        <w:rPr>
          <w:rFonts w:ascii="Times New Roman" w:hAnsi="Times New Roman"/>
          <w:b/>
          <w:sz w:val="24"/>
          <w:u w:val="none"/>
        </w:rPr>
        <w:t>C 29.00. Duomenys apie atskirų klientų pozicijas susijusių klientų grupėse</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863845"/>
      <w:r>
        <w:rPr>
          <w:rFonts w:ascii="Times New Roman" w:hAnsi="Times New Roman"/>
          <w:sz w:val="24"/>
        </w:rPr>
        <w:t>Nurodymai dėl konkrečių</w:t>
      </w:r>
      <w:bookmarkEnd w:id="25"/>
      <w:bookmarkEnd w:id="26"/>
      <w:r>
        <w:rPr>
          <w:rFonts w:ascii="Times New Roman" w:hAnsi="Times New Roman"/>
          <w:sz w:val="24"/>
        </w:rPr>
        <w:t xml:space="preserve"> skilčių</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Skiltis</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LE3 formoje įstaiga pateikia į LE2 formos eilutes įtrauktoms susijusių klientų grupėms priklausančių atskirų klientų duomenis.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 ir 020 skiltys yra sudėtinis eilutės identifikatorius ir kiekvienai lentelės eilutei jos kartu turi būti unikalios.</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Nurodomas susijusių klientų grupėms priklausančios atskiros sandorio šalies kodas.</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Šie kodai nuosekliai naudojami visą laiką.</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Grupės kodas</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 ir 020 skiltys yra sudėtinis eilutės identifikatorius ir kiekvienai lentelės eilutei jos kartu turi būti unikalios.</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susijusių klientų grupė turi nacionalinio lygmens unikalų kodą, nurodomas šis kodas. Jeigu nacionalinio lygmens unikalaus kodo nėra, nurodomas kodas, naudojamas susijusių klientų grupės pozicijoms nurodyti C 28.00 formoje (LE2).</w:t>
            </w:r>
          </w:p>
          <w:p w14:paraId="58350F67" w14:textId="3031659B" w:rsidR="00B0191A" w:rsidRPr="00384ADB" w:rsidRDefault="00D46F08">
            <w:pPr>
              <w:pStyle w:val="InstructionsText"/>
              <w:rPr>
                <w:rStyle w:val="InstructionsTabelleberschrift"/>
                <w:rFonts w:ascii="Times New Roman" w:hAnsi="Times New Roman"/>
                <w:sz w:val="24"/>
              </w:rPr>
            </w:pPr>
            <w:r>
              <w:t>Jei klientas priklauso kelioms susijusių klientų grupėms, jis nurodomas kaip visų susijusių klientų grupių narys.</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Sandoriai, susiję su pagrindinio turto pozicija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LE2 formos 030 skiltį.</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Jei LE2 formoje nurodomos visos susijusių klientų grupės finansinės priemonės, LE3 formoje taikant įstaigos veiklos kriterijus jos priskiriamos atskiroms sandorio šalims.</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Kiti nurodymai tokie pat kaip LE2 formos.</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68705570">
    <w:abstractNumId w:val="1"/>
  </w:num>
  <w:num w:numId="2" w16cid:durableId="799886524">
    <w:abstractNumId w:val="18"/>
  </w:num>
  <w:num w:numId="3" w16cid:durableId="1328749728">
    <w:abstractNumId w:val="25"/>
  </w:num>
  <w:num w:numId="4" w16cid:durableId="1027871063">
    <w:abstractNumId w:val="13"/>
  </w:num>
  <w:num w:numId="5" w16cid:durableId="1584140609">
    <w:abstractNumId w:val="22"/>
  </w:num>
  <w:num w:numId="6" w16cid:durableId="1591281364">
    <w:abstractNumId w:val="12"/>
  </w:num>
  <w:num w:numId="7" w16cid:durableId="45879153">
    <w:abstractNumId w:val="24"/>
  </w:num>
  <w:num w:numId="8" w16cid:durableId="1878278059">
    <w:abstractNumId w:val="4"/>
  </w:num>
  <w:num w:numId="9" w16cid:durableId="335427249">
    <w:abstractNumId w:val="19"/>
  </w:num>
  <w:num w:numId="10" w16cid:durableId="1271428296">
    <w:abstractNumId w:val="11"/>
  </w:num>
  <w:num w:numId="11" w16cid:durableId="254628151">
    <w:abstractNumId w:val="15"/>
  </w:num>
  <w:num w:numId="12" w16cid:durableId="130833752">
    <w:abstractNumId w:val="6"/>
  </w:num>
  <w:num w:numId="13" w16cid:durableId="2006396267">
    <w:abstractNumId w:val="21"/>
  </w:num>
  <w:num w:numId="14" w16cid:durableId="904342360">
    <w:abstractNumId w:val="17"/>
  </w:num>
  <w:num w:numId="15" w16cid:durableId="2058046826">
    <w:abstractNumId w:val="10"/>
  </w:num>
  <w:num w:numId="16" w16cid:durableId="763115199">
    <w:abstractNumId w:val="14"/>
  </w:num>
  <w:num w:numId="17" w16cid:durableId="90509463">
    <w:abstractNumId w:val="9"/>
  </w:num>
  <w:num w:numId="18" w16cid:durableId="1940720174">
    <w:abstractNumId w:val="23"/>
  </w:num>
  <w:num w:numId="19" w16cid:durableId="2106610781">
    <w:abstractNumId w:val="2"/>
  </w:num>
  <w:num w:numId="20" w16cid:durableId="232349632">
    <w:abstractNumId w:val="5"/>
  </w:num>
  <w:num w:numId="21" w16cid:durableId="1765687819">
    <w:abstractNumId w:val="8"/>
  </w:num>
  <w:num w:numId="22" w16cid:durableId="1537352539">
    <w:abstractNumId w:val="7"/>
  </w:num>
  <w:num w:numId="23" w16cid:durableId="305282297">
    <w:abstractNumId w:val="10"/>
    <w:lvlOverride w:ilvl="0">
      <w:startOverride w:val="1"/>
    </w:lvlOverride>
  </w:num>
  <w:num w:numId="24" w16cid:durableId="1640070558">
    <w:abstractNumId w:val="10"/>
    <w:lvlOverride w:ilvl="0">
      <w:startOverride w:val="1"/>
    </w:lvlOverride>
  </w:num>
  <w:num w:numId="25" w16cid:durableId="1840341554">
    <w:abstractNumId w:val="16"/>
  </w:num>
  <w:num w:numId="26" w16cid:durableId="240261235">
    <w:abstractNumId w:val="20"/>
  </w:num>
  <w:num w:numId="27" w16cid:durableId="630139234">
    <w:abstractNumId w:val="10"/>
    <w:lvlOverride w:ilvl="0">
      <w:startOverride w:val="1"/>
    </w:lvlOverride>
  </w:num>
  <w:num w:numId="28" w16cid:durableId="1508979791">
    <w:abstractNumId w:val="10"/>
  </w:num>
  <w:num w:numId="29" w16cid:durableId="1064992434">
    <w:abstractNumId w:val="10"/>
  </w:num>
  <w:num w:numId="30" w16cid:durableId="801967915">
    <w:abstractNumId w:val="27"/>
  </w:num>
  <w:num w:numId="31" w16cid:durableId="1406731199">
    <w:abstractNumId w:val="26"/>
  </w:num>
  <w:num w:numId="32" w16cid:durableId="1029450965">
    <w:abstractNumId w:val="21"/>
  </w:num>
  <w:num w:numId="33" w16cid:durableId="1077096442">
    <w:abstractNumId w:val="28"/>
  </w:num>
  <w:num w:numId="34" w16cid:durableId="1685590055">
    <w:abstractNumId w:val="3"/>
  </w:num>
  <w:num w:numId="35" w16cid:durableId="139330662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1053"/>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6DDC"/>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1CF2"/>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t-L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t-L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t-L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2995EDB4-88C5-4ACA-B80E-01F66956FB51}"/>
</file>

<file path=customXml/itemProps4.xml><?xml version="1.0" encoding="utf-8"?>
<ds:datastoreItem xmlns:ds="http://schemas.openxmlformats.org/officeDocument/2006/customXml" ds:itemID="{7D9991A4-628B-4855-AC0F-8904A9EEA8AA}"/>
</file>

<file path=customXml/itemProps5.xml><?xml version="1.0" encoding="utf-8"?>
<ds:datastoreItem xmlns:ds="http://schemas.openxmlformats.org/officeDocument/2006/customXml" ds:itemID="{C4424929-C955-486D-8E36-F3D8BAF60A26}"/>
</file>

<file path=docProps/app.xml><?xml version="1.0" encoding="utf-8"?>
<Properties xmlns="http://schemas.openxmlformats.org/officeDocument/2006/extended-properties" xmlns:vt="http://schemas.openxmlformats.org/officeDocument/2006/docPropsVTypes">
  <Template>Normal.dotm</Template>
  <TotalTime>2</TotalTime>
  <Pages>18</Pages>
  <Words>4148</Words>
  <Characters>26881</Characters>
  <Application>Microsoft Office Word</Application>
  <DocSecurity>0</DocSecurity>
  <Lines>640</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30627</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JUSKYS Karolis (DGT)</cp:lastModifiedBy>
  <cp:revision>5</cp:revision>
  <dcterms:created xsi:type="dcterms:W3CDTF">2020-12-02T14:20:00Z</dcterms:created>
  <dcterms:modified xsi:type="dcterms:W3CDTF">2025-01-27T08:50:00Z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2025-01-27T08:50:17Z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ba003fd0-1d70-4b19-87f0-d265513ab77e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