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Pr="003D1850" w:rsidRDefault="00CB0520" w:rsidP="00CB0520">
      <w:pPr>
        <w:jc w:val="center"/>
        <w:rPr>
          <w:rFonts w:ascii="Times New Roman" w:hAnsi="Times New Roman"/>
          <w:sz w:val="24"/>
          <w:szCs w:val="22"/>
        </w:rPr>
      </w:pPr>
      <w:r w:rsidRPr="003D1850">
        <w:rPr>
          <w:rFonts w:ascii="Times New Roman" w:hAnsi="Times New Roman"/>
          <w:sz w:val="24"/>
        </w:rPr>
        <w:t>PL</w:t>
      </w:r>
    </w:p>
    <w:p w14:paraId="2D00CB42" w14:textId="77777777" w:rsidR="00CB0520" w:rsidRPr="003D1850" w:rsidRDefault="00CB0520" w:rsidP="00CB0520">
      <w:pPr>
        <w:rPr>
          <w:rFonts w:asciiTheme="minorHAnsi" w:hAnsiTheme="minorHAnsi"/>
          <w:sz w:val="22"/>
        </w:rPr>
      </w:pPr>
    </w:p>
    <w:p w14:paraId="2B5F5695" w14:textId="77777777" w:rsidR="009C5DD6" w:rsidRPr="003D1850" w:rsidRDefault="009C5DD6" w:rsidP="009C5DD6">
      <w:pPr>
        <w:jc w:val="center"/>
        <w:rPr>
          <w:rFonts w:ascii="Times New Roman" w:hAnsi="Times New Roman"/>
          <w:sz w:val="24"/>
        </w:rPr>
      </w:pPr>
      <w:r w:rsidRPr="003D1850">
        <w:rPr>
          <w:rFonts w:ascii="Times New Roman" w:hAnsi="Times New Roman"/>
          <w:sz w:val="24"/>
        </w:rPr>
        <w:t>ZAŁĄCZNIK II</w:t>
      </w:r>
    </w:p>
    <w:p w14:paraId="03895EA2" w14:textId="77777777" w:rsidR="009C5DD6" w:rsidRPr="003D1850" w:rsidRDefault="009C5DD6" w:rsidP="009C5DD6">
      <w:pPr>
        <w:jc w:val="center"/>
        <w:rPr>
          <w:rFonts w:ascii="Times New Roman" w:hAnsi="Times New Roman"/>
          <w:sz w:val="24"/>
        </w:rPr>
      </w:pPr>
      <w:r w:rsidRPr="003D1850">
        <w:rPr>
          <w:rFonts w:ascii="Times New Roman" w:hAnsi="Times New Roman"/>
          <w:sz w:val="24"/>
        </w:rPr>
        <w:t>„ZAŁĄCZNIK II</w:t>
      </w:r>
    </w:p>
    <w:p w14:paraId="480031C9" w14:textId="77777777" w:rsidR="009C5DD6" w:rsidRPr="003D1850" w:rsidRDefault="009C5DD6" w:rsidP="009C5DD6">
      <w:pPr>
        <w:jc w:val="center"/>
        <w:rPr>
          <w:rFonts w:ascii="Times New Roman" w:hAnsi="Times New Roman"/>
          <w:b/>
          <w:sz w:val="24"/>
        </w:rPr>
      </w:pPr>
      <w:r w:rsidRPr="003D1850">
        <w:rPr>
          <w:rFonts w:ascii="Times New Roman" w:hAnsi="Times New Roman"/>
          <w:b/>
          <w:sz w:val="24"/>
        </w:rPr>
        <w:t>INSTRUKCJE DOTYCZĄCE SPRAWOZDAWCZOŚCI W ZAKRESIE FUNDUSZY WŁASNYCH ORAZ WYMOGÓW W ZAKRESIE FUNDUSZY WŁASNYCH</w:t>
      </w:r>
    </w:p>
    <w:p w14:paraId="08E08E50" w14:textId="77777777" w:rsidR="00EE75F2" w:rsidRPr="003D1850" w:rsidRDefault="00EE75F2"/>
    <w:p w14:paraId="29C05932" w14:textId="7194A2B7" w:rsidR="00925646" w:rsidRPr="003D1850" w:rsidRDefault="00FA21C6" w:rsidP="00925646">
      <w:pPr>
        <w:spacing w:before="0" w:after="0"/>
        <w:jc w:val="left"/>
        <w:rPr>
          <w:rStyle w:val="InstructionsTabelleText"/>
          <w:rFonts w:ascii="Times New Roman" w:hAnsi="Times New Roman"/>
          <w:b/>
          <w:bCs/>
          <w:sz w:val="24"/>
          <w:u w:val="single"/>
        </w:rPr>
      </w:pPr>
      <w:r w:rsidRPr="003D1850">
        <w:rPr>
          <w:rStyle w:val="InstructionsTabelleText"/>
          <w:rFonts w:ascii="Times New Roman" w:hAnsi="Times New Roman"/>
          <w:b/>
          <w:sz w:val="24"/>
          <w:u w:val="single"/>
        </w:rPr>
        <w:t>CZĘŚĆ II: INSTRUKCJE DOTYCZĄCE WZORÓW</w:t>
      </w:r>
    </w:p>
    <w:p w14:paraId="4DA6D037" w14:textId="77777777" w:rsidR="00FC29F5" w:rsidRPr="003D1850" w:rsidRDefault="00736637" w:rsidP="00925646">
      <w:pPr>
        <w:spacing w:before="0" w:after="0"/>
        <w:jc w:val="left"/>
        <w:rPr>
          <w:rStyle w:val="InstructionsTabelleText"/>
          <w:rFonts w:ascii="Times New Roman" w:hAnsi="Times New Roman"/>
          <w:sz w:val="24"/>
        </w:rPr>
      </w:pPr>
      <w:r w:rsidRPr="003D1850">
        <w:rPr>
          <w:rStyle w:val="InstructionsTabelleText"/>
          <w:rFonts w:ascii="Times New Roman" w:hAnsi="Times New Roman"/>
          <w:sz w:val="24"/>
        </w:rPr>
        <w:t xml:space="preserve"> </w:t>
      </w:r>
    </w:p>
    <w:p w14:paraId="7B580897" w14:textId="4FDF8965" w:rsidR="00736637" w:rsidRPr="003D1850" w:rsidRDefault="00736637" w:rsidP="00925646">
      <w:pPr>
        <w:spacing w:before="0" w:after="0"/>
        <w:jc w:val="left"/>
        <w:rPr>
          <w:rStyle w:val="InstructionsTabelleText"/>
          <w:rFonts w:ascii="Times New Roman" w:hAnsi="Times New Roman"/>
          <w:sz w:val="24"/>
        </w:rPr>
      </w:pPr>
      <w:r w:rsidRPr="003D1850">
        <w:rPr>
          <w:rStyle w:val="InstructionsTabelleText"/>
          <w:rFonts w:ascii="Times New Roman" w:hAnsi="Times New Roman"/>
          <w:sz w:val="24"/>
        </w:rPr>
        <w:t>(…)</w:t>
      </w:r>
    </w:p>
    <w:p w14:paraId="532AAD9A" w14:textId="77777777" w:rsidR="00925646" w:rsidRPr="003D1850"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sidRPr="003D1850">
        <w:rPr>
          <w:rFonts w:ascii="Times New Roman" w:hAnsi="Times New Roman"/>
          <w:sz w:val="24"/>
          <w:u w:val="none"/>
        </w:rPr>
        <w:t>3.6.</w:t>
      </w:r>
      <w:r w:rsidRPr="003D1850">
        <w:tab/>
      </w:r>
      <w:r w:rsidRPr="003D1850">
        <w:rPr>
          <w:rFonts w:ascii="Times New Roman" w:hAnsi="Times New Roman"/>
          <w:sz w:val="24"/>
        </w:rPr>
        <w:t>C 11.00 – Ryzyko rozliczenia/dostawy</w:t>
      </w:r>
      <w:bookmarkEnd w:id="0"/>
      <w:bookmarkEnd w:id="1"/>
      <w:r w:rsidRPr="003D1850">
        <w:rPr>
          <w:rFonts w:ascii="Times New Roman" w:hAnsi="Times New Roman"/>
          <w:sz w:val="24"/>
        </w:rPr>
        <w:t xml:space="preserve"> (CR SETT)</w:t>
      </w:r>
      <w:bookmarkEnd w:id="2"/>
      <w:bookmarkEnd w:id="3"/>
    </w:p>
    <w:p w14:paraId="2752D001" w14:textId="77777777" w:rsidR="00925646" w:rsidRPr="003D1850"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sidRPr="003D1850">
        <w:rPr>
          <w:rFonts w:ascii="Times New Roman" w:hAnsi="Times New Roman"/>
          <w:sz w:val="24"/>
          <w:u w:val="none"/>
        </w:rPr>
        <w:t>3.6.1</w:t>
      </w:r>
      <w:r w:rsidRPr="003D1850">
        <w:tab/>
      </w:r>
      <w:r w:rsidRPr="003D1850">
        <w:rPr>
          <w:rFonts w:ascii="Times New Roman" w:hAnsi="Times New Roman"/>
          <w:sz w:val="24"/>
        </w:rPr>
        <w:t>Uwagi ogólne</w:t>
      </w:r>
      <w:bookmarkEnd w:id="4"/>
      <w:bookmarkEnd w:id="5"/>
      <w:bookmarkEnd w:id="6"/>
      <w:bookmarkEnd w:id="7"/>
      <w:bookmarkEnd w:id="8"/>
      <w:bookmarkEnd w:id="9"/>
    </w:p>
    <w:p w14:paraId="2F026EC9" w14:textId="71D0A303" w:rsidR="00925646" w:rsidRPr="003D1850" w:rsidRDefault="00925646" w:rsidP="00925646">
      <w:pPr>
        <w:pStyle w:val="InstructionsText2"/>
        <w:numPr>
          <w:ilvl w:val="0"/>
          <w:numId w:val="0"/>
        </w:numPr>
        <w:ind w:left="993"/>
      </w:pPr>
      <w:r w:rsidRPr="003D1850">
        <w:fldChar w:fldCharType="begin"/>
      </w:r>
      <w:r w:rsidRPr="003D1850">
        <w:instrText>seq paragraphs</w:instrText>
      </w:r>
      <w:r w:rsidRPr="003D1850">
        <w:fldChar w:fldCharType="separate"/>
      </w:r>
      <w:r w:rsidRPr="003D1850">
        <w:t>99</w:t>
      </w:r>
      <w:r w:rsidRPr="003D1850">
        <w:fldChar w:fldCharType="end"/>
      </w:r>
      <w:r w:rsidRPr="003D1850">
        <w:t>.</w:t>
      </w:r>
      <w:r w:rsidRPr="003D1850">
        <w:tab/>
        <w:t>W ten wzór wprowadza się żądane informacje dotyczące zarówno transakcji portfela handlowego, jak</w:t>
      </w:r>
      <w:r w:rsidR="003D1850" w:rsidRPr="003D1850">
        <w:t xml:space="preserve"> i</w:t>
      </w:r>
      <w:r w:rsidR="003D1850">
        <w:t> </w:t>
      </w:r>
      <w:r w:rsidR="003D1850" w:rsidRPr="003D1850">
        <w:t>por</w:t>
      </w:r>
      <w:r w:rsidRPr="003D1850">
        <w:t>tfela bankowego, które są nierozliczone po ustalonych datach dostawy,</w:t>
      </w:r>
      <w:r w:rsidR="003D1850" w:rsidRPr="003D1850">
        <w:t xml:space="preserve"> a</w:t>
      </w:r>
      <w:r w:rsidR="003D1850">
        <w:t> </w:t>
      </w:r>
      <w:r w:rsidR="003D1850" w:rsidRPr="003D1850">
        <w:t>tak</w:t>
      </w:r>
      <w:r w:rsidRPr="003D1850">
        <w:t>że odpowiadające im wymogi</w:t>
      </w:r>
      <w:r w:rsidR="003D1850" w:rsidRPr="003D1850">
        <w:t xml:space="preserve"> w</w:t>
      </w:r>
      <w:r w:rsidR="003D1850">
        <w:t> </w:t>
      </w:r>
      <w:r w:rsidR="003D1850" w:rsidRPr="003D1850">
        <w:t>zak</w:t>
      </w:r>
      <w:r w:rsidRPr="003D1850">
        <w:t>resie funduszy własnych</w:t>
      </w:r>
      <w:r w:rsidR="003D1850" w:rsidRPr="003D1850">
        <w:t xml:space="preserve"> z</w:t>
      </w:r>
      <w:r w:rsidR="003D1850">
        <w:t> </w:t>
      </w:r>
      <w:r w:rsidR="003D1850" w:rsidRPr="003D1850">
        <w:t>tyt</w:t>
      </w:r>
      <w:r w:rsidRPr="003D1850">
        <w:t>ułu ryzyka rozliczenia zgodnie</w:t>
      </w:r>
      <w:r w:rsidR="003D1850" w:rsidRPr="003D1850">
        <w:t xml:space="preserve"> z</w:t>
      </w:r>
      <w:r w:rsidR="003D1850">
        <w:t> </w:t>
      </w:r>
      <w:r w:rsidR="003D1850" w:rsidRPr="003D1850">
        <w:t>art</w:t>
      </w:r>
      <w:r w:rsidRPr="003D1850">
        <w:t>. 92 ust. 3 lit. c) ppkt (ii) oraz art. 378 rozporządzenia (UE) nr</w:t>
      </w:r>
      <w:r w:rsidR="003D1850" w:rsidRPr="003D1850">
        <w:t> </w:t>
      </w:r>
      <w:r w:rsidRPr="003D1850">
        <w:t xml:space="preserve">575/2013. </w:t>
      </w:r>
    </w:p>
    <w:p w14:paraId="0B60E63F" w14:textId="469715B0" w:rsidR="00925646" w:rsidRPr="003D1850" w:rsidRDefault="00925646" w:rsidP="00925646">
      <w:pPr>
        <w:pStyle w:val="InstructionsText2"/>
        <w:numPr>
          <w:ilvl w:val="0"/>
          <w:numId w:val="0"/>
        </w:numPr>
        <w:ind w:left="993"/>
      </w:pPr>
      <w:r w:rsidRPr="003D1850">
        <w:fldChar w:fldCharType="begin"/>
      </w:r>
      <w:r w:rsidRPr="003D1850">
        <w:instrText>seq paragraphs</w:instrText>
      </w:r>
      <w:r w:rsidRPr="003D1850">
        <w:fldChar w:fldCharType="separate"/>
      </w:r>
      <w:r w:rsidRPr="003D1850">
        <w:t>100</w:t>
      </w:r>
      <w:r w:rsidRPr="003D1850">
        <w:fldChar w:fldCharType="end"/>
      </w:r>
      <w:r w:rsidRPr="003D1850">
        <w:t>.</w:t>
      </w:r>
      <w:r w:rsidRPr="003D1850">
        <w:tab/>
        <w:t>Instytucje zgłaszają we wzorze CR SETT informacje dotyczące ryzyka rozliczenia/dostawy</w:t>
      </w:r>
      <w:r w:rsidR="003D1850" w:rsidRPr="003D1850">
        <w:t xml:space="preserve"> w</w:t>
      </w:r>
      <w:r w:rsidR="003D1850">
        <w:t> </w:t>
      </w:r>
      <w:r w:rsidR="003D1850" w:rsidRPr="003D1850">
        <w:t>zwi</w:t>
      </w:r>
      <w:r w:rsidRPr="003D1850">
        <w:t>ązku</w:t>
      </w:r>
      <w:r w:rsidR="003D1850" w:rsidRPr="003D1850">
        <w:t xml:space="preserve"> z</w:t>
      </w:r>
      <w:r w:rsidR="003D1850">
        <w:t> </w:t>
      </w:r>
      <w:r w:rsidR="003D1850" w:rsidRPr="003D1850">
        <w:t>ins</w:t>
      </w:r>
      <w:r w:rsidRPr="003D1850">
        <w:t>trumentami dłużnymi, instrumentami kapitałowymi, walutami obcymi</w:t>
      </w:r>
      <w:r w:rsidR="003D1850" w:rsidRPr="003D1850">
        <w:t xml:space="preserve"> i</w:t>
      </w:r>
      <w:r w:rsidR="003D1850">
        <w:t> </w:t>
      </w:r>
      <w:r w:rsidR="003D1850" w:rsidRPr="003D1850">
        <w:t>tow</w:t>
      </w:r>
      <w:r w:rsidRPr="003D1850">
        <w:t>arami posiadanymi</w:t>
      </w:r>
      <w:r w:rsidR="003D1850" w:rsidRPr="003D1850">
        <w:t xml:space="preserve"> w</w:t>
      </w:r>
      <w:r w:rsidR="003D1850">
        <w:t> </w:t>
      </w:r>
      <w:r w:rsidR="003D1850" w:rsidRPr="003D1850">
        <w:t>swo</w:t>
      </w:r>
      <w:r w:rsidRPr="003D1850">
        <w:t>ich portfelach handlowych</w:t>
      </w:r>
      <w:r w:rsidR="003D1850" w:rsidRPr="003D1850">
        <w:t xml:space="preserve"> i</w:t>
      </w:r>
      <w:r w:rsidR="003D1850">
        <w:t> </w:t>
      </w:r>
      <w:r w:rsidR="003D1850" w:rsidRPr="003D1850">
        <w:t>ban</w:t>
      </w:r>
      <w:r w:rsidRPr="003D1850">
        <w:t xml:space="preserve">kowych. </w:t>
      </w:r>
    </w:p>
    <w:p w14:paraId="1F6DAE78" w14:textId="600C6896" w:rsidR="00925646" w:rsidRPr="003D1850" w:rsidRDefault="00925646" w:rsidP="00925646">
      <w:pPr>
        <w:pStyle w:val="InstructionsText2"/>
        <w:numPr>
          <w:ilvl w:val="0"/>
          <w:numId w:val="0"/>
        </w:numPr>
        <w:ind w:left="993"/>
      </w:pPr>
      <w:r w:rsidRPr="003D1850">
        <w:fldChar w:fldCharType="begin"/>
      </w:r>
      <w:r w:rsidRPr="003D1850">
        <w:instrText>seq paragraphs</w:instrText>
      </w:r>
      <w:r w:rsidRPr="003D1850">
        <w:fldChar w:fldCharType="separate"/>
      </w:r>
      <w:r w:rsidRPr="003D1850">
        <w:t>101</w:t>
      </w:r>
      <w:r w:rsidRPr="003D1850">
        <w:fldChar w:fldCharType="end"/>
      </w:r>
      <w:r w:rsidRPr="003D1850">
        <w:t>.</w:t>
      </w:r>
      <w:r w:rsidRPr="003D1850">
        <w:tab/>
        <w:t>Zgodnie</w:t>
      </w:r>
      <w:r w:rsidR="003D1850" w:rsidRPr="003D1850">
        <w:t xml:space="preserve"> z</w:t>
      </w:r>
      <w:r w:rsidR="003D1850">
        <w:t> </w:t>
      </w:r>
      <w:r w:rsidR="003D1850" w:rsidRPr="003D1850">
        <w:t>art</w:t>
      </w:r>
      <w:r w:rsidRPr="003D1850">
        <w:t>. 378 rozporządzenia (UE) nr</w:t>
      </w:r>
      <w:r w:rsidR="003D1850" w:rsidRPr="003D1850">
        <w:t> </w:t>
      </w:r>
      <w:r w:rsidRPr="003D1850">
        <w:t>575/2013 transakcje</w:t>
      </w:r>
      <w:r w:rsidR="003D1850" w:rsidRPr="003D1850">
        <w:t xml:space="preserve"> z</w:t>
      </w:r>
      <w:r w:rsidR="003D1850">
        <w:t> </w:t>
      </w:r>
      <w:r w:rsidR="003D1850" w:rsidRPr="003D1850">
        <w:t>udz</w:t>
      </w:r>
      <w:r w:rsidRPr="003D1850">
        <w:t>ielonym przyrzeczeniem odkupu, transakcje udzielania lub zaciągania pożyczek papierów wartościowych lub towarów</w:t>
      </w:r>
      <w:r w:rsidR="003D1850" w:rsidRPr="003D1850">
        <w:t xml:space="preserve"> w</w:t>
      </w:r>
      <w:r w:rsidR="003D1850">
        <w:t> </w:t>
      </w:r>
      <w:r w:rsidR="003D1850" w:rsidRPr="003D1850">
        <w:t>poł</w:t>
      </w:r>
      <w:r w:rsidRPr="003D1850">
        <w:t>ączeniu</w:t>
      </w:r>
      <w:r w:rsidR="003D1850" w:rsidRPr="003D1850">
        <w:t xml:space="preserve"> z</w:t>
      </w:r>
      <w:r w:rsidR="003D1850">
        <w:t> </w:t>
      </w:r>
      <w:r w:rsidR="003D1850" w:rsidRPr="003D1850">
        <w:t>ins</w:t>
      </w:r>
      <w:r w:rsidRPr="003D1850">
        <w:t>trumentami dłużnymi, instrumenty kapitałowe, waluty obce</w:t>
      </w:r>
      <w:r w:rsidR="003D1850" w:rsidRPr="003D1850">
        <w:t xml:space="preserve"> i</w:t>
      </w:r>
      <w:r w:rsidR="003D1850">
        <w:t> </w:t>
      </w:r>
      <w:r w:rsidR="003D1850" w:rsidRPr="003D1850">
        <w:t>tow</w:t>
      </w:r>
      <w:r w:rsidRPr="003D1850">
        <w:t>ary nie są objęte wymogami</w:t>
      </w:r>
      <w:r w:rsidR="003D1850" w:rsidRPr="003D1850">
        <w:t xml:space="preserve"> w</w:t>
      </w:r>
      <w:r w:rsidR="003D1850">
        <w:t> </w:t>
      </w:r>
      <w:r w:rsidR="003D1850" w:rsidRPr="003D1850">
        <w:t>zak</w:t>
      </w:r>
      <w:r w:rsidRPr="003D1850">
        <w:t>resie funduszy własnych</w:t>
      </w:r>
      <w:r w:rsidR="003D1850" w:rsidRPr="003D1850">
        <w:t xml:space="preserve"> z</w:t>
      </w:r>
      <w:r w:rsidR="003D1850">
        <w:t> </w:t>
      </w:r>
      <w:r w:rsidR="003D1850" w:rsidRPr="003D1850">
        <w:t>tyt</w:t>
      </w:r>
      <w:r w:rsidRPr="003D1850">
        <w:t>ułu ryzyka rozliczenia/dostawy. Należy jednak zauważyć, że instrumenty pochodne</w:t>
      </w:r>
      <w:r w:rsidR="003D1850" w:rsidRPr="003D1850">
        <w:t xml:space="preserve"> i</w:t>
      </w:r>
      <w:r w:rsidR="003D1850">
        <w:t> </w:t>
      </w:r>
      <w:r w:rsidR="003D1850" w:rsidRPr="003D1850">
        <w:t>tra</w:t>
      </w:r>
      <w:r w:rsidRPr="003D1850">
        <w:t>nsakcje</w:t>
      </w:r>
      <w:r w:rsidR="003D1850" w:rsidRPr="003D1850">
        <w:t xml:space="preserve"> z</w:t>
      </w:r>
      <w:r w:rsidR="003D1850">
        <w:t> </w:t>
      </w:r>
      <w:r w:rsidR="003D1850" w:rsidRPr="003D1850">
        <w:t>dłu</w:t>
      </w:r>
      <w:r w:rsidRPr="003D1850">
        <w:t>gim terminem rozliczenia nierozliczone po ustalonych datach dostawy podlegają wymogom</w:t>
      </w:r>
      <w:r w:rsidR="003D1850" w:rsidRPr="003D1850">
        <w:t xml:space="preserve"> w</w:t>
      </w:r>
      <w:r w:rsidR="003D1850">
        <w:t> </w:t>
      </w:r>
      <w:r w:rsidR="003D1850" w:rsidRPr="003D1850">
        <w:t>zak</w:t>
      </w:r>
      <w:r w:rsidRPr="003D1850">
        <w:t>resie funduszy własnych</w:t>
      </w:r>
      <w:r w:rsidR="003D1850" w:rsidRPr="003D1850">
        <w:t xml:space="preserve"> z</w:t>
      </w:r>
      <w:r w:rsidR="003D1850">
        <w:t> </w:t>
      </w:r>
      <w:r w:rsidR="003D1850" w:rsidRPr="003D1850">
        <w:t>tyt</w:t>
      </w:r>
      <w:r w:rsidRPr="003D1850">
        <w:t>ułu ryzyka rozliczenia/dostawy zgodnie</w:t>
      </w:r>
      <w:r w:rsidR="003D1850" w:rsidRPr="003D1850">
        <w:t xml:space="preserve"> z</w:t>
      </w:r>
      <w:r w:rsidR="003D1850">
        <w:t> </w:t>
      </w:r>
      <w:r w:rsidR="003D1850" w:rsidRPr="003D1850">
        <w:t>art</w:t>
      </w:r>
      <w:r w:rsidRPr="003D1850">
        <w:t>. 378 rozporządzenia (UE) nr</w:t>
      </w:r>
      <w:r w:rsidR="003D1850" w:rsidRPr="003D1850">
        <w:t> </w:t>
      </w:r>
      <w:r w:rsidRPr="003D1850">
        <w:t>575/2013.</w:t>
      </w:r>
    </w:p>
    <w:p w14:paraId="4DCAF22E" w14:textId="13D98CFE" w:rsidR="00925646" w:rsidRPr="003D1850" w:rsidRDefault="00925646" w:rsidP="00925646">
      <w:pPr>
        <w:pStyle w:val="InstructionsText2"/>
        <w:numPr>
          <w:ilvl w:val="0"/>
          <w:numId w:val="0"/>
        </w:numPr>
        <w:ind w:left="993"/>
      </w:pPr>
      <w:r w:rsidRPr="003D1850">
        <w:fldChar w:fldCharType="begin"/>
      </w:r>
      <w:r w:rsidRPr="003D1850">
        <w:instrText>seq paragraphs</w:instrText>
      </w:r>
      <w:r w:rsidRPr="003D1850">
        <w:fldChar w:fldCharType="separate"/>
      </w:r>
      <w:r w:rsidRPr="003D1850">
        <w:t>102</w:t>
      </w:r>
      <w:r w:rsidRPr="003D1850">
        <w:fldChar w:fldCharType="end"/>
      </w:r>
      <w:r w:rsidRPr="003D1850">
        <w:t>.</w:t>
      </w:r>
      <w:r w:rsidRPr="003D1850">
        <w:tab/>
        <w:t>W przypadku transakcji nierozliczonych po ustalonych datach dostawy instytucje obliczają różnicę cenową mogącą stanowić ich stratę. Jest to różnica pomiędzy ustalonym kursem rozliczeniowym danego instrumentu dłużnego, instrumentu kapitałowego, waluty obcej lub towaru</w:t>
      </w:r>
      <w:r w:rsidR="003D1850" w:rsidRPr="003D1850">
        <w:t xml:space="preserve"> a</w:t>
      </w:r>
      <w:r w:rsidR="003D1850">
        <w:t> </w:t>
      </w:r>
      <w:r w:rsidR="003D1850" w:rsidRPr="003D1850">
        <w:t>obe</w:t>
      </w:r>
      <w:r w:rsidRPr="003D1850">
        <w:t xml:space="preserve">cną wartością rynkową, jeżeli ta różnica może oznaczać stratę dla instytucji. </w:t>
      </w:r>
    </w:p>
    <w:p w14:paraId="7DB9BE93" w14:textId="097680D5" w:rsidR="00925646" w:rsidRPr="003D1850" w:rsidRDefault="00925646" w:rsidP="00925646">
      <w:pPr>
        <w:pStyle w:val="InstructionsText2"/>
        <w:numPr>
          <w:ilvl w:val="0"/>
          <w:numId w:val="0"/>
        </w:numPr>
        <w:ind w:left="993"/>
      </w:pPr>
      <w:r w:rsidRPr="003D1850">
        <w:fldChar w:fldCharType="begin"/>
      </w:r>
      <w:r w:rsidRPr="003D1850">
        <w:instrText>seq paragraphs</w:instrText>
      </w:r>
      <w:r w:rsidRPr="003D1850">
        <w:fldChar w:fldCharType="separate"/>
      </w:r>
      <w:r w:rsidRPr="003D1850">
        <w:t>103</w:t>
      </w:r>
      <w:r w:rsidRPr="003D1850">
        <w:fldChar w:fldCharType="end"/>
      </w:r>
      <w:r w:rsidRPr="003D1850">
        <w:t>.</w:t>
      </w:r>
      <w:r w:rsidRPr="003D1850">
        <w:tab/>
        <w:t>Instytucje mnożą tę różnicę przez odpowiedni współczynnik</w:t>
      </w:r>
      <w:r w:rsidR="003D1850" w:rsidRPr="003D1850">
        <w:t xml:space="preserve"> z</w:t>
      </w:r>
      <w:r w:rsidR="003D1850">
        <w:t> </w:t>
      </w:r>
      <w:r w:rsidR="003D1850" w:rsidRPr="003D1850">
        <w:t>tab</w:t>
      </w:r>
      <w:r w:rsidRPr="003D1850">
        <w:t>eli 1 znajdującej się</w:t>
      </w:r>
      <w:r w:rsidR="003D1850" w:rsidRPr="003D1850">
        <w:t xml:space="preserve"> w</w:t>
      </w:r>
      <w:r w:rsidR="003D1850">
        <w:t> </w:t>
      </w:r>
      <w:r w:rsidR="003D1850" w:rsidRPr="003D1850">
        <w:t>art</w:t>
      </w:r>
      <w:r w:rsidRPr="003D1850">
        <w:t>. 378 rozporządzenia (UE) nr</w:t>
      </w:r>
      <w:r w:rsidR="003D1850" w:rsidRPr="003D1850">
        <w:t> </w:t>
      </w:r>
      <w:r w:rsidRPr="003D1850">
        <w:t>575/2013, aby określić odpowiadające jej wymogi</w:t>
      </w:r>
      <w:r w:rsidR="003D1850" w:rsidRPr="003D1850">
        <w:t xml:space="preserve"> w</w:t>
      </w:r>
      <w:r w:rsidR="003D1850">
        <w:t> </w:t>
      </w:r>
      <w:r w:rsidR="003D1850" w:rsidRPr="003D1850">
        <w:t>zak</w:t>
      </w:r>
      <w:r w:rsidRPr="003D1850">
        <w:t>resie funduszy własnych.</w:t>
      </w:r>
    </w:p>
    <w:p w14:paraId="59D114DF" w14:textId="56DF2947" w:rsidR="00925646" w:rsidRPr="003D1850" w:rsidRDefault="00925646" w:rsidP="00925646">
      <w:pPr>
        <w:pStyle w:val="InstructionsText2"/>
        <w:numPr>
          <w:ilvl w:val="0"/>
          <w:numId w:val="0"/>
        </w:numPr>
        <w:ind w:left="993"/>
      </w:pPr>
      <w:r w:rsidRPr="003D1850">
        <w:lastRenderedPageBreak/>
        <w:fldChar w:fldCharType="begin"/>
      </w:r>
      <w:r w:rsidRPr="003D1850">
        <w:instrText>seq paragraphs</w:instrText>
      </w:r>
      <w:r w:rsidRPr="003D1850">
        <w:fldChar w:fldCharType="separate"/>
      </w:r>
      <w:r w:rsidRPr="003D1850">
        <w:t>104</w:t>
      </w:r>
      <w:r w:rsidRPr="003D1850">
        <w:fldChar w:fldCharType="end"/>
      </w:r>
      <w:r w:rsidRPr="003D1850">
        <w:t>.</w:t>
      </w:r>
      <w:r w:rsidRPr="003D1850">
        <w:tab/>
        <w:t>Zgodnie</w:t>
      </w:r>
      <w:r w:rsidR="003D1850" w:rsidRPr="003D1850">
        <w:t xml:space="preserve"> z</w:t>
      </w:r>
      <w:r w:rsidR="003D1850">
        <w:t> </w:t>
      </w:r>
      <w:r w:rsidR="003D1850" w:rsidRPr="003D1850">
        <w:t>art</w:t>
      </w:r>
      <w:r w:rsidRPr="003D1850">
        <w:t>. 92 ust. 4 lit. b) rozporządzenia (UE) nr</w:t>
      </w:r>
      <w:r w:rsidR="003D1850" w:rsidRPr="003D1850">
        <w:t> </w:t>
      </w:r>
      <w:r w:rsidRPr="003D1850">
        <w:t>575/2013 wymogi</w:t>
      </w:r>
      <w:r w:rsidR="003D1850" w:rsidRPr="003D1850">
        <w:t xml:space="preserve"> w</w:t>
      </w:r>
      <w:r w:rsidR="003D1850">
        <w:t> </w:t>
      </w:r>
      <w:r w:rsidR="003D1850" w:rsidRPr="003D1850">
        <w:t>zak</w:t>
      </w:r>
      <w:r w:rsidRPr="003D1850">
        <w:t>resie funduszy własnych</w:t>
      </w:r>
      <w:r w:rsidR="003D1850" w:rsidRPr="003D1850">
        <w:t xml:space="preserve"> z</w:t>
      </w:r>
      <w:r w:rsidR="003D1850">
        <w:t> </w:t>
      </w:r>
      <w:r w:rsidR="003D1850" w:rsidRPr="003D1850">
        <w:t>tyt</w:t>
      </w:r>
      <w:r w:rsidRPr="003D1850">
        <w:t>ułu ryzyka rozliczenia/dostawy mnoży się przez 12,5, aby obliczyć kwotę ekspozycji na ryzyko.</w:t>
      </w:r>
    </w:p>
    <w:p w14:paraId="451A9870" w14:textId="0A3EDE38" w:rsidR="00925646" w:rsidRPr="003D1850" w:rsidRDefault="00925646" w:rsidP="00925646">
      <w:pPr>
        <w:pStyle w:val="InstructionsText2"/>
        <w:numPr>
          <w:ilvl w:val="0"/>
          <w:numId w:val="0"/>
        </w:numPr>
        <w:ind w:left="993"/>
      </w:pPr>
      <w:r w:rsidRPr="003D1850">
        <w:fldChar w:fldCharType="begin"/>
      </w:r>
      <w:r w:rsidRPr="003D1850">
        <w:instrText>seq paragraphs</w:instrText>
      </w:r>
      <w:r w:rsidRPr="003D1850">
        <w:fldChar w:fldCharType="separate"/>
      </w:r>
      <w:r w:rsidRPr="003D1850">
        <w:t>105</w:t>
      </w:r>
      <w:r w:rsidRPr="003D1850">
        <w:fldChar w:fldCharType="end"/>
      </w:r>
      <w:r w:rsidRPr="003D1850">
        <w:t>.</w:t>
      </w:r>
      <w:r w:rsidRPr="003D1850">
        <w:tab/>
        <w:t>Należy zauważyć, że wymogi</w:t>
      </w:r>
      <w:r w:rsidR="003D1850" w:rsidRPr="003D1850">
        <w:t xml:space="preserve"> w</w:t>
      </w:r>
      <w:r w:rsidR="003D1850">
        <w:t> </w:t>
      </w:r>
      <w:r w:rsidR="003D1850" w:rsidRPr="003D1850">
        <w:t>zak</w:t>
      </w:r>
      <w:r w:rsidRPr="003D1850">
        <w:t>resie funduszy własnych dla dostaw</w:t>
      </w:r>
      <w:r w:rsidR="003D1850" w:rsidRPr="003D1850">
        <w:t xml:space="preserve"> z</w:t>
      </w:r>
      <w:r w:rsidR="003D1850">
        <w:t> </w:t>
      </w:r>
      <w:r w:rsidR="003D1850" w:rsidRPr="003D1850">
        <w:t>póź</w:t>
      </w:r>
      <w:r w:rsidRPr="003D1850">
        <w:t>niejszym terminem rozliczenia określone</w:t>
      </w:r>
      <w:r w:rsidR="003D1850" w:rsidRPr="003D1850">
        <w:t xml:space="preserve"> w</w:t>
      </w:r>
      <w:r w:rsidR="003D1850">
        <w:t> </w:t>
      </w:r>
      <w:r w:rsidR="003D1850" w:rsidRPr="003D1850">
        <w:t>art</w:t>
      </w:r>
      <w:r w:rsidRPr="003D1850">
        <w:t>. 379 rozporządzenia (UE) nr</w:t>
      </w:r>
      <w:r w:rsidR="003D1850" w:rsidRPr="003D1850">
        <w:t> </w:t>
      </w:r>
      <w:r w:rsidRPr="003D1850">
        <w:t>575/2013 nie wchodzą</w:t>
      </w:r>
      <w:r w:rsidR="003D1850" w:rsidRPr="003D1850">
        <w:t xml:space="preserve"> w</w:t>
      </w:r>
      <w:r w:rsidR="003D1850">
        <w:t> </w:t>
      </w:r>
      <w:r w:rsidR="003D1850" w:rsidRPr="003D1850">
        <w:t>zak</w:t>
      </w:r>
      <w:r w:rsidRPr="003D1850">
        <w:t>res wzoru CR SETT. Te wymogi</w:t>
      </w:r>
      <w:r w:rsidR="003D1850" w:rsidRPr="003D1850">
        <w:t xml:space="preserve"> w</w:t>
      </w:r>
      <w:r w:rsidR="003D1850">
        <w:t> </w:t>
      </w:r>
      <w:r w:rsidR="003D1850" w:rsidRPr="003D1850">
        <w:t>zak</w:t>
      </w:r>
      <w:r w:rsidRPr="003D1850">
        <w:t>resie funduszy własnych zgłaszane są we wzorach dotyczących ryzyka kredytowego (CR SA, CR IRB).</w:t>
      </w:r>
    </w:p>
    <w:p w14:paraId="2856C9F8" w14:textId="77777777" w:rsidR="00925646" w:rsidRPr="003D1850"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sidRPr="003D1850">
        <w:rPr>
          <w:rFonts w:ascii="Times New Roman" w:hAnsi="Times New Roman"/>
          <w:sz w:val="24"/>
          <w:u w:val="none"/>
        </w:rPr>
        <w:t>3.6.2</w:t>
      </w:r>
      <w:r w:rsidRPr="003D1850">
        <w:tab/>
      </w:r>
      <w:r w:rsidRPr="003D1850">
        <w:rPr>
          <w:rFonts w:ascii="Times New Roman" w:hAnsi="Times New Roman"/>
          <w:sz w:val="24"/>
        </w:rPr>
        <w:t>Instrukcje dotyczące poszczególnych pozycji</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3D1850" w14:paraId="1C4B6209" w14:textId="77777777" w:rsidTr="00E07FE9">
        <w:tc>
          <w:tcPr>
            <w:tcW w:w="8856" w:type="dxa"/>
            <w:gridSpan w:val="2"/>
            <w:shd w:val="clear" w:color="auto" w:fill="CCCCCC"/>
          </w:tcPr>
          <w:p w14:paraId="248EFB4C" w14:textId="77777777" w:rsidR="00925646" w:rsidRPr="003D1850" w:rsidRDefault="00925646" w:rsidP="00E07FE9">
            <w:pPr>
              <w:spacing w:beforeLines="60" w:before="144" w:afterLines="60" w:after="144"/>
              <w:rPr>
                <w:rFonts w:ascii="Times New Roman" w:hAnsi="Times New Roman"/>
                <w:b/>
                <w:sz w:val="24"/>
              </w:rPr>
            </w:pPr>
            <w:r w:rsidRPr="003D1850">
              <w:rPr>
                <w:rFonts w:ascii="Times New Roman" w:hAnsi="Times New Roman"/>
                <w:b/>
                <w:sz w:val="24"/>
              </w:rPr>
              <w:t>Kolumny</w:t>
            </w:r>
          </w:p>
        </w:tc>
      </w:tr>
      <w:tr w:rsidR="00925646" w:rsidRPr="003D1850" w14:paraId="0C777B7A" w14:textId="77777777" w:rsidTr="00E07FE9">
        <w:tc>
          <w:tcPr>
            <w:tcW w:w="852" w:type="dxa"/>
          </w:tcPr>
          <w:p w14:paraId="12FCBB6E"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0010</w:t>
            </w:r>
          </w:p>
        </w:tc>
        <w:tc>
          <w:tcPr>
            <w:tcW w:w="8004" w:type="dxa"/>
          </w:tcPr>
          <w:p w14:paraId="04AF1B5E" w14:textId="77777777"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WEDŁUG KURSU ROZLICZENIOWEGO</w:t>
            </w:r>
          </w:p>
          <w:p w14:paraId="4CB9A5A9" w14:textId="74A5C2B1"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Instytucje zgłaszają transakcje nierozliczone po ustalonych datach dostawy według odpowiedniego ustalonego kursu rozliczeniowego 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 378 rozporządzenia (UE) nr</w:t>
            </w:r>
            <w:r w:rsidR="003D1850" w:rsidRPr="003D1850">
              <w:rPr>
                <w:rFonts w:ascii="Times New Roman" w:hAnsi="Times New Roman"/>
                <w:sz w:val="24"/>
              </w:rPr>
              <w:t> </w:t>
            </w:r>
            <w:r w:rsidRPr="003D1850">
              <w:rPr>
                <w:rFonts w:ascii="Times New Roman" w:hAnsi="Times New Roman"/>
                <w:sz w:val="24"/>
              </w:rPr>
              <w:t xml:space="preserve">575/2013. </w:t>
            </w:r>
          </w:p>
          <w:p w14:paraId="09152D4C"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W tej kolumnie uwzględnia się wszystkie transakcje nierozliczone, niezależnie od faktu, czy po terminie rozliczenia stanowią one zysk czy stratę.</w:t>
            </w:r>
          </w:p>
        </w:tc>
      </w:tr>
      <w:tr w:rsidR="00925646" w:rsidRPr="003D1850" w14:paraId="5FEA9B26" w14:textId="77777777" w:rsidTr="00E07FE9">
        <w:tc>
          <w:tcPr>
            <w:tcW w:w="852" w:type="dxa"/>
          </w:tcPr>
          <w:p w14:paraId="5EC8BA01"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0020</w:t>
            </w:r>
          </w:p>
        </w:tc>
        <w:tc>
          <w:tcPr>
            <w:tcW w:w="8004" w:type="dxa"/>
          </w:tcPr>
          <w:p w14:paraId="5594AB87" w14:textId="77777777"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EKSPOZYCJA ZWIĄZANA Z RÓŻNICĄ CENOWĄ WYNIKAJĄCA Z NIEROZLICZONYCH TRANSAKCJI</w:t>
            </w:r>
          </w:p>
          <w:p w14:paraId="43853ADA" w14:textId="2196942E"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 378 rozporządzenia (UE) nr</w:t>
            </w:r>
            <w:r w:rsidR="003D1850" w:rsidRPr="003D1850">
              <w:rPr>
                <w:rFonts w:ascii="Times New Roman" w:hAnsi="Times New Roman"/>
                <w:sz w:val="24"/>
              </w:rPr>
              <w:t> </w:t>
            </w:r>
            <w:r w:rsidRPr="003D1850">
              <w:rPr>
                <w:rFonts w:ascii="Times New Roman" w:hAnsi="Times New Roman"/>
                <w:sz w:val="24"/>
              </w:rPr>
              <w:t>575/2013 instytucje zgłaszają różnicę pomiędzy ustalonym kursem rozliczeniowym</w:t>
            </w:r>
            <w:r w:rsidR="003D1850" w:rsidRPr="003D1850">
              <w:rPr>
                <w:rFonts w:ascii="Times New Roman" w:hAnsi="Times New Roman"/>
                <w:sz w:val="24"/>
              </w:rPr>
              <w:t xml:space="preserve"> a</w:t>
            </w:r>
            <w:r w:rsidR="003D1850">
              <w:rPr>
                <w:rFonts w:ascii="Times New Roman" w:hAnsi="Times New Roman"/>
                <w:sz w:val="24"/>
              </w:rPr>
              <w:t> </w:t>
            </w:r>
            <w:r w:rsidR="003D1850" w:rsidRPr="003D1850">
              <w:rPr>
                <w:rFonts w:ascii="Times New Roman" w:hAnsi="Times New Roman"/>
                <w:sz w:val="24"/>
              </w:rPr>
              <w:t>bie</w:t>
            </w:r>
            <w:r w:rsidRPr="003D1850">
              <w:rPr>
                <w:rFonts w:ascii="Times New Roman" w:hAnsi="Times New Roman"/>
                <w:sz w:val="24"/>
              </w:rPr>
              <w:t xml:space="preserve">żącą wartością rynkową danego instrumentu dłużnego, instrumentu kapitałowego, waluty obcej lub towaru, jeżeli ta różnica może oznaczać stratę dla instytucji. </w:t>
            </w:r>
          </w:p>
          <w:p w14:paraId="692F8ABE"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W tej kolumnie zgłasza się wyłącznie nierozliczone transakcje oznaczające stratę po terminie rozliczenia.</w:t>
            </w:r>
          </w:p>
        </w:tc>
      </w:tr>
      <w:tr w:rsidR="00925646" w:rsidRPr="003D1850" w14:paraId="40F087AE" w14:textId="77777777" w:rsidTr="00E07FE9">
        <w:tc>
          <w:tcPr>
            <w:tcW w:w="852" w:type="dxa"/>
          </w:tcPr>
          <w:p w14:paraId="464EF1DF"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0030</w:t>
            </w:r>
          </w:p>
        </w:tc>
        <w:tc>
          <w:tcPr>
            <w:tcW w:w="8004" w:type="dxa"/>
          </w:tcPr>
          <w:p w14:paraId="5DA1D585" w14:textId="77777777"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WYMOGI W ZAKRESIE FUNDUSZY WŁASNYCH</w:t>
            </w:r>
          </w:p>
          <w:p w14:paraId="24894388" w14:textId="58F4A7DC"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Instytucje zgłaszają wymogi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 obliczone 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 378 rozporządzenia (UE) nr</w:t>
            </w:r>
            <w:r w:rsidR="003D1850" w:rsidRPr="003D1850">
              <w:rPr>
                <w:rFonts w:ascii="Times New Roman" w:hAnsi="Times New Roman"/>
                <w:sz w:val="24"/>
              </w:rPr>
              <w:t> </w:t>
            </w:r>
            <w:r w:rsidRPr="003D1850">
              <w:rPr>
                <w:rFonts w:ascii="Times New Roman" w:hAnsi="Times New Roman"/>
                <w:sz w:val="24"/>
              </w:rPr>
              <w:t>575/2013.</w:t>
            </w:r>
          </w:p>
        </w:tc>
      </w:tr>
      <w:tr w:rsidR="00925646" w:rsidRPr="003D1850" w14:paraId="185C6E1B" w14:textId="77777777" w:rsidTr="00E07FE9">
        <w:tc>
          <w:tcPr>
            <w:tcW w:w="852" w:type="dxa"/>
          </w:tcPr>
          <w:p w14:paraId="6691FECB"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0040</w:t>
            </w:r>
          </w:p>
        </w:tc>
        <w:tc>
          <w:tcPr>
            <w:tcW w:w="8004" w:type="dxa"/>
          </w:tcPr>
          <w:p w14:paraId="09E890C2" w14:textId="77777777"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CAŁKOWITA KWOTA EKSPOZYCJI NA RYZYKO ROZLICZENIA</w:t>
            </w:r>
          </w:p>
          <w:p w14:paraId="3A06223E" w14:textId="78B47FF4"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 92 ust. 4 lit. b) rozporządzenia (UE) nr</w:t>
            </w:r>
            <w:r w:rsidR="003D1850" w:rsidRPr="003D1850">
              <w:rPr>
                <w:rFonts w:ascii="Times New Roman" w:hAnsi="Times New Roman"/>
                <w:sz w:val="24"/>
              </w:rPr>
              <w:t> </w:t>
            </w:r>
            <w:r w:rsidRPr="003D1850">
              <w:rPr>
                <w:rFonts w:ascii="Times New Roman" w:hAnsi="Times New Roman"/>
                <w:sz w:val="24"/>
              </w:rPr>
              <w:t>575/2013 instytucje mnożą wymogi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 zgłoszone</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kol</w:t>
            </w:r>
            <w:r w:rsidRPr="003D1850">
              <w:rPr>
                <w:rFonts w:ascii="Times New Roman" w:hAnsi="Times New Roman"/>
                <w:sz w:val="24"/>
              </w:rPr>
              <w:t>umnie 0030 przez 12,5, aby uzyskać kwotę ekspozycji na ryzyko rozliczenia.</w:t>
            </w:r>
          </w:p>
        </w:tc>
      </w:tr>
    </w:tbl>
    <w:p w14:paraId="2CF8C386" w14:textId="77777777" w:rsidR="00925646" w:rsidRPr="003D1850"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3D1850" w14:paraId="49AB5F6A" w14:textId="77777777" w:rsidTr="00E07FE9">
        <w:tc>
          <w:tcPr>
            <w:tcW w:w="8862" w:type="dxa"/>
            <w:gridSpan w:val="2"/>
            <w:shd w:val="clear" w:color="auto" w:fill="CCCCCC"/>
          </w:tcPr>
          <w:p w14:paraId="5E71AA9E" w14:textId="77777777" w:rsidR="00925646" w:rsidRPr="003D1850" w:rsidRDefault="00925646" w:rsidP="00E07FE9">
            <w:pPr>
              <w:spacing w:beforeLines="60" w:before="144" w:afterLines="60" w:after="144"/>
              <w:rPr>
                <w:rFonts w:ascii="Times New Roman" w:hAnsi="Times New Roman"/>
                <w:b/>
                <w:sz w:val="24"/>
              </w:rPr>
            </w:pPr>
            <w:r w:rsidRPr="003D1850">
              <w:rPr>
                <w:rFonts w:ascii="Times New Roman" w:hAnsi="Times New Roman"/>
                <w:b/>
                <w:sz w:val="24"/>
              </w:rPr>
              <w:t>Wiersze</w:t>
            </w:r>
          </w:p>
        </w:tc>
      </w:tr>
      <w:tr w:rsidR="00925646" w:rsidRPr="003D1850" w14:paraId="6E36F3A5" w14:textId="77777777" w:rsidTr="00E07FE9">
        <w:tc>
          <w:tcPr>
            <w:tcW w:w="852" w:type="dxa"/>
          </w:tcPr>
          <w:p w14:paraId="4E78548D"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0010</w:t>
            </w:r>
          </w:p>
        </w:tc>
        <w:tc>
          <w:tcPr>
            <w:tcW w:w="8010" w:type="dxa"/>
          </w:tcPr>
          <w:p w14:paraId="79508667" w14:textId="5698080E"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w:t>
            </w:r>
            <w:r w:rsidR="003D1850" w:rsidRPr="003D1850">
              <w:rPr>
                <w:rStyle w:val="InstructionsTabelleberschrift"/>
                <w:rFonts w:ascii="Times New Roman" w:hAnsi="Times New Roman"/>
                <w:sz w:val="24"/>
              </w:rPr>
              <w:t xml:space="preserve"> w</w:t>
            </w:r>
            <w:r w:rsidR="003D1850">
              <w:rPr>
                <w:rStyle w:val="InstructionsTabelleberschrift"/>
                <w:rFonts w:ascii="Times New Roman" w:hAnsi="Times New Roman"/>
                <w:sz w:val="24"/>
              </w:rPr>
              <w:t> </w:t>
            </w:r>
            <w:r w:rsidR="003D1850" w:rsidRPr="003D1850">
              <w:rPr>
                <w:rStyle w:val="InstructionsTabelleberschrift"/>
                <w:rFonts w:ascii="Times New Roman" w:hAnsi="Times New Roman"/>
                <w:sz w:val="24"/>
              </w:rPr>
              <w:t>por</w:t>
            </w:r>
            <w:r w:rsidRPr="003D1850">
              <w:rPr>
                <w:rStyle w:val="InstructionsTabelleberschrift"/>
                <w:rFonts w:ascii="Times New Roman" w:hAnsi="Times New Roman"/>
                <w:sz w:val="24"/>
              </w:rPr>
              <w:t>tfelu bankowym razem</w:t>
            </w:r>
          </w:p>
          <w:p w14:paraId="21410DD0" w14:textId="728F82C1"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lastRenderedPageBreak/>
              <w:t>Instytucje zgłaszają zagregowane informacje dotyczące ryzyka rozliczenia/dostawy dla pozycji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por</w:t>
            </w:r>
            <w:r w:rsidRPr="003D1850">
              <w:rPr>
                <w:rFonts w:ascii="Times New Roman" w:hAnsi="Times New Roman"/>
                <w:sz w:val="24"/>
              </w:rPr>
              <w:t>tfelu bankowym (zgodnie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 92 ust. 4 lit. ca) oraz art. 378 rozporządzenia (UE) nr</w:t>
            </w:r>
            <w:r w:rsidR="003D1850" w:rsidRPr="003D1850">
              <w:rPr>
                <w:rFonts w:ascii="Times New Roman" w:hAnsi="Times New Roman"/>
                <w:sz w:val="24"/>
              </w:rPr>
              <w:t> </w:t>
            </w:r>
            <w:r w:rsidRPr="003D1850">
              <w:rPr>
                <w:rFonts w:ascii="Times New Roman" w:hAnsi="Times New Roman"/>
                <w:sz w:val="24"/>
              </w:rPr>
              <w:t>575/2013).</w:t>
            </w:r>
          </w:p>
          <w:p w14:paraId="57BBA9B8" w14:textId="77777777" w:rsidR="00925646" w:rsidRPr="003D1850" w:rsidRDefault="00925646" w:rsidP="00E07FE9">
            <w:pPr>
              <w:spacing w:beforeLines="60" w:before="144"/>
              <w:rPr>
                <w:rFonts w:ascii="Times New Roman" w:hAnsi="Times New Roman"/>
                <w:sz w:val="24"/>
              </w:rPr>
            </w:pPr>
            <w:r w:rsidRPr="003D1850">
              <w:rPr>
                <w:rFonts w:ascii="Times New Roman" w:hAnsi="Times New Roman"/>
                <w:sz w:val="24"/>
              </w:rPr>
              <w:t>Instytucje zgłaszają w {r</w:t>
            </w:r>
            <w:proofErr w:type="gramStart"/>
            <w:r w:rsidRPr="003D1850">
              <w:rPr>
                <w:rFonts w:ascii="Times New Roman" w:hAnsi="Times New Roman"/>
                <w:sz w:val="24"/>
              </w:rPr>
              <w:t>0010;c</w:t>
            </w:r>
            <w:proofErr w:type="gramEnd"/>
            <w:r w:rsidRPr="003D1850">
              <w:rPr>
                <w:rFonts w:ascii="Times New Roman" w:hAnsi="Times New Roman"/>
                <w:sz w:val="24"/>
              </w:rPr>
              <w:t>0010} zagregowaną sumę transakcji nierozliczonych po ustalonych datach dostawy według odpowiedniego ustalonego kursu rozliczeniowego.</w:t>
            </w:r>
          </w:p>
          <w:p w14:paraId="556AEAC8" w14:textId="0B21C0DA" w:rsidR="00925646" w:rsidRPr="003D1850" w:rsidRDefault="00925646" w:rsidP="00E07FE9">
            <w:pPr>
              <w:spacing w:beforeLines="60" w:before="144"/>
              <w:rPr>
                <w:rFonts w:ascii="Times New Roman" w:hAnsi="Times New Roman"/>
                <w:sz w:val="24"/>
              </w:rPr>
            </w:pPr>
            <w:r w:rsidRPr="003D1850">
              <w:rPr>
                <w:rFonts w:ascii="Times New Roman" w:hAnsi="Times New Roman"/>
                <w:sz w:val="24"/>
              </w:rPr>
              <w:t>Instytucje zgłaszają w {r</w:t>
            </w:r>
            <w:proofErr w:type="gramStart"/>
            <w:r w:rsidRPr="003D1850">
              <w:rPr>
                <w:rFonts w:ascii="Times New Roman" w:hAnsi="Times New Roman"/>
                <w:sz w:val="24"/>
              </w:rPr>
              <w:t>0010;c</w:t>
            </w:r>
            <w:proofErr w:type="gramEnd"/>
            <w:r w:rsidRPr="003D1850">
              <w:rPr>
                <w:rFonts w:ascii="Times New Roman" w:hAnsi="Times New Roman"/>
                <w:sz w:val="24"/>
              </w:rPr>
              <w:t>0020} zagregowane informacje dotyczące ekspozycji związanej</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róż</w:t>
            </w:r>
            <w:r w:rsidRPr="003D1850">
              <w:rPr>
                <w:rFonts w:ascii="Times New Roman" w:hAnsi="Times New Roman"/>
                <w:sz w:val="24"/>
              </w:rPr>
              <w:t>nicą cenową wynikającą</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nie</w:t>
            </w:r>
            <w:r w:rsidRPr="003D1850">
              <w:rPr>
                <w:rFonts w:ascii="Times New Roman" w:hAnsi="Times New Roman"/>
                <w:sz w:val="24"/>
              </w:rPr>
              <w:t>rozliczonych transakcji oznaczającą stratę.</w:t>
            </w:r>
          </w:p>
          <w:p w14:paraId="01BDECED" w14:textId="02C16F0F"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Instytucje zgłaszają w {r</w:t>
            </w:r>
            <w:proofErr w:type="gramStart"/>
            <w:r w:rsidRPr="003D1850">
              <w:rPr>
                <w:rFonts w:ascii="Times New Roman" w:hAnsi="Times New Roman"/>
                <w:sz w:val="24"/>
              </w:rPr>
              <w:t>0010;c</w:t>
            </w:r>
            <w:proofErr w:type="gramEnd"/>
            <w:r w:rsidRPr="003D1850">
              <w:rPr>
                <w:rFonts w:ascii="Times New Roman" w:hAnsi="Times New Roman"/>
                <w:sz w:val="24"/>
              </w:rPr>
              <w:t>0030} zagregowane wymogi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 uzyskane po zsumowaniu wymogów</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 dla nierozliczonych transakcji poprzez pomnożenie „różnicy cenowej” zgłoszonej</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kol</w:t>
            </w:r>
            <w:r w:rsidRPr="003D1850">
              <w:rPr>
                <w:rFonts w:ascii="Times New Roman" w:hAnsi="Times New Roman"/>
                <w:sz w:val="24"/>
              </w:rPr>
              <w:t>umnie 0020 przez odpowiedni współczynnik</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opa</w:t>
            </w:r>
            <w:r w:rsidRPr="003D1850">
              <w:rPr>
                <w:rFonts w:ascii="Times New Roman" w:hAnsi="Times New Roman"/>
                <w:sz w:val="24"/>
              </w:rPr>
              <w:t>rciu</w:t>
            </w:r>
            <w:r w:rsidR="003D1850" w:rsidRPr="003D1850">
              <w:rPr>
                <w:rFonts w:ascii="Times New Roman" w:hAnsi="Times New Roman"/>
                <w:sz w:val="24"/>
              </w:rPr>
              <w:t xml:space="preserve"> o</w:t>
            </w:r>
            <w:r w:rsidR="003D1850">
              <w:rPr>
                <w:rFonts w:ascii="Times New Roman" w:hAnsi="Times New Roman"/>
                <w:sz w:val="24"/>
              </w:rPr>
              <w:t> </w:t>
            </w:r>
            <w:r w:rsidR="003D1850" w:rsidRPr="003D1850">
              <w:rPr>
                <w:rFonts w:ascii="Times New Roman" w:hAnsi="Times New Roman"/>
                <w:sz w:val="24"/>
              </w:rPr>
              <w:t>lic</w:t>
            </w:r>
            <w:r w:rsidRPr="003D1850">
              <w:rPr>
                <w:rFonts w:ascii="Times New Roman" w:hAnsi="Times New Roman"/>
                <w:sz w:val="24"/>
              </w:rPr>
              <w:t>zbę dni roboczych po terminie rozliczenia (kategorie,</w:t>
            </w:r>
            <w:r w:rsidR="003D1850" w:rsidRPr="003D1850">
              <w:rPr>
                <w:rFonts w:ascii="Times New Roman" w:hAnsi="Times New Roman"/>
                <w:sz w:val="24"/>
              </w:rPr>
              <w:t xml:space="preserve"> o</w:t>
            </w:r>
            <w:r w:rsidR="003D1850">
              <w:rPr>
                <w:rFonts w:ascii="Times New Roman" w:hAnsi="Times New Roman"/>
                <w:sz w:val="24"/>
              </w:rPr>
              <w:t> </w:t>
            </w:r>
            <w:r w:rsidR="003D1850" w:rsidRPr="003D1850">
              <w:rPr>
                <w:rFonts w:ascii="Times New Roman" w:hAnsi="Times New Roman"/>
                <w:sz w:val="24"/>
              </w:rPr>
              <w:t>któ</w:t>
            </w:r>
            <w:r w:rsidRPr="003D1850">
              <w:rPr>
                <w:rFonts w:ascii="Times New Roman" w:hAnsi="Times New Roman"/>
                <w:sz w:val="24"/>
              </w:rPr>
              <w:t>rych mowa</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tab</w:t>
            </w:r>
            <w:r w:rsidRPr="003D1850">
              <w:rPr>
                <w:rFonts w:ascii="Times New Roman" w:hAnsi="Times New Roman"/>
                <w:sz w:val="24"/>
              </w:rPr>
              <w:t>eli 1</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w:t>
            </w:r>
            <w:r w:rsidR="003D1850" w:rsidRPr="003D1850">
              <w:rPr>
                <w:rFonts w:ascii="Times New Roman" w:hAnsi="Times New Roman"/>
                <w:sz w:val="24"/>
              </w:rPr>
              <w:t> </w:t>
            </w:r>
            <w:r w:rsidRPr="003D1850">
              <w:rPr>
                <w:rFonts w:ascii="Times New Roman" w:hAnsi="Times New Roman"/>
                <w:sz w:val="24"/>
              </w:rPr>
              <w:t>378 rozporządzenia (UE) nr</w:t>
            </w:r>
            <w:r w:rsidR="003D1850" w:rsidRPr="003D1850">
              <w:rPr>
                <w:rFonts w:ascii="Times New Roman" w:hAnsi="Times New Roman"/>
                <w:sz w:val="24"/>
              </w:rPr>
              <w:t> </w:t>
            </w:r>
            <w:r w:rsidRPr="003D1850">
              <w:rPr>
                <w:rFonts w:ascii="Times New Roman" w:hAnsi="Times New Roman"/>
                <w:sz w:val="24"/>
              </w:rPr>
              <w:t>575/2013).</w:t>
            </w:r>
          </w:p>
        </w:tc>
      </w:tr>
      <w:tr w:rsidR="00925646" w:rsidRPr="003D1850" w14:paraId="5C9B2254" w14:textId="77777777" w:rsidTr="00E07FE9">
        <w:tc>
          <w:tcPr>
            <w:tcW w:w="852" w:type="dxa"/>
          </w:tcPr>
          <w:p w14:paraId="4D2DFFF2"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lastRenderedPageBreak/>
              <w:t>0020-0060</w:t>
            </w:r>
          </w:p>
        </w:tc>
        <w:tc>
          <w:tcPr>
            <w:tcW w:w="8010" w:type="dxa"/>
          </w:tcPr>
          <w:p w14:paraId="78C0D32F" w14:textId="68CBECA9"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maksymalnie 4 dni (współczynnik 0</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 xml:space="preserve">%) </w:t>
            </w:r>
          </w:p>
          <w:p w14:paraId="18729DF9" w14:textId="4E1FF286"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od</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5 do</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15 dni (współczynnik 8</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00232284" w14:textId="77A00EAB"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od</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16 do</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30 dni (współczynnik 50</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5EEFD940" w14:textId="6667746D"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od</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31 do</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45 dni (współczynnik 75</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326E480A" w14:textId="2B922554"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46 dni</w:t>
            </w:r>
            <w:r w:rsidR="003D1850" w:rsidRPr="003D1850">
              <w:rPr>
                <w:rStyle w:val="InstructionsTabelleberschrift"/>
                <w:rFonts w:ascii="Times New Roman" w:hAnsi="Times New Roman"/>
                <w:sz w:val="24"/>
              </w:rPr>
              <w:t xml:space="preserve"> i</w:t>
            </w:r>
            <w:r w:rsidR="003D1850">
              <w:rPr>
                <w:rStyle w:val="InstructionsTabelleberschrift"/>
                <w:rFonts w:ascii="Times New Roman" w:hAnsi="Times New Roman"/>
                <w:sz w:val="24"/>
              </w:rPr>
              <w:t> </w:t>
            </w:r>
            <w:r w:rsidR="003D1850" w:rsidRPr="003D1850">
              <w:rPr>
                <w:rStyle w:val="InstructionsTabelleberschrift"/>
                <w:rFonts w:ascii="Times New Roman" w:hAnsi="Times New Roman"/>
                <w:sz w:val="24"/>
              </w:rPr>
              <w:t>wię</w:t>
            </w:r>
            <w:r w:rsidRPr="003D1850">
              <w:rPr>
                <w:rStyle w:val="InstructionsTabelleberschrift"/>
                <w:rFonts w:ascii="Times New Roman" w:hAnsi="Times New Roman"/>
                <w:sz w:val="24"/>
              </w:rPr>
              <w:t>cej (współczynnik 100</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4BCE7D0D" w14:textId="23966456"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W wierszach 0020–0060 instytucje zgłaszają informacje dotyczące ryzyka rozliczenia/dostawy dla pozycji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por</w:t>
            </w:r>
            <w:r w:rsidRPr="003D1850">
              <w:rPr>
                <w:rFonts w:ascii="Times New Roman" w:hAnsi="Times New Roman"/>
                <w:sz w:val="24"/>
              </w:rPr>
              <w:t>tfelu bankowym 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kat</w:t>
            </w:r>
            <w:r w:rsidRPr="003D1850">
              <w:rPr>
                <w:rFonts w:ascii="Times New Roman" w:hAnsi="Times New Roman"/>
                <w:sz w:val="24"/>
              </w:rPr>
              <w:t>egoriami,</w:t>
            </w:r>
            <w:r w:rsidR="003D1850" w:rsidRPr="003D1850">
              <w:rPr>
                <w:rFonts w:ascii="Times New Roman" w:hAnsi="Times New Roman"/>
                <w:sz w:val="24"/>
              </w:rPr>
              <w:t xml:space="preserve"> o</w:t>
            </w:r>
            <w:r w:rsidR="003D1850">
              <w:rPr>
                <w:rFonts w:ascii="Times New Roman" w:hAnsi="Times New Roman"/>
                <w:sz w:val="24"/>
              </w:rPr>
              <w:t> </w:t>
            </w:r>
            <w:r w:rsidR="003D1850" w:rsidRPr="003D1850">
              <w:rPr>
                <w:rFonts w:ascii="Times New Roman" w:hAnsi="Times New Roman"/>
                <w:sz w:val="24"/>
              </w:rPr>
              <w:t>któ</w:t>
            </w:r>
            <w:r w:rsidRPr="003D1850">
              <w:rPr>
                <w:rFonts w:ascii="Times New Roman" w:hAnsi="Times New Roman"/>
                <w:sz w:val="24"/>
              </w:rPr>
              <w:t>rych mowa</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tab</w:t>
            </w:r>
            <w:r w:rsidRPr="003D1850">
              <w:rPr>
                <w:rFonts w:ascii="Times New Roman" w:hAnsi="Times New Roman"/>
                <w:sz w:val="24"/>
              </w:rPr>
              <w:t>eli 1 w art. 378 rozporządzenia (UE) nr</w:t>
            </w:r>
            <w:r w:rsidR="003D1850" w:rsidRPr="003D1850">
              <w:rPr>
                <w:rFonts w:ascii="Times New Roman" w:hAnsi="Times New Roman"/>
                <w:sz w:val="24"/>
              </w:rPr>
              <w:t> </w:t>
            </w:r>
            <w:r w:rsidRPr="003D1850">
              <w:rPr>
                <w:rFonts w:ascii="Times New Roman" w:hAnsi="Times New Roman"/>
                <w:sz w:val="24"/>
              </w:rPr>
              <w:t xml:space="preserve">575/2013. </w:t>
            </w:r>
          </w:p>
          <w:p w14:paraId="4BA03842" w14:textId="7B5428C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W przypadku gdy od terminu rozliczenia minęło mniej niż 5 dni roboczych, nie ma wymogów</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odn</w:t>
            </w:r>
            <w:r w:rsidRPr="003D1850">
              <w:rPr>
                <w:rFonts w:ascii="Times New Roman" w:hAnsi="Times New Roman"/>
                <w:sz w:val="24"/>
              </w:rPr>
              <w:t>iesieniu do ryzyka rozliczenia/dostawy.</w:t>
            </w:r>
          </w:p>
        </w:tc>
      </w:tr>
      <w:tr w:rsidR="00925646" w:rsidRPr="003D1850" w14:paraId="271E44B6" w14:textId="77777777" w:rsidTr="00E07FE9">
        <w:tc>
          <w:tcPr>
            <w:tcW w:w="852" w:type="dxa"/>
          </w:tcPr>
          <w:p w14:paraId="4680CF00"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0070</w:t>
            </w:r>
          </w:p>
        </w:tc>
        <w:tc>
          <w:tcPr>
            <w:tcW w:w="8010" w:type="dxa"/>
          </w:tcPr>
          <w:p w14:paraId="56920EB6" w14:textId="199DEA35"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w:t>
            </w:r>
            <w:r w:rsidR="003D1850" w:rsidRPr="003D1850">
              <w:rPr>
                <w:rStyle w:val="InstructionsTabelleberschrift"/>
                <w:rFonts w:ascii="Times New Roman" w:hAnsi="Times New Roman"/>
                <w:sz w:val="24"/>
              </w:rPr>
              <w:t xml:space="preserve"> w</w:t>
            </w:r>
            <w:r w:rsidR="003D1850">
              <w:rPr>
                <w:rStyle w:val="InstructionsTabelleberschrift"/>
                <w:rFonts w:ascii="Times New Roman" w:hAnsi="Times New Roman"/>
                <w:sz w:val="24"/>
              </w:rPr>
              <w:t> </w:t>
            </w:r>
            <w:r w:rsidR="003D1850" w:rsidRPr="003D1850">
              <w:rPr>
                <w:rStyle w:val="InstructionsTabelleberschrift"/>
                <w:rFonts w:ascii="Times New Roman" w:hAnsi="Times New Roman"/>
                <w:sz w:val="24"/>
              </w:rPr>
              <w:t>por</w:t>
            </w:r>
            <w:r w:rsidRPr="003D1850">
              <w:rPr>
                <w:rStyle w:val="InstructionsTabelleberschrift"/>
                <w:rFonts w:ascii="Times New Roman" w:hAnsi="Times New Roman"/>
                <w:sz w:val="24"/>
              </w:rPr>
              <w:t>tfelu handlowym razem</w:t>
            </w:r>
          </w:p>
          <w:p w14:paraId="3C4B428B" w14:textId="581BD0D3"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Instytucje zgłaszają zagregowane informacje dotyczące ryzyka rozliczenia/dostawy dla pozycji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por</w:t>
            </w:r>
            <w:r w:rsidRPr="003D1850">
              <w:rPr>
                <w:rFonts w:ascii="Times New Roman" w:hAnsi="Times New Roman"/>
                <w:sz w:val="24"/>
              </w:rPr>
              <w:t>tfelu handlowym (zgodnie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 92 ust.</w:t>
            </w:r>
            <w:r w:rsidR="003D1850" w:rsidRPr="003D1850">
              <w:rPr>
                <w:rFonts w:ascii="Times New Roman" w:hAnsi="Times New Roman"/>
                <w:sz w:val="24"/>
              </w:rPr>
              <w:t> </w:t>
            </w:r>
            <w:r w:rsidRPr="003D1850">
              <w:rPr>
                <w:rFonts w:ascii="Times New Roman" w:hAnsi="Times New Roman"/>
                <w:sz w:val="24"/>
              </w:rPr>
              <w:t>4 lit. ca) oraz art. 378 rozporządzenia (UE) nr</w:t>
            </w:r>
            <w:r w:rsidR="003D1850" w:rsidRPr="003D1850">
              <w:rPr>
                <w:rFonts w:ascii="Times New Roman" w:hAnsi="Times New Roman"/>
                <w:sz w:val="24"/>
              </w:rPr>
              <w:t> </w:t>
            </w:r>
            <w:r w:rsidRPr="003D1850">
              <w:rPr>
                <w:rFonts w:ascii="Times New Roman" w:hAnsi="Times New Roman"/>
                <w:sz w:val="24"/>
              </w:rPr>
              <w:t>575/2013).</w:t>
            </w:r>
          </w:p>
          <w:p w14:paraId="2E44B3F3" w14:textId="6942F7F9"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Instytucje zgłaszają</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wie</w:t>
            </w:r>
            <w:r w:rsidRPr="003D1850">
              <w:rPr>
                <w:rFonts w:ascii="Times New Roman" w:hAnsi="Times New Roman"/>
                <w:sz w:val="24"/>
              </w:rPr>
              <w:t>rszu {r</w:t>
            </w:r>
            <w:proofErr w:type="gramStart"/>
            <w:r w:rsidRPr="003D1850">
              <w:rPr>
                <w:rFonts w:ascii="Times New Roman" w:hAnsi="Times New Roman"/>
                <w:sz w:val="24"/>
              </w:rPr>
              <w:t>0070;c</w:t>
            </w:r>
            <w:proofErr w:type="gramEnd"/>
            <w:r w:rsidRPr="003D1850">
              <w:rPr>
                <w:rFonts w:ascii="Times New Roman" w:hAnsi="Times New Roman"/>
                <w:sz w:val="24"/>
              </w:rPr>
              <w:t>0010} zagregowaną sumę transakcji nierozliczonych po ustalonych datach dostawy według odpowiedniego ustalonego kursu rozliczeniowego.</w:t>
            </w:r>
          </w:p>
          <w:p w14:paraId="1CB848DF" w14:textId="3A600754"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Instytucje zgłaszają w {r</w:t>
            </w:r>
            <w:proofErr w:type="gramStart"/>
            <w:r w:rsidRPr="003D1850">
              <w:rPr>
                <w:rFonts w:ascii="Times New Roman" w:hAnsi="Times New Roman"/>
                <w:sz w:val="24"/>
              </w:rPr>
              <w:t>0070;c</w:t>
            </w:r>
            <w:proofErr w:type="gramEnd"/>
            <w:r w:rsidRPr="003D1850">
              <w:rPr>
                <w:rFonts w:ascii="Times New Roman" w:hAnsi="Times New Roman"/>
                <w:sz w:val="24"/>
              </w:rPr>
              <w:t>0020} zagregowane informacje dotyczące ekspozycji związanej</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róż</w:t>
            </w:r>
            <w:r w:rsidRPr="003D1850">
              <w:rPr>
                <w:rFonts w:ascii="Times New Roman" w:hAnsi="Times New Roman"/>
                <w:sz w:val="24"/>
              </w:rPr>
              <w:t>nicą cenową wynikającą</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nie</w:t>
            </w:r>
            <w:r w:rsidRPr="003D1850">
              <w:rPr>
                <w:rFonts w:ascii="Times New Roman" w:hAnsi="Times New Roman"/>
                <w:sz w:val="24"/>
              </w:rPr>
              <w:t>rozliczonych transakcji oznaczającą stratę.</w:t>
            </w:r>
          </w:p>
          <w:p w14:paraId="64D05373" w14:textId="666F9F52" w:rsidR="00925646" w:rsidRPr="003D1850" w:rsidRDefault="00925646" w:rsidP="00E07FE9">
            <w:pPr>
              <w:spacing w:beforeLines="60" w:before="144" w:afterLines="60" w:after="144"/>
              <w:rPr>
                <w:rFonts w:ascii="Times New Roman" w:hAnsi="Times New Roman"/>
                <w:b/>
                <w:sz w:val="24"/>
              </w:rPr>
            </w:pPr>
            <w:r w:rsidRPr="003D1850">
              <w:rPr>
                <w:rFonts w:ascii="Times New Roman" w:hAnsi="Times New Roman"/>
                <w:sz w:val="24"/>
              </w:rPr>
              <w:t>Instytucje zgłaszają w {r</w:t>
            </w:r>
            <w:proofErr w:type="gramStart"/>
            <w:r w:rsidRPr="003D1850">
              <w:rPr>
                <w:rFonts w:ascii="Times New Roman" w:hAnsi="Times New Roman"/>
                <w:sz w:val="24"/>
              </w:rPr>
              <w:t>0070;c</w:t>
            </w:r>
            <w:proofErr w:type="gramEnd"/>
            <w:r w:rsidRPr="003D1850">
              <w:rPr>
                <w:rFonts w:ascii="Times New Roman" w:hAnsi="Times New Roman"/>
                <w:sz w:val="24"/>
              </w:rPr>
              <w:t>0030} zagregowane wymogi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 uzyskane po zsumowaniu wymogów</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 dla nierozliczonych transakcji poprzez pomnożenie „różnicy cenowej” zgłoszonej</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kol</w:t>
            </w:r>
            <w:r w:rsidRPr="003D1850">
              <w:rPr>
                <w:rFonts w:ascii="Times New Roman" w:hAnsi="Times New Roman"/>
                <w:sz w:val="24"/>
              </w:rPr>
              <w:t>umnie 0020 przez odpowiedni współczynnik</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opa</w:t>
            </w:r>
            <w:r w:rsidRPr="003D1850">
              <w:rPr>
                <w:rFonts w:ascii="Times New Roman" w:hAnsi="Times New Roman"/>
                <w:sz w:val="24"/>
              </w:rPr>
              <w:t>rciu</w:t>
            </w:r>
            <w:r w:rsidR="003D1850" w:rsidRPr="003D1850">
              <w:rPr>
                <w:rFonts w:ascii="Times New Roman" w:hAnsi="Times New Roman"/>
                <w:sz w:val="24"/>
              </w:rPr>
              <w:t xml:space="preserve"> o</w:t>
            </w:r>
            <w:r w:rsidR="003D1850">
              <w:rPr>
                <w:rFonts w:ascii="Times New Roman" w:hAnsi="Times New Roman"/>
                <w:sz w:val="24"/>
              </w:rPr>
              <w:t> </w:t>
            </w:r>
            <w:r w:rsidR="003D1850" w:rsidRPr="003D1850">
              <w:rPr>
                <w:rFonts w:ascii="Times New Roman" w:hAnsi="Times New Roman"/>
                <w:sz w:val="24"/>
              </w:rPr>
              <w:t>lic</w:t>
            </w:r>
            <w:r w:rsidRPr="003D1850">
              <w:rPr>
                <w:rFonts w:ascii="Times New Roman" w:hAnsi="Times New Roman"/>
                <w:sz w:val="24"/>
              </w:rPr>
              <w:t xml:space="preserve">zbę dni </w:t>
            </w:r>
            <w:r w:rsidRPr="003D1850">
              <w:rPr>
                <w:rFonts w:ascii="Times New Roman" w:hAnsi="Times New Roman"/>
                <w:sz w:val="24"/>
              </w:rPr>
              <w:lastRenderedPageBreak/>
              <w:t>roboczych po terminie rozliczenia (kategorie,</w:t>
            </w:r>
            <w:r w:rsidR="003D1850" w:rsidRPr="003D1850">
              <w:rPr>
                <w:rFonts w:ascii="Times New Roman" w:hAnsi="Times New Roman"/>
                <w:sz w:val="24"/>
              </w:rPr>
              <w:t xml:space="preserve"> o</w:t>
            </w:r>
            <w:r w:rsidR="003D1850">
              <w:rPr>
                <w:rFonts w:ascii="Times New Roman" w:hAnsi="Times New Roman"/>
                <w:sz w:val="24"/>
              </w:rPr>
              <w:t> </w:t>
            </w:r>
            <w:r w:rsidR="003D1850" w:rsidRPr="003D1850">
              <w:rPr>
                <w:rFonts w:ascii="Times New Roman" w:hAnsi="Times New Roman"/>
                <w:sz w:val="24"/>
              </w:rPr>
              <w:t>któ</w:t>
            </w:r>
            <w:r w:rsidRPr="003D1850">
              <w:rPr>
                <w:rFonts w:ascii="Times New Roman" w:hAnsi="Times New Roman"/>
                <w:sz w:val="24"/>
              </w:rPr>
              <w:t>rych mowa</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tab</w:t>
            </w:r>
            <w:r w:rsidRPr="003D1850">
              <w:rPr>
                <w:rFonts w:ascii="Times New Roman" w:hAnsi="Times New Roman"/>
                <w:sz w:val="24"/>
              </w:rPr>
              <w:t>eli 1</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art</w:t>
            </w:r>
            <w:r w:rsidRPr="003D1850">
              <w:rPr>
                <w:rFonts w:ascii="Times New Roman" w:hAnsi="Times New Roman"/>
                <w:sz w:val="24"/>
              </w:rPr>
              <w:t>.</w:t>
            </w:r>
            <w:r w:rsidR="003D1850" w:rsidRPr="003D1850">
              <w:rPr>
                <w:rFonts w:ascii="Times New Roman" w:hAnsi="Times New Roman"/>
                <w:sz w:val="24"/>
              </w:rPr>
              <w:t> </w:t>
            </w:r>
            <w:r w:rsidRPr="003D1850">
              <w:rPr>
                <w:rFonts w:ascii="Times New Roman" w:hAnsi="Times New Roman"/>
                <w:sz w:val="24"/>
              </w:rPr>
              <w:t>378 rozporządzenia (UE) nr</w:t>
            </w:r>
            <w:r w:rsidR="003D1850" w:rsidRPr="003D1850">
              <w:rPr>
                <w:rFonts w:ascii="Times New Roman" w:hAnsi="Times New Roman"/>
                <w:sz w:val="24"/>
              </w:rPr>
              <w:t> </w:t>
            </w:r>
            <w:r w:rsidRPr="003D1850">
              <w:rPr>
                <w:rFonts w:ascii="Times New Roman" w:hAnsi="Times New Roman"/>
                <w:sz w:val="24"/>
              </w:rPr>
              <w:t>575/2013).</w:t>
            </w:r>
          </w:p>
        </w:tc>
      </w:tr>
      <w:tr w:rsidR="00925646" w:rsidRPr="003D1850" w14:paraId="2284D88A" w14:textId="77777777" w:rsidTr="00E07FE9">
        <w:tc>
          <w:tcPr>
            <w:tcW w:w="852" w:type="dxa"/>
          </w:tcPr>
          <w:p w14:paraId="4F3EBD1A" w14:textId="77777777"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lastRenderedPageBreak/>
              <w:t>0080-0120</w:t>
            </w:r>
          </w:p>
        </w:tc>
        <w:tc>
          <w:tcPr>
            <w:tcW w:w="8010" w:type="dxa"/>
          </w:tcPr>
          <w:p w14:paraId="34E9771F" w14:textId="59F72D85"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maksymalnie 4 dni (współczynnik 0</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 xml:space="preserve">%) </w:t>
            </w:r>
          </w:p>
          <w:p w14:paraId="7B8BB095" w14:textId="537E7521"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od</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5 do</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15 dni (współczynnik 8</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3902398B" w14:textId="2F179612"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od</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16 do</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30 dni (współczynnik 50</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25665540" w14:textId="315930AD"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od</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31 do</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45 dni (współczynnik 75</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61E1443A" w14:textId="1E62E7CA" w:rsidR="00925646" w:rsidRPr="003D1850" w:rsidRDefault="00925646" w:rsidP="00E07FE9">
            <w:pPr>
              <w:spacing w:beforeLines="60" w:before="144" w:afterLines="60" w:after="144"/>
              <w:rPr>
                <w:rStyle w:val="InstructionsTabelleberschrift"/>
                <w:rFonts w:ascii="Times New Roman" w:hAnsi="Times New Roman"/>
                <w:sz w:val="24"/>
              </w:rPr>
            </w:pPr>
            <w:r w:rsidRPr="003D1850">
              <w:rPr>
                <w:rStyle w:val="InstructionsTabelleberschrift"/>
                <w:rFonts w:ascii="Times New Roman" w:hAnsi="Times New Roman"/>
                <w:sz w:val="24"/>
              </w:rPr>
              <w:t>Transakcje nierozliczone za okres 46 dni</w:t>
            </w:r>
            <w:r w:rsidR="003D1850" w:rsidRPr="003D1850">
              <w:rPr>
                <w:rStyle w:val="InstructionsTabelleberschrift"/>
                <w:rFonts w:ascii="Times New Roman" w:hAnsi="Times New Roman"/>
                <w:sz w:val="24"/>
              </w:rPr>
              <w:t xml:space="preserve"> i</w:t>
            </w:r>
            <w:r w:rsidR="003D1850">
              <w:rPr>
                <w:rStyle w:val="InstructionsTabelleberschrift"/>
                <w:rFonts w:ascii="Times New Roman" w:hAnsi="Times New Roman"/>
                <w:sz w:val="24"/>
              </w:rPr>
              <w:t> </w:t>
            </w:r>
            <w:r w:rsidR="003D1850" w:rsidRPr="003D1850">
              <w:rPr>
                <w:rStyle w:val="InstructionsTabelleberschrift"/>
                <w:rFonts w:ascii="Times New Roman" w:hAnsi="Times New Roman"/>
                <w:sz w:val="24"/>
              </w:rPr>
              <w:t>wię</w:t>
            </w:r>
            <w:r w:rsidRPr="003D1850">
              <w:rPr>
                <w:rStyle w:val="InstructionsTabelleberschrift"/>
                <w:rFonts w:ascii="Times New Roman" w:hAnsi="Times New Roman"/>
                <w:sz w:val="24"/>
              </w:rPr>
              <w:t>cej (współczynnik 100</w:t>
            </w:r>
            <w:r w:rsidR="003D1850" w:rsidRPr="003D1850">
              <w:rPr>
                <w:rStyle w:val="InstructionsTabelleberschrift"/>
                <w:rFonts w:ascii="Times New Roman" w:hAnsi="Times New Roman"/>
                <w:sz w:val="24"/>
              </w:rPr>
              <w:t> </w:t>
            </w:r>
            <w:r w:rsidRPr="003D1850">
              <w:rPr>
                <w:rStyle w:val="InstructionsTabelleberschrift"/>
                <w:rFonts w:ascii="Times New Roman" w:hAnsi="Times New Roman"/>
                <w:sz w:val="24"/>
              </w:rPr>
              <w:t>%)</w:t>
            </w:r>
          </w:p>
          <w:p w14:paraId="1A0345F5" w14:textId="100FCAD5" w:rsidR="00925646" w:rsidRPr="003D1850" w:rsidRDefault="00925646" w:rsidP="00E07FE9">
            <w:pPr>
              <w:spacing w:beforeLines="60" w:before="144" w:afterLines="60" w:after="144"/>
              <w:rPr>
                <w:rFonts w:ascii="Times New Roman" w:hAnsi="Times New Roman"/>
                <w:sz w:val="24"/>
              </w:rPr>
            </w:pPr>
            <w:r w:rsidRPr="003D1850">
              <w:rPr>
                <w:rFonts w:ascii="Times New Roman" w:hAnsi="Times New Roman"/>
                <w:sz w:val="24"/>
              </w:rPr>
              <w:t>W wierszach 0080–0120 instytucje zgłaszają informacje dotyczące ryzyka rozliczenia/dostawy dla pozycji</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por</w:t>
            </w:r>
            <w:r w:rsidRPr="003D1850">
              <w:rPr>
                <w:rFonts w:ascii="Times New Roman" w:hAnsi="Times New Roman"/>
                <w:sz w:val="24"/>
              </w:rPr>
              <w:t>tfelu handlowym zgodnie</w:t>
            </w:r>
            <w:r w:rsidR="003D1850" w:rsidRPr="003D1850">
              <w:rPr>
                <w:rFonts w:ascii="Times New Roman" w:hAnsi="Times New Roman"/>
                <w:sz w:val="24"/>
              </w:rPr>
              <w:t xml:space="preserve"> z</w:t>
            </w:r>
            <w:r w:rsidR="003D1850">
              <w:rPr>
                <w:rFonts w:ascii="Times New Roman" w:hAnsi="Times New Roman"/>
                <w:sz w:val="24"/>
              </w:rPr>
              <w:t> </w:t>
            </w:r>
            <w:r w:rsidR="003D1850" w:rsidRPr="003D1850">
              <w:rPr>
                <w:rFonts w:ascii="Times New Roman" w:hAnsi="Times New Roman"/>
                <w:sz w:val="24"/>
              </w:rPr>
              <w:t>kat</w:t>
            </w:r>
            <w:r w:rsidRPr="003D1850">
              <w:rPr>
                <w:rFonts w:ascii="Times New Roman" w:hAnsi="Times New Roman"/>
                <w:sz w:val="24"/>
              </w:rPr>
              <w:t>egoriami,</w:t>
            </w:r>
            <w:r w:rsidR="003D1850" w:rsidRPr="003D1850">
              <w:rPr>
                <w:rFonts w:ascii="Times New Roman" w:hAnsi="Times New Roman"/>
                <w:sz w:val="24"/>
              </w:rPr>
              <w:t xml:space="preserve"> o</w:t>
            </w:r>
            <w:r w:rsidR="003D1850">
              <w:rPr>
                <w:rFonts w:ascii="Times New Roman" w:hAnsi="Times New Roman"/>
                <w:sz w:val="24"/>
              </w:rPr>
              <w:t> </w:t>
            </w:r>
            <w:r w:rsidR="003D1850" w:rsidRPr="003D1850">
              <w:rPr>
                <w:rFonts w:ascii="Times New Roman" w:hAnsi="Times New Roman"/>
                <w:sz w:val="24"/>
              </w:rPr>
              <w:t>któ</w:t>
            </w:r>
            <w:r w:rsidRPr="003D1850">
              <w:rPr>
                <w:rFonts w:ascii="Times New Roman" w:hAnsi="Times New Roman"/>
                <w:sz w:val="24"/>
              </w:rPr>
              <w:t>rych mowa</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tab</w:t>
            </w:r>
            <w:r w:rsidRPr="003D1850">
              <w:rPr>
                <w:rFonts w:ascii="Times New Roman" w:hAnsi="Times New Roman"/>
                <w:sz w:val="24"/>
              </w:rPr>
              <w:t>eli 1 w art. 378 rozporządzenia (UE) nr</w:t>
            </w:r>
            <w:r w:rsidR="003D1850" w:rsidRPr="003D1850">
              <w:rPr>
                <w:rFonts w:ascii="Times New Roman" w:hAnsi="Times New Roman"/>
                <w:sz w:val="24"/>
              </w:rPr>
              <w:t> </w:t>
            </w:r>
            <w:r w:rsidRPr="003D1850">
              <w:rPr>
                <w:rFonts w:ascii="Times New Roman" w:hAnsi="Times New Roman"/>
                <w:sz w:val="24"/>
              </w:rPr>
              <w:t xml:space="preserve">575/2013. </w:t>
            </w:r>
          </w:p>
          <w:p w14:paraId="0A9F762A" w14:textId="492C1A55" w:rsidR="00925646" w:rsidRPr="003D1850" w:rsidRDefault="00925646" w:rsidP="00E07FE9">
            <w:pPr>
              <w:spacing w:beforeLines="60" w:before="144" w:afterLines="60" w:after="144"/>
              <w:rPr>
                <w:rFonts w:ascii="Times New Roman" w:hAnsi="Times New Roman"/>
                <w:b/>
                <w:sz w:val="24"/>
              </w:rPr>
            </w:pPr>
            <w:r w:rsidRPr="003D1850">
              <w:rPr>
                <w:rFonts w:ascii="Times New Roman" w:hAnsi="Times New Roman"/>
                <w:sz w:val="24"/>
              </w:rPr>
              <w:t>W przypadku gdy od terminu rozliczenia minęło mniej niż 5 dni roboczych, nie ma wymogów</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zak</w:t>
            </w:r>
            <w:r w:rsidRPr="003D1850">
              <w:rPr>
                <w:rFonts w:ascii="Times New Roman" w:hAnsi="Times New Roman"/>
                <w:sz w:val="24"/>
              </w:rPr>
              <w:t>resie funduszy własnych</w:t>
            </w:r>
            <w:r w:rsidR="003D1850" w:rsidRPr="003D1850">
              <w:rPr>
                <w:rFonts w:ascii="Times New Roman" w:hAnsi="Times New Roman"/>
                <w:sz w:val="24"/>
              </w:rPr>
              <w:t xml:space="preserve"> w</w:t>
            </w:r>
            <w:r w:rsidR="003D1850">
              <w:rPr>
                <w:rFonts w:ascii="Times New Roman" w:hAnsi="Times New Roman"/>
                <w:sz w:val="24"/>
              </w:rPr>
              <w:t> </w:t>
            </w:r>
            <w:r w:rsidR="003D1850" w:rsidRPr="003D1850">
              <w:rPr>
                <w:rFonts w:ascii="Times New Roman" w:hAnsi="Times New Roman"/>
                <w:sz w:val="24"/>
              </w:rPr>
              <w:t>odn</w:t>
            </w:r>
            <w:r w:rsidRPr="003D1850">
              <w:rPr>
                <w:rFonts w:ascii="Times New Roman" w:hAnsi="Times New Roman"/>
                <w:sz w:val="24"/>
              </w:rPr>
              <w:t>iesieniu do ryzyka rozliczenia/dostawy.</w:t>
            </w:r>
          </w:p>
        </w:tc>
      </w:tr>
    </w:tbl>
    <w:p w14:paraId="5D73F136" w14:textId="77777777" w:rsidR="00925646" w:rsidRPr="003D1850" w:rsidRDefault="00925646" w:rsidP="00925646">
      <w:pPr>
        <w:spacing w:after="0"/>
        <w:rPr>
          <w:rFonts w:ascii="Times New Roman" w:hAnsi="Times New Roman"/>
          <w:sz w:val="24"/>
        </w:rPr>
      </w:pPr>
    </w:p>
    <w:sectPr w:rsidR="00925646" w:rsidRPr="003D185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Pr="003D1850" w:rsidRDefault="00960943" w:rsidP="00925646">
      <w:pPr>
        <w:spacing w:before="0" w:after="0"/>
      </w:pPr>
      <w:r w:rsidRPr="003D1850">
        <w:separator/>
      </w:r>
    </w:p>
  </w:endnote>
  <w:endnote w:type="continuationSeparator" w:id="0">
    <w:p w14:paraId="65273641" w14:textId="77777777" w:rsidR="00960943" w:rsidRPr="003D1850" w:rsidRDefault="00960943" w:rsidP="00925646">
      <w:pPr>
        <w:spacing w:before="0" w:after="0"/>
      </w:pPr>
      <w:r w:rsidRPr="003D185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Pr="003D1850" w:rsidRDefault="00960943" w:rsidP="00925646">
      <w:pPr>
        <w:spacing w:before="0" w:after="0"/>
      </w:pPr>
      <w:r w:rsidRPr="003D1850">
        <w:separator/>
      </w:r>
    </w:p>
  </w:footnote>
  <w:footnote w:type="continuationSeparator" w:id="0">
    <w:p w14:paraId="07A05382" w14:textId="77777777" w:rsidR="00960943" w:rsidRPr="003D1850" w:rsidRDefault="00960943" w:rsidP="00925646">
      <w:pPr>
        <w:spacing w:before="0" w:after="0"/>
      </w:pPr>
      <w:r w:rsidRPr="003D185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Pr="003D1850" w:rsidRDefault="00925646">
    <w:pPr>
      <w:pStyle w:val="Header"/>
    </w:pPr>
    <w:r w:rsidRPr="003D1850">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Pr="003D1850" w:rsidRDefault="00925646">
    <w:pPr>
      <w:pStyle w:val="Header"/>
    </w:pPr>
    <w:r w:rsidRPr="003D1850">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Pr="003D1850" w:rsidRDefault="00925646">
    <w:pPr>
      <w:pStyle w:val="Header"/>
    </w:pPr>
    <w:r w:rsidRPr="003D1850">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3D1850"/>
    <w:rsid w:val="004A7930"/>
    <w:rsid w:val="005A0E0B"/>
    <w:rsid w:val="005C7260"/>
    <w:rsid w:val="00631623"/>
    <w:rsid w:val="006364D5"/>
    <w:rsid w:val="00736637"/>
    <w:rsid w:val="007E5623"/>
    <w:rsid w:val="00925646"/>
    <w:rsid w:val="00960943"/>
    <w:rsid w:val="009C5DD6"/>
    <w:rsid w:val="00A53845"/>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AA581F66-0C71-4BEA-B0FA-DCCD3B2023C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9</TotalTime>
  <Pages>4</Pages>
  <Words>1000</Words>
  <Characters>6509</Characters>
  <Application>Microsoft Office Word</Application>
  <DocSecurity>0</DocSecurity>
  <Lines>141</Lines>
  <Paragraphs>70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SIWIEC Justyna (DGT)</cp:lastModifiedBy>
  <cp:revision>11</cp:revision>
  <dcterms:created xsi:type="dcterms:W3CDTF">2024-05-28T09:25:00Z</dcterms:created>
  <dcterms:modified xsi:type="dcterms:W3CDTF">2025-01-24T14:12:00Z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