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PT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ANEXO II</w:t>
      </w:r>
    </w:p>
    <w:p w14:paraId="03895EA2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«ANEXO II</w:t>
      </w:r>
    </w:p>
    <w:p w14:paraId="480031C9" w14:textId="77777777" w:rsidR="009C5DD6" w:rsidRPr="00037E7B" w:rsidRDefault="009C5DD6" w:rsidP="009C5DD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INSTRUÇÕES SOBRE O REPORTE DOS FUNDOS PRÓPRIOS E DOS REQUISITOS DE FUNDOS PRÓPRIOS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PARTE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INSTRUÇÕES RESPEITANTES AOS MODELOS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sz w:val="24"/>
          <w:u w:val="none"/>
          <w:rFonts w:ascii="Times New Roman" w:hAnsi="Times New Roman"/>
        </w:rPr>
        <w:t xml:space="preserve">3.6.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11.00 - Risco de liquidação/entrega</w:t>
      </w:r>
      <w:bookmarkEnd w:id="0"/>
      <w:bookmarkEnd w:id="1"/>
      <w:r>
        <w:rPr>
          <w:sz w:val="24"/>
          <w:rFonts w:ascii="Times New Roman" w:hAnsi="Times New Roman"/>
        </w:rPr>
        <w:t xml:space="preserve"> (CR 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sz w:val="24"/>
          <w:u w:val="none"/>
          <w:rFonts w:ascii="Times New Roman" w:hAnsi="Times New Roman"/>
        </w:rPr>
        <w:t xml:space="preserve">3.6.1.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Observações gerais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99</w:t>
      </w:r>
      <w:r>
        <w:fldChar w:fldCharType="end"/>
      </w:r>
      <w:r>
        <w:t xml:space="preserve">.</w:t>
      </w:r>
      <w:r>
        <w:tab/>
      </w:r>
      <w:r>
        <w:t xml:space="preserve">O presente modelo requer informações relativas às operações tanto da carteira de negociação como da carteira bancária não liquidadas após a data de entrega prevista, bem como aos correspondentes requisitos de fundos próprios para o risco de liquidação a que se referem o artigo 92.º, n.º 3, alínea c), subalínea ii), e o artigo 378.º do Regulamento (UE) n.º 575/2013.</w:t>
      </w:r>
      <w:r>
        <w:t xml:space="preserve">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100</w:t>
      </w:r>
      <w:r>
        <w:fldChar w:fldCharType="end"/>
      </w:r>
      <w:r>
        <w:t xml:space="preserve">.</w:t>
      </w:r>
      <w:r>
        <w:tab/>
      </w:r>
      <w:r>
        <w:t xml:space="preserve">As instituições devem reportar no modelo CR SETT informações sobre o risco de liquidação/entrega associado aos instrumentos de dívida, ações, divisas e mercadorias detidos nas suas carteiras de negociação e carteiras bancárias.</w:t>
      </w:r>
      <w:r>
        <w:t xml:space="preserve">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101</w:t>
      </w:r>
      <w:r>
        <w:fldChar w:fldCharType="end"/>
      </w:r>
      <w:r>
        <w:t xml:space="preserve">.</w:t>
      </w:r>
      <w:r>
        <w:tab/>
      </w:r>
      <w:r>
        <w:t xml:space="preserve">De acordo com o artigo 378.º do Regulamento (UE) n.º 575/2013, as operações de venda com acordo de recompra e de concessão e contração de empréstimos de valores mobiliários ou mercadorias ligadas a instrumentos de dívida, ações, divisas e mercadorias não estão sujeitas a requisitos de fundos próprios relativamente ao risco de liquidação/entrega.</w:t>
      </w:r>
      <w:r>
        <w:t xml:space="preserve"> </w:t>
      </w:r>
      <w:r>
        <w:t xml:space="preserve">É de notar, porém, que os derivados e as operações de liquidação longa não liquidados após a data de entrega prevista devem estar, apesar disso, sujeitos a requisitos de fundos próprios para o risco de liquidação/entrega, como determinado no artigo 378.º do Regulamento (UE) n.º 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102</w:t>
      </w:r>
      <w:r>
        <w:fldChar w:fldCharType="end"/>
      </w:r>
      <w:r>
        <w:t xml:space="preserve">.</w:t>
      </w:r>
      <w:r>
        <w:tab/>
      </w:r>
      <w:r>
        <w:t xml:space="preserve">No caso de operações não liquidadas após a data de entrega prevista, as instituições devem calcular a diferença de preço a que estão expostas.</w:t>
      </w:r>
      <w:r>
        <w:t xml:space="preserve"> </w:t>
      </w:r>
      <w:r>
        <w:t xml:space="preserve">Esta consiste na diferença entre o preço de liquidação acordado para o instrumento de dívida, os títulos de capital, a divisa ou a mercadoria em questão e o respetivo valor corrente de mercado, podendo implicar uma perda para a instituição.</w:t>
      </w:r>
      <w:r>
        <w:t xml:space="preserve">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103</w:t>
      </w:r>
      <w:r>
        <w:fldChar w:fldCharType="end"/>
      </w:r>
      <w:r>
        <w:t xml:space="preserve">.</w:t>
      </w:r>
      <w:r>
        <w:tab/>
      </w:r>
      <w:r>
        <w:t xml:space="preserve">As instituições devem multiplicar esta diferença pelo fator adequado do artigo 378.º, quadro 1, do Regulamento (UE) n.º 575/2013 para determinar os requisitos de fundos próprios correspondentes.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104</w:t>
      </w:r>
      <w:r>
        <w:fldChar w:fldCharType="end"/>
      </w:r>
      <w:r>
        <w:t xml:space="preserve">.</w:t>
      </w:r>
      <w:r>
        <w:tab/>
      </w:r>
      <w:r>
        <w:t xml:space="preserve">De acordo com o artigo 92.º, n.º 4, alínea b), do Regulamento (UE) n.º 575/2013, os requisitos de fundos próprios para o risco de liquidação/entrega devem ser multiplicados por 12,5 para calcular o montante das posições em risco.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 w:rsidRPr="002A677E">
        <w:t>105</w:t>
      </w:r>
      <w:r>
        <w:fldChar w:fldCharType="end"/>
      </w:r>
      <w:r>
        <w:t xml:space="preserve">.</w:t>
      </w:r>
      <w:r>
        <w:tab/>
      </w:r>
      <w:r>
        <w:t xml:space="preserve">É de notar que os requisitos de fundos próprios para o risco de transações incompletas como definidos no artigo 379.º do Regulamento (UE) n.º 575/2013 não são abrangidos pelo modelo CR SETT.</w:t>
      </w:r>
      <w:r>
        <w:t xml:space="preserve"> </w:t>
      </w:r>
      <w:r>
        <w:t xml:space="preserve">Tais requisitos de fundos próprios devem ser reportados nos modelos de risco de crédito (CR SA, CR 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sz w:val="24"/>
          <w:u w:val="none"/>
          <w:rFonts w:ascii="Times New Roman" w:hAnsi="Times New Roman"/>
        </w:rPr>
        <w:t xml:space="preserve">3.6.2.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Instruções relativas a posições específicas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Colunas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AO PREÇO DE LIQUIDAÇÃO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as operações não liquidadas após a data de entrega prevista aos respetivos preços de liquidação acordados, como referido no artigo 378.º do Regulamento (UE) n.º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Todas as operações não liquidadas devem ser incluídas nesta coluna, independentemente de implicarem ou não um ganho ou a uma perda após a data de liquidação prevista.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POSIÇÕES EM RISCO SOBRE DIFERENÇAS DE PREÇO DEVIDO A OPERAÇÕES NÃO LIQUIDADAS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as diferenças entre o preço de liquidação acordado e o valor corrente de mercado do instrumento de dívida, título de capital, divisa ou mercadoria em questão, nos casos em que a diferença possa implicar uma perda para a instituição, como referido no artigo 378.º do Regulamento (UE) n.º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Apenas as operações não liquidadas que representem uma perda após a data de liquidação devem ser reportadas nesta coluna.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REQUISITOS DE FUNDOS PRÓPRIOS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os requisitos de fundos próprios calculados de acordo com o artigo 378.º do Regulamento (UE) n.º 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MONTANTE TOTAL DAS POSIÇÕES EM RISCO DE LIQUIDAÇÃO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acordo com o artigo 92.º, n.º 4, alínea b), do Regulamento (UE) n.º 575/2013, as instituições devem multiplicar os seus requisitos de fundos próprios reportados na coluna 0030 por 12,5 para obter o montante das posições em risco de liquidação.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Linhas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das operações não liquidadas na carteira bancária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as informações agregadas sobre o risco de liquidação/entrega das posições na carteira bancária [conforme referido no artigo 92.º, n.º 4, alínea c-A), e no artigo 378.º do Regulamento (UE) n.º 575/2013].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{r0010;c0010} a soma agregada das operações não liquidadas após as datas de entrega previstas aos respetivos preços de liquidação acordados.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{r0010;c0020} as informações agregadas relativas às posições em risco por diferença de preço devida a operações não liquidadas em situação de perda.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{r0010;c0030} os requisitos de fundos próprios agregados somando os requisitos de fundos próprios das operações não liquidadas e multiplicando a «diferença de preço» reportada na coluna 0020 pelo fator adequado com base no número de dias úteis decorridos desde a data de liquidação prevista [categorias referidas no artigo 378.º, quadro 1, do Regulamento (UE) n.º 575/2013].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0020 - 0060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até 4 dias (fator 0</w:t>
            </w:r>
            <w:r>
              <w:t xml:space="preserve"> 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5 e 15 dias (fator 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16 e 30 dias (fator 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31 e 45 dias (fator 75 %)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durante 46 dias ou mais (fator 100 %)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nas linhas 0020 a 0060 as informações sobre o risco de liquidação/entrega das posições na carteira bancária de acordo com as categorias referidas no artigo 378.º, quadro 1, do Regulamento (UE) n.º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Não são aplicados requisitos de fundos próprios para o risco de liquidação/entrega relativamente a operações não liquidadas com menos de 5 dias úteis de atraso em relação à data de liquidação prevista.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das operações não liquidadas da carteira de negociação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as informações agregadas sobre o risco de liquidação/entrega das posições da carteira de negociação [conforme referido no artigo 92.º, n.º 4, alínea c-A), e no artigo 378.º do Regulamento (UE) n.º 575/2013].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{r0070;c0010} a soma agregada das operações não liquidadas após as datas de entrega previstas aos respetivos preços de liquidação acordados.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{r0070;c0020} as informações agregadas relativas às posições em risco por diferença de preço devida a operações não liquidadas em situação de perda.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em {r0070;c0030} os requisitos de fundos próprios agregados somando os requisitos de fundos próprios das operações não liquidadas e multiplicando a «diferença de preço» reportada na coluna 0020 por um fator adequado com base no número de dias úteis decorridos desde a data de liquidação prevista [categorias referidas no artigo 378.º, quadro 1, do Regulamento (UE) n.º 575/2013].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0080 - 0120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até 4 dias (fator 0</w:t>
            </w:r>
            <w:r>
              <w:t xml:space="preserve"> 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5 e 15 dias (fator 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16 e 30 dias (fator 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entre 31 e 45 dias (fator 75 %)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Operações não liquidadas durante 46 dias ou mais (fator 100 %)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 instituições devem reportar nas linhas 0080 a 0120 as informações sobre o risco de liquidação/entrega das posições da carteira de negociação de acordo com as categorias referidas no artigo 378.º, quadro 1, do Regulamento (UE) n.º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Não são aplicados requisitos de fundos próprios para o risco de liquidação/entrega relativamente a operações não liquidadas com menos de 5 dias úteis de atraso em relação à data de liquidação prevista.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Default="00925646" w:rsidP="00925646">
      <w:r>
        <w:br w:type="page"/>
      </w:r>
    </w:p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pt-PT"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44E77E-3359-4668-B5A3-07A4ED03DBF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1051</Words>
  <Characters>6013</Characters>
  <Application>Microsoft Office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PETRE Gheorghe-Cristian (FISMA)</cp:lastModifiedBy>
  <cp:revision>9</cp:revision>
  <dcterms:created xsi:type="dcterms:W3CDTF">2024-05-28T09:25:00Z</dcterms:created>
  <dcterms:modified xsi:type="dcterms:W3CDTF">2024-07-10T18:21:00Z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