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EL</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ΠΑΡΑΡΤΗΜΑ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ΟΔΗΓΙΕΣ ΓΙΑ ΤΗΝ ΥΠΟΒΟΛΗ ΑΝΑΦΟΡΩΝ ΣΧΕΤΙΚΑ ΜΕ ΤΗ ΜΟΧΛΕΥΣΗ</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1F39528" w14:textId="2BBDE958" w:rsidR="009D6D68"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266544" w:history="1">
        <w:r w:rsidR="009D6D68" w:rsidRPr="00F97F64">
          <w:rPr>
            <w:rStyle w:val="Hyperlink"/>
            <w:rFonts w:ascii="Times New Roman" w:hAnsi="Times New Roman"/>
            <w:b/>
          </w:rPr>
          <w:t>ΜΕΡΟΣ Ι: ΓΕΝΙΚΕΣ ΟΔΗΓΙΕΣ</w:t>
        </w:r>
        <w:r w:rsidR="009D6D68">
          <w:rPr>
            <w:webHidden/>
          </w:rPr>
          <w:tab/>
        </w:r>
        <w:r w:rsidR="009D6D68">
          <w:rPr>
            <w:webHidden/>
          </w:rPr>
          <w:fldChar w:fldCharType="begin"/>
        </w:r>
        <w:r w:rsidR="009D6D68">
          <w:rPr>
            <w:webHidden/>
          </w:rPr>
          <w:instrText xml:space="preserve"> PAGEREF _Toc188266544 \h </w:instrText>
        </w:r>
        <w:r w:rsidR="009D6D68">
          <w:rPr>
            <w:webHidden/>
          </w:rPr>
        </w:r>
        <w:r w:rsidR="009D6D68">
          <w:rPr>
            <w:webHidden/>
          </w:rPr>
          <w:fldChar w:fldCharType="separate"/>
        </w:r>
        <w:r w:rsidR="009D6D68">
          <w:rPr>
            <w:webHidden/>
          </w:rPr>
          <w:t>2</w:t>
        </w:r>
        <w:r w:rsidR="009D6D68">
          <w:rPr>
            <w:webHidden/>
          </w:rPr>
          <w:fldChar w:fldCharType="end"/>
        </w:r>
      </w:hyperlink>
    </w:p>
    <w:p w14:paraId="58AE1385" w14:textId="6D302C14"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45" w:history="1">
        <w:r w:rsidRPr="00F97F64">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Δομή και άλλες συμβάσεις</w:t>
        </w:r>
        <w:r>
          <w:rPr>
            <w:webHidden/>
          </w:rPr>
          <w:tab/>
        </w:r>
        <w:r>
          <w:rPr>
            <w:webHidden/>
          </w:rPr>
          <w:fldChar w:fldCharType="begin"/>
        </w:r>
        <w:r>
          <w:rPr>
            <w:webHidden/>
          </w:rPr>
          <w:instrText xml:space="preserve"> PAGEREF _Toc188266545 \h </w:instrText>
        </w:r>
        <w:r>
          <w:rPr>
            <w:webHidden/>
          </w:rPr>
        </w:r>
        <w:r>
          <w:rPr>
            <w:webHidden/>
          </w:rPr>
          <w:fldChar w:fldCharType="separate"/>
        </w:r>
        <w:r>
          <w:rPr>
            <w:webHidden/>
          </w:rPr>
          <w:t>2</w:t>
        </w:r>
        <w:r>
          <w:rPr>
            <w:webHidden/>
          </w:rPr>
          <w:fldChar w:fldCharType="end"/>
        </w:r>
      </w:hyperlink>
    </w:p>
    <w:p w14:paraId="292FB60D" w14:textId="0551C390" w:rsidR="009D6D68" w:rsidRDefault="009D6D68">
      <w:pPr>
        <w:pStyle w:val="TOC3"/>
        <w:rPr>
          <w:rFonts w:asciiTheme="minorHAnsi" w:eastAsiaTheme="minorEastAsia" w:hAnsiTheme="minorHAnsi" w:cstheme="minorBidi"/>
          <w:smallCaps w:val="0"/>
          <w:kern w:val="2"/>
          <w:sz w:val="24"/>
          <w:lang w:val="en-IE" w:eastAsia="en-IE"/>
          <w14:ligatures w14:val="standardContextual"/>
        </w:rPr>
      </w:pPr>
      <w:hyperlink w:anchor="_Toc188266546" w:history="1">
        <w:r w:rsidRPr="00F97F64">
          <w:rPr>
            <w:rStyle w:val="Hyperlink"/>
            <w:rFonts w:ascii="Times New Roman" w:hAnsi="Times New Roman"/>
            <w:b/>
          </w:rPr>
          <w:t>1.1.</w:t>
        </w:r>
        <w:r>
          <w:rPr>
            <w:rFonts w:asciiTheme="minorHAnsi" w:eastAsiaTheme="minorEastAsia" w:hAnsiTheme="minorHAnsi" w:cstheme="minorBidi"/>
            <w:smallCaps w:val="0"/>
            <w:kern w:val="2"/>
            <w:sz w:val="24"/>
            <w:lang w:val="en-IE" w:eastAsia="en-IE"/>
            <w14:ligatures w14:val="standardContextual"/>
          </w:rPr>
          <w:tab/>
        </w:r>
        <w:r w:rsidRPr="00F97F64">
          <w:rPr>
            <w:rStyle w:val="Hyperlink"/>
            <w:rFonts w:ascii="Times New Roman" w:hAnsi="Times New Roman"/>
            <w:b/>
          </w:rPr>
          <w:t>Δομή</w:t>
        </w:r>
        <w:r>
          <w:rPr>
            <w:webHidden/>
          </w:rPr>
          <w:tab/>
        </w:r>
        <w:r>
          <w:rPr>
            <w:webHidden/>
          </w:rPr>
          <w:fldChar w:fldCharType="begin"/>
        </w:r>
        <w:r>
          <w:rPr>
            <w:webHidden/>
          </w:rPr>
          <w:instrText xml:space="preserve"> PAGEREF _Toc188266546 \h </w:instrText>
        </w:r>
        <w:r>
          <w:rPr>
            <w:webHidden/>
          </w:rPr>
        </w:r>
        <w:r>
          <w:rPr>
            <w:webHidden/>
          </w:rPr>
          <w:fldChar w:fldCharType="separate"/>
        </w:r>
        <w:r>
          <w:rPr>
            <w:webHidden/>
          </w:rPr>
          <w:t>2</w:t>
        </w:r>
        <w:r>
          <w:rPr>
            <w:webHidden/>
          </w:rPr>
          <w:fldChar w:fldCharType="end"/>
        </w:r>
      </w:hyperlink>
    </w:p>
    <w:p w14:paraId="2667D74F" w14:textId="1CFC8318" w:rsidR="009D6D68" w:rsidRDefault="009D6D68">
      <w:pPr>
        <w:pStyle w:val="TOC3"/>
        <w:rPr>
          <w:rFonts w:asciiTheme="minorHAnsi" w:eastAsiaTheme="minorEastAsia" w:hAnsiTheme="minorHAnsi" w:cstheme="minorBidi"/>
          <w:smallCaps w:val="0"/>
          <w:kern w:val="2"/>
          <w:sz w:val="24"/>
          <w:lang w:val="en-IE" w:eastAsia="en-IE"/>
          <w14:ligatures w14:val="standardContextual"/>
        </w:rPr>
      </w:pPr>
      <w:hyperlink w:anchor="_Toc188266547" w:history="1">
        <w:r w:rsidRPr="00F97F64">
          <w:rPr>
            <w:rStyle w:val="Hyperlink"/>
            <w:rFonts w:ascii="Times New Roman" w:hAnsi="Times New Roman"/>
            <w:b/>
          </w:rPr>
          <w:t>1.2.</w:t>
        </w:r>
        <w:r>
          <w:rPr>
            <w:rFonts w:asciiTheme="minorHAnsi" w:eastAsiaTheme="minorEastAsia" w:hAnsiTheme="minorHAnsi" w:cstheme="minorBidi"/>
            <w:smallCaps w:val="0"/>
            <w:kern w:val="2"/>
            <w:sz w:val="24"/>
            <w:lang w:val="en-IE" w:eastAsia="en-IE"/>
            <w14:ligatures w14:val="standardContextual"/>
          </w:rPr>
          <w:tab/>
        </w:r>
        <w:r w:rsidRPr="00F97F64">
          <w:rPr>
            <w:rStyle w:val="Hyperlink"/>
            <w:rFonts w:ascii="Times New Roman" w:hAnsi="Times New Roman"/>
            <w:b/>
          </w:rPr>
          <w:t>Κανόνες αρίθμησης</w:t>
        </w:r>
        <w:r>
          <w:rPr>
            <w:webHidden/>
          </w:rPr>
          <w:tab/>
        </w:r>
        <w:r>
          <w:rPr>
            <w:webHidden/>
          </w:rPr>
          <w:fldChar w:fldCharType="begin"/>
        </w:r>
        <w:r>
          <w:rPr>
            <w:webHidden/>
          </w:rPr>
          <w:instrText xml:space="preserve"> PAGEREF _Toc188266547 \h </w:instrText>
        </w:r>
        <w:r>
          <w:rPr>
            <w:webHidden/>
          </w:rPr>
        </w:r>
        <w:r>
          <w:rPr>
            <w:webHidden/>
          </w:rPr>
          <w:fldChar w:fldCharType="separate"/>
        </w:r>
        <w:r>
          <w:rPr>
            <w:webHidden/>
          </w:rPr>
          <w:t>2</w:t>
        </w:r>
        <w:r>
          <w:rPr>
            <w:webHidden/>
          </w:rPr>
          <w:fldChar w:fldCharType="end"/>
        </w:r>
      </w:hyperlink>
    </w:p>
    <w:p w14:paraId="78BBA938" w14:textId="6A405A38" w:rsidR="009D6D68" w:rsidRDefault="009D6D68">
      <w:pPr>
        <w:pStyle w:val="TOC3"/>
        <w:rPr>
          <w:rFonts w:asciiTheme="minorHAnsi" w:eastAsiaTheme="minorEastAsia" w:hAnsiTheme="minorHAnsi" w:cstheme="minorBidi"/>
          <w:smallCaps w:val="0"/>
          <w:kern w:val="2"/>
          <w:sz w:val="24"/>
          <w:lang w:val="en-IE" w:eastAsia="en-IE"/>
          <w14:ligatures w14:val="standardContextual"/>
        </w:rPr>
      </w:pPr>
      <w:hyperlink w:anchor="_Toc188266548" w:history="1">
        <w:r w:rsidRPr="00F97F64">
          <w:rPr>
            <w:rStyle w:val="Hyperlink"/>
            <w:rFonts w:ascii="Times New Roman" w:hAnsi="Times New Roman"/>
            <w:b/>
          </w:rPr>
          <w:t>1.3.</w:t>
        </w:r>
        <w:r>
          <w:rPr>
            <w:rFonts w:asciiTheme="minorHAnsi" w:eastAsiaTheme="minorEastAsia" w:hAnsiTheme="minorHAnsi" w:cstheme="minorBidi"/>
            <w:smallCaps w:val="0"/>
            <w:kern w:val="2"/>
            <w:sz w:val="24"/>
            <w:lang w:val="en-IE" w:eastAsia="en-IE"/>
            <w14:ligatures w14:val="standardContextual"/>
          </w:rPr>
          <w:tab/>
        </w:r>
        <w:r w:rsidRPr="00F97F64">
          <w:rPr>
            <w:rStyle w:val="Hyperlink"/>
            <w:rFonts w:ascii="Times New Roman" w:hAnsi="Times New Roman"/>
            <w:b/>
          </w:rPr>
          <w:t>Συντομογραφίες</w:t>
        </w:r>
        <w:r>
          <w:rPr>
            <w:webHidden/>
          </w:rPr>
          <w:tab/>
        </w:r>
        <w:r>
          <w:rPr>
            <w:webHidden/>
          </w:rPr>
          <w:fldChar w:fldCharType="begin"/>
        </w:r>
        <w:r>
          <w:rPr>
            <w:webHidden/>
          </w:rPr>
          <w:instrText xml:space="preserve"> PAGEREF _Toc188266548 \h </w:instrText>
        </w:r>
        <w:r>
          <w:rPr>
            <w:webHidden/>
          </w:rPr>
        </w:r>
        <w:r>
          <w:rPr>
            <w:webHidden/>
          </w:rPr>
          <w:fldChar w:fldCharType="separate"/>
        </w:r>
        <w:r>
          <w:rPr>
            <w:webHidden/>
          </w:rPr>
          <w:t>3</w:t>
        </w:r>
        <w:r>
          <w:rPr>
            <w:webHidden/>
          </w:rPr>
          <w:fldChar w:fldCharType="end"/>
        </w:r>
      </w:hyperlink>
    </w:p>
    <w:p w14:paraId="5257BA09" w14:textId="0DB8AD23" w:rsidR="009D6D68" w:rsidRDefault="009D6D68">
      <w:pPr>
        <w:pStyle w:val="TOC3"/>
        <w:rPr>
          <w:rFonts w:asciiTheme="minorHAnsi" w:eastAsiaTheme="minorEastAsia" w:hAnsiTheme="minorHAnsi" w:cstheme="minorBidi"/>
          <w:smallCaps w:val="0"/>
          <w:kern w:val="2"/>
          <w:sz w:val="24"/>
          <w:lang w:val="en-IE" w:eastAsia="en-IE"/>
          <w14:ligatures w14:val="standardContextual"/>
        </w:rPr>
      </w:pPr>
      <w:hyperlink w:anchor="_Toc188266549" w:history="1">
        <w:r w:rsidRPr="00F97F64">
          <w:rPr>
            <w:rStyle w:val="Hyperlink"/>
            <w:rFonts w:ascii="Times New Roman" w:hAnsi="Times New Roman"/>
            <w:b/>
          </w:rPr>
          <w:t>1.4.</w:t>
        </w:r>
        <w:r>
          <w:rPr>
            <w:rFonts w:asciiTheme="minorHAnsi" w:eastAsiaTheme="minorEastAsia" w:hAnsiTheme="minorHAnsi" w:cstheme="minorBidi"/>
            <w:smallCaps w:val="0"/>
            <w:kern w:val="2"/>
            <w:sz w:val="24"/>
            <w:lang w:val="en-IE" w:eastAsia="en-IE"/>
            <w14:ligatures w14:val="standardContextual"/>
          </w:rPr>
          <w:tab/>
        </w:r>
        <w:r w:rsidRPr="00F97F64">
          <w:rPr>
            <w:rStyle w:val="Hyperlink"/>
            <w:rFonts w:ascii="Times New Roman" w:hAnsi="Times New Roman"/>
            <w:b/>
          </w:rPr>
          <w:t>Κανόνες χρήσης προσήμου</w:t>
        </w:r>
        <w:r>
          <w:rPr>
            <w:webHidden/>
          </w:rPr>
          <w:tab/>
        </w:r>
        <w:r>
          <w:rPr>
            <w:webHidden/>
          </w:rPr>
          <w:fldChar w:fldCharType="begin"/>
        </w:r>
        <w:r>
          <w:rPr>
            <w:webHidden/>
          </w:rPr>
          <w:instrText xml:space="preserve"> PAGEREF _Toc188266549 \h </w:instrText>
        </w:r>
        <w:r>
          <w:rPr>
            <w:webHidden/>
          </w:rPr>
        </w:r>
        <w:r>
          <w:rPr>
            <w:webHidden/>
          </w:rPr>
          <w:fldChar w:fldCharType="separate"/>
        </w:r>
        <w:r>
          <w:rPr>
            <w:webHidden/>
          </w:rPr>
          <w:t>3</w:t>
        </w:r>
        <w:r>
          <w:rPr>
            <w:webHidden/>
          </w:rPr>
          <w:fldChar w:fldCharType="end"/>
        </w:r>
      </w:hyperlink>
    </w:p>
    <w:p w14:paraId="0A88CC4E" w14:textId="5A450804" w:rsidR="009D6D68" w:rsidRDefault="009D6D68">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266550" w:history="1">
        <w:r w:rsidRPr="00F97F64">
          <w:rPr>
            <w:rStyle w:val="Hyperlink"/>
            <w:rFonts w:ascii="Times New Roman" w:hAnsi="Times New Roman"/>
            <w:b/>
          </w:rPr>
          <w:t>ΜΕΡΟΣ II: ΟΔΗΓΙΕΣ ΣΧΕΤΙΚΑ ΜΕ ΤΑ ΥΠΟΔΕΙΓΜΑΤΑ</w:t>
        </w:r>
        <w:r>
          <w:rPr>
            <w:webHidden/>
          </w:rPr>
          <w:tab/>
        </w:r>
        <w:r>
          <w:rPr>
            <w:webHidden/>
          </w:rPr>
          <w:fldChar w:fldCharType="begin"/>
        </w:r>
        <w:r>
          <w:rPr>
            <w:webHidden/>
          </w:rPr>
          <w:instrText xml:space="preserve"> PAGEREF _Toc188266550 \h </w:instrText>
        </w:r>
        <w:r>
          <w:rPr>
            <w:webHidden/>
          </w:rPr>
        </w:r>
        <w:r>
          <w:rPr>
            <w:webHidden/>
          </w:rPr>
          <w:fldChar w:fldCharType="separate"/>
        </w:r>
        <w:r>
          <w:rPr>
            <w:webHidden/>
          </w:rPr>
          <w:t>4</w:t>
        </w:r>
        <w:r>
          <w:rPr>
            <w:webHidden/>
          </w:rPr>
          <w:fldChar w:fldCharType="end"/>
        </w:r>
      </w:hyperlink>
    </w:p>
    <w:p w14:paraId="3D12886E" w14:textId="15736559"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1" w:history="1">
        <w:r w:rsidRPr="00F97F64">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Μαθηματικοί τύποι για τον υπολογισμό του δείκτη μόχλευσης</w:t>
        </w:r>
        <w:r>
          <w:rPr>
            <w:webHidden/>
          </w:rPr>
          <w:tab/>
        </w:r>
        <w:r>
          <w:rPr>
            <w:webHidden/>
          </w:rPr>
          <w:fldChar w:fldCharType="begin"/>
        </w:r>
        <w:r>
          <w:rPr>
            <w:webHidden/>
          </w:rPr>
          <w:instrText xml:space="preserve"> PAGEREF _Toc188266551 \h </w:instrText>
        </w:r>
        <w:r>
          <w:rPr>
            <w:webHidden/>
          </w:rPr>
        </w:r>
        <w:r>
          <w:rPr>
            <w:webHidden/>
          </w:rPr>
          <w:fldChar w:fldCharType="separate"/>
        </w:r>
        <w:r>
          <w:rPr>
            <w:webHidden/>
          </w:rPr>
          <w:t>4</w:t>
        </w:r>
        <w:r>
          <w:rPr>
            <w:webHidden/>
          </w:rPr>
          <w:fldChar w:fldCharType="end"/>
        </w:r>
      </w:hyperlink>
    </w:p>
    <w:p w14:paraId="0B08B15E" w14:textId="3A962142"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2" w:history="1">
        <w:r w:rsidRPr="00F97F64">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Κατώτατα επίπεδα σημαντικότητας για παράγωγα</w:t>
        </w:r>
        <w:r>
          <w:rPr>
            <w:webHidden/>
          </w:rPr>
          <w:tab/>
        </w:r>
        <w:r>
          <w:rPr>
            <w:webHidden/>
          </w:rPr>
          <w:fldChar w:fldCharType="begin"/>
        </w:r>
        <w:r>
          <w:rPr>
            <w:webHidden/>
          </w:rPr>
          <w:instrText xml:space="preserve"> PAGEREF _Toc188266552 \h </w:instrText>
        </w:r>
        <w:r>
          <w:rPr>
            <w:webHidden/>
          </w:rPr>
        </w:r>
        <w:r>
          <w:rPr>
            <w:webHidden/>
          </w:rPr>
          <w:fldChar w:fldCharType="separate"/>
        </w:r>
        <w:r>
          <w:rPr>
            <w:webHidden/>
          </w:rPr>
          <w:t>4</w:t>
        </w:r>
        <w:r>
          <w:rPr>
            <w:webHidden/>
          </w:rPr>
          <w:fldChar w:fldCharType="end"/>
        </w:r>
      </w:hyperlink>
    </w:p>
    <w:p w14:paraId="6789089C" w14:textId="5FB37B25"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3" w:history="1">
        <w:r w:rsidRPr="00F97F64">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47.00 – Υπολογισμός του δείκτη μόχλευσης (LRCalc)</w:t>
        </w:r>
        <w:r>
          <w:rPr>
            <w:webHidden/>
          </w:rPr>
          <w:tab/>
        </w:r>
        <w:r>
          <w:rPr>
            <w:webHidden/>
          </w:rPr>
          <w:fldChar w:fldCharType="begin"/>
        </w:r>
        <w:r>
          <w:rPr>
            <w:webHidden/>
          </w:rPr>
          <w:instrText xml:space="preserve"> PAGEREF _Toc188266553 \h </w:instrText>
        </w:r>
        <w:r>
          <w:rPr>
            <w:webHidden/>
          </w:rPr>
        </w:r>
        <w:r>
          <w:rPr>
            <w:webHidden/>
          </w:rPr>
          <w:fldChar w:fldCharType="separate"/>
        </w:r>
        <w:r>
          <w:rPr>
            <w:webHidden/>
          </w:rPr>
          <w:t>5</w:t>
        </w:r>
        <w:r>
          <w:rPr>
            <w:webHidden/>
          </w:rPr>
          <w:fldChar w:fldCharType="end"/>
        </w:r>
      </w:hyperlink>
    </w:p>
    <w:p w14:paraId="0F1C41FC" w14:textId="11E2443C"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4" w:history="1">
        <w:r w:rsidRPr="00F97F64">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40.00 – Εναλλακτική αντιμετώπιση του μέτρου του ανοίγματος (LR1)</w:t>
        </w:r>
        <w:r>
          <w:rPr>
            <w:webHidden/>
          </w:rPr>
          <w:tab/>
        </w:r>
        <w:r>
          <w:rPr>
            <w:webHidden/>
          </w:rPr>
          <w:fldChar w:fldCharType="begin"/>
        </w:r>
        <w:r>
          <w:rPr>
            <w:webHidden/>
          </w:rPr>
          <w:instrText xml:space="preserve"> PAGEREF _Toc188266554 \h </w:instrText>
        </w:r>
        <w:r>
          <w:rPr>
            <w:webHidden/>
          </w:rPr>
        </w:r>
        <w:r>
          <w:rPr>
            <w:webHidden/>
          </w:rPr>
          <w:fldChar w:fldCharType="separate"/>
        </w:r>
        <w:r>
          <w:rPr>
            <w:webHidden/>
          </w:rPr>
          <w:t>35</w:t>
        </w:r>
        <w:r>
          <w:rPr>
            <w:webHidden/>
          </w:rPr>
          <w:fldChar w:fldCharType="end"/>
        </w:r>
      </w:hyperlink>
    </w:p>
    <w:p w14:paraId="4A1C16F2" w14:textId="49FC77DA"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5" w:history="1">
        <w:r w:rsidRPr="00F97F64">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43.00 – Εναλλακτική ανάλυση των συνιστωσών του μέτρου του ανοίγματος του δείκτη μόχλευσης (LR4)</w:t>
        </w:r>
        <w:r>
          <w:rPr>
            <w:webHidden/>
          </w:rPr>
          <w:tab/>
        </w:r>
        <w:r>
          <w:rPr>
            <w:webHidden/>
          </w:rPr>
          <w:fldChar w:fldCharType="begin"/>
        </w:r>
        <w:r>
          <w:rPr>
            <w:webHidden/>
          </w:rPr>
          <w:instrText xml:space="preserve"> PAGEREF _Toc188266555 \h </w:instrText>
        </w:r>
        <w:r>
          <w:rPr>
            <w:webHidden/>
          </w:rPr>
        </w:r>
        <w:r>
          <w:rPr>
            <w:webHidden/>
          </w:rPr>
          <w:fldChar w:fldCharType="separate"/>
        </w:r>
        <w:r>
          <w:rPr>
            <w:webHidden/>
          </w:rPr>
          <w:t>48</w:t>
        </w:r>
        <w:r>
          <w:rPr>
            <w:webHidden/>
          </w:rPr>
          <w:fldChar w:fldCharType="end"/>
        </w:r>
      </w:hyperlink>
    </w:p>
    <w:p w14:paraId="32A916CF" w14:textId="74B24CE5"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6" w:history="1">
        <w:r w:rsidRPr="00F97F64">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44.00 – Γενικές πληροφορίες (LR5)</w:t>
        </w:r>
        <w:r>
          <w:rPr>
            <w:webHidden/>
          </w:rPr>
          <w:tab/>
        </w:r>
        <w:r>
          <w:rPr>
            <w:webHidden/>
          </w:rPr>
          <w:fldChar w:fldCharType="begin"/>
        </w:r>
        <w:r>
          <w:rPr>
            <w:webHidden/>
          </w:rPr>
          <w:instrText xml:space="preserve"> PAGEREF _Toc188266556 \h </w:instrText>
        </w:r>
        <w:r>
          <w:rPr>
            <w:webHidden/>
          </w:rPr>
        </w:r>
        <w:r>
          <w:rPr>
            <w:webHidden/>
          </w:rPr>
          <w:fldChar w:fldCharType="separate"/>
        </w:r>
        <w:r>
          <w:rPr>
            <w:webHidden/>
          </w:rPr>
          <w:t>75</w:t>
        </w:r>
        <w:r>
          <w:rPr>
            <w:webHidden/>
          </w:rPr>
          <w:fldChar w:fldCharType="end"/>
        </w:r>
      </w:hyperlink>
    </w:p>
    <w:p w14:paraId="1BDCD553" w14:textId="406609AF"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7" w:history="1">
        <w:r w:rsidRPr="00F97F64">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48.00 Μεταβλητότητα του δείκτη μόχλευσης (LR6)</w:t>
        </w:r>
        <w:r>
          <w:rPr>
            <w:webHidden/>
          </w:rPr>
          <w:tab/>
        </w:r>
        <w:r>
          <w:rPr>
            <w:webHidden/>
          </w:rPr>
          <w:fldChar w:fldCharType="begin"/>
        </w:r>
        <w:r>
          <w:rPr>
            <w:webHidden/>
          </w:rPr>
          <w:instrText xml:space="preserve"> PAGEREF _Toc188266557 \h </w:instrText>
        </w:r>
        <w:r>
          <w:rPr>
            <w:webHidden/>
          </w:rPr>
        </w:r>
        <w:r>
          <w:rPr>
            <w:webHidden/>
          </w:rPr>
          <w:fldChar w:fldCharType="separate"/>
        </w:r>
        <w:r>
          <w:rPr>
            <w:webHidden/>
          </w:rPr>
          <w:t>77</w:t>
        </w:r>
        <w:r>
          <w:rPr>
            <w:webHidden/>
          </w:rPr>
          <w:fldChar w:fldCharType="end"/>
        </w:r>
      </w:hyperlink>
    </w:p>
    <w:p w14:paraId="01F087A1" w14:textId="188C8499"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8" w:history="1">
        <w:r w:rsidRPr="00F97F64">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48.01 Μεταβλητότητα του δείκτη μόχλευσης: Μέση τιμή για την περίοδο αναφοράς</w:t>
        </w:r>
        <w:r>
          <w:rPr>
            <w:webHidden/>
          </w:rPr>
          <w:tab/>
        </w:r>
        <w:r>
          <w:rPr>
            <w:webHidden/>
          </w:rPr>
          <w:fldChar w:fldCharType="begin"/>
        </w:r>
        <w:r>
          <w:rPr>
            <w:webHidden/>
          </w:rPr>
          <w:instrText xml:space="preserve"> PAGEREF _Toc188266558 \h </w:instrText>
        </w:r>
        <w:r>
          <w:rPr>
            <w:webHidden/>
          </w:rPr>
        </w:r>
        <w:r>
          <w:rPr>
            <w:webHidden/>
          </w:rPr>
          <w:fldChar w:fldCharType="separate"/>
        </w:r>
        <w:r>
          <w:rPr>
            <w:webHidden/>
          </w:rPr>
          <w:t>77</w:t>
        </w:r>
        <w:r>
          <w:rPr>
            <w:webHidden/>
          </w:rPr>
          <w:fldChar w:fldCharType="end"/>
        </w:r>
      </w:hyperlink>
    </w:p>
    <w:p w14:paraId="038FE0FE" w14:textId="06C4901F" w:rsidR="009D6D68" w:rsidRDefault="009D6D6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66559" w:history="1">
        <w:r w:rsidRPr="00F97F64">
          <w:rPr>
            <w:rStyle w:val="Hyperlink"/>
            <w:rFonts w:ascii="Times New Roman" w:hAnsi="Times New Roman"/>
          </w:rPr>
          <w:t>9.</w:t>
        </w:r>
        <w:r>
          <w:rPr>
            <w:rFonts w:asciiTheme="minorHAnsi" w:eastAsiaTheme="minorEastAsia" w:hAnsiTheme="minorHAnsi" w:cstheme="minorBidi"/>
            <w:b w:val="0"/>
            <w:smallCaps w:val="0"/>
            <w:kern w:val="2"/>
            <w:sz w:val="24"/>
            <w:szCs w:val="24"/>
            <w:lang w:val="en-IE" w:eastAsia="en-IE"/>
            <w14:ligatures w14:val="standardContextual"/>
          </w:rPr>
          <w:tab/>
        </w:r>
        <w:r w:rsidRPr="00F97F64">
          <w:rPr>
            <w:rStyle w:val="Hyperlink"/>
            <w:rFonts w:ascii="Times New Roman" w:hAnsi="Times New Roman"/>
          </w:rPr>
          <w:t>C 48.02 Μεταβλητότητα του δείκτη μόχλευσης: ημερήσιες τιμές για την περίοδο αναφοράς</w:t>
        </w:r>
        <w:r>
          <w:rPr>
            <w:webHidden/>
          </w:rPr>
          <w:tab/>
        </w:r>
        <w:r>
          <w:rPr>
            <w:webHidden/>
          </w:rPr>
          <w:fldChar w:fldCharType="begin"/>
        </w:r>
        <w:r>
          <w:rPr>
            <w:webHidden/>
          </w:rPr>
          <w:instrText xml:space="preserve"> PAGEREF _Toc188266559 \h </w:instrText>
        </w:r>
        <w:r>
          <w:rPr>
            <w:webHidden/>
          </w:rPr>
        </w:r>
        <w:r>
          <w:rPr>
            <w:webHidden/>
          </w:rPr>
          <w:fldChar w:fldCharType="separate"/>
        </w:r>
        <w:r>
          <w:rPr>
            <w:webHidden/>
          </w:rPr>
          <w:t>77</w:t>
        </w:r>
        <w:r>
          <w:rPr>
            <w:webHidden/>
          </w:rPr>
          <w:fldChar w:fldCharType="end"/>
        </w:r>
      </w:hyperlink>
    </w:p>
    <w:p w14:paraId="43D747E1" w14:textId="41B717EA"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266544"/>
      <w:r>
        <w:rPr>
          <w:rFonts w:ascii="Times New Roman" w:hAnsi="Times New Roman"/>
          <w:b/>
          <w:sz w:val="24"/>
        </w:rPr>
        <w:t>ΜΕΡΟΣ Ι:</w:t>
      </w:r>
      <w:bookmarkEnd w:id="0"/>
      <w:r>
        <w:rPr>
          <w:rFonts w:ascii="Times New Roman" w:hAnsi="Times New Roman"/>
          <w:b/>
          <w:sz w:val="24"/>
        </w:rPr>
        <w:t xml:space="preserve"> ΓΕΝΙΚΕΣ ΟΔΗΓΙΕΣ</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266545"/>
      <w:r>
        <w:rPr>
          <w:rFonts w:ascii="Times New Roman" w:hAnsi="Times New Roman"/>
          <w:b/>
          <w:sz w:val="24"/>
        </w:rPr>
        <w:t>1.</w:t>
      </w:r>
      <w:r>
        <w:tab/>
      </w:r>
      <w:r>
        <w:rPr>
          <w:rFonts w:ascii="Times New Roman" w:hAnsi="Times New Roman"/>
          <w:b/>
          <w:sz w:val="24"/>
        </w:rPr>
        <w:t>Δομή και άλλες συμβάσεις</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266546"/>
      <w:r>
        <w:rPr>
          <w:rFonts w:ascii="Times New Roman" w:hAnsi="Times New Roman"/>
          <w:b/>
          <w:sz w:val="24"/>
        </w:rPr>
        <w:t>1.1.</w:t>
      </w:r>
      <w:r>
        <w:tab/>
      </w:r>
      <w:bookmarkEnd w:id="11"/>
      <w:bookmarkEnd w:id="12"/>
      <w:bookmarkEnd w:id="13"/>
      <w:r>
        <w:rPr>
          <w:rFonts w:ascii="Times New Roman" w:hAnsi="Times New Roman"/>
          <w:b/>
          <w:sz w:val="24"/>
        </w:rPr>
        <w:t>Δομή</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Το παρόν παράρτημα περιλαμβάνει συμπληρωματικές οδηγίες για τα υποδείγματα (εφεξής: LR) που περιλαμβάνονται στο Παράρτημα X του παρόντος κανονισμού.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Συνολικά, το πλαίσιο αποτελείται από πέντε υποδείγματα:</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Υπολογισμός του δείκτη μόχλευσης (LRCalc): Υπολογισμός του δείκτη μόχλευσης·</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Υπόδειγμα 1 του δείκτη μόχλευσης (LR1): Εναλλακτική αντιμετώπιση του μέτρου του ανοίγματος·</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Υπόδειγμα 4 του δείκτη μόχλευσης (LR4): Εναλλακτική ανάλυση των συνιστωσών του μέτρου του ανοίγματος του δείκτη μόχλευσης·</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Υπόδειγμα 5 του δείκτη μόχλευσης (LR5): Γενικές πληροφορίες·</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Μεταβλητότητα του δείκτη μόχλευσης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266547"/>
      <w:bookmarkEnd w:id="17"/>
      <w:r>
        <w:rPr>
          <w:rFonts w:ascii="Times New Roman" w:hAnsi="Times New Roman"/>
          <w:b/>
          <w:sz w:val="24"/>
        </w:rPr>
        <w:t>1.2.</w:t>
      </w:r>
      <w:r>
        <w:tab/>
      </w:r>
      <w:r>
        <w:rPr>
          <w:rFonts w:ascii="Times New Roman" w:hAnsi="Times New Roman"/>
          <w:b/>
          <w:sz w:val="24"/>
        </w:rPr>
        <w:t>Κανόνες αρίθμησης</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Το έγγραφο θα ακολουθεί τους κανόνες σήμανσης που ορίζονται στις ακόλουθες παραγράφους,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Στις οδηγίες χρησιμοποιείται το ακόλουθο γενικό σύμβολο: {Υπόδειγμα, Γραμμή, Στήλη}. Ο αστερίσκος χρησιμοποιείται για παραπομπή σε ολόκληρη γραμμή ή στήλη.</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θα αναφέρονται σε υπόδειγμα: {Γραμμή, Στήλη}.</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Για τον σκοπό της υποβολής αναφορών σχετικά με τη μόχλευση, η φράση «εκ των οποίων» αναφέρεται σε ένα στοιχείο που είναι υποσύνολο μιας ανώτερης κατηγορίας ανοίγματος, ενώ η φράση «υπομνηματικό στοιχείο» αναφέρεται σε χωριστό στοιχείο το οποίο δεν είναι υποσύνολο μιας κατηγορίας ανοίγματος. Είναι υποχρεωτική η υποβολή αναφορών και για τα δύο είδη κελιών, εκτός εάν ορίζεται διαφορετικά.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266548"/>
      <w:r>
        <w:rPr>
          <w:rFonts w:ascii="Times New Roman" w:hAnsi="Times New Roman"/>
          <w:b/>
          <w:sz w:val="24"/>
        </w:rPr>
        <w:lastRenderedPageBreak/>
        <w:t>1.3.</w:t>
      </w:r>
      <w:r>
        <w:tab/>
      </w:r>
      <w:r>
        <w:rPr>
          <w:rFonts w:ascii="Times New Roman" w:hAnsi="Times New Roman"/>
          <w:b/>
          <w:sz w:val="24"/>
        </w:rPr>
        <w:t>Συντομογραφίες</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tab/>
      </w:r>
      <w:r>
        <w:rPr>
          <w:sz w:val="24"/>
        </w:rPr>
        <w:t>Για τους σκοπούς του παρόντος παραρτήματος και των σχετικών υποδειγμάτων, χρησιμοποιούνται οι ακόλουθες συντομογραφίες:</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γ.</w:t>
      </w:r>
      <w:r>
        <w:tab/>
      </w:r>
      <w:r>
        <w:rPr>
          <w:sz w:val="24"/>
        </w:rPr>
        <w:t>ΣΧΤ, που πρόκειται για συντομογραφία του όρου «συναλλαγή χρηματοδότησης τίτλων» και σημαίνει «συναλλαγή επαναγοράς, συναλλαγή δανειοδοσίας ή δανειοληψίας τίτλων ή εμπορευμάτων ή πράξη δανεισμού σε λογαριασμό περιθωρίου ασφάλισης», όπως αναφέρεται στο άρθρο 4 παράγραφος 1 σημείο 139) του κανονισμού (ΕΕ) αριθ.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δ.</w:t>
      </w:r>
      <w:r>
        <w:tab/>
      </w:r>
      <w:r>
        <w:rPr>
          <w:sz w:val="24"/>
        </w:rPr>
        <w:t>CRM, που πρόκειται για συντομογραφία του όρου «Credit Risk Mitigation» (μετριασμός του πιστωτικού κινδύνου)·</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ε.</w:t>
      </w:r>
      <w:r>
        <w:tab/>
      </w:r>
      <w:r>
        <w:rPr>
          <w:sz w:val="24"/>
        </w:rPr>
        <w:t>ΚΑΤ, που πρόκειται για συντομογραφία του όρου «κεντρικό αποθετήριο τίτλων»·</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στ. </w:t>
      </w:r>
      <w:r>
        <w:tab/>
      </w:r>
      <w:r>
        <w:rPr>
          <w:sz w:val="24"/>
        </w:rPr>
        <w:t>QCCP, που πρόκειται για συντομογραφία του όρου «Qualifying Central Counterparty» (αναγνωρισμένος κεντρικός αντισυμβαλλόμενος)·</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ζ. </w:t>
      </w:r>
      <w:r>
        <w:tab/>
      </w:r>
      <w:r>
        <w:rPr>
          <w:sz w:val="24"/>
        </w:rPr>
        <w:t>PFE, που πρόκειται για συντομογραφία του όρου «Potential Future Exposure» (ενδεχόμενο μελλοντικό άνοιγμα).</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266549"/>
      <w:r>
        <w:rPr>
          <w:rFonts w:ascii="Times New Roman" w:hAnsi="Times New Roman"/>
          <w:b/>
          <w:sz w:val="24"/>
        </w:rPr>
        <w:t>1.4.</w:t>
      </w:r>
      <w:r>
        <w:tab/>
      </w:r>
      <w:r>
        <w:rPr>
          <w:rFonts w:ascii="Times New Roman" w:hAnsi="Times New Roman"/>
          <w:b/>
          <w:sz w:val="24"/>
        </w:rPr>
        <w:t>Κανόνες χρήσης προσήμου</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Όλα τα ποσά αναφέρονται ως θετικά στοιχεία.</w:t>
      </w:r>
      <w:bookmarkStart w:id="32" w:name="_Toc264033192"/>
      <w:bookmarkEnd w:id="32"/>
      <w:r>
        <w:rPr>
          <w:sz w:val="24"/>
        </w:rPr>
        <w:t xml:space="preserve"> Με εξαίρεση:</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τα στοιχεία στα οποία υπάρχει αρνητικό πρόσημο (–) πριν από τον τίτλο τους, όταν δεν αναμένεται να αναφερθεί θετική τιμή για τα στοιχεία αυτά·</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τα στοιχεία {LRCalc,0310,0010}, {LRCalc,0320,0010}, {LRCalc,0330,0010}, {LRCalc,0340,0010}, τα οποία θα μπορούσαν να λάβουν αρνητικές τιμές μόνο σε ακραίες περιπτώσεις, διαφορετικά λαμβάνουν θετικές τιμές.</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266550"/>
      <w:r>
        <w:rPr>
          <w:rFonts w:ascii="Times New Roman" w:hAnsi="Times New Roman"/>
          <w:b/>
          <w:sz w:val="24"/>
        </w:rPr>
        <w:lastRenderedPageBreak/>
        <w:t>ΜΕΡΟΣ II: ΟΔΗΓΙΕΣ ΣΧΕΤΙΚΑ ΜΕ ΤΑ ΥΠΟΔΕΙΓΜΑΤΑ</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266551"/>
      <w:r>
        <w:rPr>
          <w:rFonts w:ascii="Times New Roman" w:hAnsi="Times New Roman"/>
          <w:b/>
          <w:sz w:val="24"/>
        </w:rPr>
        <w:t>1.</w:t>
      </w:r>
      <w:r>
        <w:tab/>
      </w:r>
      <w:r>
        <w:rPr>
          <w:rFonts w:ascii="Times New Roman" w:hAnsi="Times New Roman"/>
          <w:b/>
          <w:sz w:val="24"/>
        </w:rPr>
        <w:t>Μαθηματικοί τύποι για τον υπολογισμό του δείκτη μόχλευσης</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Ο δείκτης μόχλευσης βασίζεται σε ένα μέτρο κεφαλαίου και σε ένα μέτρο συνολικού ανοίγματος, που μπορούν να υπολογιστούν βάσει των κελιών από το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Δείκτης μόχλευσης – με τη χρήση του ορισμού πλήρους εφαρμογής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Δείκτης μόχλευσης – με τη χρήση του μεταβατικού ορισμού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266552"/>
      <w:bookmarkEnd w:id="39"/>
      <w:r>
        <w:rPr>
          <w:rFonts w:ascii="Times New Roman" w:hAnsi="Times New Roman"/>
          <w:b/>
          <w:sz w:val="24"/>
        </w:rPr>
        <w:t>2.</w:t>
      </w:r>
      <w:r>
        <w:tab/>
      </w:r>
      <w:r>
        <w:rPr>
          <w:rFonts w:ascii="Times New Roman" w:hAnsi="Times New Roman"/>
          <w:b/>
          <w:sz w:val="24"/>
        </w:rPr>
        <w:t>Κατώτατα επίπεδα σημαντικότητας για παράγωγα</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Προκειμένου να μειωθεί ο φόρτος εργασίας τον οποίο συνεπάγεται η υποβολή αναφορών από ιδρύματα με περιορισμένα ανοίγματα σε παράγωγα, χρησιμοποιούνται τα ακόλουθα μέτρα για να εκτιμηθεί η σχετική σημασία των ανοιγμάτων σε παράγωγα στο συνολικό άνοιγμα του δείκτη μόχλευσης. Τα ιδρύματα υπολογίζουν τα εν λόγω μέτρα ως εξής</w:t>
      </w:r>
      <w:bookmarkStart w:id="45" w:name="_Toc322533853"/>
      <w:bookmarkEnd w:id="43"/>
      <w:r>
        <w:rPr>
          <w:rFonts w:ascii="Times New Roman" w:hAnsi="Times New Roman"/>
          <w:sz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 xml:space="preserve">Μερίδιο παραγώγων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Όπου το μέτρο του ανοίγματος σε παράγωγα ισούται με: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Όταν το μέτρο του συνολικού ανοίγματος ισούται με: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Συνολικό ονομαστικό ποσό στο οποίο αναφέρονται τα παράγωγα = {LR1,0010,0070}. Αυτό το κελί αναφέρεται πάντα από τα ιδρύματα.</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Όγκος πιστωτικών παραγώγων = {LR1,0020,0070} + {LR1,0050,0070}. Αυτά τα κελιά αναφέρονται πάντα από τα ιδρύματα.</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Τα ιδρύματα υποχρεούνται να αναφέρουν τα κελιά που αναφέρονται στην παράγραφο 13, εφόσον πληρούται οποιαδήποτε από τις ακόλουθες προϋποθέσεις:</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το μερίδιο παραγώγων που αναφέρεται στην παράγραφο 5 είναι μεγαλύτερο από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το μερίδιο παραγώγων που αναφέρεται στην παράγραφο 5 υπερβαίνει το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Εφαρμόζονται τα κριτήρια ένταξης και απένταξης του άρθρου 4 του παρόντος κανονισμού, με εξαίρεση το στοιχείο β), οπότε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11.</w:t>
      </w:r>
      <w:r>
        <w:tab/>
      </w:r>
      <w:r>
        <w:rPr>
          <w:rFonts w:ascii="Times New Roman" w:hAnsi="Times New Roman"/>
          <w:sz w:val="24"/>
        </w:rPr>
        <w:t>Ιδρύματα για τα οποία το συνολικό ονομαστικό ποσό στο οποίο αναφέρονται τα παράγωγα, όπως ορίζεται στην παράγραφο 8, υπερβαίνει τα 10 δισ. EUR οφείλουν να υποβάλλουν στοιχεία για τα κελιά που αναφέρονται στην παράγραφο 13, παρότι το μερίδιο παραγώγων τους δεν πληροί τις προϋποθέσεις που περιγράφονται στην παράγραφο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rPr>
        <w:t>Τα κριτήρια ένταξης του άρθρου 4</w:t>
      </w:r>
      <w:r>
        <w:rPr>
          <w:sz w:val="24"/>
        </w:rPr>
        <w:t xml:space="preserve"> </w:t>
      </w:r>
      <w:r>
        <w:rPr>
          <w:rFonts w:ascii="Times New Roman" w:hAnsi="Times New Roman"/>
          <w:sz w:val="24"/>
        </w:rPr>
        <w:t>του παρόντος κανονισμού δεν εφαρμόζονται.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Τα ιδρύματα υποχρεούνται να αναφέρουν τα κελιά που αναφέρονται στην παράγραφο 14, εφόσον πληρούται οποιαδήποτε από τις ακόλουθες προϋποθέσεις:</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ο όγκος των πιστωτικών παραγώγων που αναφέρεται στην παράγραφο 9 υπερβαίνει τα 300 εκατ.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ο όγκος των πιστωτικών παραγώγων που αναφέρεται στην παράγραφο 9 υπερβαίνει τα 500 εκατ. EUR.</w:t>
      </w:r>
    </w:p>
    <w:p w14:paraId="3B88084F" w14:textId="34241752" w:rsidR="00F4754B" w:rsidRPr="000B66BC" w:rsidRDefault="00242493" w:rsidP="000B66BC">
      <w:pPr>
        <w:pStyle w:val="InstructionsText2"/>
        <w:numPr>
          <w:ilvl w:val="0"/>
          <w:numId w:val="0"/>
        </w:numPr>
        <w:ind w:left="709" w:firstLine="11"/>
        <w:rPr>
          <w:sz w:val="24"/>
        </w:rPr>
      </w:pPr>
      <w:r>
        <w:rPr>
          <w:sz w:val="24"/>
        </w:rPr>
        <w:t>Εφαρμόζονται τα κριτήρια ένταξης και απένταξης του άρθρου 4 του παρόντος κανονισμού, με εξαίρεση το στοιχείο β), οπότε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Τα κελιά που πρέπει να αναφέρονται από τα ιδρύματα σύμφωνα με τις παραγράφους 10 και 11 είναι τα ακόλουθα: {LR1,0010,0010}, {LR1,0010,0020}, {LR1,0020,0010}, {LR1,0020,0020}, {LR1,0030,0070}, {LR1,0040,0070}, {LR1,0050,0010}, {LR1,0050,0020}, {LR1,0060,0010}, {LR1,0060,0020}, και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Τα κελιά που πρέπει να αναφέρονται από τα ιδρύματα σύμφωνα με την παράγραφο 12 είναι τα ακόλουθα: {LR1,0020,0075}, {LR1,0050,0075} και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266553"/>
      <w:bookmarkEnd w:id="46"/>
      <w:r>
        <w:rPr>
          <w:rFonts w:ascii="Times New Roman" w:hAnsi="Times New Roman"/>
          <w:b/>
          <w:sz w:val="24"/>
        </w:rPr>
        <w:t>3.</w:t>
      </w:r>
      <w:r>
        <w:tab/>
      </w:r>
      <w:r>
        <w:rPr>
          <w:rFonts w:ascii="Times New Roman" w:hAnsi="Times New Roman"/>
          <w:b/>
          <w:sz w:val="24"/>
        </w:rPr>
        <w:t>C 47.00 – Υπολογισμός του δείκτη μόχλευσης</w:t>
      </w:r>
      <w:bookmarkEnd w:id="47"/>
      <w:bookmarkEnd w:id="48"/>
      <w:r>
        <w:rPr>
          <w:rFonts w:ascii="Times New Roman" w:hAnsi="Times New Roman"/>
          <w:b/>
          <w:sz w:val="24"/>
        </w:rPr>
        <w:t xml:space="preserve"> (LRCalc)</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Σε αυτό το υπόδειγμα συγκεντρώνονται τα στοιχεία που απαιτούνται για τον υπολογισμό του δείκτη μόχλευσης, όπως ορίζεται στο έβδομο μέρος του κανονισμού (ΕΕ) αριθ.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Τα ιδρύματα υποβάλλουν την αναφορά του δείκτη μόχλευσης σε τριμηνιαία βάση. Σε κάθε τρίμηνο, ως αξία «κατά την ημερομηνία αναφοράς για την υποβολή αναφορών» νοείται η αξία κατά την τελευταία ημερολογιακή ημέρα του τρίτου μήνα του αντίστοιχου τριμήνου.</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 xml:space="preserve">Τα ιδρύματα αναφέρουν τα στοιχεία στην ενότητα Αξίες ανοίγματος με θετικό πρόσημο σύμφωνα με τους κανόνες χρήσης προσήμου του παρόντος παραρτήματος μέρος Ι παράγραφος 9 (εξαιρούνται τα στοιχεία {LRCalc,0270,0010} και {LRCalc,0280,0010}), ως εάν να μην εφαρμόζονταν τα στοιχεία με αρνητικό πρόσημο </w:t>
      </w:r>
      <w:r>
        <w:rPr>
          <w:rFonts w:ascii="Times New Roman" w:hAnsi="Times New Roman"/>
          <w:sz w:val="24"/>
        </w:rPr>
        <w:lastRenderedPageBreak/>
        <w:t>(για παράδειγμα, εξαιρέσεις/αφαιρέσεις) σύμφωνα με τους κανόνες χρήσης προσήμου του παρόντος παραρτήματος μέρος Ι παράγραφος 9.</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Οποιοδήποτε ποσό αυξάνει τα ίδια κεφάλαια ή το άνοιγμα του δείκτη μόχλευσης αναφέρεται ως θετικό. Αντιθέτως, οποιοδήποτε ποσό μειώνει τα συνολικά ίδια κεφάλαια ή το άνοιγμα του δείκτη μόχλευσης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69E62B50" w14:textId="0E030492" w:rsidR="00EC3422" w:rsidRPr="000B66BC" w:rsidRDefault="006A4991" w:rsidP="009339D1">
      <w:pPr>
        <w:pStyle w:val="InstructionsText2"/>
        <w:numPr>
          <w:ilvl w:val="0"/>
          <w:numId w:val="0"/>
        </w:numPr>
        <w:ind w:left="720" w:hanging="360"/>
        <w:rPr>
          <w:sz w:val="24"/>
        </w:rPr>
      </w:pPr>
      <w:r>
        <w:rPr>
          <w:sz w:val="24"/>
        </w:rPr>
        <w:t>19. Όταν ένα ποσό πληροί τις προϋποθέσεις για αφαίρεση βάσει πολλαπλών αιτιολογιών, το ποσό μειώνεται από το άνοιγμα σε μία μόνο από τις γραμμές του υποδείγματος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Νομικά κείμενα αναφοράς και οδηγίες</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Γραμμή και στήλη</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Αξίες ανοίγματος</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ΣΧΤ: Αξία ανοίγματος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Άρθρο 429β παράγραφος 1 στοιχείο β) και παράγραφοι 4 και 5 του κανονισμού (ΕΕ) αριθ.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Το άνοιγμα για τις ΣΧΤ υπολογιζόμενο σύμφωνα με το άρθρο 429β παράγραφος 1 στοιχείο β) και παράγραφοι 4 και 5 του κανονισμού (ΕΕ) αριθ.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λαμβάνουν υπόψη σε αυτό το κελί συναλλαγές σύμφωνα με το άρθρο 429ε παράγραφος 7 στοιχείο γ) του κανονισμού (ΕΕ) αριθ.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Τα ιδρύματα δεν συμπεριλαμβάνουν σε αυτό το κελί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κανονισμού (ΕΕ) αριθ.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ΣΧΤ: Προσαύξηση για πιστωτικό κίνδυνο αντισυμβαλλομένου</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Άρθρο 429ε παράγραφος 1 του κανονισμού (ΕΕ) αριθ.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Η προσαύξηση για τον πιστωτικό κίνδυνο αντισυμβαλλομένου των ΣΧΤ, συμπεριλαμβανομένων εκείνων που είναι εκτός ισολογισμού, </w:t>
            </w:r>
            <w:r>
              <w:rPr>
                <w:rFonts w:ascii="Times New Roman" w:hAnsi="Times New Roman"/>
                <w:sz w:val="24"/>
              </w:rPr>
              <w:lastRenderedPageBreak/>
              <w:t>προσδιορίζεται σύμφωνα με το άρθρο 429ε παράγραφος 2 ή 3 και παράγραφος 4 του κανονισμού (ΕΕ) αριθ. 575/2013, κατά περίπτωση.</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λαμβάνουν υπόψη σε αυτό το κελί συναλλαγές σύμφωνα με το άρθρο 429ε παράγραφος 7 στοιχείο γ) του κανονισμού (ΕΕ) αριθ.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δεν συμπεριλαμβάνουν σε αυτό το κελί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κανονισμού (ΕΕ) αριθ. 575/2013. Αντ’ αυτού, τα ιδρύματα περιλαμβάνουν τα στοιχεία αυτά στο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Παρέκκλιση για ΣΧΤ: Προσαύξηση σύμφωνα με το άρθρο 429ε παράγραφος 5 και το άρθρο 222 του ΚΚΑ</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Άρθρο 429ε παράγραφος 5 και άρθρο 222 του κανονισμού (ΕΕ) αριθ.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Η αξία ανοίγματος για ΣΧΤ, συμπεριλαμβανομένων εκείνων που είναι εκτός ισολογισμού, υπολογίζεται σύμφωνα με το άρθρο 222 του κανονισμού (ΕΕ) αριθ. 575/2013, και υπόκειται σε κατώτατο όριο 20 % για τον εφαρμοστέο συντελεστή στάθμισης κινδύνου.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λαμβάνουν υπόψη σε αυτό το κελί συναλλαγές σύμφωνα με το άρθρο 429ε παράγραφος 7 στοιχείο γ) του κανονισμού (ΕΕ) αριθ.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δεν λαμβάνουν υπόψη σε αυτό το κελί συναλλαγές για τις οποίες το τμήμα προσαύξησης της τιμής του ανοίγματος του δείκτη μόχλευσης προσδιορίζεται σύμφωνα με τη μέθοδο που αναφέρεται στο άρθρο 429ε παράγραφος 1 του κανονισμού (ΕΕ) αριθ.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Πιστωτικός κίνδυνος αντισυμβαλλομένου για ΣΧΤ αντιπροσώπου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Άρθρο 429ε παράγραφος 7 στοιχείο α) και παράγραφοι 2 και 3 του κανονισμού (ΕΕ) αριθ.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Η αξία ανοίγματος για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κανονισμού (ΕΕ) αριθ. 575/2013, αποτελείται μόνον από την προσαύξηση που προσδιορίζεται σύμφωνα με το άρθρο 429ε παράγραφος 2 ή 3 του κανονισμού (ΕΕ) αριθ. 575/2013, κατά περίπτωση.</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Τα ιδρύματα δεν περιλαμβάνουν σε αυτό το κελί συναλλαγές σύμφωνα με το άρθρο 429ε παράγραφος 7 στοιχείο γ). Αντ’ αυτού, τα ιδρύματα περιλαμβάνουν τα στοιχεία αυτά στα {0010,0010} και {0020,0010} ή {0010,0010} και {0030,0010}, κατά περίπτωση.</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Απαλλασσόμενο σκέλος κεντρικού αντισυμβαλλομένου (CCP) των ανοιγμάτων διαπραγμάτευσης ΣΧΤ που εκκαθαρίζονται για πελάτη</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και άρθρο 306 παράγραφος 1 στοιχείο γ) του κανονισμού (ΕΕ) αριθ.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Το απαλλασσόμενο σκέλος CCP εκκαθαριζόμενων για πελάτη ανοιγμάτων σε ΣΧΤ, εφόσον τα στοιχεία αυτά πληρούν τις προϋποθέσεις που προβλέπονται στο άρθρο 306 παράγραφος 1 στοιχείο γ) του κανονισμού (ΕΕ) αριθ.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Όταν το απαλλασσόμενο σκέλος CCP είναι τίτλος, δεν αναφέρεται σε αυτό το κελί, εκτός εάν πρόκειται για εκ νέου ενεχυριασθέντα τίτλο ο οποίος, βάσει του εφαρμοστέου λογιστικού πλαισίου [δηλαδή σύμφωνα με το άρθρο 111 παράγραφος 1 πρώτη περίοδος του κανονισμού (ΕΕ) αριθ. 575/2013], συμπεριλαμβάνεται στην πλήρη αξία.</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περιλαμβάνουν επίσης, ως εάν να μην ίσχυε καμία εξαίρεση, το ποσό που αναφέρεται σε αυτό το κελί στα {0010;0010}, {0020;0010} και {0030;0010}, και επιπλέον στο {0190;0010} εάν πρόκειται για εκ νέου ενεχυριασθέντα τίτλο ο οποίος, βάσει του εφαρμοστέου λογιστικού πλαισίου, συμπεριλαμβάνεται στην πλήρη αξία.</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έχει καταθέσει αρχικό περιθώριο για ένα απαλλασσόμενο σκέλος ΣΧΤ που αναφέρεται στο {0190,0010} και όχι στο {0020,0010} ή στο {0030,0010}, τότε το ίδρυμα μπορεί να το αναφέρει σε αυτό το κελί.</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Παράγωγα: συνεισφορά του κόστους αντικατάστασης με βάση την SA-CCR (χωρίς την επίπτωση των εξασφαλίσεων στο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1 του κανονισμού (ΕΕ) αριθ.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Το κόστος αντικατάστασης σύμφωνα με το άρθρο 275 του κανονισμού (ΕΕ) αριθ. 575/2013 χωρίς την επίπτωση των εξασφαλίσεων στο NICA και χωρίς την επίπτωση οποιουδήποτε περιθωρίου διαφοράς αποτίμησης. Τα ιδρύματα δεν εφαρμόζουν τις παρεκκλίσεις του άρθρου 429γ παράγραφοι 3 και 4 και του άρθρου 429α παράγραφος 1 στοιχείο ζ) του κανονισμού (ΕΕ) αριθ. 575/2013 για τους σκοπούς του παρόντος κελιού. Το ποσό αναφέρεται με εφαρμογή του συντελεστή άλφα 1,4 όπως προσδιορίζεται στο άρθρο 274 παράγραφος 2 του κανονισμού (ΕΕ) αριθ.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 xml:space="preserve">Όπως προσδιορίζεται στο άρθρο 429γ παράγραφος 1 του κανονισμού (ΕΕ) αριθ. 575/2013, τα ιδρύματα δύνανται να λαμβάνουν υπόψη τις επιπτώσεις των συμβάσεων ανανέωσης οφειλής και άλλων συμφωνιών συμψηφισμού, σύμφωνα με το άρθρο 295 του κανονισμού (ΕΕ) αριθ. 575/2013. Δεν </w:t>
            </w:r>
            <w:r>
              <w:rPr>
                <w:rFonts w:ascii="Times New Roman" w:hAnsi="Times New Roman"/>
                <w:sz w:val="24"/>
              </w:rPr>
              <w:lastRenderedPageBreak/>
              <w:t>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κανονισμού (ΕΕ) αριθ. 575/2013, και τα πιστωτικά παράγωγα, όταν υπόκεινται σε συμφωνία συμβατικού συμψηφισμού μεταξύ προϊόντων που αναφέρεται στο άρθρο 295 στοιχείο γ) του κανονισμού (ΕΕ) αριθ.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περιλαμβάνουν όλα τα πιστωτικά παράγωγα, και όχι μόνον αυτά που περιλαμβάνονται στο χαρτοφυλάκιο συναλλαγών.</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Τα ιδρύματα δεν λαμβάνουν υπόψη σε αυτό το κελί συμβάσεις που επιμετρώνται με εφαρμογή της απλουστευμένης τυποποιημένης προσέγγισης ή της μεθόδου αρχικού ανοίγματος.</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της αναγνώρισης των εξασφαλίσεων στο NICA σχετικά με συναλλαγές που εκκαθαρίζονται για πελάτη από QCCP (SA-CCR – κόστος αντικατάστασης)</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παράγραφοι 4 και 4α του κανονισμού (ΕΕ) αριθ.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Εφαρμογή της παρέκκλισης του άρθρου 429γ παράγραφος 4 του κανονισμού (ΕΕ) αριθ. 575/2013 σε συνδυασμό με την παράγραφο 4α του ίδιου άρθρου σχετικά με τον υπολογισμό του κόστους αντικατάστασης για συμβάσεις παραγώγων με πελάτες, εφόσον οι εν λόγω συμβάσεις εκκαθαρίζονται από QCCP. Το ποσό αναφέρεται με εφαρμογή του συντελεστή άλφα 1,4 όπως προσδιορίζεται στο άρθρο 274 παράγραφος 2 του κανονισμού (ΕΕ) αριθ.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περιλαμβάνουν το ποσό που αναφέρεται σε αυτό το κελί και στο {0061,0010}, ως εάν να μην εφαρμοζόταν παρέκκλιση.</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του επιλέξιμου περιθωρίου διαφορών αποτίμησης που λαμβάνεται τοις μετρητοίς αντισταθμιζόμενο έναντι παραγώγων αγοραίας αξίας (SA-CCR – κόστος αντικατάστασης)</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3 του κανονισμού (ΕΕ) αριθ.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Περιθώριο διαφορών αποτίμησης που εισπράττεται τοις μετρητοίς από τον αντισυμβαλλόμενο, που έχει επιλεγεί για συμψηφισμό έναντι του τμήματος κόστους αντικατάστασης του ανοίγματος παραγώγων, σύμφωνα με το άρθρο 429γ παράγραφος 3 του κανονισμού (ΕΕ) αριθ. 575/2013. Το ποσό αναφέρεται με εφαρμογή του συντελεστή άλφα 1,4 όπως προσδιορίζεται στο άρθρο 274 παράγραφος 2 του κανονισμού (ΕΕ) αριθ.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Δεν αναφέρεται κανένα περιθώριο διαφορών αποτίμησης που έχει ληφθεί σε απαλλασσόμενο σκέλος κεντρικού αντισυμβαλλομένου, σύμφωνα με το άρθρο 429α παράγραφος 1 στοιχείο ζ) του κανονισμού (ΕΕ) αριθ. 575/2013.</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Τα ιδρύματα περιλαμβάνουν το ποσό που αναφέρεται σε αυτό το κελί και στο {0061,0010}, ως εάν να μην εφαρμοζόταν αφαίρεση από το περιθώριο διαφορών αποτίμησης τοις μετρητοίς.</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του απαλλασσόμενου σκέλους CCP των ανοιγμάτων διαπραγμάτευσης που εκκαθαρίζονται για πελάτη (SA-CCR – κόστος αντικατάστασης)</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του κανονισμού (ΕΕ) αριθ.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Το τμήμα του κόστους αντικατάστασης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κανονισμού (ΕΕ) αριθ. 575/2013. Το ποσό αυτό αναφέρεται μικτό με το περιθώριο διαφορών αποτίμησης που λαμβάνεται σε αυτό το σκέλος. Το ποσό αναφέρεται με εφαρμογή του συντελεστή άλφα 1,4 όπως προσδιορίζεται στο άρθρο 274 παράγραφος 2 του κανονισμού (ΕΕ) αριθ.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περιλαμβάνουν το ποσό που αναφέρεται σε αυτό το κελί και στο {0061,0010}, ως εάν να μην εφαρμοζόταν εξαίρεση.</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Παράγωγα: Συνεισφορά του ενδεχόμενου μελλοντικού ανοίγματος στην SA-CCR (πολλαπλασιαστής ίσος με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5 του κανονισμού (ΕΕ) αριθ.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Το ενδεχόμενο μελλοντικό άνοιγμα σύμφωνα με το άρθρο 278 του κανονισμού (ΕΕ) αριθ. 575/2013 εάν θεωρηθεί ότι ο πολλαπλασιαστής ισούται με 1, δηλαδή χωρίς την εφαρμογή της παρέκκλισης του άρθρου 429γ παράγραφος 5 του κανονισμού (ΕΕ) αριθ. 575/2013 που αφορά συμβάσεις με πελάτες, εφόσον οι εν λόγω συμβάσεις εκκαθαρίζονται από QCCP. Το ποσό αναφέρεται με εφαρμογή του συντελεστή άλφα 1,4 όπως προσδιορίζεται στο άρθρο 274 παράγραφος 2 του κανονισμού (ΕΕ) αριθ.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του χαμηλότερου πολλαπλασιαστή για συναλλαγές που εκκαθαρίζονται για πελάτη από QCCP στη συνεισφορά του PFE (SA-CCR – ενδεχόμενο μελλοντικό άνοιγμα)</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5 του κανονισμού (ΕΕ) αριθ.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Εφαρμογή της παρέκκλισης του άρθρου 429γ παράγραφος 5 του κανονισμού (ΕΕ) αριθ. 575/2013 σχετικά με τον υπολογισμό του PFE για συμβάσεις παραγώγων με πελάτες, εφόσον οι εν λόγω συμβάσεις εκκαθαρίζονται από QCCP. Το ποσό αναφέρεται με εφαρμογή του συντελεστή άλφα 1,4 όπως προσδιορίζεται στο άρθρο 274 παράγραφος 2 του κανονισμού (ΕΕ) αριθ.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Τα ιδρύματα περιλαμβάνουν το ποσό που αναφέρεται σε αυτό το κελί και στο {0091,0010}, ως εάν να μην εφαρμοζόταν παρέκκλιση.</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lastRenderedPageBreak/>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Επίπτωση του απαλλασσόμενου σκέλους CCP των ανοιγμάτων διαπραγμάτευσης που εκκαθαρίζονται για πελάτη (προσέγγιση SA-CCR – ενδεχόμενο μελλοντικό άνοιγμα)</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του κανονισμού (ΕΕ) αριθ.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Το ενδεχόμενο μελλοντικό άνοιγμα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κανονισμού (ΕΕ) αριθ. 575/2013. Το ποσό αναφέρεται με εφαρμογή του συντελεστή άλφα 1,4 όπως προσδιορίζεται στο άρθρο 274 παράγραφος 2 του κανονισμού (ΕΕ) αριθ.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περιλαμβάνουν το ποσό που αναφέρεται σε αυτό το κελί και στο {0091,0010}, ως εάν να μην εφαρμοζόταν εξαίρεση.</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Παρέκκλιση για παράγωγα: συνεισφορά του κόστους αντικατάστασης στο πλαίσιο της απλουστευμένης τυποποιημένης προσέγγισης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6 και άρθρο 281 του κανονισμού (ΕΕ) αριθ.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Σε αυτό το κελί παρέχεται το μέτρο του ανοίγματος των συμβάσεων που απαριθμούνται στα σημεία 1 και 2 του παραρτήματος II του κανονισμού (ΕΕ) αριθ. 575/2013, που υπολογίζεται σύμφωνα με την απλουστευμένη τυποποιημένη προσέγγιση, η οποία προβλέπεται στο άρθρο 281 του κανονισμού (ΕΕ) αριθ. 575/2013. Το ποσό αναφέρεται με εφαρμογή του συντελεστή άλφα 1,4 όπως προσδιορίζεται στο άρθρο 274 παράγραφος 2 του κανονισμού (ΕΕ) αριθ.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κανονισμού (ΕΕ) αριθ. 575/2013. Επομένως, δεν εφαρμόζεται η εξαίρεση του άρθρου 429γ παράγραφος 4 του κανονισμού (ΕΕ) αριθ. 575/2013 για συμβάσεις παραγώγων με πελάτες, εφόσον οι εν λόγω συμβάσεις εκκαθαρίζονται από QCCP.</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δεν λαμβάνουν υπόψη σε αυτό το κελί συμβάσεις που επιμετρώνται με εφαρμογή της SA-CCR ή της μεθόδου αρχικού ανοίγματος.</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του απαλλασσόμενου σκέλους CCP των ανοιγμάτων διαπραγμάτευσης που εκκαθαρίζονται για πελάτη (απλουστευμένη τυποποιημένη προσέγγιση – κόστη αντικατάστασης)</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Άρθρο 429α παράγραφος 1 στοιχείο ζ) του κανονισμού (ΕΕ) αριθ.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τμήμα του κόστους αντικατάστασης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κανονισμού (ΕΕ) αριθ. 575/2013. Το ποσό αυτό αναφέρεται μικτό με το περιθώριο διαφορών αποτίμησης που λαμβάνεται σε αυτό το σκέλος. Το ποσό αναφέρεται με εφαρμογή του συντελεστή άλφα 1,4 όπως προσδιορίζεται στο άρθρο 274 παράγραφος 2 του κανονισμού (ΕΕ) αριθ.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περιλαμβάνουν το ποσό που αναφέρεται σε αυτό το κελί και στο {0101,0010}, ως εάν να μην εφαρμοζόταν εξαίρεση.</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Παρέκκλιση για παράγωγα: Συνεισφορά του ενδεχόμενου μελλοντικού ανοίγματος στο πλαίσιο της απλουστευμένης τυποποιημένης προσέγγισης (πολλαπλασιαστής ίσος με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Άρθρο 281 παράγραφος 2 στοιχείο στ) και άρθρο 429γ παράγραφος 6 του κανονισμού (ΕΕ) αριθ. 575/2013. Το ενδεχόμενο μελλοντικό άνοιγμα σύμφωνα με την απλουστευμένη τυποποιημένη προσέγγιση που προβλέπεται στο άρθρο 281 του κανονισμού (ΕΕ) αριθ. 575/2013, εάν θεωρηθεί ότι ο πολλαπλασιαστής ισούται με 1. Το ποσό αναφέρεται με εφαρμογή του συντελεστή άλφα 1,4 όπως προσδιορίζεται στο άρθρο 274 παράγραφος 2 του κανονισμού (ΕΕ) αριθ.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κανονισμού (ΕΕ) αριθ.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Επίπτωση του απαλλασσόμενου σκέλους CCP των ανοιγμάτων διαπραγμάτευσης που εκκαθαρίζονται για πελάτη (απλουστευμένη τυποποιημένη προσέγγιση – ενδεχόμενο μελλοντικό άνοιγμα)</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του κανονισμού (ΕΕ) αριθ.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Το ενδεχόμενο μελλοντικό άνοιγμα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κανονισμού (ΕΕ) αριθ. 575/2013. Το ποσό αναφέρεται με εφαρμογή του συντελεστή άλφα 1,4 όπως προσδιορίζεται στο άρθρο 274 παράγραφος 2 του κανονισμού (ΕΕ) αριθ.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περιλαμβάνουν το ποσό που αναφέρεται σε αυτό το κελί και στο {0103,0010}, ως εάν να μην εφαρμοζόταν εξαίρεση.</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Παρέκκλιση για παράγωγα: μέθοδος αρχικού ανοίγματος</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6 και άρθρο 282 του κανονισμού (ΕΕ) αριθ.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Στο κελί αυτό παρέχεται το μέτρο του ανοίγματος των συμβάσεων που απαριθμούνται στα σημεία 1 και 2 του παραρτήματος II του κανονισμού (ΕΕ) αριθ. 575/2013, που υπολογίζεται σύμφωνα με τη μέθοδο αρχικού ανοίγματος, η οποία προβλέπεται στο άρθρο 282 του κανονισμού (ΕΕ) αριθ.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που εφαρμόζουν τη μέθοδο αρχικού ανοίγματος δεν μειώνουν το μέτρο συνολικού ανοίγματος κατά το ποσό του περιθωρίου που έχουν εισπράξει σύμφωνα με το άρθρο 429γ παράγραφος 6 του κανονισμού (ΕΕ) αριθ.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που δεν χρησιμοποιούν τη μέθοδο αρχικού ανοίγματος δεν αναφέρουν το κελί αυτό.</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Τα ιδρύματα δεν λαμβάνουν υπόψη σε αυτό το κελί συμβάσεις που επιμετρώνται με εφαρμογή της SA-CCR ή της απλουστευμένης τυποποιημένης προσέγγισης.</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Απαλλασσόμενο σκέλος CCP των ανοιγμάτων διαπραγμάτευσης που εκκαθαρίζονται για πελάτη (μέθοδος αρχικού ανοίγματος)</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του κανονισμού (ΕΕ) αριθ.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απαλλασσόμενο σκέλος CCP των ανοιγμάτων διαπραγμάτευσης που εκκαθαρίζονται για πελάτη, όταν εφαρμόζεται η μέθοδος αρχικού ανοίγματος που καθορίζεται στο άρθρο 282 του κανονισμού (ΕΕ) αριθ. 575/2013, εφόσον τα στοιχεία αυτά πληρούν τις προϋποθέσεις που προβλέπονται στο άρθρο 306 παράγραφος 1 στοιχείο γ) του κανονισμού (ΕΕ) αριθ.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περιλαμβάνουν το ποσό που αναφέρεται σε αυτό το κελί και στο {0110,0010}, ως εάν να μην εφαρμοζόταν εξαίρεση.</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Ανώτατη ονομαστική αξία πωληθέντων πιστωτικών παραγώγων</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429δ του κανονισμού (ΕΕ) αριθ.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προσδιορίζουν την ανώτατη ονομαστική αξία των πωληθέντων πιστωτικών παραγώγων, όπως ορίζονται στο άρθρο 429δ παράγραφος 1, σύμφωνα με το άρθρο 429δ του κανονισμού (ΕΕ) αριθ.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Αντιστάθμιση επιλέξιμων αγορασθέντων πιστωτικών παραγώγων έναντι πωληθέντων πιστωτικών παραγώγων</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429δ του κανονισμού (ΕΕ) αριθ.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Το ανώτατο ονομαστικό ποσό αγορασθέντων πιστωτικών παραγώγων (δηλαδή όταν το ίδρυμα αγοράζει πιστωτική προστασία από αντισυμβαλλόμενο) για τα ίδια ονόματα αναφοράς με εκείνα των πιστωτικών παραγώγων τα οποία πωλεί το ίδρυμα, και εφόσον η εναπομένουσα ληκτότητα της αγορασθείσας προστασίας είναι ίση ή μεγαλύτερη από την εναπομένουσα ληκτότητα της πωληθείσας προστασίας. Ως εκ τούτου, η αξία δεν υπερβαίνει την αξία που αναγράφεται στο {0130,0010} για κάθε όνομα αναφοράς.</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Στοιχεία εκτός ισολογισμού με συντελεστή πιστωτικής μετατροπής (CCF) 10 %, σύμφωνα με το άρθρο 429στ του ΚΚΑ</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Η αξία ανοίγματος σύμφωνα με το άρθρο 429στ, το άρθρο 111 παράγραφος 2 στοιχείο ε) και παράγραφος 3 του κανονισμού (ΕΕ) αριθ.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Κανονισμός (ΕΕ) αριθ.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Υπενθυμίζεται ότι η ονομαστική αξία δεν επιτρέπεται να μειωθεί κατά τις ειδικές προσαρμογές πιστωτικού κινδύνου πριν από την εφαρμογή του CCF</w:t>
            </w:r>
            <w:r>
              <w:rPr>
                <w:sz w:val="24"/>
              </w:rPr>
              <w:t xml:space="preserve">. </w:t>
            </w:r>
            <w:r>
              <w:rPr>
                <w:rFonts w:ascii="Times New Roman" w:hAnsi="Times New Roman"/>
                <w:sz w:val="24"/>
              </w:rPr>
              <w:t>Σύμφωνα με 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Όταν μια δέσμευση αφορά την επέκταση άλλου εκτός ισολογισμού στοιχείου, χρησιμοποιείται ο χαμηλότερος από τους δύο συντελεστές μετατροπής (που συνδέεται με το στοιχείο επί του οποίου πραγματοποιείται η δέσμευση ή με το είδος της αναληφθείσας δέσμευσης) σύμφωνα με το άρθρο 111 παράγραφος 3 του κανονισμού (ΕΕ) αριθ.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Τα ιδρύματα δεν λαμβάνουν υπόψη σε αυτό το κελί συμβάσεις οι οποίες παρατίθενται στο παράρτημα II του κανονισμού (ΕΕ) αριθ. 575/2013, πιστωτικά παράγωγα, ΣΧΤ και θέσεις που αναφέρονται στο άρθρο 429δ σύμφωνα με το άρθρο 429στ του κανονισμού (ΕΕ) αριθ.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 xml:space="preserve">Τα ιδρύματα εφαρμόζουν συντελεστή πιστωτικής μετατροπής 10 % για τις UCC, </w:t>
            </w:r>
            <w:r>
              <w:rPr>
                <w:rFonts w:ascii="Times New Roman" w:hAnsi="Times New Roman"/>
                <w:color w:val="auto"/>
                <w:sz w:val="24"/>
              </w:rPr>
              <w:t>σύμφωνα με το άρθρο 429στ παράγραφος 3</w:t>
            </w:r>
            <w:r>
              <w:rPr>
                <w:rFonts w:ascii="Times New Roman" w:hAnsi="Times New Roman"/>
                <w:sz w:val="24"/>
              </w:rPr>
              <w:t>.</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Στοιχεία εκτός ισολογισμού με συντελεστή πιστωτικής μετατροπής (CCF) 20 %, σύμφωνα με το άρθρο 429στ του ΚΚΑ</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Η αξία ανοίγματος σύμφωνα με το άρθρο 429στ, το άρθρο 111 παράγραφος 2 στοιχείο δ) και παράγραφος 3 του κανονισμού (ΕΕ) αριθ.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Κανονισμός (ΕΕ) αριθ. 575/2013 Υπενθυμίζεται ότι η ονομαστική αξία δεν επιτρέπεται να μειωθεί κατά τις ειδικές προσαρμογές πιστωτικού κινδύνου πριν από την εφαρμογή του CCF. Σύμφωνα με το άρθρο 429στ παράγραφος 2, τα ιδρύματα μπορούν να μειώσουν το ισοδύναμο του πιστωτικού ανοίγματος ποσό ενός εκτός ισολογισμού στοιχείου κατά το </w:t>
            </w:r>
            <w:r>
              <w:rPr>
                <w:rFonts w:ascii="Times New Roman" w:hAnsi="Times New Roman"/>
                <w:sz w:val="24"/>
              </w:rPr>
              <w:lastRenderedPageBreak/>
              <w:t>αντίστοιχο ποσό των ειδικών προσαρμογών πιστωτικού κινδύνου. Ο υπολογισμός αυτός υπόκειται σε κατώτατο όριο μηδέν.</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Όταν μια δέσμευση αφορά την επέκταση άλλου στοιχείου εκτός ισολογισμού, χρησιμοποιείται ο χαμηλότερος από τους δύο συντελεστές μετατροπής (που συνδέεται με το στοιχείο επί του οποίου πραγματοποιείται η δέσμευση ή με το είδος της αναληφθείσας δέσμευσης) σύμφωνα με το άρθρο 111 παράγραφος 3 του κανονισμού (ΕΕ) αριθ.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δεν λαμβάνουν υπόψη σε αυτό το κελί συμβάσεις οι οποίες παρατίθενται στο παράρτημα II του κανονισμού (ΕΕ) αριθ. 575/2013, πιστωτικά παράγωγα, ΣΧΤ και θέσεις που αναφέρονται στο άρθρο 429δ σύμφωνα με το άρθρο 429στ του κανονισμού (ΕΕ) αριθ.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Στοιχεία εκτός ισολογισμού με συντελεστή πιστωτικής μετατροπής (CCF) 40 %, σύμφωνα με το άρθρο 429στ του ΚΚΑ</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Η αξία ανοίγματος σύμφωνα με το άρθρο 429στ, το άρθρο 111 παράγραφος 2 στοιχείο γ) και παράγραφος 3 του κανονισμού (ΕΕ) αριθ.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Υπενθυμίζεται ότι η ονομαστική αξία δεν επιτρέπεται να μειωθεί κατά τις ειδικές προσαρμογές πιστωτικού κινδύνου πριν από την εφαρμογή του CCF. Σύμφωνα με 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Όταν μια δέσμευση αφορά την επέκταση άλλου στοιχείου εκτός ισολογισμού, χρησιμοποιείται ο χαμηλότερος από τους δύο συντελεστές μετατροπής (που συνδέεται με το στοιχείο επί του οποίου πραγματοποιείται η δέσμευση ή με το είδος της αναληφθείσας δέσμευσης) σύμφωνα με το άρθρο 111 παράγραφος 3 του κανονισμού (ΕΕ) αριθ.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Τα ιδρύματα δεν λαμβάνουν υπόψη σε αυτό το κελί συμβάσεις οι οποίες παρατίθενται στο παράρτημα II του κανονισμού (ΕΕ) αριθ. 575/2013, πιστωτικά παράγωγα, ΣΧΤ και θέσεις που αναφέρονται στο άρθρο 429δ σύμφωνα με το άρθρο 429στ του κανονισμού (ΕΕ) αριθ.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Στοιχεία εκτός ισολογισμού με συντελεστή πιστωτικής μετατροπής (CCF) 50 %, σύμφωνα με το άρθρο 429στ του ΚΚΑ</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Η αξία ανοίγματος σύμφωνα με το άρθρο 429στ, το άρθρο 111 παράγραφος 2 στοιχείο β) και παράγραφος 3 του κανονισμού (ΕΕ) αριθ.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Κανονισμός (ΕΕ) αριθ. 575/2013 Υπενθυμίζεται ότι η ονομαστική αξία δεν μπορεί να μειωθεί κατά τις ειδικές προσαρμογές πιστωτικού κινδύνου πριν από την εφαρμογή του CCF. Σύμφωνα με το άρθρο 429στ παράγραφος 2, τα ιδρύματα μπορούν να μειώσουν το ισοδύναμο του πιστωτικού ανοίγματος </w:t>
            </w:r>
            <w:r>
              <w:rPr>
                <w:rFonts w:ascii="Times New Roman" w:hAnsi="Times New Roman"/>
                <w:sz w:val="24"/>
              </w:rPr>
              <w:lastRenderedPageBreak/>
              <w:t>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κελί αυτό περιλαμβάνει ταμειακές διευκολύνσεις και άλλες δεσμεύσεις για τιτλοποιήσεις. Με άλλα λόγια, ο συντελεστής πιστωτικής μετατροπής για όλες τις ταμειακές διευκολύνσεις σύμφωνα με το άρθρο 255 του κανονισμού (ΕΕ) αριθ. 575/2013 είναι 50 %, ανεξάρτητα από τη ληκτότητα.</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Όταν μια δέσμευση αφορά την επέκταση άλλου στοιχείου εκτός ισολογισμού, χρησιμοποιείται ο χαμηλότερος από τους δύο συντελεστές μετατροπής (που συνδέεται με το στοιχείο επί του οποίου πραγματοποιείται η δέσμευση ή με το είδος της αναληφθείσας δέσμευσης) σύμφωνα με το άρθρο 111 παράγραφος 3 του κανονισμού (ΕΕ) αριθ.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δεν λαμβάνουν υπόψη σε αυτό το κελί συμβάσεις οι οποίες παρατίθενται στο παράρτημα II του κανονισμού (ΕΕ) αριθ. 575/2013, πιστωτικά παράγωγα, ΣΧΤ και θέσεις που αναφέρονται στο άρθρο 429δ σύμφωνα με το άρθρο 429στ του κανονισμού (ΕΕ) αριθ.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Στοιχεία εκτός ισολογισμού με συντελεστή πιστωτικής μετατροπής (CCF) 100 %, σύμφωνα με το άρθρο 429στ του ΚΚΑ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Η αξία ανοίγματος σύμφωνα με το άρθρο 429στ, το άρθρο 111 παράγραφος 2 στοιχείο α) και παράγραφος 3 του κανονισμού (ΕΕ) αριθ.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Κανονισμός (ΕΕ) αριθ. 575/2013 Υπενθυμίζεται ότι η ονομαστική αξία δεν επιτρέπεται να μειωθεί κατά τις ειδικές προσαρμογές πιστωτικού κινδύνου πριν από την εφαρμογή του CCF. Σύμφωνα με 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κελί αυτό περιλαμβάνει ταμειακές διευκολύνσεις και άλλες δεσμεύσεις για τιτλοποιήσεις.</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Όταν μια δέσμευση αφορά την επέκταση άλλου στοιχείου εκτός ισολογισμού, χρησιμοποιείται ο χαμηλότερος από τους δύο συντελεστές μετατροπής (που συνδέεται με το στοιχείο επί του οποίου πραγματοποιείται η δέσμευση ή με το είδος της αναληφθείσας δέσμευσης) σύμφωνα με το άρθρο 111 παράγραφος 3 του κανονισμού (ΕΕ) αριθ.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Τα ιδρύματα δεν λαμβάνουν υπόψη σε αυτό το κελί συμβάσεις οι οποίες παρατίθενται στο παράρτημα II του κανονισμού (ΕΕ) αριθ. 575/2013, πιστωτικά παράγωγα, ΣΧΤ και θέσεις που αναφέρονται στο άρθρο 429δ σύμφωνα με το άρθρο 429στ του κανονισμού (ΕΕ) αριθ.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Γενικές προσαρμογές πιστωτικού κινδύνου σε στοιχεία εκτός ισολογισμού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Άρθρο 429 παράγραφος 4 του κανονισμού (ΕΕ) αριθ.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Το ποσό των γενικών προσαρμογών πιστωτικού κινδύνου που αντιστοιχεί στα στοιχεία εκτός ισολογισμού που αναφέρονται στο άρθρο 429 παράγραφος 4 στοιχείο δ), το οποίο τα ιδρύματα αφαιρούν σύμφωνα με το άρθρο 429 παράγραφος 4 τελευταίο εδάφιο του κανονισμού (ΕΕ) αριθ.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Το ποσό που αναφέρεται δεν λαμβάνεται υπόψη ως μείωση κατά τον υπολογισμό των στοιχείων εκτός ισολογισμού που αναφέρονται στις γραμμές {0150,0010} έως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Αγορές και πωλήσεις κανονικής παράδοσης για τις οποίες εκκρεμεί διακανονισμός: Λογιστική αξία στο πλαίσιο της λογιστικής βάσει της ημερομηνίας συναλλαγής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Άρθρο 429ζ παράγραφος 1 του κανονισμού (ΕΕ) αριθ.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Το άθροισμα:</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του ποσού των μετρητών που αφορούν αγοραπωλησίες κανονικής παράδοσης οι οποίες παραμένουν στον ισολογισμό έως την ημερομηνία διακανονισμού, ως στοιχεία ενεργητικού σύμφωνα με το άρθρο 429 παράγραφος 4 στοιχείο α)</w:t>
            </w:r>
            <w:r>
              <w:rPr>
                <w:rFonts w:ascii="Times New Roman" w:hAnsi="Times New Roman"/>
                <w:sz w:val="24"/>
              </w:rPr>
              <w:t xml:space="preserve"> του </w:t>
            </w:r>
            <w:r>
              <w:rPr>
                <w:rFonts w:ascii="Times New Roman" w:hAnsi="Times New Roman"/>
                <w:color w:val="auto"/>
                <w:sz w:val="24"/>
              </w:rPr>
              <w:t>κανονισμού (ΕΕ) αριθ.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του ποσού των απαιτήσεων σε μετρητά που αφορούν πωλήσεις κανονικής παράδοσης οι οποίες παραμένουν στον ισολογισμό ως στοιχεία ενεργητικού έως την ημερομηνία διακανονισμού, σύμφωνα με το άρθρο 429 παράγραφος 4 στοιχείο α)</w:t>
            </w:r>
            <w:r>
              <w:rPr>
                <w:rFonts w:ascii="Times New Roman" w:hAnsi="Times New Roman"/>
                <w:sz w:val="24"/>
              </w:rPr>
              <w:t xml:space="preserve"> του </w:t>
            </w:r>
            <w:r>
              <w:rPr>
                <w:rFonts w:ascii="Times New Roman" w:hAnsi="Times New Roman"/>
                <w:color w:val="auto"/>
                <w:sz w:val="24"/>
              </w:rPr>
              <w:t>κανονισμού (ΕΕ) αριθ. 575/2013. Το ποσό αυτό είναι μετά την επίπτωση συμψηφισμού μεταξύ απαιτήσεων σε μετρητά για πωλήσεις κανονικής παράδοσης για τις οποίες εκκρεμεί διακανονισμός και υποχρεώσεων σε μετρητά για αγορές κανονικής παράδοσης για τις οποίες εκκρεμεί διακανονισμός που επιτρέπονται δυνάμει του εφαρμοστέου λογιστικού πλαισίου.</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Τα ιδρύματα που ακολουθούν τη λογιστική βάσει της ημερομηνίας συναλλαγής αναφέρουν το ανωτέρω άθροισμα σε αυτό το κελί αντί στη γραμμή 0190 «Άλλα στοιχεία ενεργητικού», ενώ αναφέρουν τους τίτλους που αφορούν αγορές κανονικής παράδοσης στη γραμμή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Πωλήσεις κανονικής παράδοσης για τις οποίες εκκρεμεί διακανονισμός: Αντιστροφή του λογιστικού συμψηφισμού στο πλαίσιο της λογιστικής βάσει της ημερομηνίας συναλλαγής</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Άρθρο 429ζ παράγραφος 2 του κανονισμού (ΕΕ) αριθ.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Το ποσό που συμψηφίζεται μεταξύ απαιτήσεων σε μετρητά για πωλήσεις κανονικής παράδοσης για τις οποίες εκκρεμεί διακανονισμός και υποχρεώσεων σε μετρητά για αγορές κανονικής παράδοσης για τις οποίες εκκρεμεί διακανονισμός που επιτρέπονται δυνάμει του εφαρμοστέου λογιστικού πλαισίου.</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lastRenderedPageBreak/>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Πωλήσεις κανονικής παράδοσης για τις οποίες εκκρεμεί διακανονισμός: συμψηφισμός σύμφωνα με το άρθρο 429ζ παράγραφος 2 του ΚΚΑ</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Άρθρο 429ζ παράγραφος 2 του κανονισμού (ΕΕ) αριθ.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rPr>
              <w:t>Το ποσό που συμψηφίζεται μεταξύ απαιτήσεων και υποχρεώσεων σε μετρητά όταν οι συνδεδεμένες πωλήσεις και αγορές κανονικής παράδοσης διακανονίζονται βάσει παράδοσης με την πληρωμή σύμφωνα με το άρθρο 429ζ παράγραφος 2</w:t>
            </w:r>
            <w:r>
              <w:rPr>
                <w:rFonts w:ascii="Times New Roman" w:hAnsi="Times New Roman"/>
                <w:sz w:val="24"/>
              </w:rPr>
              <w:t xml:space="preserve"> του </w:t>
            </w:r>
            <w:r>
              <w:rPr>
                <w:rFonts w:ascii="Times New Roman" w:hAnsi="Times New Roman"/>
                <w:color w:val="auto"/>
                <w:sz w:val="24"/>
              </w:rPr>
              <w:t>κανονισμού (ΕΕ) αριθ.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Αγορές κανονικής παράδοσης για τις οποίες εκκρεμεί διακανονισμός: Πλήρης αναγνώριση των αναλήψεων υποχρεώσεων πληρωμής στο πλαίσιο της λογιστικής της ημερομηνίας διακανονισμού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Άρθρο 429ζ παράγραφος 3 του κανονισμού (ΕΕ) αριθ.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Η πλήρης ονομαστική αξία των αναλήψεων υποχρεώσεων πληρωμής που σχετίζονται με αγορές κανονικής παράδοσης, για ιδρύματα τα οποία, σύμφωνα με το εφαρμοστέο λογιστικό πλαίσιο, εφαρμόζουν λογιστική της ημερομηνίας διακανονισμού στις αγοραπωλησίες κανονικής παράδοσης.</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Οι τίτλοι που συνδέονται με πωλήσεις κανονικής παράδοσης αναφέρονται στη γραμμή 0190 «Άλλα στοιχεία ενεργητικού».</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Αγορές κανονικής παράδοσης για τις οποίες εκκρεμεί διακανονισμός: συμψηφισμός των αναλήψεων υποχρεώσεων πληρωμής στο πλαίσιο της λογιστικής της ημερομηνίας διακανονισμού σύμφωνα με το άρθρο 429ζ παράγραφος 3 του ΚΚΑ</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Άρθρο 429ζ παράγραφος 3 του κανονισμού (ΕΕ) αριθ.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Το μέρος του ποσού που αναφέρεται στη γραμμή 0188 και έχει συμψηφιστεί με την πλήρη ονομαστική αξία των απαιτήσεων σε μετρητά που αφορούν τις πωλήσεις κανονικής παράδοσης για τις οποίες εκκρεμεί διακανονισμός σύμφωνα με το άρθρο 429ζ παράγραφος 3 του κανονισμού (ΕΕ) αριθ.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lastRenderedPageBreak/>
              <w:t xml:space="preserve">Άλλα στοιχεία ενεργητικού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άρθρο 429 παράγραφος 4 στοιχείο α) του κανονισμού (ΕΕ) αριθ.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Όλα τα στοιχεία ενεργητικού, εκτός από τις συμβάσεις παραγώγων που παρατίθενται στο παράρτημα II του κανονισμού (ΕΕ) αριθ. 575/2013, τα πιστωτικά παράγωγα και τις ΣΧΤ (π.χ., μεταξύ άλλων, τα στοιχεία ενεργητικού που πρέπει να αναφέρονται σε αυτό το κελί είναι λογιστικές απαιτήσεις για περιθώριο διαφορών αποτίμησης που παρέχονται, όταν αναγνωρίζονται σύμφωνα με το λειτουργικό λογιστικό πλαίσιο, ρευστά διαθέσιμα, όπως ορίζονται δυνάμει του δείκτη κάλυψης ρευστότητας, αποτυχημένες και μη διακανονισθείσες συναλλαγές). Τα ιδρύματα βασίζουν την αποτίμηση στις αρχές που καθορίζονται στο άρθρο 429β παράγραφος 1 και στο άρθρο 429 παράγραφος 7 του κανονισμού (ΕΕ) αριθ.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περιλαμβάνουν στο κελί αυτό τα εισπραχθέντα μετρητά ή οποιονδήποτε τίτλο που παρέχεται σε αντισυμβαλλόμενο μέσω ΣΧΤ, και τα οποία διατηρούνται στον ισολογισμό (δηλαδή δεν πληρούνται τα λογιστικά κριτήρια για μη αναγνώριση). Επιπλέον, τα ιδρύματα αναγνωρίζουν εδώ στοιχεία τα οποία αφαιρούνται από το CET1 και πρόσθετα στοιχεία της κατηγορίας 1 (π.χ. άυλα στοιχεία ενεργητικού, αναβαλλόμενες φορολογικές απαιτήσεις κ.λπ.).</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ποσό που αναφέρεται στη γραμμή {0191,0010} δεν λαμβάνεται υπόψη ως μείωση κατά τον υπολογισμό της παρούσας γραμμής.</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Οι συμφωνίες συγκέντρωσης μετρητών αναφέρονται στις γραμμές {0193,0010}, {0194,0010}, {0195,0010}, {0196,0010}, {0197,0010} και {0198,0010}, και όχι εδώ.</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Γενικές προσαρμογές πιστωτικού κινδύνου σε στοιχεία εντός ισολογισμού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Άρθρο 429 παράγραφος 4 του κανονισμού (ΕΕ) αριθ.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Το ποσό των γενικών προσαρμογών πιστωτικού κινδύνου που αντιστοιχεί στα στοιχεία εντός ισολογισμού που αναφέρονται στο άρθρο 429 παράγραφος 4 στοιχείο α) του κανονισμού (ΕΕ) αριθ. 575/2013, το οποίο τα ιδρύματα αφαιρούν σύμφωνα με το άρθρο 429 παράγραφος 4 τελευταίο εδάφιο του κανονισμού (ΕΕ) αριθ.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Το ποσό που αναφέρεται δεν λαμβάνεται υπόψη ως μείωση κατά τον υπολογισμό των άλλων στοιχείων ενεργητικού που αναφέρονται στη γραμμή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Συμφωνίες συγκέντρωσης μετρητών που δεν μπορούν να συμψηφιστούν σύμφωνα με την προληπτική εποπτεία: αξία στο λογιστικό πλαίσιο</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Άρθρο 429β παράγραφοι 2 και 3</w:t>
            </w:r>
            <w:r>
              <w:rPr>
                <w:rFonts w:ascii="Times New Roman" w:hAnsi="Times New Roman"/>
                <w:sz w:val="24"/>
              </w:rPr>
              <w:t xml:space="preserve"> του </w:t>
            </w:r>
            <w:r>
              <w:rPr>
                <w:rFonts w:ascii="Times New Roman" w:hAnsi="Times New Roman"/>
                <w:color w:val="auto"/>
                <w:sz w:val="24"/>
              </w:rPr>
              <w:t>κανονισμού (ΕΕ) αριθ.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Η λογιστική αξία συμφωνιών συγκέντρωσης μετρητών, δηλαδή συμφωνιών βάσει των οποίων τα πιστωτικά ή χρεωστικά υπόλοιπα διαφόρων ατομικών </w:t>
            </w:r>
            <w:r>
              <w:rPr>
                <w:rFonts w:ascii="Times New Roman" w:hAnsi="Times New Roman"/>
                <w:color w:val="auto"/>
                <w:sz w:val="24"/>
              </w:rPr>
              <w:lastRenderedPageBreak/>
              <w:t>λογαριασμών συνδυάζονται για σκοπούς διαχείρισης μετρητών ή ρευστότητας, που δεν μπορούν να συμψηφιστούν σύμφωνα με το άρθρο 429β παράγραφοι 2 και 3</w:t>
            </w:r>
            <w:r>
              <w:rPr>
                <w:rFonts w:ascii="Times New Roman" w:hAnsi="Times New Roman"/>
                <w:sz w:val="24"/>
              </w:rPr>
              <w:t xml:space="preserve"> του </w:t>
            </w:r>
            <w:r>
              <w:rPr>
                <w:rFonts w:ascii="Times New Roman" w:hAnsi="Times New Roman"/>
                <w:color w:val="auto"/>
                <w:sz w:val="24"/>
              </w:rPr>
              <w:t>κανονισμού (ΕΕ) αριθ. 575/2013</w:t>
            </w:r>
            <w:r>
              <w:rPr>
                <w:rFonts w:ascii="Times New Roman" w:hAnsi="Times New Roman"/>
                <w:sz w:val="24"/>
              </w:rPr>
              <w:t>.</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Συμφωνίες συγκέντρωσης μετρητών που δεν μπορούν να συμψηφιστούν σύμφωνα με την προληπτική εποπτεία: η επίπτωση της αναγωγής των ποσών συμψηφισμού σε ακαθάριστα, που εφαρμόζεται στο λογιστικό πλαίσιο</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Άρθρο 429 παράγραφος 7 στοιχείο β) και άρθρο 429β παράγραφοι 2 και 3 του </w:t>
            </w:r>
            <w:r>
              <w:rPr>
                <w:rFonts w:ascii="Times New Roman" w:hAnsi="Times New Roman"/>
                <w:sz w:val="24"/>
              </w:rPr>
              <w:t xml:space="preserve"> </w:t>
            </w:r>
            <w:r>
              <w:rPr>
                <w:rFonts w:ascii="Times New Roman" w:hAnsi="Times New Roman"/>
                <w:color w:val="auto"/>
                <w:sz w:val="24"/>
              </w:rPr>
              <w:t>κανονισμού (ΕΕ) αριθ.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Το ποσό που έχει συμψηφιστεί με βάση το εφαρμοστέο λογιστικό πλαίσιο για τις συμφωνίες συγκέντρωσης μετρητών και το οποίο δεν μπορεί να συμψηφιστεί σύμφωνα με την προληπτική εποπτεία, και αναφέρεται στο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Συμφωνίες συγκέντρωσης μετρητών που μπορούν να συμψηφιστούν σύμφωνα με την προληπτική εποπτεία: αξία στο λογιστικό πλαίσιο</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Άρθρο 429β παράγραφοι 2 και 3</w:t>
            </w:r>
            <w:r>
              <w:rPr>
                <w:rFonts w:ascii="Times New Roman" w:hAnsi="Times New Roman"/>
                <w:sz w:val="24"/>
              </w:rPr>
              <w:t xml:space="preserve"> του </w:t>
            </w:r>
            <w:r>
              <w:rPr>
                <w:rFonts w:ascii="Times New Roman" w:hAnsi="Times New Roman"/>
                <w:color w:val="auto"/>
                <w:sz w:val="24"/>
              </w:rPr>
              <w:t>κανονισμού (ΕΕ) αριθ.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Η λογιστική αξία συμφωνιών συγκέντρωσης μετρητών, δηλαδή συμφωνιών βάσει των οποίων τα πιστωτικά ή χρεωστικά υπόλοιπα διαφόρων ατομικών λογαριασμών συνδυάζονται για σκοπούς διαχείρισης μετρητών ή ρευστότητας, που μπορούν να συμψηφιστούν σύμφωνα με το άρθρο 429β παράγραφοι 2 και 3</w:t>
            </w:r>
            <w:r>
              <w:rPr>
                <w:rFonts w:ascii="Times New Roman" w:hAnsi="Times New Roman"/>
                <w:sz w:val="24"/>
              </w:rPr>
              <w:t xml:space="preserve"> του </w:t>
            </w:r>
            <w:r>
              <w:rPr>
                <w:rFonts w:ascii="Times New Roman" w:hAnsi="Times New Roman"/>
                <w:color w:val="auto"/>
                <w:sz w:val="24"/>
              </w:rPr>
              <w:t>κανονισμού (ΕΕ) αριθ. 575/2013</w:t>
            </w:r>
            <w:r>
              <w:rPr>
                <w:rFonts w:ascii="Times New Roman" w:hAnsi="Times New Roman"/>
                <w:sz w:val="24"/>
              </w:rPr>
              <w:t>.</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Συμφωνίες συγκέντρωσης μετρητών που μπορούν να συμψηφιστούν σύμφωνα με την προληπτική εποπτεία: η επίπτωση της αναγωγής των ποσών συμψηφισμού σε ακαθάριστα, που εφαρμόζεται στο λογιστικό πλαίσιο</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Άρθρο 429β παράγραφοι 2 και 3</w:t>
            </w:r>
            <w:r>
              <w:rPr>
                <w:rFonts w:ascii="Times New Roman" w:hAnsi="Times New Roman"/>
                <w:sz w:val="24"/>
              </w:rPr>
              <w:t xml:space="preserve"> του </w:t>
            </w:r>
            <w:r>
              <w:rPr>
                <w:rFonts w:ascii="Times New Roman" w:hAnsi="Times New Roman"/>
                <w:color w:val="auto"/>
                <w:sz w:val="24"/>
              </w:rPr>
              <w:t>κανονισμού (ΕΕ) αριθ.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Το ποσό που έχει συμψηφιστεί με βάση το εφαρμοστέο λογιστικό πλαίσιο για τις συμφωνίες συγκέντρωσης μετρητών και το οποίο μπορεί να συμψηφιστεί σύμφωνα με την προληπτική εποπτεία, και αναφέρεται στο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Εάν το ίδρυμα πληροί τις προϋποθέσεις του άρθρου 429β παράγραφος 2 στοιχείο β), δεν εφαρμόζει την αναγωγή σε αυτή τη γραμμή για υπόλοιπα που έχουν απαλειφθεί με βάση τη διαδικασία που προβλέπεται στο άρθρο 429β παράγραφος 2 στοιχείο α).</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Συμφωνίες συγκέντρωσης μετρητών που μπορούν να συμψηφιστούν σύμφωνα με την προληπτική εποπτεία: Αναγνώριση του συμψηφισμού σύμφωνα με το άρθρο 429β παράγραφος 2 του ΚΚΑ</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Άρθρο 429β παράγραφος 2 του κανονισμού (ΕΕ) αριθ.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Το ποσό που έχει συμψηφιστεί από το μικτό άνοιγμα που αφορά συμφωνίες συγκέντρωσης μετρητών (άθροισμα των γραμμών 0195 και 0196) σύμφωνα με το άρθρο 429β παράγραφος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Συμφωνίες συγκέντρωσης μετρητών που μπορούν να συμψηφιστούν σύμφωνα με την προληπτική εποπτεία: Αναγνώριση του συμψηφισμού σύμφωνα με το άρθρο 429β παράγραφος 3 του ΚΚΑ</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Άρθρο 429β παράγραφος 3 του κανονισμού (ΕΕ) αριθ. 575/2013. </w:t>
            </w:r>
            <w:r>
              <w:rPr>
                <w:rFonts w:ascii="Times New Roman" w:hAnsi="Times New Roman"/>
                <w:color w:val="auto"/>
                <w:sz w:val="24"/>
              </w:rPr>
              <w:t>Το ποσό που έχει συμψηφιστεί από το μικτό άνοιγμα που αφορά συμφωνίες συγκέντρωσης μετρητών (άθροισμα των γραμμών 0195 και 0196) σύμφωνα με το άρθρο 429β παράγραφος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Εξασφάλιση καθαρής απόδοσης για παρεχόμενες εξασφαλίσεις παραγώγων</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2 του κανονισμού (ΕΕ) αριθ.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ποσό οποιασδήποτε παρεχόμενης εξασφάλισης παραγώγων, όταν η παροχή των εν λόγω εξασφαλίσεων μειώνει το ποσό των στοιχείων ενεργητικού σύμφωνα με το εφαρμοστέο λογιστικό πλαίσιο, όπως ορίζεται στο άρθρο 429γ παράγραφος 2 του κανονισμού (ΕΕ) αριθ.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δεν περιλαμβάνουν στο κελί αυτό το αρχικό περιθώριο για συναλλαγές επί παραγώγων εκκαθαριζόμενες για πελάτη σε αναγνωρισμένο κεντρικό αντισυμβαλλόμενο (QCCP) ή το επιλέξιμο περιθώριο διαφοράς αποτίμησης τοις μετρητοίς, όπως ορίζεται στο άρθρο 429γ παράγραφος 3 του κανονισμού (ΕΕ) αριθ.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Απαιτήσεις για περιθώριο διαφορών αποτίμησης που παρέχεται στο πλαίσιο συναλλαγών σε παράγωγα</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Άρθρο 429γ παράγραφος 3 στοιχείο γ) του κανονισμού (ΕΕ) αριθ.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Οι απαιτήσεις για περιθώριο διαφορών αποτίμησης που καταβάλλεται τοις μετρητοίς στον αντισυμβαλλόμενο σε συναλλαγές σε παράγωγα, εάν απαιτείται από το ίδρυμα, σύμφωνα με το εφαρμοστέο λογιστικό πλαίσιο, να αναγνωρίσει τις εν λόγω απαιτήσεις ως στοιχεία ενεργητικού, εφόσον πληρούνται οι προϋποθέσεις του άρθρου 429γ παράγραφος 3 στοιχεία α) έως ε) του κανονισμού (ΕΕ) αριθ. 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ποσό που αναφέρεται περιλαμβάνεται επίσης στα άλλα στοιχεία ενεργητικού που αναφέρονται στο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Απαλλασσόμενο σκέλος CCP των ανοιγμάτων διαπραγμάτευσης που εκκαθαρίζονται για πελάτη (αρχικό περιθώριο)</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ζ) του κανονισμού (ΕΕ) αριθ.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Το (παρεχόμενο) τμήμα του αρχικού περιθωρίου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κανονισμού (ΕΕ) αριθ.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ποσό που αναφέρεται περιλαμβάνεται επίσης στα άλλα στοιχεία ενεργητικού που αναφέρονται στο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Προσαρμογές για συναλλαγές λογιστικής πωλήσεων ΣΧΤ</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429ε παράγραφος 6 του κανονισμού (ΕΕ) αριθ.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Η αξία των δανεισμένων τίτλων σε μια πράξη επαναγοράς που αποαναγνωρίζονται λόγω συναλλαγής λογιστικής πωλήσεων βάσει του εφαρμοστέου λογιστικού πλαισίου.</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Μείωση της αξίας ανοίγματος των προχρηματοδοτήσεων ή των ενδιάμεσων δανείων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Άρθρο 429 παράγραφος 8 του κανονισμού (ΕΕ) αριθ.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Το ποσό που μειώνεται από την αξία ανοίγματος μιας προχρηματοδότησης δανείου ή ενός ενδιάμεσου δανείου, σύμφωνα με το άρθρο 429 παράγραφος 8 του κανονισμού (ΕΕ) αριθ.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Το ποσό που αναφέρεται περιλαμβάνεται στα άλλα στοιχεία ενεργητικού που αναφέρονται στο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Εμπιστευματικά στοιχεία ενεργητικού</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θ) του κανονισμού (ΕΕ) αριθ.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Η αξία των εμπιστευματικών στοιχείων ενεργητικού που αναγνωρίζονται στον ισολογισμό του ιδρύματος κατά τις εθνικές γενικά αποδεκτές λογιστικές αρχές, πληρούν τα κριτήρια του ΔΠΧΑ 9 για μη αναγνώριση και, κατά περίπτωση, του ΔΠΧΑ 10 για μη ενοποίηση, σύμφωνα με το άρθρο 429α παράγραφος 1 στοιχείο θ) του κανονισμού (ΕΕ) αριθ. 575/2013,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ποσό που αναφέρεται περιλαμβάνεται επίσης στα άλλα στοιχεία ενεργητικού που αναφέρονται στο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Ενδοομιλικά ανοίγματα (σε ατομική βάση) που εξαιρούνται σύμφωνα με το άρθρο 429α παράγραφος 1 στοιχείο γ) του ΚΚΑ</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Άρθρο 429α παράγραφος 1 στοιχείο γ) και άρθρο 113 παράγραφος 6 του κανονισμού (ΕΕ) αριθ.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Ανοίγματα που δεν έχουν ενοποιηθεί στο εφαρμοστέο επίπεδο ενοποίησης, τα οποία μπορούν να επωφεληθούν από τη μεταχείριση που προβλέπεται στο άρθρο 113 παράγραφος 6 του κανονισμού (ΕΕ) αριθ. 575/2013, υπό την προϋπόθεση ότι πληρούνται όλοι οι όροι που αναφέρονται στο άρθρο 113 παράγραφος 6 στοιχεία α) έως ε) του κανονισμού (ΕΕ) αριθ. 575/2013 και εφόσον οι αρμόδιες αρχές έχουν παράσχει την έγκρισή τους.</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Ανοίγματα ΘΣΠ που εξαιρούνται σύμφωνα με το άρθρο 429α παράγραφος 1 στοιχείο γ) του ΚΚΑ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γ) και άρθρο 113 παράγραφος 7 του κανονισμού (ΕΕ) αριθ.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Ανοίγματα που μπορούν να τύχουν της μεταχείρισης που προβλέπεται στο άρθρο 113 παράγραφος 7 του κανονισμού (ΕΕ) αριθ. 575/2013, εφόσον πληρούνται όλες οι προϋποθέσεις που καθορίζονται στο άρθρο 113 παράγραφος 7 στοιχεία α) έως θ) του κανονισμού (ΕΕ) αριθ. 575/2013 και εφόσον έχει ληφθεί έγκριση από τις αρμόδιες αρχές.</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Ανοίγματα ΘΣΠ που εξαιρούνται σύμφωνα με το άρθρο 429α παράγραφος 1 στοιχείο γα) του ΚΑΝΟΝΙΣΜΟΥ (ΕΕ) ΑΡΙΘ.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Άρθρο 429α παράγραφος 1 στοιχείο γα), άρθρο 113 παράγραφος 7, άρθρο 114 του ΚΑΝΟΝΙΣΜΟΥ (ΕΕ) αριθ. 575/2013Ανοίγματα που μπορούν να τύχουν της μεταχείρισης που προβλέπεται στο άρθρο 113 παράγραφος 7 και στο άρθρο 114 του κανονισμού (ΕΕ) αριθ. 575/2013, εφόσον πληρούνται όλες οι προϋποθέσεις που καθορίζονται στο άρθρο 429α παράγραφος 1 στοιχείο γα) του κανονισμού (ΕΕ) αριθ. 575/2013. </w:t>
            </w:r>
          </w:p>
          <w:p w14:paraId="679257E0" w14:textId="1D0F3ECC" w:rsidR="0093277B" w:rsidRPr="000B66BC" w:rsidRDefault="00B96F9D" w:rsidP="00D31203">
            <w:pPr>
              <w:pStyle w:val="BodyText1"/>
              <w:spacing w:after="240" w:line="240" w:lineRule="auto"/>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Εξαιρούμενα καλυπτόμενα από την εγγύηση μέρη των ανοιγμάτων που προκύπτουν από εξαγωγικές πιστώσεις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στ) του κανονισμού (ΕΕ) αριθ.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καλυπτόμενα από την εγγύηση μέρη των ανοιγμάτων που προκύπτουν από εξαγωγικές πιστώσεις και μπορούν να εξαιρεθούν όταν πληρούνται όλες </w:t>
            </w:r>
            <w:r>
              <w:rPr>
                <w:rFonts w:ascii="Times New Roman" w:hAnsi="Times New Roman"/>
                <w:color w:val="auto"/>
                <w:sz w:val="24"/>
              </w:rPr>
              <w:lastRenderedPageBreak/>
              <w:t>οι προϋποθέσεις του άρθρου 429α παράγραφος 1 στοιχείο στ) του κανονισμού (ΕΕ) αριθ. 575/2013.</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Εξαιρούμενες επιπλέον εξασφαλίσεις που κατατίθενται σε τριμερείς εντολοδόχους</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ια) του κανονισμού (ΕΕ) αριθ.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Οι επιπλέον εξασφαλίσεις που κατατίθενται σε τριμερείς εντολοδόχους που δεν έχουν εκμισθωθεί και οι οποίες μπορούν να εξαιρεθούν σύμφωνα με το άρθρο 429α παράγραφος 1 στοιχείο ια).</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Εξαιρούμενα τιτλοποιημένα ανοίγματα που ενέχουν μεταφορά σημαντικού κινδύνου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ιγ) του κανονισμού (ΕΕ) αριθ.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Τα τιτλοποιημένα ανοίγματα από παραδοσιακές τιτλοποιήσεις που πληρούν τις προϋποθέσεις για τη μεταφορά σημαντικού κινδύνου που ορίζονται στο άρθρο 244 παράγραφος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Ανοίγματα στην κεντρική τράπεζα που εξαιρούνται σύμφωνα με το άρθρο 429α παράγραφος 1 στοιχείο ιδ) του ΚΚΑ</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ιδ) του κανονισμού (ΕΕ) αριθ.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ΚΑΤ/ιδρυμάτων που οφείλονται σε επικουρικές υπηρεσίες τραπεζικού τύπου σύμφωνα με το άρθρο 429α παράγραφος 1 στοιχείο ιε)</w:t>
            </w:r>
            <w:r>
              <w:rPr>
                <w:rFonts w:ascii="Times New Roman" w:hAnsi="Times New Roman"/>
                <w:sz w:val="24"/>
              </w:rPr>
              <w:t xml:space="preserve"> του </w:t>
            </w:r>
            <w:r>
              <w:rPr>
                <w:rFonts w:ascii="Times New Roman" w:hAnsi="Times New Roman"/>
                <w:b/>
                <w:color w:val="auto"/>
                <w:sz w:val="24"/>
              </w:rPr>
              <w:t>κανονισμού (ΕΕ) αριθ.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ιε) του κανονισμού (ΕΕ) αριθ.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καθορισμένων ιδρυμάτων που οφείλονται σε επικουρικές υπηρεσίες τραπεζικού τύπου σύμφωνα με το άρθρο 429α παράγραφος 1 στοιχείο ιστ) του ΚΚΑ</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lastRenderedPageBreak/>
              <w:t>Άρθρο 429α παράγραφος 1 στοιχείο ιστ) του κανονισμού (ΕΕ) αριθ.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Ανοίγματα που εξαιρούνται σύμφωνα με το άρθρο 429α παράγραφος 1 στοιχείο ι) του ΚΚΑ</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ι) του κανονισμού (ΕΕ) αριθ.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Ανοίγματα που εξαιρούνται σύμφωνα με το άρθρο 429α παράγραφος 1 </w:t>
            </w:r>
            <w:r>
              <w:rPr>
                <w:rFonts w:ascii="Times New Roman" w:hAnsi="Times New Roman"/>
                <w:color w:val="auto"/>
                <w:sz w:val="24"/>
              </w:rPr>
              <w:t>στοιχείο ι</w:t>
            </w:r>
            <w:r>
              <w:rPr>
                <w:rFonts w:ascii="Times New Roman" w:hAnsi="Times New Roman"/>
                <w:sz w:val="24"/>
              </w:rPr>
              <w:t>) του κανονισμού (ΕΕ) αριθ. 575/2013 εφόσον πληρούνται οι προϋποθέσεις που αναφέρονται σε αυτό.</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Εξαιρούμενα ανοίγματα δημόσιων αναπτυξιακών πιστωτικών ιδρυμάτων – Επενδύσεις του δημόσιου τομέα</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δ) και παράγραφος 2 του κανονισμού (ΕΕ) αριθ.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Τα ανοίγματα που προκύπτουν από στοιχεία ενεργητικού που συνιστούν απαιτήσεις έναντι κεντρικών κυβερνήσεων, περιφερειακών κυβερνήσεων, τοπικών αρχών ή οντοτήτων του δημόσιου τομέα σε σχέση με επενδύσεις του δημόσιου τομέα, και τα οποία μπορούν να εξαιρεθούν σύμφωνα με το άρθρο 429α παράγραφος 1 στοιχείο δ)</w:t>
            </w:r>
            <w:r>
              <w:rPr>
                <w:rFonts w:ascii="Times New Roman" w:hAnsi="Times New Roman"/>
                <w:sz w:val="24"/>
              </w:rPr>
              <w:t xml:space="preserve"> του κανονισμού (ΕΕ) αριθ.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Όταν η απαίτηση πληροί τις προϋποθέσεις για προνομιακό δάνειο σύμφωνα με το άρθρο 429α παράγραφος 3, δεν αναφέρεται σε αυτό το κελί αλλά στις γραμμές 0262-0264, κατά περίπτωση.</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δημόσιων αναπτυξιακών πιστωτικών ιδρυμάτων – Προνομιακά δάνεια που χορηγούνται από δημόσιο αναπτυξιακό πιστωτικό ίδρυμα</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δ) και παράγραφοι 2 και 3 του κανονισμού (ΕΕ) αριθ.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Τα ανοίγματα που προκύπτουν από προνομιακά δάνεια, περιλαμβανομένων και των προνομιακών δανείων άμεσης επανεκχώρησης, που χορηγεί δημόσιο αναπτυξιακό πιστωτικό ίδρυμα, και τα οποία μπορούν να εξαιρεθούν σύμφωνα με το άρθρο 429α παράγραφος 1 στοιχείο δ)</w:t>
            </w:r>
            <w:r>
              <w:rPr>
                <w:rFonts w:ascii="Times New Roman" w:hAnsi="Times New Roman"/>
                <w:sz w:val="24"/>
              </w:rPr>
              <w:t xml:space="preserve"> του </w:t>
            </w:r>
            <w:r>
              <w:rPr>
                <w:rFonts w:ascii="Times New Roman" w:hAnsi="Times New Roman"/>
                <w:color w:val="auto"/>
                <w:sz w:val="24"/>
              </w:rPr>
              <w:t xml:space="preserve">κανονισμού (ΕΕ) αριθ. 575/2013. </w:t>
            </w:r>
            <w:r>
              <w:rPr>
                <w:rFonts w:ascii="Times New Roman" w:hAnsi="Times New Roman"/>
                <w:sz w:val="24"/>
              </w:rPr>
              <w:t xml:space="preserve">Τα ανοίγματα της μονάδας ενός ιδρύματος η οποία αντιμετωπίζεται ως δημόσιο αναπτυξιακό πιστωτικό ίδρυμα από την αρμόδια </w:t>
            </w:r>
            <w:r>
              <w:rPr>
                <w:rFonts w:ascii="Times New Roman" w:hAnsi="Times New Roman"/>
                <w:sz w:val="24"/>
              </w:rPr>
              <w:lastRenderedPageBreak/>
              <w:t>αρχή σύμφωνα με το άρθρο 429α παράγραφος 2 τελευταίο εδάφιο του κανονισμού (ΕΕ) αριθ. 575/2013, υπολογίζονται επίσης.</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δημόσιων αναπτυξιακών πιστωτικών ιδρυμάτων – Προνομιακά δάνεια που χορηγούνται από οντότητα που έχει συσταθεί άμεσα από την κεντρική κυβέρνηση, την περιφερειακή κυβέρνηση ή την τοπική αρχή ενός κράτους μέλους</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δ) και παράγραφοι 2 και 3 του κανονισμού (ΕΕ) αριθ.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Τα ανοίγματα που προκύπτουν από προνομιακά δάνεια, περιλαμβανομένων και των προνομιακών δανείων άμεσης επανεκχώρησης, που χορηγεί οντότητα που έχει συσταθεί άμεσα από την κεντρική κυβέρνηση, την περιφερειακή κυβέρνηση ή την τοπική αρχή ενός κράτους μέλους, και τα οποία μπορούν να εξαιρεθούν σύμφωνα με το άρθρο </w:t>
            </w:r>
            <w:r>
              <w:rPr>
                <w:rFonts w:ascii="Times New Roman" w:hAnsi="Times New Roman"/>
                <w:sz w:val="24"/>
              </w:rPr>
              <w:t xml:space="preserve">429α παράγραφος 1 στοιχείο δ) του ΚΚΑ. Τα ανοίγματα </w:t>
            </w:r>
            <w:r>
              <w:rPr>
                <w:rFonts w:ascii="Times New Roman" w:hAnsi="Times New Roman"/>
                <w:color w:val="auto"/>
                <w:sz w:val="24"/>
              </w:rPr>
              <w:t xml:space="preserve">της </w:t>
            </w:r>
            <w:r>
              <w:rPr>
                <w:rFonts w:ascii="Times New Roman" w:hAnsi="Times New Roman"/>
                <w:sz w:val="24"/>
              </w:rPr>
              <w:t>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δημόσιων αναπτυξιακών πιστωτικών ιδρυμάτων – Προνομιακά δάνεια που χορηγούνται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δ) και παράγραφοι 2 και 3 του κανονισμού (ΕΕ) αριθ.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Τα ανοίγματα που προκύπτουν από προνομιακά δάνεια, περιλαμβανομένων και των προνομιακών δανείων άμεσης επανεκχώρησης, που χορηγεί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 και τα οποία μπορούν να εξαιρεθούν σύμφωνα με το άρθρο </w:t>
            </w:r>
            <w:r>
              <w:rPr>
                <w:rFonts w:ascii="Times New Roman" w:hAnsi="Times New Roman"/>
                <w:sz w:val="24"/>
              </w:rPr>
              <w:t xml:space="preserve">429α παράγραφος 1 στοιχείο δ) του ΚΚΑ. Τα ανοίγματα </w:t>
            </w:r>
            <w:r>
              <w:rPr>
                <w:rFonts w:ascii="Times New Roman" w:hAnsi="Times New Roman"/>
                <w:color w:val="auto"/>
                <w:sz w:val="24"/>
              </w:rPr>
              <w:t xml:space="preserve">της </w:t>
            </w:r>
            <w:r>
              <w:rPr>
                <w:rFonts w:ascii="Times New Roman" w:hAnsi="Times New Roman"/>
                <w:sz w:val="24"/>
              </w:rPr>
              <w:t>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έναντι μετόχων σύμφωνα με το άρθρο 429α παράγραφος 1 στοιχείο δα) του ΚΚΑ</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δα) του κανονισμού (ΕΕ) αριθ.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Ανοίγματα του ιδρύματος έναντι μετόχων που είναι πιστωτικά ιδρύματα, εφόσον είναι εξασφαλισμένα και πληρούνται όλες οι προϋποθέσεις του στοιχείου δα).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δημόσιο αναπτυξιακό πιστωτικό ίδρυμα</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ε) και παράγραφοι 2 και 3 του κανονισμού (ΕΕ) αριθ.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δημόσιο αναπτυξιακό πιστωτικό ίδρυμα. </w:t>
            </w:r>
            <w:r>
              <w:rPr>
                <w:rFonts w:ascii="Times New Roman" w:hAnsi="Times New Roman"/>
                <w:sz w:val="24"/>
              </w:rPr>
              <w:t>Τα τμήματα των ανοιγμάτων</w:t>
            </w:r>
            <w:r>
              <w:rPr>
                <w:rFonts w:ascii="Times New Roman" w:hAnsi="Times New Roman"/>
                <w:color w:val="auto"/>
                <w:sz w:val="24"/>
              </w:rPr>
              <w:t xml:space="preserve"> των </w:t>
            </w:r>
            <w:r>
              <w:rPr>
                <w:rFonts w:ascii="Times New Roman" w:hAnsi="Times New Roman"/>
                <w:sz w:val="24"/>
              </w:rPr>
              <w:t>μονάδων ενός ιδρύματος τα οποία δεν αντιμετωπίζονται ως δημόσια αναπτυξιακά πιστωτικά ιδρύματα από την αρμόδια αρχή σύμφωνα με το άρθρο 429α παράγραφος 2 τελευταίο εδάφιο υπολογίζονται επίσης.</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οντότητα που έχει συσταθεί άμεσα από την κεντρική κυβέρνηση, την περιφερειακή κυβέρνηση ή την τοπική αρχή ενός κράτους μέλους</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ε) και παράγραφοι 2 και 3 του κανονισμού (ΕΕ) αριθ.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οντότητα που έχει συσταθεί άμεσα από την κεντρική κυβέρνηση, την περιφερειακή κυβέρνηση ή την τοπική αρχή ενός κράτους μέλους. </w:t>
            </w:r>
            <w:r>
              <w:rPr>
                <w:rFonts w:ascii="Times New Roman" w:hAnsi="Times New Roman"/>
                <w:sz w:val="24"/>
              </w:rPr>
              <w:t>Τα τμήματα των ανοιγμάτων</w:t>
            </w:r>
            <w:r>
              <w:rPr>
                <w:rFonts w:ascii="Times New Roman" w:hAnsi="Times New Roman"/>
                <w:color w:val="auto"/>
                <w:sz w:val="24"/>
              </w:rPr>
              <w:t xml:space="preserve"> των </w:t>
            </w:r>
            <w:r>
              <w:rPr>
                <w:rFonts w:ascii="Times New Roman" w:hAnsi="Times New Roman"/>
                <w:sz w:val="24"/>
              </w:rPr>
              <w:t>μονάδων ενός ιδρύματος τα οποία δεν αντιμετωπίζονται ως δημόσια αναπτυξιακά πιστωτικά ιδρύματα από την αρμόδια αρχή σύμφωνα με το άρθρο 429α παράγραφος 2 τελευταίο εδάφιο υπολογίζονται επίσης.</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Το αναφερόμενο ποσό περιλαμβάνεται επίσης στα εφαρμοστέα κελιά ανωτέρω, ως εάν να μην εφαρμοζόταν εξαίρεση.</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Άρθρο 429α παράγραφος 1 στοιχείο ε) και παράγραφοι 2 και 3 του κανονισμού (ΕΕ) αριθ.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 </w:t>
            </w:r>
            <w:r>
              <w:rPr>
                <w:rFonts w:ascii="Times New Roman" w:hAnsi="Times New Roman"/>
                <w:sz w:val="24"/>
              </w:rPr>
              <w:t>Τα τμήματα των ανοιγμάτων</w:t>
            </w:r>
            <w:r>
              <w:rPr>
                <w:rFonts w:ascii="Times New Roman" w:hAnsi="Times New Roman"/>
                <w:color w:val="auto"/>
                <w:sz w:val="24"/>
              </w:rPr>
              <w:t xml:space="preserve"> των </w:t>
            </w:r>
            <w:r>
              <w:rPr>
                <w:rFonts w:ascii="Times New Roman" w:hAnsi="Times New Roman"/>
                <w:sz w:val="24"/>
              </w:rPr>
              <w:t>μονάδων ενός ιδρύματος τα οποία δεν αντιμετωπίζονται ως δημόσια αναπτυξιακά πιστωτικά ιδρύματα από την αρμόδια αρχή σύμφωνα με το άρθρο 429α παράγραφος 2 τελευταίο εδάφιο υπολογίζονται επίσης.</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Ανοίγματα που αφαιρούνται σύμφωνα με το άρθρο 429α παράγραφος 1 στοιχείο ιζ) του ΚΚΑ</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Άρθρο 429α παράγραφος 1 στοιχείο ιζ)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Τα ανοίγματα που υπόκεινται στην αντιμετώπιση που προβλέπεται στο άρθρο 72ε παράγραφος 5 πρώτο εδάφιο</w:t>
            </w:r>
            <w:r>
              <w:rPr>
                <w:rFonts w:ascii="Times New Roman" w:hAnsi="Times New Roman"/>
                <w:sz w:val="24"/>
              </w:rPr>
              <w:t xml:space="preserve"> του </w:t>
            </w:r>
            <w:r>
              <w:rPr>
                <w:rFonts w:ascii="Times New Roman" w:hAnsi="Times New Roman"/>
                <w:color w:val="auto"/>
                <w:sz w:val="24"/>
              </w:rPr>
              <w:t>κανονισμού (ΕΕ) αριθ. 575/2013</w:t>
            </w:r>
            <w:r>
              <w:rPr>
                <w:rFonts w:ascii="Times New Roman" w:hAnsi="Times New Roman"/>
                <w:sz w:val="24"/>
              </w:rPr>
              <w:t>.</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Το αναφερόμενο ποσό περιλαμβάνεται επίσης στα εφαρμοστέα κελιά ανωτέρω, ως εάν να μην εφαρμοζόταν εξαίρεση.</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Πρόσθετο ποσό ανοίγματος του δείκτη μόχλευσης σύμφωνα με το άρθρο 3 του ΚΚΑ</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Άρθρο 3 του κανονισμού (ΕΕ) αριθ.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Το πρόσθετο ποσό ανοίγματος του δείκτη μόχλευσης πρέπει να αναφέρεται. Περιλαμβάνει μόνο τα πρόσθετα ποσά.</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Ποσό στοιχείων ενεργητικού που αφαιρείται – κεφάλαιο της κατηγορίας 1 – ορισμός πλήρους εφαρμογής</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Άρθρο 429α παράγραφος 1 στοιχείο β) και άρθρο 499 παράγραφος 1 στοιχείο α) του κανονισμού (ΕΕ) αριθ.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Περιλαμβάνει όλες τις προσαρμογές που στοχεύουν στην αξία ενός στοιχείου ενεργητικού και οι οποίες απαιτούνται βάσει των:</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Άρθρα 32 έως 35 του κανονισμού (ΕΕ) αριθ. 575/2013 ή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Άρθρα 36 έως 47 του κανονισμού (ΕΕ) αριθ. 575/2013, ή</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Άρθρα 56 έως 60 του κανονισμού (ΕΕ) αριθ.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κατά περίπτωση.</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κανονισμού (ΕΕ) αριθ. 575/2013, χωρίς να λαμβάνεται υπόψη η παρέκκλιση που προβλέπεται στο δέκατο μέρος τίτλος I κεφάλαια 1, 2 και 4 του κανονισμού (ΕΕ) αριθ. 575/2013. Για να αποφευχθεί η διπλή καταμέτρηση, τα ιδρύματα δεν αναφέρουν προσαρμογές που έχουν ήδη εφαρμοστεί, σύμφωνα με το άρθρο 111 του κανονισμού (ΕΕ) αριθ. 575/2013, κατά τον υπολογισμό της αξίας ανοίγματος στις γραμμές {0010,0010} έως {0269,0010}, ούτε αναφέρουν κάποια προσαρμογή που δεν μειώνει την αξία του συγκεκριμένου στοιχείου ενεργητικού.</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Ποσό στοιχείων ενεργητικού που αφαιρείται – κεφάλαιο της κατηγορίας 1 – μεταβατικός ορισμός</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sz w:val="24"/>
              </w:rPr>
              <w:t>Άρθρο 429α παράγραφος 1 στοιχείο β) και άρθρο 499 παράγραφος 1 στοιχείο α) του κανονισμού (ΕΕ) αριθ.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Περιλαμβάνει όλες τις προσαρμογές που προσαρμόζουν την αξία ενός στοιχείου ενεργητικού και οι οποίες απαιτούνται βάσει των:</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Άρθρα 32 έως 35 του κανονισμού (ΕΕ) αριθ. 575/2013 ή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Άρθρα 36 έως 47 του κανονισμού (ΕΕ) αριθ. 575/2013, ή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Άρθρα 56 έως 60 του κανονισμού (ΕΕ) αριθ.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κατά περίπτωση.</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Τα ιδρύματα λαμβάνουν υπόψη τις εξαιρέσεις, εναλλακτικές δυνατότητες και απαλλαγές από τις εν λόγω αφαιρέσεις, που προβλέπονται στα άρθρα 48, 49 και 79 του κανονισμού (ΕΕ) αριθ. 575/2013, λαμβάνοντας παράλληλα υπόψη τις παρεκκλίσεις που προβλέπονται στο δέκατο μέρος τίτλος I κεφάλαια 1, 2 και 4 του κανονισμού (ΕΕ) αριθ. 575/2013. Για να αποφευχθεί η διπλή καταμέτρηση, τα ιδρύματα δεν αναφέρουν προσαρμογές που έχουν ήδη εφαρμοστεί, σύμφωνα με το άρθρο 111 του κανονισμού (ΕΕ) αριθ. 575/2013, κατά τον υπολογισμό της αξίας ανοίγματος στις γραμμές </w:t>
            </w:r>
            <w:r>
              <w:rPr>
                <w:rFonts w:ascii="Times New Roman" w:hAnsi="Times New Roman"/>
                <w:sz w:val="24"/>
              </w:rPr>
              <w:lastRenderedPageBreak/>
              <w:t>{0010,0010} έως {0269,0010}, ούτε αναφέρουν κάποια προσαρμογή που δεν μειώνει την αξία του συγκεκριμένου στοιχείου ενεργητικού.</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Μέτρο συνολικού ανοίγματος του δείκτη μόχλευσης – με χρήση ορισμού πλήρους εφαρμογής του κεφαλαίου της κατηγορίας 1</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αναφέρουν το άθροισμα όλων των γραμμών από 0010 έως 0269 και της γραμμής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Μέτρο συνολικού ανοίγματος του δείκτη μόχλευσης – με χρήση μεταβατικού ορισμού του κεφαλαίου της κατηγορίας 1</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Τα ιδρύματα αναφέρουν το άθροισμα όλων των γραμμών από 0010 έως 0269 και της γραμμής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Γραμμή και στήλη</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Κεφάλαιο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Κεφάλαιο της κατηγορίας 1 – ορισμός πλήρους εφαρμογής</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 παράγραφος 3 και άρθρο 499 παράγραφος 1 στοιχείο α) του κανονισμού (ΕΕ) αριθ.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Αυτό είναι το ποσό του κεφαλαίου της κατηγορίας 1, όπως υπολογίζεται σύμφωνα με το άρθρο 25 του κανονισμού (ΕΕ) αριθ. 575/2013, χωρίς να λαμβάνεται υπόψη η παρέκκλιση που προβλέπεται στο δέκατο μέρος τίτλος I κεφάλαια 1, 2 και 4 του κανονισμού (ΕΕ) αριθ.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Κεφάλαιο της κατηγορίας 1 – μεταβατικός ορισμός</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 παράγραφος 3 και άρθρο 499 παράγραφος 1 στοιχείο β) του κανονισμού (ΕΕ) αριθ.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Αυτό είναι το ποσό του κεφαλαίου της κατηγορίας 1, όπως υπολογίζεται σύμφωνα με το άρθρο 25 του κανονισμού (ΕΕ) αριθ. 575/2013, αφού ληφθεί υπόψη η παρέκκλιση που προβλέπεται στο δέκατο μέρος τίτλος I κεφάλαια 1, 2 και 4 του κανονισμού (ΕΕ) αριθ.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Γραμμή και στήλη</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Δείκτης μόχλευσης</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Δείκτης μόχλευσης – με χρήση ορισμού πλήρους εφαρμογής του κεφαλαίου της κατηγορίας 1</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Άρθρο 429 παράγραφος 2 και άρθρο 499 παράγραφος 1 του κανονισμού (ΕΕ) αριθ.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Αυτός είναι ο δείκτης μόχλευσης, όπως υπολογίζεται σύμφωνα με το μέρος II παράγραφος 2 του παρόντος παραρτήματος.</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Δείκτης μόχλευσης – με χρήση μεταβατικού ορισμού του κεφαλαίου της κατηγορίας 1</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Άρθρο 429 παράγραφος 2 και άρθρο 499 παράγραφος 1 του κανονισμού (ΕΕ) αριθ.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Αυτός είναι ο δείκτης μόχλευσης, όπως υπολογίζεται σύμφωνα με το μέρος II παράγραφος 3 του παρόντος παραρτήματος.</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Γραμμή και στήλη</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Απαιτήσεις: ποσά</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Απαίτηση 2ου πυλώνα (P2R) για αντιμετώπιση των κινδύνων υπερβολικής μόχλευσης</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 xml:space="preserve">Άρθρα 104 και 104α της ΟΔΗΓΙΑΣ 2013/36/ΕΕ· </w:t>
            </w:r>
            <w:r>
              <w:rPr>
                <w:rFonts w:ascii="Times New Roman" w:hAnsi="Times New Roman"/>
                <w:color w:val="auto"/>
                <w:sz w:val="24"/>
              </w:rPr>
              <w:t>πρόσθετα ίδια κεφάλαια που απαιτούνται από την αρμόδια αρχή για την αντιμετώπιση των κινδύνων υπερβολικής μόχλευσης όπως αναφέρονται στο άρθρο 104 της ΟΔΗΓΙΑΣ 2013/36/ΕΕ</w:t>
            </w:r>
            <w:r>
              <w:rPr>
                <w:rFonts w:ascii="Times New Roman" w:hAnsi="Times New Roman"/>
                <w:sz w:val="24"/>
              </w:rPr>
              <w:t>.</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εκ των οποίων: πρέπει να αποτελείται από κεφάλαιο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Το μέρος του P2R, που αναφέρεται στη γραμμή 0350, το οποίο απαιτείται από την αρμόδια αρχή να κατέχεται υπό μορφή κεφαλαίου CET1.</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Απόθεμα ασφαλείας του δείκτη μόχλευσης για G-SII</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Άρθρο 92 παράγραφος 1α του κανονισμού (ΕΕ) αριθ.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color w:val="auto"/>
                <w:sz w:val="24"/>
              </w:rPr>
              <w:t>Τα G-SII αναφέρουν την αξία της προσαύξησης του δείκτη μόχλευσης για G-SII όπως καθορίζεται σύμφωνα με το άρθρο 92 παράγραφος 1α του</w:t>
            </w:r>
            <w:r>
              <w:rPr>
                <w:rFonts w:ascii="Times New Roman" w:hAnsi="Times New Roman"/>
                <w:sz w:val="24"/>
              </w:rPr>
              <w:t xml:space="preserve"> </w:t>
            </w:r>
            <w:r>
              <w:rPr>
                <w:rFonts w:ascii="Times New Roman" w:hAnsi="Times New Roman"/>
                <w:color w:val="auto"/>
                <w:sz w:val="24"/>
              </w:rPr>
              <w:t>κανονισμού (ΕΕ) αριθ. 575/2013</w:t>
            </w:r>
            <w:r>
              <w:rPr>
                <w:rFonts w:ascii="Times New Roman" w:hAnsi="Times New Roman"/>
                <w:sz w:val="24"/>
              </w:rPr>
              <w:t>.</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color w:val="auto"/>
                <w:sz w:val="24"/>
              </w:rPr>
              <w:t>Τα G-SII αναφέρουν το ποσό αυτό από την ημερομηνία εφαρμογής του αποθέματος ασφαλείας σύμφωνα με τον</w:t>
            </w:r>
            <w:r>
              <w:rPr>
                <w:rFonts w:ascii="Times New Roman" w:hAnsi="Times New Roman"/>
                <w:sz w:val="24"/>
              </w:rPr>
              <w:t xml:space="preserve"> </w:t>
            </w:r>
            <w:r>
              <w:rPr>
                <w:rFonts w:ascii="Times New Roman" w:hAnsi="Times New Roman"/>
                <w:color w:val="auto"/>
                <w:sz w:val="24"/>
              </w:rPr>
              <w:t>κανονισμό (ΕΕ) αριθ. 575/2013</w:t>
            </w:r>
            <w:r>
              <w:rPr>
                <w:rFonts w:ascii="Times New Roman" w:hAnsi="Times New Roman"/>
                <w:sz w:val="24"/>
              </w:rPr>
              <w:t>.</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Καθοδήγηση 2ου πυλώνα (P2G) για αντιμετώπιση των κινδύνων υπερβολικής μόχλευσης</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Άρθρο 104β της ΟΔΗΓΙΑΣ 2013/36/ΕΕ· πρόσθετα ίδια κεφάλαια που κοινοποιούνται από την αρμόδια αρχή για την αντιμετώπιση των κινδύνων υπερβολικής μόχλευσης όπως αναφέρονται στο άρθρο 104β της ΟΔΗΓΙΑΣ 2013/36/ΕΕ</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εκ των οποίων: πρέπει να αποτελείται από κεφάλαιο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Το μέρος της P2G, που αναφέρεται στη γραμμή 0380, το οποίο απαιτείται από την αρμόδια αρχή να κατέχεται υπό μορφή κεφαλαίου CET1.</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εκ των οποίων: πρέπει να αποτελείται από κεφάλαιο κατηγορίας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Το μέρος της P2G, που αναφέρεται στη γραμμή 0380, το οποίο απαιτείται από την αρμόδια αρχή να κατέχεται υπό μορφή κεφαλαίου κατηγορίας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Γραμμή και στήλη</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Απαιτήσεις: δείκτες</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Απαίτηση 1ου πυλώνα για τον δείκτη μόχλευσης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 xml:space="preserve">Άρθρο 92 παράγραφος 1 στοιχείο δ), άρθρο 429α παράγραφος 7 και παράγραφος 1 στοιχείο ιδ) του κατ’ εξουσιοδότηση κανονισμού (ΕΕ) 575/2013· </w:t>
            </w:r>
            <w:r>
              <w:rPr>
                <w:rFonts w:ascii="Times New Roman" w:hAnsi="Times New Roman"/>
                <w:color w:val="auto"/>
                <w:sz w:val="24"/>
              </w:rPr>
              <w:t>ο δείκτης μόχλευσης που απαιτείται για την αντιμετώπιση των κινδύνων υπερβολικής μόχλευσης, όπως αναφέρεται στο</w:t>
            </w:r>
            <w:r>
              <w:rPr>
                <w:rFonts w:ascii="Times New Roman" w:hAnsi="Times New Roman"/>
                <w:sz w:val="24"/>
              </w:rPr>
              <w:t xml:space="preserve"> </w:t>
            </w:r>
            <w:r>
              <w:rPr>
                <w:rFonts w:ascii="Times New Roman" w:hAnsi="Times New Roman"/>
                <w:color w:val="auto"/>
                <w:sz w:val="24"/>
              </w:rPr>
              <w:t>άρθρο 92 παράγραφος 1</w:t>
            </w:r>
            <w:r>
              <w:rPr>
                <w:rFonts w:ascii="Times New Roman" w:hAnsi="Times New Roman"/>
                <w:sz w:val="24"/>
              </w:rPr>
              <w:t xml:space="preserve"> στοιχείο δ) του </w:t>
            </w:r>
            <w:r>
              <w:rPr>
                <w:rFonts w:ascii="Times New Roman" w:hAnsi="Times New Roman"/>
                <w:color w:val="auto"/>
                <w:sz w:val="24"/>
              </w:rPr>
              <w:t>κανονισμού (ΕΕ) αριθ. 575/2013</w:t>
            </w:r>
            <w:r>
              <w:rPr>
                <w:rFonts w:ascii="Times New Roman" w:hAnsi="Times New Roman"/>
                <w:sz w:val="24"/>
              </w:rPr>
              <w:t>,</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color w:val="auto"/>
                <w:sz w:val="24"/>
              </w:rPr>
              <w:t>Τα ιδρύματα που εξαιρούν τα ανοίγματα στην κεντρική τράπεζα του ιδρύματος όπως αναφέρονται στο άρθρο 429α παράγραφος 1 στοιχείο ιδ)</w:t>
            </w:r>
            <w:r>
              <w:rPr>
                <w:rFonts w:ascii="Times New Roman" w:hAnsi="Times New Roman"/>
                <w:sz w:val="24"/>
              </w:rPr>
              <w:t xml:space="preserve"> αναφέρουν την απαίτηση για προσαρμοσμένο δείκτη μόχλευσης σύμφωνα με το άρθρο 429α παράγραφος 7 του κανονισμού (ΕΕ) αριθ.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Συνολική απαίτηση για τον δείκτη μόχλευσης βάσει της SREP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Άρθρο 104 και 104α της ΟΔΗΓΙΑΣ 2013/36/ΕΕ</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Το άθροισμα των σημείων i) και ii) ως εξής:</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της απαίτησης 1ου πυλώνα για τον δείκτη μόχλευσης όπως αναφέρεται στη γραμμή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του</w:t>
            </w:r>
            <w:r>
              <w:rPr>
                <w:rFonts w:ascii="Times New Roman" w:hAnsi="Times New Roman"/>
                <w:color w:val="auto"/>
                <w:sz w:val="24"/>
              </w:rPr>
              <w:t xml:space="preserve"> δείκτη πρόσθετων ιδίων κεφαλαίων που απαιτεί η αρμόδια αρχή (P2R) για την αντιμετώπιση των κινδύνων υπερβολικής μόχλευσης όπως αναφέρονται στο άρθρο 104 της ΟΔΗΓΙΑΣ 2013/36/ΕΕ</w:t>
            </w:r>
            <w:r>
              <w:rPr>
                <w:rFonts w:ascii="Times New Roman" w:hAnsi="Times New Roman"/>
                <w:b/>
                <w:color w:val="auto"/>
                <w:sz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ιδρύματα υπολογίζουν το σημείο ii) διαιρώντας την τιμή στο {0350,0010} με την τιμή στο </w:t>
            </w:r>
            <w:r>
              <w:rPr>
                <w:rFonts w:ascii="Times New Roman" w:hAnsi="Times New Roman"/>
                <w:sz w:val="24"/>
              </w:rPr>
              <w:t>{0300,0010}.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Σε περίπτωση που δεν έχουν κοινοποιηθεί πρόσθετες απαιτήσεις ιδίων κεφαλαίων από την αρμόδια αρχή, τότε αναφέρεται μόνο το σημείο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πρέπει να αποτελείται από κεφάλαιο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Το μέρος του δείκτη πρόσθετων ιδίων κεφαλαίων, που αναφέρεται στο σημείο ii) της γραμμής 0420, που απαιτείται από την αρμόδια αρχή να κατέχεται υπό μορφή κεφαλαίου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 xml:space="preserve">Τα ιδρύματα υπολογίζουν την τιμή διαιρώντας την τιμή στο {0360,0010} με την τιμή στο </w:t>
            </w:r>
            <w:r>
              <w:rPr>
                <w:rFonts w:ascii="Times New Roman" w:hAnsi="Times New Roman"/>
                <w:sz w:val="24"/>
              </w:rPr>
              <w:t>{0300,0010}.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Συνολική απαίτηση για τον δείκτη μόχλευσης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Άρθρο 92 παράγραφος 1α του κανονισμού (ΕΕ) αριθ.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Το άθροισμα των σημείων i) και ii) ως εξής:</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του TSLRR που αναφέρεται στη γραμμή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του αποθέματος ασφαλείας του δείκτη μόχλευσης για τα G-SII σύμφωνα με το άρθρο 92 παράγραφος 1α του κανονισμού (ΕΕ) αριθ. 575/2013, εκφρασμένο ως ποσοστό</w:t>
            </w:r>
            <w:r>
              <w:rPr>
                <w:rFonts w:ascii="Times New Roman" w:hAnsi="Times New Roman"/>
                <w:sz w:val="24"/>
              </w:rPr>
              <w:t xml:space="preserve"> του συνολικού ανοίγματος του δείκτη μόχλευσης</w:t>
            </w:r>
            <w:r>
              <w:rPr>
                <w:rFonts w:ascii="Times New Roman" w:hAnsi="Times New Roman"/>
                <w:b/>
                <w:sz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rPr>
              <w:t xml:space="preserve">Τα ιδρύματα υπολογίζουν το σημείο ii) διαιρώντας την τιμή στο {0370,0010} με την τιμή στο </w:t>
            </w:r>
            <w:r>
              <w:rPr>
                <w:rFonts w:ascii="Times New Roman" w:hAnsi="Times New Roman"/>
                <w:sz w:val="24"/>
              </w:rPr>
              <w:t>{0300,0010}.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Το σημείο ii) λαμβάνεται υπόψη από τα G-SII μόνο από την ημερομηνία εφαρμογής του αποθέματος ασφαλείας σύμφωνα με τον κανονισμό (ΕΕ) αριθ.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Σε περίπτωση που δεν εφαρμόζεται προσαύξηση για G-SII, αναφέρεται μόνο το σημείο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Δείκτης συνολικής απαίτησης για τον δείκτη μόχλευσης (OLRR) και καθοδήγησης 2ου πυλώνα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Άρθρο 104β της ΟΔΗΓΙΑΣ 2013/36/ΕΕ</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Το άθροισμα των σημείων i) και ii) ως εξής:</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του OLRR που αναφέρεται στη γραμμή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των πρόσθετων ιδίων κεφαλαίων που κοινοποιεί η αρμόδια αρχή για την αντιμετώπιση των κινδύνων υπερβολικής μόχλευσης όπως αναφέρονται στο άρθρο 104β της ΟΔΗΓΙΑΣ 2013/36/ΕΕ, εκφρασμένων ως ποσοστό του συνολικού ανοίγματος του δείκτη μόχλευσης.</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rPr>
              <w:t xml:space="preserve">Τα ιδρύματα υπολογίζουν το σημείο ii) διαιρώντας την τιμή στο {0380,0010} με την τιμή στο </w:t>
            </w:r>
            <w:r>
              <w:rPr>
                <w:rFonts w:ascii="Times New Roman" w:hAnsi="Times New Roman"/>
                <w:sz w:val="24"/>
              </w:rPr>
              <w:t>{0300,0010}.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Σε περίπτωση που δεν έχουν κοινοποιηθεί P2G από την αρμόδια αρχή, τότε αναφέρεται μόνο το σημείο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και P2G: πρέπει να αποτελείται από κεφάλαιο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Το άθροισμα των σημείων i) και ii) ως εξής:</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του μέρους του δείκτη πρόσθετων ιδίων κεφαλαίων που απαιτείται από την αρμόδια αρχή να κατέχεται υπό μορφή κεφαλαίου CET1, όπως αναφέρεται στη γραμμή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του μέρους του δείκτη P2G, που αναφέρεται στο σημείο ii) της γραμμής 0450, το οποίο κοινοποιείται από την αρμόδια αρχή και απαιτείται να κατέχεται υπό τη μορφή κεφαλαίου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ιδρύματα υπολογίζουν το σημείο ii) διαιρώντας την τιμή στο {0390,0010} με την τιμή στο </w:t>
            </w:r>
            <w:r>
              <w:rPr>
                <w:rFonts w:ascii="Times New Roman" w:hAnsi="Times New Roman"/>
                <w:sz w:val="24"/>
              </w:rPr>
              <w:t>{0300,0010}.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Σε περίπτωση που δεν έχουν κοινοποιηθεί P2G από την αρμόδια αρχή, τότε αναφέρεται μόνο το σημείο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και P2G: πρέπει να αποτελείται από κεφάλαιο κατηγορίας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Το άθροισμα των σημείων i), ii) και iii) ως εξής:</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της συνολικής απαίτησης για τον δείκτη μόχλευσης βάσει της SREP, όπως αναφέρεται στη γραμμή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color w:val="000000"/>
                <w:sz w:val="24"/>
              </w:rPr>
              <w:t>του αποθέματος ασφαλείας του δείκτη μόχλευσης για τα G-SII σύμφωνα με το άρθρο 92 παράγραφος 1α του κανονισμού (ΕΕ) αριθ. 575/2013, εκφρασμένο ως ποσοστό</w:t>
            </w:r>
            <w:r>
              <w:rPr>
                <w:rFonts w:ascii="Times New Roman" w:hAnsi="Times New Roman"/>
                <w:sz w:val="24"/>
              </w:rPr>
              <w:t xml:space="preserve"> του συνολικού ανοίγματος του δείκτη μόχλευσης.</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του μέρους του δείκτη P2G, που αναφέρεται στο σημείο ii) της γραμμής 0450, το οποίο απαιτείται από την αρμόδια αρχή να κατέχεται υπό τη μορφή κεφαλαίου κατηγορίας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Τα ιδρύματα υπολογίζουν το σημείο ii) διαιρώντας την τιμή στο {0370,0010} με την τιμή στο </w:t>
            </w:r>
            <w:r>
              <w:rPr>
                <w:rFonts w:ascii="Times New Roman" w:hAnsi="Times New Roman"/>
                <w:sz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rPr>
              <w:t xml:space="preserve">Τα ιδρύματα υπολογίζουν το σημείο iii) διαιρώντας την τιμή στο {0400,0010} με την τιμή στο </w:t>
            </w:r>
            <w:r>
              <w:rPr>
                <w:rFonts w:ascii="Times New Roman" w:hAnsi="Times New Roman"/>
                <w:sz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Σε περίπτωση που δεν εφαρμόζεται προσαύξηση για G-SII, αναφέρονται μόνο τα σημείο i) και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Σε περίπτωση που δεν έχουν κοινοποιηθεί P2G από την αρμόδια αρχή, τότε αναφέρονται μόνο τα σημεία i) και ii).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lastRenderedPageBreak/>
              <w:t>Γραμμή και στήλη</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Υπομνηματικά στοιχεία</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Κανονισμός (ΕΕ) αριθ. 575/2013</w:t>
            </w:r>
            <w:r>
              <w:rPr>
                <w:rFonts w:ascii="Times New Roman" w:hAnsi="Times New Roman"/>
                <w:sz w:val="24"/>
              </w:rPr>
              <w:t xml:space="preserve"> </w:t>
            </w:r>
            <w:r>
              <w:rPr>
                <w:rFonts w:ascii="Times New Roman" w:hAnsi="Times New Roman"/>
                <w:color w:val="auto"/>
                <w:sz w:val="24"/>
              </w:rPr>
              <w:t xml:space="preserve">Κανονισμός (ΕΕ) αριθ.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Δείκτης μόχλευσης ως εάν να μην εφαρμοζόταν η προσωρινή μεταχείριση μη πραγματοποιηθέντων κερδών και ζημιών που αποτιμώνται στην εύλογη αξία μέσω άλλων συνολικών εσόδων</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Άρθρο 468 παράγραφος 5</w:t>
            </w:r>
            <w:r>
              <w:rPr>
                <w:rFonts w:ascii="Times New Roman" w:hAnsi="Times New Roman"/>
                <w:sz w:val="24"/>
              </w:rPr>
              <w:t xml:space="preserve"> </w:t>
            </w:r>
            <w:r>
              <w:rPr>
                <w:rFonts w:ascii="Times New Roman" w:hAnsi="Times New Roman"/>
                <w:color w:val="auto"/>
                <w:sz w:val="24"/>
              </w:rPr>
              <w:t>του κανονισμού (ΕΕ) αριθ.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Τα ιδρύματα που έχουν αποφασίσει να εφαρμόσουν την προσωρινή μεταχείριση που προβλέπεται στο άρθρο 468 παράγραφος 1</w:t>
            </w:r>
            <w:r>
              <w:rPr>
                <w:rFonts w:ascii="Times New Roman" w:hAnsi="Times New Roman"/>
                <w:sz w:val="24"/>
              </w:rPr>
              <w:t xml:space="preserve"> του </w:t>
            </w:r>
            <w:r>
              <w:rPr>
                <w:rFonts w:ascii="Times New Roman" w:hAnsi="Times New Roman"/>
                <w:color w:val="auto"/>
                <w:sz w:val="24"/>
              </w:rPr>
              <w:t>κανονισμού (ΕΕ) αριθ. 575/2013 αναφέρουν τον δείκτη μόχλευσης που θα είχαν εάν δεν εφάρμοζαν την εν λόγω μεταχείριση.</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266554"/>
      <w:r>
        <w:rPr>
          <w:rFonts w:ascii="Times New Roman" w:hAnsi="Times New Roman"/>
          <w:b/>
          <w:sz w:val="24"/>
        </w:rPr>
        <w:t>4.</w:t>
      </w:r>
      <w:r>
        <w:tab/>
      </w:r>
      <w:r>
        <w:rPr>
          <w:rFonts w:ascii="Times New Roman" w:hAnsi="Times New Roman"/>
          <w:b/>
          <w:sz w:val="24"/>
        </w:rPr>
        <w:t>C 40.00 – Εναλλακτική αντιμετώπιση του μέτρου του ανοίγματος</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Σε αυτό το μέρος της αναφοράς στοιχείων συγκεντρώνονται στοιχεία για την εναλλακτική αντιμετώπιση παραγώγων, ΣΧΤ, στοιχείων εκτός ισολογισμού, εξαιρούμενων επενδύσεων του δημοσίου τομέα και εξαιρούμενων ανοιγμάτων από προνομιακά δάνεια.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Τα ιδρύματα προσδιορίζουν τις «λογιστικές αξίες ισολογισμού» στο υπόδειγμα LR1, βάσει του εφαρμοστέου λογιστικού πλαισίου, σύμφωνα με το άρθρο 4 παράγραφος 1 σημείο 77) του κανονισμού (ΕΕ) αριθ. 575/2013. Η «λογιστική αξία με την παραδοχή μη συμψηφισμού ή άλλης τεχνικής CRM» αναφέρεται στη λογιστική αξία ισολογισμού, χωρίς να λαμβάνονται υπόψη τυχόν αποτελέσματα συμψηφισμού ή άλλου μετριασμού του πιστωτικού κινδύνου.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Τα ιδρύματα αναφέρουν τα στοιχεία του υποδείγματος LR1 ως εάν δεν εφαρμόζονταν τα στοιχεία με αρνητικό πρόσημο στο υπόδειγμα LRCalc (για παράδειγμα, εξαιρέσεις/αφαιρέσεις) σύμφωνα με τους κανόνες χρήσης προσήμου του παρόντος παραρτήματος μέρος Ι παράγραφος 9, με εξαίρεση τις γραμμές {0270,0010}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Το σύνολο ενεργητικού ({r0410,c0010}) στο υπόδειγμα 40.00 αναφέρεται μόνο από:</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μεγάλα ιδρύματα τα οποία είτε είναι G-SII είτε έχουν εκδώσει τίτλους που έχουν εισαχθεί προς διαπραγμάτευση σε ρυθμιζόμενη αγορά, ανά εξάμηνο,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μεγάλα ιδρύματα εκτός των G-SII τα οποία είναι μη εισηγμένα ιδρύματα, ετησίως,</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άλλα ιδρύματα εκτός των μεγάλων ιδρυμάτων και των μικρών και μη πολύπλοκων ιδρυμάτων τα οποία έχουν εκδώσει τίτλους που έχουν εισαχθεί προς διαπραγμάτευση σε ρυθμιζόμενη αγορά, ετησίως.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F4754B" w:rsidRPr="00E75BB8" w14:paraId="26421155" w14:textId="77777777" w:rsidTr="009D6D68">
        <w:tc>
          <w:tcPr>
            <w:tcW w:w="158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lastRenderedPageBreak/>
              <w:t>Γραμμή και στήλη</w:t>
            </w:r>
          </w:p>
        </w:tc>
        <w:tc>
          <w:tcPr>
            <w:tcW w:w="745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Νομικά κείμενα αναφοράς και οδηγίες</w:t>
            </w:r>
          </w:p>
        </w:tc>
      </w:tr>
      <w:tr w:rsidR="00F4754B" w:rsidRPr="00E75BB8" w14:paraId="361F248A" w14:textId="77777777" w:rsidTr="009D6D68">
        <w:tc>
          <w:tcPr>
            <w:tcW w:w="158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45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Παράγωγα – Λογιστική αξία ισολογισμού</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Είναι το άθροισμα των {0020,010}, {0050,0010} και {0060,0010}.</w:t>
            </w:r>
          </w:p>
        </w:tc>
      </w:tr>
      <w:tr w:rsidR="00F4754B" w:rsidRPr="00E75BB8" w14:paraId="1D231FFA" w14:textId="77777777" w:rsidTr="009D6D68">
        <w:tc>
          <w:tcPr>
            <w:tcW w:w="158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45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 Λογιστική αξία με την παραδοχή μη συμψηφισμού ή άλλης τεχνικής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Είναι το άθροισμα των {0020,0020}, {0050,0020} και {0060,0020}.</w:t>
            </w:r>
          </w:p>
        </w:tc>
      </w:tr>
      <w:tr w:rsidR="00F4754B" w:rsidRPr="00E75BB8" w14:paraId="56F668DB" w14:textId="77777777" w:rsidTr="009D6D68">
        <w:tc>
          <w:tcPr>
            <w:tcW w:w="158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45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 Ονομαστικό ποσό</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Είναι το άθροισμα των {0020,0070}, {0050,0070} και {0060,0070}.</w:t>
            </w:r>
          </w:p>
        </w:tc>
      </w:tr>
      <w:tr w:rsidR="00F4754B" w:rsidRPr="00E75BB8" w14:paraId="6B45BB27" w14:textId="77777777" w:rsidTr="009D6D68">
        <w:tc>
          <w:tcPr>
            <w:tcW w:w="158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45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(πωληθείσα προστασία) – Λογιστική αξία ισολογισμού</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των πιστωτικών παραγώγων, όταν το ίδρυμα πωλεί πιστωτική προστασία σε έναν αντισυμβαλλόμενο και η σύμβαση αναγνωρίζεται ως στοιχείο ενεργητικού στον ισολογισμό</w:t>
            </w:r>
          </w:p>
        </w:tc>
      </w:tr>
      <w:tr w:rsidR="00F4754B" w:rsidRPr="00E75BB8" w14:paraId="78089643" w14:textId="77777777" w:rsidTr="009D6D68">
        <w:tc>
          <w:tcPr>
            <w:tcW w:w="158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45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Πιστωτικά παράγωγα (πωληθείσα προστασία) – Λογιστική αξία με την παραδοχή μη συμψηφισμού ή άλλης τεχνικής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των πιστωτικών παραγώγων, όταν το ίδρυμα πωλεί πιστωτική προστασία σε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F4754B" w:rsidRPr="00E75BB8" w14:paraId="6F14FFAF" w14:textId="77777777" w:rsidTr="009D6D68">
        <w:tc>
          <w:tcPr>
            <w:tcW w:w="158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45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(πωληθείσα προστασία) – Ονομαστικό ποσό</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Είναι το άθροισμα των κελιών {0030,0070} και{0040,0070}.</w:t>
            </w:r>
          </w:p>
        </w:tc>
      </w:tr>
      <w:tr w:rsidR="00410E47" w:rsidRPr="00E75BB8" w14:paraId="3223F811" w14:textId="77777777" w:rsidTr="009D6D68">
        <w:tc>
          <w:tcPr>
            <w:tcW w:w="158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45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(πωληθείσα προστασία) – Ανώτατο ονομαστικό ποσό</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Τα ιδρύματα αναφέρουν το ονομαστικό ποσό στο οποίο αναφέρονται τα πιστωτικά παράγωγα (πωληθείσα προστασία) όπως στο {0020,0070} μετά την αφαίρεση από οποιεσδήποτε αλλαγές αρνητικής εύλογης αξίας που </w:t>
            </w:r>
            <w:r>
              <w:rPr>
                <w:rFonts w:ascii="Times New Roman" w:hAnsi="Times New Roman"/>
                <w:sz w:val="24"/>
              </w:rPr>
              <w:lastRenderedPageBreak/>
              <w:t>έχουν ενσωματωθεί σε κεφάλαιο της κατηγορίας 1 σε σχέση με το πωληθέν πιστωτικό παράγωγο.</w:t>
            </w:r>
          </w:p>
        </w:tc>
      </w:tr>
      <w:tr w:rsidR="00F56B61" w:rsidRPr="00E75BB8" w14:paraId="01AA1F98" w14:textId="77777777" w:rsidTr="009D6D68">
        <w:tc>
          <w:tcPr>
            <w:tcW w:w="158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lastRenderedPageBreak/>
              <w:t>{0030,0070}</w:t>
            </w:r>
          </w:p>
        </w:tc>
        <w:tc>
          <w:tcPr>
            <w:tcW w:w="745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(πωληθείσα προστασία) που υπόκεινται σε ρήτρα εκκαθάρισης – Ονομαστικό ποσό</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αναφέρουν το ονομαστικό ποσό στο οποίο αναφέρονται τα πιστωτικά παράγωγα, όταν το ίδρυμα πωλεί σε αντισυμβαλλόμενο πιστωτική προστασία η οποία υπόκειται σε ρήτρα εκκαθάρισης.</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λαμβάνουν υπόψη όλα τα πιστωτικά παράγωγα, και όχι μόνον αυτά που εντάσσονται στο χαρτοφυλάκιο συναλλαγών.</w:t>
            </w:r>
          </w:p>
        </w:tc>
      </w:tr>
      <w:tr w:rsidR="00410E47" w:rsidRPr="00E75BB8" w14:paraId="758B12D8" w14:textId="77777777" w:rsidTr="009D6D68">
        <w:tc>
          <w:tcPr>
            <w:tcW w:w="158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45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(πωληθείσα προστασία) που δεν υπόκεινται σε ρήτρα εκκαθάρισης – Ονομαστικό ποσό</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Τα ιδρύματα αναφέρουν το ονομαστικό ποσό στο οποίο αναφέρονται τα πιστωτικά παράγωγα, όταν το ίδρυμα πωλεί σε αντισυμβαλλόμενο πιστωτική προστασία η οποία δεν υπόκειται σε «ρήτρα εκκαθάρισης».</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sz w:val="24"/>
                <w:u w:val="single"/>
              </w:rPr>
              <w:t xml:space="preserve"> </w:t>
            </w:r>
          </w:p>
        </w:tc>
      </w:tr>
      <w:tr w:rsidR="00410E47" w:rsidRPr="00E75BB8" w14:paraId="6FD3F9A1" w14:textId="77777777" w:rsidTr="009D6D68">
        <w:tc>
          <w:tcPr>
            <w:tcW w:w="158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45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(αγορασθείσα προστασία) – Λογιστική αξία ισολογισμού</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των πιστωτικών παραγώγων, όταν το ίδρυμα αγοράζει πιστωτική προστασία από έναν αντισυμβαλλόμενο και η σύμβαση αναγνωρίζεται ως στοιχείο ενεργητικού στον ισολογισμό</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sz w:val="24"/>
                <w:u w:val="single"/>
              </w:rPr>
              <w:t xml:space="preserve"> </w:t>
            </w:r>
          </w:p>
        </w:tc>
      </w:tr>
      <w:tr w:rsidR="00410E47" w:rsidRPr="00E75BB8" w14:paraId="7D57309E" w14:textId="77777777" w:rsidTr="009D6D68">
        <w:tc>
          <w:tcPr>
            <w:tcW w:w="158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{0050,0020}</w:t>
            </w:r>
          </w:p>
        </w:tc>
        <w:tc>
          <w:tcPr>
            <w:tcW w:w="745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(αγορασθείσα προστασία) – Λογιστική αξία με την παραδοχή μη συμψηφισμού ή άλλης τεχνικής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των πιστωτικών παραγώγων, όταν το ίδρυμα αγοράζει πιστωτική προστασία από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αποτελέσματα CRM (δηλαδή αντιστρέφονται τα όποια αποτελέσματα του λογιστικού συμψηφισμού ή του CRM που έχουν επηρεάσει τη λογιστική αξία)</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sz w:val="24"/>
                <w:u w:val="single"/>
              </w:rPr>
              <w:t xml:space="preserve"> </w:t>
            </w:r>
          </w:p>
        </w:tc>
      </w:tr>
      <w:tr w:rsidR="00410E47" w:rsidRPr="00E75BB8" w14:paraId="66D4DF42" w14:textId="77777777" w:rsidTr="009D6D68">
        <w:tc>
          <w:tcPr>
            <w:tcW w:w="158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(αγορασθείσα προστασία) – Ονομαστικό ποσό</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Τα ιδρύματα αναφέρουν το ονομαστικό ποσό στο οποίο αναφέρονται τα πιστωτικά παράγωγα, όταν το ίδρυμα αγοράζει πιστωτική προστασία από αντισυμβαλλόμενο.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sz w:val="24"/>
                <w:u w:val="single"/>
              </w:rPr>
              <w:t xml:space="preserve"> </w:t>
            </w:r>
          </w:p>
        </w:tc>
      </w:tr>
      <w:tr w:rsidR="00410E47" w:rsidRPr="00E75BB8" w14:paraId="05C9F42E" w14:textId="77777777" w:rsidTr="009D6D68">
        <w:tc>
          <w:tcPr>
            <w:tcW w:w="158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45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(αγορασθείσα προστασία) – Ανώτατο ονομαστικό ποσό</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αναφέρουν το ονομαστικό ποσό στο οποίο αναφέρονται τα πιστωτικά παράγωγα (αγορασθείσα προστασία) όπως στο {0050,0070}, μετά την αφαίρεση οποιωνδήποτε αλλαγών θετικής εύλογης αξίας που έχουν ενσωματωθεί στο κεφάλαιο της κατηγορίας 1 όσον αφορά το αγορασθέν πιστωτικό παράγωγο.</w:t>
            </w:r>
          </w:p>
        </w:tc>
      </w:tr>
      <w:tr w:rsidR="00410E47" w:rsidRPr="00E75BB8" w14:paraId="3D24D0EB" w14:textId="77777777" w:rsidTr="009D6D68">
        <w:tc>
          <w:tcPr>
            <w:tcW w:w="158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Πιστωτικά παράγωγα (αγορασθείσα προστασία) – Ανώτατο ονομαστικό ποσό (ίδιο όνομα αναφοράς)</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αναφέρουν το ονομαστικό ποσό στο οποίο αναφέρονται τα πιστωτικά παράγωγα, όταν το ίδρυμα αγοράζει πιστωτική προστασία επί του ιδίου υποκείμενου ονόματος αναφοράς με εκείνο των πιστωτικών παραγώγων τα οποία πωλεί το ίδρυμα που υποβάλλει αναφορά.</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Για τους σκοπούς αναφοράς της εν λόγω τιμής κελιού, τα υποκείμενα ονόματα αναφοράς θεωρούνται τα ίδια, εάν αναφέρονται στην ίδια νομική οντότητα και στην ίδια σειρά εξοφλητικής προτεραιότητας.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Η πιστωτική προστασία που αγοράζεται επί ομάδας οντοτήτων αναφοράς θεωρείται η ίδια εάν η προστασία αυτή είναι οικονομικά ισοδύναμη με την </w:t>
            </w:r>
            <w:r>
              <w:rPr>
                <w:rFonts w:ascii="Times New Roman" w:hAnsi="Times New Roman"/>
                <w:sz w:val="24"/>
              </w:rPr>
              <w:lastRenderedPageBreak/>
              <w:t>αγορά προστασίας χωριστά σε καθένα από τα επιμέρους ονόματα της ομάδας.</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Εάν ένα ίδρυμα αγοράζει πιστωτική προστασία επί ομάδας ονομάτων αναφοράς, τότε αυτή η πιστωτική προστασία θεωρείται η ίδια μόνον εάν η αγορασθείσα πιστωτική προστασία καλύπτει το σύνολο των υποσυνόλων της ομάδας επί της οποίας έχει πωληθεί πιστωτική προστασία. Με άλλα λόγια, συμψηφισμός μπορεί να αναγνωριστεί μόνον όταν η ομάδα οντοτήτων αναφοράς και το επίπεδο εξοφλητικής προτεραιότητας και στις δύο συναλλαγές είναι ταυτόσημα.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Για κάθε όνομα αναφοράς, τα ονομαστικά ποσά της πιστωτικής προστασίας τα οποία λαμβάνονται υπόψη για τον σκοπό της αναφοράς στο κελί αυτό δεν υπερβαίνουν τα ποσά που αναφέρονται στα {0020,0075} και {0050,0075}.</w:t>
            </w:r>
          </w:p>
        </w:tc>
      </w:tr>
      <w:tr w:rsidR="00410E47" w:rsidRPr="00E75BB8" w14:paraId="679A8A87" w14:textId="77777777" w:rsidTr="009D6D68">
        <w:tc>
          <w:tcPr>
            <w:tcW w:w="158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{0060,0010}</w:t>
            </w:r>
          </w:p>
        </w:tc>
        <w:tc>
          <w:tcPr>
            <w:tcW w:w="745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Χρηματοοικονομικά παράγωγα – Λογιστική αξία ισολογισμού</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Άρθρο 4 παράγραφος 1 σημείο 77) του κανονισμού (ΕΕ) αριθ.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αναφέρουν τη λογιστική αξία ισολογισμού, σύμφωνα με το εφαρμοστέο λογιστικό πλαίσιο, των συμβάσεων που απαριθμούνται στο παράρτημα II του κανονισμού (ΕΕ) αριθ. 575/2013, όπου οι συμβάσεις αναγνωρίζονται ως στοιχεία ενεργητικού στον ισολογισμό.</w:t>
            </w:r>
          </w:p>
        </w:tc>
      </w:tr>
      <w:tr w:rsidR="00410E47" w:rsidRPr="00E75BB8" w14:paraId="64AB4D96" w14:textId="77777777" w:rsidTr="009D6D68">
        <w:tc>
          <w:tcPr>
            <w:tcW w:w="158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45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Χρηματοοικονομικά παράγωγα – Λογιστική αξία με την παραδοχή μη συμψηφισμού ή άλλης τεχνικής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των συμβάσεων που απαριθμούνται στο παράρτημα II του κανονισμού (ΕΕ) αριθ. 575/2013, όπου οι συμβάσεις αναγνωρίζονται ως στοιχεία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410E47" w:rsidRPr="00E75BB8" w14:paraId="24EE0FAD" w14:textId="77777777" w:rsidTr="009D6D68">
        <w:tc>
          <w:tcPr>
            <w:tcW w:w="158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45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Χρηματοοικονομικά παράγωγα – Ονομαστικό ποσό</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Το κελί αυτό περιλαμβάνει το ονομαστικό ποσό στο οποίο αναφέρονται συμβάσεις που απαριθμούνται στο παράρτημα II του κανονισμού (ΕΕ) αριθ. 575/2013.</w:t>
            </w:r>
          </w:p>
        </w:tc>
      </w:tr>
      <w:tr w:rsidR="007B7914" w:rsidRPr="00E75BB8" w14:paraId="77E61D46" w14:textId="77777777" w:rsidTr="009D6D68">
        <w:tc>
          <w:tcPr>
            <w:tcW w:w="158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45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Συναλλαγές χρηματοδότησης τίτλων – Λογιστική αξία ισολογισμού</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Άρθρο 4 παράγραφος 1 σημείο 77) του κανονισμού (ΕΕ) αριθ. 575/2013· η λογιστική αξία ισολογισμού των ΣΧΤ, σύμφωνα με το εφαρμοστέο </w:t>
            </w:r>
            <w:r>
              <w:rPr>
                <w:rFonts w:ascii="Times New Roman" w:hAnsi="Times New Roman"/>
                <w:sz w:val="24"/>
              </w:rPr>
              <w:lastRenderedPageBreak/>
              <w:t>λογιστικό πλαίσιο, όπου οι συμβάσεις αναγνωρίζονται ως στοιχεία ενεργητικού στον ισολογισμό.</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{0090,0010}.</w:t>
            </w:r>
          </w:p>
        </w:tc>
      </w:tr>
      <w:tr w:rsidR="007B7914" w:rsidRPr="00E75BB8" w14:paraId="4906EC4F" w14:textId="77777777" w:rsidTr="009D6D68">
        <w:tc>
          <w:tcPr>
            <w:tcW w:w="158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lastRenderedPageBreak/>
              <w:t>{0071,0020}</w:t>
            </w:r>
          </w:p>
        </w:tc>
        <w:tc>
          <w:tcPr>
            <w:tcW w:w="745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Συναλλαγές χρηματοδότησης τίτλων – Λογιστική αξία με την παραδοχή μη συμψηφισμού ή άλλης τεχνικής CRM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Άρθρο 4 παράγραφος 1 σημείο 77) του κανονισμού (ΕΕ) αριθ. 575/2013· η λογιστική αξία ισολογισμού, σύμφωνα με το εφαρμοστέο λογιστικό πλαίσιο, όπου οι συμβάσεις αναγνωρίζονται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Όταν επιτυγχάνεται λογιστική καταχώριση πώλησης για μια ΣΧΤ, σύμφωνα με το εφαρμοστέο λογιστικό πλαίσιο, τα ιδρύματα αντιστρέφουν όλες τις πωλήσεις που σχετίζονται με λογιστικές εγγραφές.</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{0090,0020}.</w:t>
            </w:r>
          </w:p>
        </w:tc>
      </w:tr>
      <w:tr w:rsidR="00410E47" w:rsidRPr="00E75BB8" w14:paraId="2BD078C3" w14:textId="77777777" w:rsidTr="009D6D68">
        <w:tc>
          <w:tcPr>
            <w:tcW w:w="158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45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Άλλα στοιχεία ενεργητικού – Λογιστική αξία ισολογισμού</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όλων των στοιχείων ενεργητικού, πλην των συμβάσεων που περιλαμβάνονται στο παράρτημα II του κανονισμού (ΕΕ) αριθ. 575/2013, πιστωτικών παραγώγων και ΣΧΤ.</w:t>
            </w:r>
          </w:p>
        </w:tc>
      </w:tr>
      <w:tr w:rsidR="00410E47" w:rsidRPr="00E75BB8" w14:paraId="2A9CFA05" w14:textId="77777777" w:rsidTr="009D6D68">
        <w:tc>
          <w:tcPr>
            <w:tcW w:w="158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45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Άλλα στοιχεία ενεργητικού – Λογιστική αξία με την παραδοχή μη συμψηφισμού ή άλλης τεχνικής CRM</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Άρθρο 4 παράγραφος 1 σημείο 77) του κανονισμού (ΕΕ) αριθ. 575/2013· η λογιστική αξία ισολογισμού, σύμφωνα με το εφαρμοστέο λογιστικό πλαίσιο, όλων των στοιχείων ενεργητικού, πλην των συμβάσεων που περιλαμβάνονται στο παράρτημα II του κανονισμού (ΕΕ) αριθ. 575/2013, πιστωτικών παραγώγων και ΣΧΤ,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9D6D68">
        <w:tc>
          <w:tcPr>
            <w:tcW w:w="158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lastRenderedPageBreak/>
              <w:t>{0095,0070}</w:t>
            </w:r>
          </w:p>
        </w:tc>
        <w:tc>
          <w:tcPr>
            <w:tcW w:w="745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Στοιχεία εκτός ισολογισμού</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αναφέρουν την ονομαστική αξία στοιχείων εκτός ισολογισμού. Τα ιδρύματα δεν λαμβάνουν υπόψη σε αυτό το κελί συμβάσεις οι οποίες παρατίθενται στο παράρτημα II του κανονισμού (ΕΕ) αριθ. 575/2013, πιστωτικά παράγωγα και ΣΧΤ σύμφωνα με το άρθρο 429στ παράγραφος 1 του κανονισμού (ΕΕ) αριθ. 575/2013.</w:t>
            </w:r>
          </w:p>
        </w:tc>
      </w:tr>
      <w:tr w:rsidR="00410E47" w:rsidRPr="00E75BB8" w14:paraId="0FBB579D" w14:textId="77777777" w:rsidTr="009D6D68">
        <w:tc>
          <w:tcPr>
            <w:tcW w:w="158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45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Εξασφαλίσεις με χρηματικά διαθέσιμα που λήφθηκαν σε συναλλαγές σε παράγωγα – Λογιστική αξία με την παραδοχή μη συμψηφισμού ή άλλης τεχνικής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Η λογιστική αξία ισολογισμού, σύμφωνα με το εφαρμοστέο λογιστικό πλαίσιο, των συμβάσεων των εξασφαλίσεων με χρηματικά διαθέσιμα που λήφθηκαν σε συναλλαγές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tc>
      </w:tr>
      <w:tr w:rsidR="00410E47" w:rsidRPr="00E75BB8" w14:paraId="53DF6927" w14:textId="77777777" w:rsidTr="009D6D68">
        <w:tc>
          <w:tcPr>
            <w:tcW w:w="158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45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Απαιτήσεις για εξασφαλίσεις με χρηματικά διαθέσιμα που παρέχονται στο πλαίσιο συναλλαγών σε παράγωγα – Λογιστική αξία με την παραδοχή μη συμψηφισμού ή άλλης τεχνικής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Η λογιστική αξία ισολογισμού, σύμφωνα με το εφαρμοστέο λογιστικό πλαίσιο, των απαιτήσεων για εξασφαλίσεις με χρηματικά διαθέσιμα που παρέχονται στο πλαίσιο συναλλαγών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στα οποία επιτρέπεται, σύμφωνα με το εφαρμοστέο λογιστικό πλαίσιο, να συμψηφίσουν τις απαιτήσεις για εξασφαλίσεις με χρηματικά διαθέσιμα, που παρέχονται έναντι της σχετικής υποχρέωσης από παράγωγα (αρνητική εύλογη αξία) και που επιλέγουν να το πράξουν, αντιστρέφουν τη συμφωνία συμψηφισμού και αναφέρουν την καθαρή απαίτηση μετρητών.</w:t>
            </w:r>
          </w:p>
        </w:tc>
      </w:tr>
      <w:tr w:rsidR="00410E47" w:rsidRPr="00E75BB8" w14:paraId="56CCADD2" w14:textId="77777777" w:rsidTr="009D6D68">
        <w:tc>
          <w:tcPr>
            <w:tcW w:w="158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45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Τίτλοι που λαμβάνονται σε ΣΧΤ που αναγνωρίζονται ως περιουσιακό στοιχείο – Λογιστική αξία με την παραδοχή μη συμψηφισμού ή άλλης τεχνικής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Η λογιστική αξία ισολογισμού, σύμφωνα με το εφαρμοστέο λογιστικό πλαίσιο, των τίτλων που λαμβάνονται σε ΣΧΤ που αναγνωρίζονται ως περιουσιακό στοιχείο σύμφωνα με το εφαρμοστέο λογιστικό πλαίσιο,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410E47" w:rsidRPr="00E75BB8" w14:paraId="73AB9A4D" w14:textId="77777777" w:rsidTr="009D6D68">
        <w:tc>
          <w:tcPr>
            <w:tcW w:w="158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45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ΣΧΤ cash conduit lending (απαιτήσεις σε μετρητά) – Λογιστική αξία με την παραδοχή μη συμψηφισμού ή άλλης τεχνικής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Η λογιστική αξία ισολογισμού, σύμφωνα με το εφαρμοστέο λογιστικό πλαίσιο, των απαιτήσεων για χρηματικά διαθέσιμα για τον δανεισμό των χρηματικών διαθεσίμων στον ιδιοκτήτη των τίτλων σε μια αποδεκτή συναλλαγή δανεισμού χρηματικών διαθεσίμων μέσω εταιρικού μορφώματος (cash conduit lending transaction – CCLT),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Ως συναλλαγή δανεισμού χρηματικών διαθεσίμων μέσω εταιρικού μορφώματος (CCLT) ορίζεται ένας συνδυασμός δύο συναλλαγών, κατά τις οποίες το ίδρυμα δανείζεται τίτλους από τον ιδιοκτήτη τίτλων και δανείζει τίτλους προς τον δανειολήπτη τίτλων. Παράλληλα, το ίδρυμα λαμβάνει εξασφάλιση σε χρηματικά διαθέσιμα από τον δανειολήπτη τίτλων και δανείζει τα εισπραχθέντα μετρητά στον ιδιοκτήτη των τίτλων. Μια αποδεκτή CCLT πληροί όλες τις ακόλουθες προϋποθέσεις:</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α)</w:t>
            </w:r>
            <w:r>
              <w:tab/>
            </w:r>
            <w:r>
              <w:rPr>
                <w:rFonts w:ascii="Times New Roman" w:hAnsi="Times New Roman"/>
                <w:color w:val="000000"/>
                <w:sz w:val="24"/>
              </w:rPr>
              <w:t>και οι δύο επιμέρους συναλλαγές που συγκροτούν την αποδεκτή συναλλαγή δανεισμού χρηματικών διαθεσίμων μέσω εταιρικού μορφώματος πραγματοποιούνται κατά την ίδια ημερομηνία συναλλαγής ή, για τις διεθνείς συναλλαγές, σε διαδοχικές εργάσιμες ημέρες·</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β)</w:t>
            </w:r>
            <w:r>
              <w:tab/>
            </w:r>
            <w:r>
              <w:rPr>
                <w:rFonts w:ascii="Times New Roman" w:hAnsi="Times New Roman"/>
                <w:color w:val="000000"/>
                <w:sz w:val="24"/>
              </w:rPr>
              <w:t xml:space="preserve">όταν οι συναλλαγές δεν ορίζουν ληκτότητα, το ίδρυμα έχει το νομικό δικαίωμα να εκκαθαρίσει καθεμία από τις δύο πλευρές της </w:t>
            </w:r>
            <w:r>
              <w:rPr>
                <w:rFonts w:ascii="Times New Roman" w:hAnsi="Times New Roman"/>
                <w:color w:val="000000"/>
                <w:sz w:val="24"/>
              </w:rPr>
              <w:lastRenderedPageBreak/>
              <w:t>CCLT, δηλαδή και τους δύο τύπους συναλλαγών, ανά πάσα στιγμή και χωρίς προειδοποίηση·</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γ)</w:t>
            </w:r>
            <w:r>
              <w:tab/>
            </w:r>
            <w:r>
              <w:rPr>
                <w:rFonts w:ascii="Times New Roman" w:hAnsi="Times New Roman"/>
                <w:color w:val="000000"/>
                <w:sz w:val="24"/>
              </w:rPr>
              <w:t>όταν οι συναλλαγές ορίζουν ληκτότητα, η συναλλαγή δεν εγείρει αναντιστοιχίες ληκτότητας για το ίδρυμα· το ίδρυμα έχει το νομικό δικαίωμα να εκκαθαρίσει καθεμία από τις δύο πλευρές της CCLT, δηλαδή και τους δύο τύπους συναλλαγών, ανά πάσα στιγμή και χωρίς προειδοποίηση·</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δ)</w:t>
            </w:r>
            <w:r>
              <w:tab/>
            </w:r>
            <w:r>
              <w:rPr>
                <w:rFonts w:ascii="Times New Roman" w:hAnsi="Times New Roman"/>
                <w:sz w:val="24"/>
              </w:rPr>
              <w:t>δεν συνεπάγεται κανένα άλλο πρόσθετο άνοιγμα.</w:t>
            </w:r>
          </w:p>
        </w:tc>
      </w:tr>
      <w:tr w:rsidR="00142881" w:rsidRPr="00E75BB8" w14:paraId="12EB77F9" w14:textId="77777777" w:rsidTr="009D6D68">
        <w:tc>
          <w:tcPr>
            <w:tcW w:w="158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45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Επενδύσεις του δημοσίου τομέα – Απαιτήσεις έναντι κεντρικών κυβερνήσεων – Λογιστική αξία ισολογισμού</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κεντρικών κυβερνήσεων σε σχέση με επενδύσεις του δημόσιου τομέα.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65A561BA" w14:textId="77777777" w:rsidTr="009D6D68">
        <w:tc>
          <w:tcPr>
            <w:tcW w:w="158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45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Επενδύσεις του δημοσίου τομέα – Απαιτήσεις έναντι περιφερειακών κυβερνήσεων – Λογιστική αξία ισολογισμού</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περιφερειακών κυβερνήσεων σε σχέση με επενδύσεις του δημόσιου τομέα.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178B01CC" w14:textId="77777777" w:rsidTr="009D6D68">
        <w:tc>
          <w:tcPr>
            <w:tcW w:w="158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45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Επενδύσεις του δημοσίου τομέα – Απαιτήσεις έναντι τοπικών αρχών – Λογιστική αξία ισολογισμού</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τοπικών αρχών σε σχέση με επενδύσεις του δημόσιου τομέα.</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6B4A4FFD" w14:textId="77777777" w:rsidTr="009D6D68">
        <w:tc>
          <w:tcPr>
            <w:tcW w:w="158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45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Επενδύσεις του δημοσίου τομέα – Απαιτήσεις έναντι οντοτήτων του δημόσιου τομέα – Λογιστική αξία ισολογισμού</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lastRenderedPageBreak/>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οντοτήτων του δημόσιου τομέα σε σχέση με επενδύσεις του δημόσιου τομέα.</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5655180E" w14:textId="77777777" w:rsidTr="009D6D68">
        <w:tc>
          <w:tcPr>
            <w:tcW w:w="158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{0310,0010}</w:t>
            </w:r>
          </w:p>
        </w:tc>
        <w:tc>
          <w:tcPr>
            <w:tcW w:w="745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Απαιτήσεις έναντι κεντρικών κυβερνήσεων – Λογιστική αξία ισολογισμού</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κεντρικών κυβερνήσεων σε σχέση με προνομιακά δάνεια.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w:t>
            </w:r>
            <w:r>
              <w:rPr>
                <w:rFonts w:ascii="Times New Roman" w:hAnsi="Times New Roman"/>
                <w:b/>
                <w:sz w:val="24"/>
              </w:rPr>
              <w:t xml:space="preserve"> </w:t>
            </w:r>
            <w:r>
              <w:rPr>
                <w:rFonts w:ascii="Times New Roman" w:hAnsi="Times New Roman"/>
                <w:sz w:val="24"/>
              </w:rPr>
              <w:t>την αρμόδια αρχή σύμφωνα με το άρθρο 429α παράγραφος 2 τελευταίο εδάφιο, υπολογίζονται επίσης.</w:t>
            </w:r>
          </w:p>
        </w:tc>
      </w:tr>
      <w:tr w:rsidR="001E5A9A" w:rsidRPr="00E75BB8" w14:paraId="31EDB1F9" w14:textId="77777777" w:rsidTr="009D6D68">
        <w:tc>
          <w:tcPr>
            <w:tcW w:w="158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45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κεντρικών κυβερνήσεων – Ονομαστικό ποσό/Ονομαστική αξία</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κεντρικές κυβερνήσεις.</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4CD3F0D4" w14:textId="77777777" w:rsidTr="009D6D68">
        <w:tc>
          <w:tcPr>
            <w:tcW w:w="158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45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Απαιτήσεις έναντι περιφερειακών κυβερνήσεων – Λογιστική αξία ισολογισμού</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περιφερειακών κυβερνήσεων σε σχέση με προνομιακά δάνεια.</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44874BFB" w14:textId="77777777" w:rsidTr="009D6D68">
        <w:tc>
          <w:tcPr>
            <w:tcW w:w="158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{0320,0070}</w:t>
            </w:r>
          </w:p>
        </w:tc>
        <w:tc>
          <w:tcPr>
            <w:tcW w:w="745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περιφερειακών κυβερνήσεων – Ονομαστικό ποσό/Ονομαστική αξία</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περιφερειακές κυβερνήσεις.</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31B79207" w14:textId="77777777" w:rsidTr="009D6D68">
        <w:tc>
          <w:tcPr>
            <w:tcW w:w="158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45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Απαιτήσεις έναντι τοπικών αρχών – Λογιστική αξία ισολογισμού</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τοπικών αρχών σε σχέση με προνομιακά δάνεια.</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0ABE486A" w14:textId="77777777" w:rsidTr="009D6D68">
        <w:tc>
          <w:tcPr>
            <w:tcW w:w="158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45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τοπικών αρχών – Ονομαστικό ποσό/Ονομαστική αξία</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τοπικές αρχές.</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7024E473" w14:textId="77777777" w:rsidTr="009D6D68">
        <w:tc>
          <w:tcPr>
            <w:tcW w:w="158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45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Απαιτήσεις έναντι οντοτήτων του δημόσιου τομέα – Λογιστική αξία ισολογισμού</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οντοτήτων του δημοσίου τομέα σε σχέση με προνομιακά δάνεια.</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5E7DDD36" w14:textId="77777777" w:rsidTr="009D6D68">
        <w:tc>
          <w:tcPr>
            <w:tcW w:w="158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{0340,0070}</w:t>
            </w:r>
          </w:p>
        </w:tc>
        <w:tc>
          <w:tcPr>
            <w:tcW w:w="745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οντοτήτων του δημόσιου τομέα – Ονομαστικό ποσό/Ονομαστική αξία</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οντότητες του δημόσιου τομέα.</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29DF5E7A" w14:textId="77777777" w:rsidTr="009D6D68">
        <w:tc>
          <w:tcPr>
            <w:tcW w:w="158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45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μη χρηματοδοτικών εταιρειών – Λογιστική αξία ισολογισμού</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μη χρηματοδοτικών εταιρειών σε σχέση με προνομιακά δάνεια.</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A7136D" w:rsidRPr="00E75BB8" w14:paraId="12870EEF" w14:textId="77777777" w:rsidTr="009D6D68">
        <w:tc>
          <w:tcPr>
            <w:tcW w:w="158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45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μη χρηματοδοτικών εταιρειών – Ονομαστικό ποσό/Ονομαστική αξία</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μη χρηματοδοτικές εταιρείες.</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1F6E7CB4" w14:textId="77777777" w:rsidTr="009D6D68">
        <w:tc>
          <w:tcPr>
            <w:tcW w:w="158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45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νοικοκυριών – Λογιστική αξία ισολογισμού</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νοικοκυριών σε σχέση με προνομιακά δάνεια.</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18F55D0D" w14:textId="77777777" w:rsidTr="009D6D68">
        <w:tc>
          <w:tcPr>
            <w:tcW w:w="158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{0360,0070}</w:t>
            </w:r>
          </w:p>
        </w:tc>
        <w:tc>
          <w:tcPr>
            <w:tcW w:w="745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Προνομιακά δάνεια – Απαιτήσεις έναντι νοικοκυριών – Ονομαστικό ποσό/Ονομαστική αξία</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νοικοκυριά.</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44E1C677" w14:textId="77777777" w:rsidTr="009D6D68">
        <w:tc>
          <w:tcPr>
            <w:tcW w:w="158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45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Άμεση επανεκχώρηση – Λογιστική αξία ισολογισμού</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w:t>
            </w:r>
            <w:r>
              <w:rPr>
                <w:rFonts w:ascii="Times New Roman" w:hAnsi="Times New Roman"/>
                <w:color w:val="auto"/>
                <w:sz w:val="24"/>
              </w:rPr>
              <w:t>των προνομιακών δανείων άμεσης επανεκχώρησης, όταν τα προνομιακά δάνεια δεν έχουν χορηγηθεί από το ίδιο το ίδρυμα</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A107B" w:rsidRPr="00E75BB8" w14:paraId="09331359" w14:textId="77777777" w:rsidTr="009D6D68">
        <w:tc>
          <w:tcPr>
            <w:tcW w:w="158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45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Προνομιακά δάνεια – Άμεση επανεκχώρηση – Ονομαστικό ποσό/Ονομαστική αξία</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Όταν το ίδρυμα είναι δημόσιο αναπτυξιακό πιστωτικό ίδρυμα,</w:t>
            </w:r>
            <w:r>
              <w:rPr>
                <w:rFonts w:ascii="Times New Roman" w:hAnsi="Times New Roman"/>
                <w:color w:val="auto"/>
                <w:sz w:val="24"/>
              </w:rPr>
              <w:t xml:space="preserve"> το </w:t>
            </w:r>
            <w:r>
              <w:rPr>
                <w:rFonts w:ascii="Times New Roman" w:hAnsi="Times New Roman"/>
                <w:sz w:val="24"/>
              </w:rPr>
              <w:t>ονομαστικό ποσό των στοιχείων εκτός ισολογισμού που αφορούν το μη αναληφθέν τμήμα</w:t>
            </w:r>
            <w:r>
              <w:rPr>
                <w:rFonts w:ascii="Times New Roman" w:hAnsi="Times New Roman"/>
                <w:color w:val="auto"/>
                <w:sz w:val="24"/>
              </w:rPr>
              <w:t xml:space="preserve"> προνομιακών δανείων άμεσης επανεκχώρησης, όταν τα προνομιακά δάνεια δεν έχουν χορηγηθεί από το ίδιο το ίδρυμα.</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703CC2" w:rsidRPr="00E75BB8" w14:paraId="5432666E" w14:textId="77777777" w:rsidTr="009D6D68">
        <w:tc>
          <w:tcPr>
            <w:tcW w:w="158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45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Ανοίγματα στην κεντρική τράπεζα -</w:t>
            </w:r>
            <w:r>
              <w:rPr>
                <w:sz w:val="24"/>
              </w:rPr>
              <w:t xml:space="preserve"> </w:t>
            </w:r>
            <w:r>
              <w:rPr>
                <w:rFonts w:ascii="Times New Roman" w:hAnsi="Times New Roman"/>
                <w:b/>
                <w:sz w:val="24"/>
              </w:rPr>
              <w:t>Λογιστική αξία ισολογισμού</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Τα ιδρύματα αναφέρουν, σύμφωνα με το εφαρμοστέο λογιστικό πλαίσιο, την αξία των ακόλουθων ανοιγμάτων στην κεντρική τράπεζα του ιδρύματος: i) κέρματα και τραπεζογραμμάτια που συνιστούν νόμιμο νόμισμα στη δικαιοδοσία της κεντρικής τράπεζας, ii) στοιχεία ενεργητικού που αντιστοιχούν σε απαιτήσεις έναντι της κεντρικής τράπεζας, συμπεριλαμβανομένων αποθεματικών στην κεντρική τράπεζα.</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Τα ιδρύματα περιλαμβάνουν μόνο ανοίγματα τα οποία πληρούν αμφότερες τις ακόλουθες προϋποθέσεις: α) είναι εκπεφρασμένα στο ίδιο νόμισμα με τις καταθέσεις που δέχεται το ίδρυμα, β) η μέση ληκτότητά τους δεν </w:t>
            </w:r>
            <w:r>
              <w:rPr>
                <w:rFonts w:ascii="Times New Roman" w:hAnsi="Times New Roman"/>
                <w:sz w:val="24"/>
              </w:rPr>
              <w:lastRenderedPageBreak/>
              <w:t>υπερβαίνει κατά πολύ τη μέση ληκτότητα των καταθέσεων που δέχεται το ίδρυμα.</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rPr>
              <w:t>Τα ιδρύματα αναφέρουν τα εν λόγω ανοίγματα ανεξάρτητα από το αν εξαιρούνται από το μέτρο συνολικού ανοίγματος σύμφωνα με το άρθρο 429α παράγραφοι 5 και 6</w:t>
            </w:r>
            <w:r>
              <w:rPr>
                <w:rFonts w:ascii="Times New Roman" w:hAnsi="Times New Roman"/>
                <w:sz w:val="24"/>
              </w:rPr>
              <w:t xml:space="preserve"> του </w:t>
            </w:r>
            <w:r>
              <w:rPr>
                <w:rFonts w:ascii="Times New Roman" w:hAnsi="Times New Roman"/>
                <w:color w:val="auto"/>
                <w:sz w:val="24"/>
              </w:rPr>
              <w:t>κανονισμού (ΕΕ) αριθ. 575/2013</w:t>
            </w:r>
            <w:r>
              <w:rPr>
                <w:rFonts w:ascii="Times New Roman" w:hAnsi="Times New Roman"/>
                <w:color w:val="FF0000"/>
                <w:sz w:val="24"/>
              </w:rPr>
              <w:t>.</w:t>
            </w:r>
          </w:p>
        </w:tc>
      </w:tr>
      <w:tr w:rsidR="00086398" w:rsidRPr="00E75BB8" w14:paraId="2FC50208" w14:textId="77777777" w:rsidTr="009D6D68">
        <w:tc>
          <w:tcPr>
            <w:tcW w:w="158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45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Η αξία των ανοιγμάτων στην κεντρική τράπεζα η οποία χρησιμοποιείται για τον υπολογισμό της απαίτησης για προσαρμοσμένο δείκτη μόχλευσης που αναφέρεται στο άρθρο 429α παράγραφος 7 του ΚΚΑ – Ποσό ανοίγματος του δείκτη μόχλευσης</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Η ημερήσια μέση συνολική αξία των ανοιγμάτων του ιδρύματος στην κεντρική του τράπεζα,</w:t>
            </w:r>
            <w:r>
              <w:rPr>
                <w:sz w:val="24"/>
              </w:rPr>
              <w:t xml:space="preserve"> </w:t>
            </w:r>
            <w:r>
              <w:rPr>
                <w:rFonts w:ascii="Times New Roman" w:hAnsi="Times New Roman"/>
                <w:sz w:val="24"/>
              </w:rPr>
              <w:t>υπολογιζόμενων καθ’ όλη τη διάρκεια της περιόδου διατήρησης αποθεματικού της κεντρικής τράπεζας αμέσως πριν από την ημερομηνία που αναφέρεται στο άρθρο 429α παράγραφος 5 στοιχείο γ) του κανονισμού (ΕΕ) αριθ. 575/2013, τα οποία είναι επιλέξιμα να εξαιρεθούν σύμφωνα με το άρθρο 429α παράγραφος 1 στοιχείο ιδ) του κανονισμού (ΕΕ) αριθ. 575/2013.</w:t>
            </w:r>
          </w:p>
        </w:tc>
      </w:tr>
      <w:tr w:rsidR="00086398" w:rsidRPr="00E75BB8" w14:paraId="49595092" w14:textId="77777777" w:rsidTr="009D6D68">
        <w:tc>
          <w:tcPr>
            <w:tcW w:w="158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45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Μέτρο του ανοίγματος του δείκτη μόχλευσης το οποίο χρησιμοποιείται για τον υπολογισμό της απαίτησης για προσαρμοσμένο δείκτη μόχλευσης που αναφέρεται στο άρθρο 429α παράγραφος 7 του ΚΚΑ – Ποσό ανοίγματος του δείκτη μόχλευσης</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Το μέτρο συνολικού ανοίγματος του ιδρύματος όπως ορίζεται στο άρθρο 429 παράγραφος 4 του κανονισμού (ΕΕ) αριθ. 575/2013, συμπεριλαμβανομένων των ανοιγμάτων που εξαιρούνται σύμφωνα με το άρθρο 429 παράγραφος 1 στοιχείο ιδ) του κανονισμού (ΕΕ) αριθ. 575/2013, κατά την ημέρα που αναφέρεται στο άρθρο 429α παράγραφος 5 στοιχείο γ) του κανονισμού (ΕΕ) αριθ. 575/2013.</w:t>
            </w:r>
          </w:p>
        </w:tc>
      </w:tr>
      <w:tr w:rsidR="000C01E8" w:rsidRPr="00E75BB8" w14:paraId="2AF78942" w14:textId="77777777" w:rsidTr="009D6D68">
        <w:tc>
          <w:tcPr>
            <w:tcW w:w="158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45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Σύνολο ενεργητικού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Τα ιδρύματα αναφέρουν στο στοιχείο αυτό το σύνολο ενεργητικού σύμφωνα με το πεδίο εφαρμογής που έχει χρησιμοποιηθεί στις δημοσιευμένες οικονομικές καταστάσεις.</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266555"/>
      <w:bookmarkEnd w:id="57"/>
      <w:bookmarkEnd w:id="65"/>
      <w:bookmarkEnd w:id="66"/>
      <w:bookmarkEnd w:id="67"/>
      <w:r>
        <w:rPr>
          <w:rFonts w:ascii="Times New Roman" w:hAnsi="Times New Roman"/>
          <w:b/>
          <w:sz w:val="24"/>
        </w:rPr>
        <w:t>5.</w:t>
      </w:r>
      <w:r>
        <w:tab/>
      </w:r>
      <w:r>
        <w:rPr>
          <w:rFonts w:ascii="Times New Roman" w:hAnsi="Times New Roman"/>
          <w:b/>
          <w:sz w:val="24"/>
        </w:rPr>
        <w:t>C 43.00 – Εναλλακτική ανάλυση των συνιστωσών του μέτρου του ανοίγματος του δείκτη μόχλευσης</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Τα ιδρύματα αναφέρουν τις τιμές του ανοίγματος του δείκτη μόχλευσης στο LR4 μετά την εφαρμογή εξαιρέσεων και των αφαιρέσεων στο υπόδειγμα LRCalc, δηλαδή τα στοιχεία με αρνητικό πρόσημο σύμφωνα με τους κανόνες χρήσης προσήμου του παρόντος παραρτήματος μέρος Ι παράγραφος 9, εκτός από τις γραμμές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25.</w:t>
      </w:r>
      <w:r>
        <w:tab/>
      </w:r>
      <w:r>
        <w:rPr>
          <w:rFonts w:ascii="Times New Roman" w:hAnsi="Times New Roman"/>
          <w:sz w:val="24"/>
        </w:rPr>
        <w:t>Προκειμένου να αποφευχθεί ο διπλός υπολογισμός, τα ιδρύματα τηρούν την ακόλουθη εξίσωση:</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r>
        <w:rPr>
          <w:rFonts w:ascii="Times New Roman" w:hAnsi="Times New Roman"/>
          <w:sz w:val="24"/>
        </w:rPr>
        <w:t>Το άθροισμα όλων των γραμμών από {0010,· 0010} έως {00269,0010} στο υπόδειγμα LRCalc ισούται με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Προκειμένου να είναι συνεπή με τις τιμές του ανοίγματος του δείκτη μόχλευσης, τα σταθμισμένα ως προς τον κίνδυνο ποσά ανοίγματος αναφέρονται επίσης με πλήρη εφαρμογή. Οι προσαρμογές του κατώτατου ορίου κεφαλαιακών απαιτήσεων δεν θα λαμβάνονται υπόψη για τους σκοπούς του παρόντος υποδείγματος.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Τα ιδρύματα αναφέρουν τον αντισυμβαλλόμενο σε σχέση με το RWEA, μετά τις τεχνικές μετριασμού του πιστωτικού κινδύνου (CRM) και τα αποτελέσματα υποκατάστασής τους. Τα ιδρύματα αναφέρουν τον αντισυμβαλλόμενο σε σχέση με το LRE σύμφωνα με τον αρχικό αντισυμβαλλόμενο, δηλαδή χωρίς να λαμβάνεται υπόψη τυχόν CRM ή αποτέλεσμα υποκατάστασης που εφαρμόζεται στο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Γραμμή και στήλη</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Νομικά κείμενα αναφοράς και οδηγίες</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Στοιχεία εκτός ισολογισμού – Τιμή του ανοίγματος του δείκτη μόχλευσης</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υπολογίζεται ως το άθροισμα των {LRCalc,0150,0010}, {LRCalc,0160,0010}, {LRCalc,0165,0010} {LRCalc,0170,0010} και {LRCalc,0180,0010} , εκτός των αντίστοιχων ενδοομιλικών ανοιγμάτων (σε ατομική βάση) που εξαιρούνται σύμφωνα με το άρθρο 429α παράγραφος 1 στοιχεία γ) και γα) του</w:t>
            </w:r>
            <w:r>
              <w:rPr>
                <w:rFonts w:ascii="Times New Roman" w:hAnsi="Times New Roman"/>
                <w:b/>
                <w:sz w:val="24"/>
              </w:rPr>
              <w:t xml:space="preserve"> </w:t>
            </w:r>
            <w:r>
              <w:rPr>
                <w:rFonts w:ascii="Times New Roman" w:hAnsi="Times New Roman"/>
                <w:sz w:val="24"/>
              </w:rPr>
              <w:t>κανονισμού (ΕΕ) αριθ.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Στοιχεία εκτός ισολογισμού – RWEA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Το σταθμισμένο ως προς τον κίνδυνο ποσό ανοίγματος των εκτός ισολογισμού στοιχείων —εκτός από ΣΧΤ και παράγωγα— όπως στην τυποποιημένη προσέγγιση και την προσέγγιση IRB. Για ανοίγματα στο πλαίσιο της τυποποιημένης προσέγγισης, τα ιδρύματα προσδιορίζουν το σταθμισμένο ως προς τον κίνδυνο ποσό ανοίγματος σύμφωνα με το τρίτο μέρος τίτλος II κεφάλαιο 2 του κανονισμού (ΕΕ) αριθ. 575/2013. Για ανοίγματα στο πλαίσιο της προσέγγισης IRB, τα ιδρύματα προσδιορίζουν το σταθμισμένο ως προς τον κίνδυνο ποσό ανοίγματος σύμφωνα με το τρίτο μέρος τίτλος II κεφάλαιο 3 του κανονισμού (ΕΕ) αριθ.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Χρηματοδότηση του εμπορίου – Τιμή του ανοίγματος του δείκτη μόχλευσης</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των στοιχείων εκτός ισολογισμού που σχετίζονται με τη χρηματοδότηση του εμπορίου.</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Χρηματοδότηση του εμπορίου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Η σταθμισμένη ως προς τον κίνδυνο αξία ανοίγματος των εκτός ισολογισμού στοιχείων —εκτός από ΣΧΤ και παράγωγα— που σχετίζονται με τη χρηματοδότηση του εμπορίου.</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Τιμή του ανοίγματος του δείκτη μόχλευσης</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Η τιμή του ανοίγματος του δείκτη μόχλευσης στοιχείων εκτός ισολογισμού που σχετίζονται με τη χρηματοδότηση του εμπορίου σύμφωνα με το επίσημο καθεστώς ασφάλισης των εξαγωγικών πιστώσεων.</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Η σταθμισμένη ως προς τον κίνδυνο αξία ανοίγματος εκτός ισολογισμού στοιχείων —εκτός από ΣΧΤ και παράγωγα— που σχετίζονται με τη χρηματοδότηση του εμπορίου σύμφωνα με το επίσημο καθεστώς ασφάλισης των εξαγωγικών πιστώσεων.</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Για τους σκοπούς της υποβολής αναφορών βάσει του LR4, το επίσημο καθεστώς ασφάλισης των εξαγωγικών πιστώσεων συνδέεται με δημόσια </w:t>
            </w:r>
            <w:r>
              <w:rPr>
                <w:rFonts w:ascii="Times New Roman" w:hAnsi="Times New Roman"/>
                <w:sz w:val="24"/>
              </w:rPr>
              <w:lastRenderedPageBreak/>
              <w:t>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και ΣΧΤ που υπόκεινται σε συμφωνία συμψηφισμού μεταξύ προϊόντων – Τιμή του ανοίγματος του δείκτη μόχλευσης</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Η τιμή του ανοίγματος του δείκτη μόχλευσης των παραγώγων και των ΣΧΤ, εφόσον υπόκεινται σε συμφωνία συμψηφισμού μεταξύ προϊόντων, όπως ορίζεται στο άρθρο 272 σημείο 25) του κανονισμού (ΕΕ) αριθ.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και ΣΧΤ που υπόκεινται σε συμφωνία συμψηφισμού μεταξύ προϊόντων – 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Τα σταθμισμένα ως προς τον κίνδυνο ποσά ανοίγματος για πιστωτικό κίνδυνο και κίνδυνο αντισυμβαλλομένου, όπως υπολογίζονται βάσει του τρίτου μέρους τίτλος II του κανονισμού (ΕΕ) αριθ. 575/2013, των παραγώγων και των ΣΧΤ, συμπεριλαμβανομένων εκείνων που είναι εκτός ισολογισμού, εφόσον υπόκεινται σε συμφωνία συμψηφισμού μεταξύ προϊόντων όπως ορίζεται στο άρθρο 272 σημείο 25) του κανονισμού (ΕΕ) αριθ.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που δεν υπόκεινται σε συμφωνία συμψηφισμού μεταξύ προϊόντων – Τιμή του ανοίγματος του δείκτη μόχλευσης</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Η τιμή του ανοίγματος του δείκτη μόχλευσης των παραγώγων εάν δεν υπόκεινται σε συμφωνίες συμψηφισμού μεταξύ προϊόντων, όπως ορίζεται στο άρθρο 272 σημείο 25) του κανονισμού (ΕΕ) αριθ.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Παράγωγα που δεν υπόκεινται σε συμφωνία συμψηφισμού μεταξύ προϊόντων – 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Τα σταθμισμένα ως προς τον κίνδυνο ποσά ανοίγματος για πιστωτικό κίνδυνο και πιστωτικό κίνδυνο αντισυμβαλλομένου των παραγώγων, όπως υπολογίζονται βάσει του τρίτου μέρους τίτλος II του κανονισμού (ΕΕ) αριθ. 575/2013, συμπεριλαμβανομένων εκείνων που είναι εκτός ισολογισμού, εάν δεν υπόκεινται σε συμφωνία συμψηφισμού μεταξύ προϊόντων όπως ορίζεται στο άρθρο 272 σημείο 25) του κανονισμού (ΕΕ) αριθ.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ΣΧΤ που δεν υπόκεινται σε συμφωνία συμψηφισμού μεταξύ προϊόντων – Τιμή του ανοίγματος του δείκτη μόχλευσης</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Η τιμή του ανοίγματος του δείκτη μόχλευσης των ανοιγμάτων ΣΧΤ εάν δεν υπόκεινται σε συμφωνία συμψηφισμού μεταξύ προϊόντων, όπως ορίζεται στο άρθρο 272 σημείο 25) του κανονισμού (ΕΕ) αριθ.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ΣΧΤ που δεν υπόκεινται σε συμφωνία συμψηφισμού μεταξύ προϊόντων – 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Τα σταθμισμένα ως προς τον κίνδυνο ποσά ανοίγματος για πιστωτικό κίνδυνο και πιστωτικό κίνδυνο αντισυμβαλλομένου των ΣΧΤ, όπως υπολογίζονται βάσει του τρίτου μέρους τίτλος II του κανονισμού (ΕΕ) αριθ. 575/2013, συμπεριλαμβανομένων εκείνων που είναι εκτός ισολογισμού, εάν δεν υπόκεινται σε συμφωνία συμψηφισμού μεταξύ προϊόντων όπως ορίζεται στο άρθρο 272 σημείο 25) του κανονισμού (ΕΕ) αριθ.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Ποσά ανοίγματος που προκύπτουν από την επιπρόσθετη αντιμετώπιση για πιστωτικά παράγωγα – Τιμή του ανοίγματος του δείκτη μόχλευσης</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Το ποσό που αναγράφεται σε αυτό το κελί ισούται με τη διαφορά μεταξύ των {LRCalc,0130,0010} και {LRCalc,0140,0010}, εκτός των αντίστοιχων ενδοομιλικών ανοιγμάτων (σε ατομική βάση) που εξαιρούνται σύμφωνα με το άρθρο 429α παράγραφος 1 στοιχεία γ) του κανονισμού (ΕΕ) αριθ.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Λοιπά στοιχεία ενεργητικού που ανήκουν στο χαρτοφυλάκιο συναλλαγών – Τιμή του ανοίγματος του δείκτη μόχλευσης</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που αναφέρονται στο {LRCalc,0190,0010}, εξαιρουμένων των στοιχείων εκτός χαρτοφυλακίου συναλλαγών.</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Λοιπά στοιχεία ενεργητικού που ανήκουν στο χαρτοφυλάκιο συναλλαγών – 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Απαιτήσεις ιδίων κεφαλαίων πολλαπλασιασμένες επί 12,5 των στοιχείων που υπόκεινται στο τρίτο μέρος τίτλος IV του κανονισμού (ΕΕ) αριθ.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Καλυμμένα ομόλογα – Τιμή του ανοίγματος του δείκτη μόχλευσης – Ανοίγματα SA</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υπό τη μορφή καλυμμένων ομολόγων σύμφωνα με το άρθρο 129 του κανονισμού (ΕΕ) αριθ.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Καλυμμένα ομόλογα – Τιμή του ανοίγματος του δείκτη μόχλευσης – Ανοίγματα IRB</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Η τιμή του ανοίγματος του δείκτη μόχλευσης στοιχείων ενεργητικού που είναι ανοίγματα IRB υπό τη μορφή καλυμμένων ομολόγων σύμφωνα με το άρθρο 161 παράγραφος 1 στοιχείο δ) του κανονισμού (ΕΕ) αριθ.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Καλυμμένα ομόλογα – RWEA – Ανοίγματα SA</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των στοιχείων ενεργητικού που είναι ανοίγματα SA υπό τη μορφή καλυμμένων ομολόγων σύμφωνα με το άρθρο 129 του κανονισμού (ΕΕ) αριθ.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Καλυμμένα ομόλογα – RWEA – Ανοίγματα IRB</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των στοιχείων ενεργητικού που είναι ανοίγματα IRB υπό τη μορφή καλυμμένων ομολόγων σύμφωνα με το άρθρο 161 παράγραφος 1 στοιχείο δ) του κανονισμού (ΕΕ) αριθ.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που αντιμετωπίζονται ως κρατικά – Τιμή του ανοίγματος του δείκτη μόχλευσης – Ανοίγματα SA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{0100,0010} έως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που αντιμετωπίζονται ως κρατικά – Τιμή του ανοίγματος του δείκτη μόχλευσης – Ανοίγματα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{0100,0020} έως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που αντιμετωπίζονται ως κρατικά – RWEA – Ανοίγματα SA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{0100,0030} έως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που αντιμετωπίζονται ως κρατικά – RWEA – Ανοίγματα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Είναι το άθροισμα των κελιών από {0100,0040} έως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Κεντρικές κυβερνήσεις και κεντρικές τράπεζες – Τιμή του ανοίγματος του δείκτη μόχλευσης – Ανοίγματα SA</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κεντρικών κυβερνήσεων ή κεντρικών τραπεζών σύμφωνα με το άρθρο 114 του κανονισμού (ΕΕ) αριθ.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Κεντρικές κυβερνήσεις και κεντρικές τράπεζες – Τιμή του ανοίγματος του δείκτη μόχλευσης – Ανοίγματα IRB</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κεντρικών κυβερνήσεων ή κεντρικών τραπεζών σύμφωνα με το άρθρο 147 παράγραφος 2 στοιχείο α) του κανονισμού (ΕΕ) αριθ.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Κεντρικές κυβερνήσεις και κεντρικές τράπεζες – RWEA – Ανοίγματα SA</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κεντρικών κυβερνήσεων ή κεντρικών τραπεζών σύμφωνα με το άρθρο 114 του κανονισμού (ΕΕ) αριθ.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Κεντρικές κυβερνήσεις και κεντρικές τράπεζες – RWEA – Ανοίγματα IRB</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κεντρικών κυβερνήσεων ή κεντρικών τραπεζών σύμφωνα με το άρθρο 147 παράγραφος 2 στοιχείο α) του κανονισμού (ΕΕ) αριθ.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αντιμετωπίζονται ως κρατικές – Τιμή του ανοίγματος του δείκτη μόχλευσης – Ανοίγματα SA</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Η τιμή του ανοίγματος του δείκτη μόχλευσης στοιχείων ενεργητικού που είναι ανοίγματα SA έναντι περιφερειακών κυβερνήσεων και τοπικών αρχών που αντιμετωπίζονται ως κρατικές, τα οποία εμπίπτουν στο άρθρο 115 παράγραφοι 2 και 4 του κανονισμού (ΕΕ) αριθ.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αντιμετωπίζονται ως κρατικές – Τιμή του ανοίγματος του δείκτη μόχλευσης – Ανοίγματα IRB</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Η τιμή του ανοίγματος του δείκτη μόχλευσης στοιχείων ενεργητικού που είναι ανοίγματα IRB έναντι περιφερειακών κυβερνήσεων και τοπικών αρχών τα οποία εμπίπτουν στο άρθρο 147 παράγραφος 3 στοιχείο α) του κανονισμού (ΕΕ) αριθ.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αντιμετωπίζονται ως κρατικές – RWEA – Ανοίγματα SA</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περιφερειακών κυβερνήσεων και τοπικών αρχών που αντιμετωπίζονται ως κρατικές, τα οποία εμπίπτουν στο άρθρο 115 παράγραφοι 2 και 4 του κανονισμού (ΕΕ) αριθ.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αντιμετωπίζονται ως κρατικές – RWEA – Ανοίγματα IRB</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περιφερειακών κυβερνήσεων και τοπικών αρχών τα οποία εμπίπτουν στο άρθρο 147 παράγραφος 3 στοιχείο α) του κανονισμού (ΕΕ) αριθ.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ΠΤΑ και διεθνείς οργανισμοί που αντιμετωπίζονται ως κράτη – Τιμή του ανοίγματος του δείκτη μόχλευσης – Ανοίγματα SA</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πολυμερών τραπεζών ανάπτυξης και διεθνών οργανισμών, τα οποία εμπίπτουν στο άρθρο 117 παράγραφος 2 και στο άρθρο 118 του κανονισμού (ΕΕ) αριθ.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ΠΤΑ και διεθνείς οργανισμοί που αντιμετωπίζονται ως κράτη – Τιμή του ανοίγματος του δείκτη μόχλευσης – Ανοίγματα IRB</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πολυμερών τραπεζών ανάπτυξης και διεθνών οργανισμών, τα οποία εμπίπτουν στο άρθρο 147 παράγραφος 3 στοιχεία β) και γ) του κανονισμού (ΕΕ) αριθ.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ΠΤΑ και διεθνείς οργανισμοί που αντιμετωπίζονται ως κράτη – RWEA – Ανοίγματα SA</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πολυμερών τραπεζών ανάπτυξης και διεθνών οργανισμών, τα οποία εμπίπτουν στο άρθρο 117 παράγραφος 2 και στο άρθρο 118 του κανονισμού (ΕΕ) αριθ.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ΠΤΑ και διεθνείς οργανισμοί που αντιμετωπίζονται ως κράτη – RWEA – Ανοίγματα IRB</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πολυμερών τραπεζών ανάπτυξης και διεθνών οργανισμών, τα οποία εμπίπτουν στο άρθρο 147 παράγραφος 3 στοιχεία β) και γ) του κανονισμού (ΕΕ) αριθ.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ΟΔΤ που αντιμετωπίζονται ως κρατικές – Τιμή του ανοίγματος του δείκτη μόχλευσης – Ανοίγματα SA</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οντοτήτων του δημόσιου τομέα, τα οποία εμπίπτουν στο πεδίο εφαρμογής του άρθρου 116 παράγραφος 4 του κανονισμού (ΕΕ) αριθ.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ΟΔΤ που αντιμετωπίζονται ως κρατικές – Τιμή του ανοίγματος του δείκτη μόχλευσης – Ανοίγματα IRB</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ποσό ανοίγματος του δείκτη μόχλευσης στοιχείων ενεργητικού που είναι ανοίγματα IRB έναντι οντοτήτων του δημόσιου τομέα, τα οποία εμπίπτουν στο άρθρο 147 παράγραφος 3 στοιχείο α) του κανονισμού (ΕΕ) αριθ.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Τα ιδρύματα τα αναφέρουν ως απαλλαγμένα από αθετημένα ανοίγματα IRB.</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ΟΔΤ που αντιμετωπίζονται ως κρατικές – RWEA – Ανοίγματα SA</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οντοτήτων του δημόσιου τομέα, τα οποία εμπίπτουν στο πεδίο εφαρμογής του άρθρου 116 παράγραφος 4 του κανονισμού (ΕΕ) αριθ.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ΟΔΤ που αντιμετωπίζονται ως κρατικές – RWEA – Ανοίγματα IRB</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οντοτήτων του δημόσιου τομέα, τα οποία εμπίπτουν στο άρθρο 147 παράγραφος 3 στοιχείο α) του κανονισμού (ΕΕ) αριθ.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περιφερειακών κυβερνήσεων, ΠΤΑ, διεθνών οργανισμών και ΟΔΤ που δεν αντιμετωπίζονται ως κρατικά - Τιμή του ανοίγματος του δείκτη μόχλευσης – Ανοίγματα SA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{0150,0010} έως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περιφερειακών κυβερνήσεων, ΠΤΑ, διεθνών οργανισμών και ΟΔΤ που δεν αντιμετωπίζονται ως κρατικά – Τιμή του ανοίγματος του δείκτη μόχλευσης – Ανοίγματα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{0150,0020} έως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περιφερειακών κυβερνήσεων, ΠΤΑ, διεθνών οργανισμών και ΟΔΤ που δεν αντιμετωπίζονται ως κρατικά – RWEA – Ανοίγματα SA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κελιών από {0150,0030} έως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περιφερειακών κυβερνήσεων, ΠΤΑ, διεθνών οργανισμών και ΟΔΤ που δεν αντιμετωπίζονται ως κρατικά – RWEA – Ανοίγματα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Είναι το άθροισμα των κελιών από {0150,0040} έως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δεν αντιμετωπίζονται ως κρατικές – Τιμή του ανοίγματος του δείκτη μόχλευσης – Ανοίγματα SA</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περιφερειακών κυβερνήσεων και τοπικών αρχών που δεν αντιμετωπίζονται ως κρατικές, τα οποία εμπίπτουν στο άρθρο 115 παράγραφοι 1, 3 και 5 του κανονισμού (ΕΕ) αριθ.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δεν αντιμετωπίζονται ως κρατικές – Τιμή του ανοίγματος του δείκτη μόχλευσης – Ανοίγματα IRB</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περιφερειακών κυβερνήσεων και τοπικών αρχών που δεν αντιμετωπίζονται ως κρατικές, τα οποία εμπίπτουν στο άρθρο 147 παράγραφος 4 στοιχείο α) του κανονισμού (ΕΕ) αριθ.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Τα ιδρύματα τα αναφέρουν ως απαλλαγμένα από αθετημένα ανοίγματα IRB.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Περιφερειακές κυβερνήσεις και τοπικές αρχές που δεν αντιμετωπίζονται ως κρατικές – RWEA – Ανοίγματα SA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περιφερειακών κυβερνήσεων και τοπικών αρχών που δεν αντιμετωπίζονται ως κρατικές, τα οποία εμπίπτουν στο άρθρο 115 παράγραφοι 1, 3 και 5 του κανονισμού (ΕΕ) αριθ.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Περιφερειακές κυβερνήσεις και τοπικές αρχές που δεν αντιμετωπίζονται ως κρατικές – RWEA – Ανοίγματα IRB</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περιφερειακών κυβερνήσεων και τοπικών αρχών που δεν αντιμετωπίζονται ως κρατικές, τα οποία εμπίπτουν στο άρθρο 147 παράγραφος 4 στοιχείο α) του κανονισμού (ΕΕ) αριθ.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ΠΤΑ που </w:t>
            </w:r>
            <w:r>
              <w:rPr>
                <w:rFonts w:ascii="Times New Roman" w:hAnsi="Times New Roman"/>
                <w:b/>
                <w:sz w:val="24"/>
                <w:u w:val="single"/>
              </w:rPr>
              <w:t>δεν</w:t>
            </w:r>
            <w:r>
              <w:rPr>
                <w:rFonts w:ascii="Times New Roman" w:hAnsi="Times New Roman"/>
                <w:b/>
                <w:sz w:val="24"/>
              </w:rPr>
              <w:t xml:space="preserve"> αντιμετωπίζονται ως κρατικές – Τιμή του ανοίγματος του δείκτη μόχλευσης – Ανοίγματα SA</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πολυμερών τραπεζών ανάπτυξης, τα οποία εμπίπτουν στο άρθρο 117 παράγραφοι 1 και 3 του κανονισμού (ΕΕ) αριθ.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ΠΤΑ που </w:t>
            </w:r>
            <w:r>
              <w:rPr>
                <w:rFonts w:ascii="Times New Roman" w:hAnsi="Times New Roman"/>
                <w:b/>
                <w:sz w:val="24"/>
                <w:u w:val="single"/>
              </w:rPr>
              <w:t>δεν</w:t>
            </w:r>
            <w:r>
              <w:rPr>
                <w:rFonts w:ascii="Times New Roman" w:hAnsi="Times New Roman"/>
                <w:b/>
                <w:sz w:val="24"/>
              </w:rPr>
              <w:t xml:space="preserve"> αντιμετωπίζονται ως κρατικές – Τιμή του ανοίγματος του δείκτη μόχλευσης – Ανοίγματα IRB</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πολυμερών τραπεζών ανάπτυξης που δεν αντιμετωπίζονται ως κρατικές, τα οποία εμπίπτουν στο άρθρο 147 παράγραφος 4 στοιχείο γ) του κανονισμού (ΕΕ) αριθ.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ΠΤΑ που δεν αντιμετωπίζονται ως κρατικές – RWEA – Ανοίγματα SA</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Το σταθμισμένο ως προς τον κίνδυνο ποσό ανοίγματος στοιχείων ενεργητικού που είναι ανοίγματα SA έναντι πολυμερών τραπεζών ανάπτυξης, τα οποία εμπίπτουν στο άρθρο 117 παράγραφοι 1 και 3 του κανονισμού (ΕΕ) αριθ.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ΠΤΑ που δεν αντιμετωπίζονται ως κρατικές – RWEA – Ανοίγματα IRB</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πολυμερών τραπεζών ανάπτυξης που δεν αντιμετωπίζονται ως κρατικές, τα οποία εμπίπτουν στο άρθρο 147 παράγραφος 4 στοιχείο γ) του κανονισμού (ΕΕ) αριθ.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ΟΔΤ που δεν αντιμετωπίζονται ως κρατικές – Τιμή του ανοίγματος του δείκτη μόχλευσης – Ανοίγματα SA</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οντοτήτων του δημόσιου τομέα, τα οποία εμπίπτουν στο άρθρο 116 παράγραφοι 1, 2, 3 και 5 του κανονισμού (ΕΕ) αριθ.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ΟΔΤ που δεν αντιμετωπίζονται ως κρατικές – Τιμή του ανοίγματος του δείκτη μόχλευσης – Ανοίγματα IRB</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οντοτήτων του δημόσιου τομέα που δεν αντιμετωπίζονται ως κρατικές, τα οποία εμπίπτουν στο άρθρο 147 παράγραφος 4 στοιχείο β) του κανονισμού (ΕΕ) αριθ.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ΟΔΤ που δεν αντιμετωπίζονται ως κρατικές – RWEA – Ανοίγματα SA</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οντοτήτων του δημόσιου τομέα, τα οποία εμπίπτουν στο άρθρο 116 παράγραφοι 1, 2, 3 και 5 του κανονισμού (ΕΕ) αριθ.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ΟΔΤ που δεν αντιμετωπίζονται ως κρατικές – RWEA – Ανοίγματα IRB</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οντοτήτων του δημόσιου τομέα που δεν αντιμετωπίζονται ως κρατικές, τα οποία εμπίπτουν στο άρθρο 147 παράγραφος 4 στοιχείο β) του κανονισμού (ΕΕ) αριθ.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Ιδρύματα – Τιμή του ανοίγματος του δείκτη μόχλευσης – Ανοίγματα SA</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ιδρυμάτων, τα οποία εμπίπτουν στο πεδίο εφαρμογής των άρθρων 119 έως 121 του κανονισμού (ΕΕ) αριθ.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Ιδρύματα</w:t>
            </w:r>
            <w:r>
              <w:rPr>
                <w:rFonts w:ascii="Times New Roman" w:hAnsi="Times New Roman"/>
                <w:sz w:val="24"/>
              </w:rPr>
              <w:t xml:space="preserve"> </w:t>
            </w:r>
            <w:r>
              <w:rPr>
                <w:rFonts w:ascii="Times New Roman" w:hAnsi="Times New Roman"/>
                <w:b/>
                <w:sz w:val="24"/>
              </w:rPr>
              <w:t>– Τιμή του ανοίγματος του δείκτη μόχλευσης – Ανοίγματα IRB</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Η τιμή του ανοίγματος του δείκτη μόχλευσης στοιχείων ενεργητικού που είναι ανοίγματα IRB έναντι ιδρυμάτων που εμπίπτουν στο πεδίο εφαρμογής του άρθρου 147 παράγραφος 2 στοιχείο β) του κανονισμού (ΕΕ) αριθ. 575/2013 και δεν είναι ανοίγματα υπό τη μορφή καλυμμένων ομολόγων σύμφωνα με το άρθρο 161 παράγραφος 1 στοιχείο δ) του κανονισμού (ΕΕ) αριθ. 575/2013 και δεν εμπίπτουν στο πεδίο εφαρμογής του άρθρου 147 παράγραφος 4 στοιχείο γ) του κανονισμού (ΕΕ) αριθ.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Τα ιδρύματα τα αναφέρουν ως απαλλαγμένα από αθετημένα ανοίγματα IRB.</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Ιδρύματα – RWEA – Ανοίγματα SA</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ιδρυμάτων, τα οποία εμπίπτουν στο πεδίο εφαρμογής των άρθρων 119 έως 121 του κανονισμού (ΕΕ) αριθ.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Ιδρύματα – RWEA – Ανοίγματα IRB</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ιδρυμάτων που εμπίπτουν στο πεδίο εφαρμογής του άρθρου 147 παράγραφος 2 στοιχείο β) του κανονισμού (ΕΕ) αριθ. 575/2013 και δεν είναι ανοίγματα υπό τη μορφή καλυμμένων ομολόγων σύμφωνα με το άρθρο 161 παράγραφος 1 στοιχείο δ) του κανονισμού (ΕΕ) αριθ. 575/2013 και δεν εμπίπτουν στο πεδίο εφαρμογής του άρθρου 147 παράγραφος 4 στοιχείο γ) του κανονισμού (ΕΕ) αριθ.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Εξασφαλισμένα με υποθήκες επί ακινήτων και ανοίγματα ADC – Τιμή του ανοίγματος του δείκτη μόχλευσης – Ανοίγματα SA</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εξασφαλισμένα με υποθήκες επί ακινήτων και ανοίγματα ADC τα οποία εμπίπτουν στα άρθρα 124 και 126α του κανονισμού (ΕΕ) αριθ.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Εξασφαλισμένα με υποθήκες επί ακινήτων και ανοίγματα ADC – Τιμή του ανοίγματος του δείκτη μόχλευσης – Ανοίγματα IRB</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ή ανοίγματα λιανικής τραπεζικής, σύμφωνα με το άρθρο 147 παράγραφος 2 στοιχείο δ) σημείο ii) του κανονισμού (ΕΕ) αριθ. 575/2013, εφόσον τα ανοίγματα αυτά είναι εξασφαλισμένα με υποθήκες επί ακινήτων και ανοίγματα ADC, σύμφωνα με το άρθρο 199 παράγραφος 1 στοιχείο α) του κανονισμού (ΕΕ) αριθ.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Εξασφαλισμένα με υποθήκες επί ακινήτων και ανοίγματα ADC – RWEA – Ανοίγματα SA</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Το σταθμισμένο ως προς τον κίνδυνο ποσό ανοίγματος στοιχείων ενεργητικού που είναι ανοίγματα SA εξασφαλισμένα με υποθήκες επί ακινήτων και ανοίγματα ADC τα οποία εμπίπτουν στα άρθρα 124 και 126α του κανονισμού (ΕΕ) αριθ.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Εξασφαλισμένα με υποθήκες επί ακινήτων και ανοίγματα ADC – RWEA – Ανοίγματα IRB</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ή ανοίγματα λιανικής τραπεζικής, σύμφωνα με το άρθρο 147 παράγραφος 2 στοιχείο δ) σημείο ii) του κανονισμού (ΕΕ) αριθ. 575/2013, εφόσον τα ανοίγματα αυτά είναι εξασφαλισμένα με υποθήκες επί ακινήτων, σύμφωνα με το άρθρο 199 παράγραφος 1 στοιχείο α) του κανονισμού (ΕΕ) αριθ. 575/2013 Τα ιδρύματα τα αναφέρουν ως απαλλαγμένα από αθετημένα ανοίγματα IRB.</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Εξασφαλισμένα με υποθήκες επί ακινήτων κατοικίας – Τιμή του ανοίγματος του δείκτη μόχλευσης – Ανοίγματα SA</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τα οποία εξασφαλίζονται πλήρως και καθ’ ολοκληρία με υποθήκες επί ακινήτων κατοικίας, τα οποία εμπίπτουν στο άρθρο 125 του κανονισμού (ΕΕ) αριθ.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εκ των οποίων: Εξασφαλισμένα με υποθήκες επί ακινήτων κατοικίας – Τιμή του ανοίγματος του δείκτη μόχλευσης – Ανοίγματα IRB</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ή ανοίγματα λιανικής τραπεζικής, σύμφωνα με το άρθρο 147 παράγραφος 2 στοιχείο δ) σημείο ii) του κανονισμού (ΕΕ) αριθ. 575/2013, εφόσον τα ανοίγματα αυτά είναι εξασφαλισμένα με υποθήκες επί ακίνητων κατοικίας, σύμφωνα με το άρθρο 199 παράγραφος 1 στοιχείο α) του κανονισμού (ΕΕ) αριθ.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Εξασφαλισμένα με υποθήκες επί ακινήτων κατοικίας – RWEA – Ανοίγματα SA</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Το σταθμισμένο ως προς τον κίνδυνο ποσό ανοίγματος στοιχείων ενεργητικού που είναι ανοίγματα SA τα οποία εξασφαλίζονται πλήρως και καθ’ ολοκληρία με υποθήκες επί ακινήτων κατοικίας, τα οποία εμπίπτουν στο άρθρο 125 του κανονισμού (ΕΕ) αριθ.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Εξασφαλισμένα με υποθήκες επί ακινήτων κατοικίας – RWEA – Ανοίγματα IRB</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κανονισμού (ΕΕ) αριθ. 575/2013, ή ανοίγματα λιανικής τραπεζικής, σύμφωνα με το άρθρο 147 παράγραφος 2 στοιχείο δ) σημείο ii) του ΚΚΑ, εφόσον τα ανοίγματα αυτά είναι εξασφαλισμένα με υποθήκες επί ακινήτων κατοικίας, σύμφωνα με το άρθρο 199 παράγραφος 1 στοιχείο α) του κανονισμού (ΕΕ) αριθ.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λιανικής τραπεζικής – Τιμή του ανοίγματος του δείκτη μόχλευσης – Ανοίγματα SA</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λιανικής τραπεζικής, τα οποία εμπίπτουν στο άρθρο 123 του κανονισμού (ΕΕ) αριθ.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λιανικής τραπεζικής – Τιμή του ανοίγματος του δείκτη μόχλευσης – Ανοίγματα IRB</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λιανικής τραπεζικής, σύμφωνα με το άρθρο 147 παράγραφος 2 στοιχείο δ) σημεία i), iii) και iv)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λιανικής τραπεζικής – RWEA – Ανοίγματα SA</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λιανικής τραπεζικής, τα οποία εμπίπτουν στο άρθρο 123 του κανονισμού (ΕΕ) αριθ.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λιανικής τραπεζικής – RWEA – Ανοίγματα IRB</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λιανικής τραπεζικής, σύμφωνα με το άρθρο 147 παράγραφος 2 στοιχείο δ) σημεία i), iii) και iv)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εκ των οποίων: Ανοίγματα λιανικής τραπεζικής σε ΜΜΕ – Τιμή του ανοίγματος του δείκτη μόχλευσης – Ανοίγματα SA</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λιανικής τραπεζικής έναντι μικρών και μεσαίων επιχειρήσεων, τα οποία εμπίπτουν στο άρθρο 123 του κανονισμού (ΕΕ) αριθ.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λιανικής τραπεζικής σε ΜΜΕ – Τιμή του ανοίγματος του δείκτη μόχλευσης – Ανοίγματα IRB</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λιανικής τραπεζικής, σύμφωνα με το άρθρο 147 παράγραφος 2 στοιχείο δ) σημεία i), iii) και iv) του κανονισμού (ΕΕ) αριθ. 575/2013, εφόσον τα ανοίγματα αυτά είναι ανοίγματα έναντι μικρών και μεσαίων επιχειρήσεων και δεν είναι εξασφαλισμένα με υποθήκες επί ακινήτων, σύμφωνα με το άρθρο 199 παράγραφος 1 στοιχείο α) του κανονισμού (ΕΕ) αριθ.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λιανικής τραπεζικής σε ΜΜΕ – RWEA – Ανοίγματα SA</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Το σταθμισμένο ως προς τον κίνδυνο ποσό ανοίγματος στοιχείων ενεργητικού που είναι ανοίγματα SA λιανικής τραπεζικής έναντι μικρών </w:t>
            </w:r>
            <w:r>
              <w:rPr>
                <w:rFonts w:ascii="Times New Roman" w:hAnsi="Times New Roman"/>
                <w:sz w:val="24"/>
              </w:rPr>
              <w:lastRenderedPageBreak/>
              <w:t>και μεσαίων επιχειρήσεων, τα οποία εμπίπτουν στο άρθρο 123 του κανονισμού (ΕΕ) αριθ.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λιανικής τραπεζικής σε ΜΜΕ – RWEA – Ανοίγματα IRB</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λιανικής τραπεζικής, σύμφωνα με το άρθρο 147 παράγραφος 2 στοιχείο δ) σημεία i), iii) και iv) του κανονισμού (ΕΕ) αριθ. 575/2013, εφόσον τα ανοίγματα αυτά είναι ανοίγματα έναντι μικρών και μεσαίων επιχειρήσεων και δεν είναι εξασφαλισμένα με υποθήκες επί ακινήτων, σύμφωνα με το άρθρο 199 παράγραφος 1 στοιχείο α) του κανονισμού (ΕΕ) αριθ.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Επιχειρήσεις – Τιμή του ανοίγματος του δείκτη μόχλευσης – Ανοίγματα SA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Είναι το άθροισμα των {0240,0010} και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Επιχειρήσεις – Τιμή του ανοίγματος του δείκτη μόχλευσης – Ανοίγματα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{0240,0020} και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Επιχειρήσεις – RWEA – Ανοίγματα SA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{0240,0030} και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Επιχειρήσεις – RWEA – Ανοίγματα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Είναι το άθροισμα των {0240,0040} και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Χρηματοδοτικές εταιρείες – Τιμή του ανοίγματος του δείκτη μόχλευσης – Ανοίγματα SA</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χρηματοδοτικών εταιρειών, τα οποία εμπίπτουν στο άρθρο 122 του κανονισμού (ΕΕ) αριθ.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Για τους σκοπούς της υποβολής στοιχείων στο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κανονισμού (ΕΕ) αριθ. 575/2013, πλην των ιδρυμάτων που αναφέρονται στο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Χρηματοδοτικές εταιρείες – Τιμή του ανοίγματος του δείκτη μόχλευσης – Ανοίγματα IRB</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χρηματοδοτικών εταιρειών, σύμφωνα με το άρθρο 147 παράγραφος 2 στοιχείο γ)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Για τους σκοπούς της υποβολής στοιχείων στο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κανονισμού (ΕΕ) αριθ. 575/2013, πλην των ιδρυμάτων που αναφέρονται στο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Χρηματοδοτικές εταιρείες – RWEA – Ανοίγματα SA</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Το σταθμισμένο ως προς τον κίνδυνο ποσό ανοίγματος στοιχείων ενεργητικού που είναι ανοίγματα SA έναντι χρηματοδοτικών εταιρειών, τα οποία εμπίπτουν στο άρθρο 122 του κανονισμού (ΕΕ) αριθ.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Για τους σκοπούς της υποβολής στοιχείων στο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κανονισμού (ΕΕ) αριθ. 575/2013, πλην των ιδρυμάτων που αναφέρονται στο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Χρηματοδοτικές εταιρείες – RWEA – Ανοίγματα IRB</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χρηματοδοτικών εταιρειών, σύμφωνα με το άρθρο 147 παράγραφος 2 στοιχείο γ)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της υποβολής στοιχείων στο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κανονισμού (ΕΕ) αριθ. 575/2013, πλην των ιδρυμάτων που αναφέρονται στο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Μη χρηματοδοτικές εταιρείες – Τιμή του ανοίγματος του δείκτη μόχλευσης – Ανοίγματα SA</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μη χρηματοδοτικών εταιρειών, τα οποία εμπίπτουν στο άρθρο 122 του κανονισμού (ΕΕ) αριθ.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{0260,0010} και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Μη χρηματοδοτικές εταιρείες – Τιμή του ανοίγματος του δείκτη μόχλευσης – Ανοίγματα IRB</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Η τιμή του ανοίγματος του δείκτη μόχλευσης στοιχείων ενεργητικού που είναι ανοίγματα IRB έναντι μη χρηματοδοτικών εταιρειών, σύμφωνα με το άρθρο 147 παράγραφος 2 στοιχείο γ)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{0260,0020} και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Μη χρηματοδοτικές εταιρείες – RWEA – Ανοίγματα SA</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μη χρηματοδοτικών εταιρειών, τα οποία εμπίπτουν στο άρθρο 122 του κανονισμού (ΕΕ) αριθ.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{0260,0030} και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Μη χρηματοδοτικές εταιρείες – RWEA – Ανοίγματα IRB</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μη χρηματοδοτικών εταιρειών, σύμφωνα με το άρθρο 147 παράγραφος 2 στοιχείο γ)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Είναι το άθροισμα των {0260,0040} και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Ανοίγματα σε ΜΜΕ – Τιμή του ανοίγματος του δείκτη μόχλευσης – Ανοίγματα SA</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έναντι επιχειρήσεων, με τη μορφή μικρών και μεσαίων επιχειρήσεων, τα οποία εμπίπτουν στο άρθρο 122 του κανονισμού (ΕΕ) αριθ.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ΜΜΕ – Τιμή του ανοίγματος του δείκτη μόχλευσης – Ανοίγματα IRB</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κανονισμού (ΕΕ) αριθ. 575/2013, εφόσον τα ανοίγματα αυτά είναι ανοίγματα έναντι μικρών και μεσαίων επιχειρήσεων και δεν είναι εξασφαλισμένα με υποθήκες επί ακινήτων, σύμφωνα με το άρθρο 199 παράγραφος 1 στοιχείο α) του κανονισμού (ΕΕ) αριθ.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ΜΜΕ – RWEA – Ανοίγματα SA</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επιχειρήσεων, με τη μορφή μικρών και μεσαίων επιχειρήσεων, τα οποία εμπίπτουν στο άρθρο 122 του κανονισμού (ΕΕ) αριθ.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ΜΜΕ – RWEA – Ανοίγματα IRB</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κανονισμού (ΕΕ) αριθ. 575/2013, εφόσον τα ανοίγματα αυτά είναι ανοίγματα έναντι μικρών και μεσαίων επιχειρήσεων και δεν είναι εξασφαλισμένα με υποθήκες επί ακινήτων, σύμφωνα με το άρθρο 199 παράγραφος 1 στοιχείο α) του κανονισμού (ΕΕ) αριθ.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κανονισμού (ΕΕ) αριθ.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Ανοίγματα έναντι εταιρειών εκτός των ΜΜΕ – Τιμή του ανοίγματος του δείκτη μόχλευσης – Ανοίγματα SA</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Η τιμή του ανοίγματος του δείκτη μόχλευσης στοιχείων ενεργητικού που είναι ανοίγματα SA έναντι επιχειρήσεων, τα οποία εμπίπτουν στο άρθρο 122 του κανονισμού (ΕΕ) αριθ. 575/2013 και τα οποία δεν αναφέρονται στα {0230,0040} και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εταιρειών εκτός των ΜΜΕ – Τιμή του ανοίγματος του δείκτη μόχλευσης – Ανοίγματα IRB</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κανονισμού (ΕΕ) αριθ. 575/2013, εφόσον τα ανοίγματα αυτά είναι εξασφαλισμένα με υποθήκες επί ακινήτων, σύμφωνα με το άρθρο 199 παράγραφος 1 στοιχείο α) του κανονισμού (ΕΕ) αριθ. 575/2013 και δεν αναφέρονται στα {0230,0040} και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εταιρειών εκτός των ΜΜΕ – RWEA – Ανοίγματα SA</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ενεργητικού που είναι ανοίγματα SA έναντι επιχειρήσεων, τα οποία εμπίπτουν στο άρθρο 122 του κανονισμού (ΕΕ) αριθ. 575/2013 και τα οποία δεν αναφέρονται στα {0230,0040} και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έναντι εταιρειών εκτός των ΜΜΕ – RWEA – Ανοίγματα IRB</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κανονισμού (ΕΕ) αριθ. 575/2013, εφόσον τα ανοίγματα αυτά δεν είναι εξασφαλισμένα με υποθήκες επί ακινήτων, σύμφωνα με το άρθρο 199 παράγραφος 1 στοιχείο α) του κανονισμού (ΕΕ) αριθ. 575/2013 και δεν αναφέρονται στα {0230,0040} και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αθέτηση – Τιμή του ανοίγματος του δείκτη μόχλευσης – Ανοίγματα SA</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αναφέρουν την τιμή του ανοίγματος του δείκτη μόχλευσης στοιχείων ενεργητικού που είναι ανοίγματα SA σε αθέτηση και, επομένως, εμπίπτουν στο άρθρο 127 του κανονισμού (ΕΕ) αριθ.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αθέτηση – Τιμή του ανοίγματος του δείκτη μόχλευσης – Ανοίγματα IRB</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αναφέρουν την τιμή του ανοίγματος του δείκτη μόχλευσης των στοιχείων ενεργητικού που κατατάσσονται στις κατηγορίες ανοιγμάτων που παρατίθενται στο άρθρο 147 παράγραφος 2 του κανονισμού (ΕΕ) αριθ. 575/2013, εφόσον, σύμφωνα με το άρθρο 178 του κανονισμού (ΕΕ) αριθ. 575/2013, υπήρξε αθέτηση.</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αθέτηση – RWEA – Ανοίγματα SA</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αναφέρουν το σταθμισμένο ως προς τον κίνδυνο ποσό ανοίγματος των στοιχείων ενεργητικού που είναι ανοίγματα σε αθέτηση και, επομένως, υπάγονται στο άρθρο 127 του κανονισμού (ΕΕ) αριθ.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Ανοίγματα σε αθέτηση – RWEA – Ανοίγματα IRB</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αναφέρουν το σταθμισμένο ως προς τον κίνδυνο ποσό ανοίγματος των στοιχείων ενεργητικού που κατατάσσονται στις κατηγορίες ανοιγμάτων που παρατίθενται στο άρθρο 147 παράγραφος 2 του κανονισμού (ΕΕ) αριθ. 575/2013, εφόσον, σύμφωνα με το άρθρο 178 του κανονισμού (ΕΕ) αριθ. 575/2013, υπήρξε αθέτηση.</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Άλλα ανοίγματα – Τιμή του ανοίγματος του δείκτη μόχλευσης – Ανοίγματα SA</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κατατάσσονται στις κατηγορίες ανοιγμάτων που αναφέρονται στο άρθρο 112 στοιχεία ια), ιγ), ιδ), ιε), ιστ) και ιζ) του κανονισμού (ΕΕ) αριθ.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αναφέρουν εδώ στοιχεία ενεργητικού που αφαιρούνται από τα ίδια κεφάλαια (π.χ. άυλα στοιχεία ενεργητικού) αλλά δεν μπορούν να καταταχθούν αλλού, ακόμη και αν δεν απαιτείται μια τέτοια κατάταξη για τον προσδιορισμό των απαιτήσεων ιδίων κεφαλαίων βάσει κινδύνου στις στήλες {*,0030} και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Άλλα ανοίγματα – Τιμή του ανοίγματος του δείκτη μόχλευσης – Ανοίγματα IRB</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ποσό ανοίγματος του δείκτη μόχλευσης στοιχείων ενεργητικού που κατατάσσονται στις κατηγορίες ανοιγμάτων που παρατίθενται στο άρθρο 147 παράγραφος 2 στοιχεία ε), ε1), στ) και ζ) του κανονισμού (ΕΕ) αριθ.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 xml:space="preserve">Τα ιδρύματα αναφέρουν εδώ στοιχεία ενεργητικού που αφαιρούνται από τα ίδια κεφάλαια (π.χ. άυλα στοιχεία ενεργητικού) αλλά δεν μπορούν να </w:t>
            </w:r>
            <w:r>
              <w:rPr>
                <w:rFonts w:ascii="Times New Roman" w:hAnsi="Times New Roman"/>
                <w:sz w:val="24"/>
              </w:rPr>
              <w:lastRenderedPageBreak/>
              <w:t>καταταχθούν αλλού, ακόμη και αν δεν απαιτείται μια τέτοια κατάταξη για τον προσδιορισμό των απαιτήσεων ιδίων κεφαλαίων βάσει κινδύνου στις στήλες {*,0030} και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Άλλα ανοίγματα — RWEA — Ανοίγματα SA</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σταθμισμένη ως προς τον κίνδυνο αξία ανοίγματος των στοιχείων ενεργητικού που κατατάσσονται στις κατηγορίες ανοιγμάτων που αναφέρονται στο άρθρο 112 στοιχεία ια), ιγ), ιδ), ιε), ιστ) και ιζ) του κανονισμού (ΕΕ) αριθ.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Άλλα ανοίγματα — RWEA — Ανοίγματα IRB</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σταθμισμένη ως προς τον κίνδυνο αξία ανοίγματος των στοιχείων ενεργητικού που κατατάσσονται στις κατηγορίες ανοιγμάτων που παρατίθενται στο άρθρο 147 παράγραφος 2 στοιχεία ε), ε1), στ) και ζ) του κανονισμού (ΕΕ) αριθ.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τιτλοποίησης – Τιμή του ανοίγματος του δείκτη μόχλευσης – Ανοίγματα SA</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SA σε τιτλοποιήσεις, τα οποία εμπίπτουν στο άρθρο 112 στοιχείο ιγ) του κανονισμού (ΕΕ) αριθ.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τιτλοποίησης – Τιμή του ανοίγματος του δείκτη μόχλευσης – Ανοίγματα IRB</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ενεργητικού που είναι ανοίγματα IRB σε τιτλοποιήσεις τα οποία εμπίπτουν στο άρθρο 147 παράγραφος 2 στοιχείο στ) του κανονισμού (ΕΕ) αριθ.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τιτλοποίησης – RWEA – Ανοίγματα SA</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των στοιχείων ενεργητικού που είναι ανοίγματα SA σε τιτλοποιήσεις, τα οποία εμπίπτουν στο άρθρο 112 στοιχείο ιγ) του κανονισμού (ΕΕ) αριθ.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Τα ιδρύματα τα αναφέρουν ως απαλλαγμένα από αθετημένα ανοίγματα SA.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Ανοίγματα τιτλοποίησης – RWEA – Ανοίγματα IRB</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των στοιχείων ενεργητικού που είναι ανοίγματα IRB σε τιτλοποιήσεις τα οποία εμπίπτουν στο άρθρο 147 παράγραφος 2 στοιχείο στ) του κανονισμού (ΕΕ) αριθ.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Χρηματοδότηση του εμπορίου (υπομνηματικό στοιχείο) – Τιμή του ανοίγματος του δείκτη μόχλευσης – Ανοίγματα SA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Χρηματοδότηση του εμπορίου (υπομνηματικό στοιχείο) – Τιμή του ανοίγματος του δείκτη μόχλευσης – Ανοίγματα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ποσό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IRB.</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Χρηματοδότηση του εμπορίου (υπομνηματικό στοιχείο) – RWEA – Ανοίγματα SA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σταθμισμένη ως προς τον κίνδυνο αξία ανοίγματος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Χρηματοδότηση του εμπορίου (υπομνηματικό στοιχείο) – RWEA – Ανοίγματα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σταθμισμένο ως προς τον κίνδυνο ποσό ανοίγματος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Τα ιδρύματα τα αναφέρουν ως απαλλαγμένα από αθετημένα ανοίγματα IRB.</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Τιμή του ανοίγματος του δείκτη μόχλευσης – Ανοίγματα SA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Η τιμή του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τα αναφέρουν ως απαλλαγμένα από αθετημένα ανοίγματα SA.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Τιμή του ανοίγματος του δείκτη μόχλευσης – Ανοίγματα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Το ποσό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RWEA – Ανοίγματα SA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Η σταθμισμένη ως προς τον κίνδυνο αξία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lastRenderedPageBreak/>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SA.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εκ των οποίων: Σύμφωνα με το επίσημο καθεστώς ασφάλισης των εξαγωγικών πιστώσεων – RWEA – Ανοίγματα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Το σταθμισμένο ως προς τον κίνδυνο ποσό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Τα ιδρύματα τα αναφέρουν ως απαλλαγμένα από αθετημένα ανοίγματα IRB.</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266556"/>
      <w:r>
        <w:rPr>
          <w:rFonts w:ascii="Times New Roman" w:hAnsi="Times New Roman"/>
          <w:b/>
          <w:sz w:val="24"/>
        </w:rPr>
        <w:t>6.</w:t>
      </w:r>
      <w:r>
        <w:tab/>
      </w:r>
      <w:r>
        <w:rPr>
          <w:rFonts w:ascii="Times New Roman" w:hAnsi="Times New Roman"/>
          <w:b/>
          <w:sz w:val="24"/>
        </w:rPr>
        <w:t>C 44.00 – Γενικές πληροφορίες</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Εδώ συλλέγονται πρόσθετες πληροφορίες με σκοπό την κατηγοριοποίηση των δραστηριοτήτων του ιδρύματος και των ρυθμιστικών του επιλογών.</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Γραμμή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και στήλη</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Οδηγίες</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Εταιρική δομή του ιδρύματος</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ίδρυμα ταξινομεί την εταιρική δομή του σύμφωνα με τις κατωτέρω κατηγορίες:</w:t>
            </w:r>
          </w:p>
          <w:p w14:paraId="1F1192E5" w14:textId="1CDFF76B" w:rsidR="00F4754B"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500508">
              <w:tab/>
            </w:r>
            <w:r w:rsidR="00500508">
              <w:rPr>
                <w:rFonts w:ascii="Times New Roman" w:hAnsi="Times New Roman"/>
                <w:sz w:val="24"/>
              </w:rPr>
              <w:t>συμμετοχική εταιρεία·</w:t>
            </w:r>
          </w:p>
          <w:p w14:paraId="003D2706" w14:textId="05E8AB8B" w:rsidR="00F4754B"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500508">
              <w:tab/>
            </w:r>
            <w:r w:rsidR="00500508">
              <w:rPr>
                <w:rFonts w:ascii="Times New Roman" w:hAnsi="Times New Roman"/>
                <w:sz w:val="24"/>
              </w:rPr>
              <w:t>αμοιβαία/συνεταιριστική·</w:t>
            </w:r>
          </w:p>
          <w:p w14:paraId="6192BE9A" w14:textId="1BDD8DF6" w:rsidR="00BE6AC4"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lastRenderedPageBreak/>
              <w:t>—</w:t>
            </w:r>
            <w:r w:rsidR="00500508">
              <w:tab/>
            </w:r>
            <w:r w:rsidR="00500508">
              <w:rPr>
                <w:rFonts w:ascii="Times New Roman" w:hAnsi="Times New Roman"/>
                <w:sz w:val="24"/>
              </w:rPr>
              <w:t>άλλη μη συμμετοχική εταιρεία.</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Αντιμετώπιση παραγώγων</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ίδρυμα προσδιορίζει την κανονιστική αντιμετώπιση των παραγώγων σύμφωνα με τις κατωτέρω κατηγορίες:</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w:t>
            </w:r>
            <w:r>
              <w:rPr>
                <w:rFonts w:ascii="Times New Roman" w:hAnsi="Times New Roman"/>
                <w:sz w:val="24"/>
              </w:rPr>
              <w:tab/>
              <w:t>τυποποιημένη προσέγγιση για τον πιστωτικό κίνδυνο αντισυμβαλλομένου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w:t>
            </w:r>
            <w:r>
              <w:rPr>
                <w:rFonts w:ascii="Times New Roman" w:hAnsi="Times New Roman"/>
                <w:sz w:val="24"/>
              </w:rPr>
              <w:tab/>
              <w:t>απλουστευμένη τυποποιημένη προσέγγιση για τον πιστωτικό κίνδυνο αντισυμβαλλομένου·</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μέθοδος αρχικού ανοίγματος.</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Είδος ιδρύματος</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Το ίδρυμα κατατάσσεται σε είδος ιδρύματος, σύμφωνα με τις κατωτέρω κατηγορίες:</w:t>
            </w:r>
          </w:p>
          <w:p w14:paraId="5F9BB21A" w14:textId="6FCA6AF4" w:rsidR="00F4754B"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500508">
              <w:tab/>
            </w:r>
            <w:r w:rsidR="00500508">
              <w:rPr>
                <w:rFonts w:ascii="Times New Roman" w:hAnsi="Times New Roman"/>
                <w:sz w:val="24"/>
              </w:rPr>
              <w:t>υπηρεσίες γενικής τραπεζικής (λιανική/εμπορική και επενδυτική τραπεζική)·</w:t>
            </w:r>
          </w:p>
          <w:p w14:paraId="730C89BA" w14:textId="21F78EA7" w:rsidR="00F4754B"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500508">
              <w:tab/>
            </w:r>
            <w:r w:rsidR="00500508">
              <w:rPr>
                <w:rFonts w:ascii="Times New Roman" w:hAnsi="Times New Roman"/>
                <w:sz w:val="24"/>
              </w:rPr>
              <w:t>λιανική/εμπορική τραπεζική·</w:t>
            </w:r>
          </w:p>
          <w:p w14:paraId="430C8F32" w14:textId="736943AB" w:rsidR="00F4754B"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500508">
              <w:tab/>
            </w:r>
            <w:r w:rsidR="00500508">
              <w:rPr>
                <w:rFonts w:ascii="Times New Roman" w:hAnsi="Times New Roman"/>
                <w:sz w:val="24"/>
              </w:rPr>
              <w:t>επενδυτική τραπεζική·</w:t>
            </w:r>
          </w:p>
          <w:p w14:paraId="53DE36EC" w14:textId="74FBEF77" w:rsidR="00875832"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sidR="00500508">
              <w:rPr>
                <w:rFonts w:ascii="Times New Roman" w:hAnsi="Times New Roman"/>
                <w:sz w:val="24"/>
              </w:rPr>
              <w:t>ειδικός δανειστής·</w:t>
            </w:r>
          </w:p>
          <w:p w14:paraId="5E1BA609" w14:textId="001E9D33" w:rsidR="005D66B3" w:rsidRPr="000B66BC" w:rsidRDefault="001D3EDD"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w:t>
            </w:r>
            <w:r>
              <w:tab/>
            </w:r>
            <w:r w:rsidR="00546848">
              <w:rPr>
                <w:rFonts w:ascii="Times New Roman" w:hAnsi="Times New Roman"/>
                <w:sz w:val="24"/>
              </w:rPr>
              <w:t xml:space="preserve">δημόσια αναπτυξιακά </w:t>
            </w:r>
            <w:r w:rsidR="00546848">
              <w:rPr>
                <w:rFonts w:ascii="Times New Roman" w:hAnsi="Times New Roman"/>
                <w:color w:val="auto"/>
                <w:sz w:val="24"/>
              </w:rPr>
              <w:t xml:space="preserve"> πιστωτικά ιδρύματα·</w:t>
            </w:r>
          </w:p>
          <w:p w14:paraId="55C552F6" w14:textId="5A653B35" w:rsidR="00BE6AC4" w:rsidRPr="000B66BC" w:rsidRDefault="001D3EDD"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sidR="00875832">
              <w:tab/>
            </w:r>
            <w:r w:rsidR="00875832">
              <w:rPr>
                <w:rFonts w:ascii="Times New Roman" w:hAnsi="Times New Roman"/>
                <w:sz w:val="24"/>
              </w:rPr>
              <w:t>άλλο επιχειρηματικό μοντέλο.</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Ίδρυμα με δημόσια αναπτυξιακή μονάδα</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που δεν αποτελούν δημόσια αναπτυξιακά</w:t>
            </w:r>
            <w:r>
              <w:rPr>
                <w:rFonts w:ascii="Times New Roman" w:hAnsi="Times New Roman"/>
                <w:color w:val="auto"/>
                <w:sz w:val="24"/>
              </w:rPr>
              <w:t xml:space="preserve"> πιστωτικά ιδρύματα</w:t>
            </w:r>
            <w:r>
              <w:rPr>
                <w:rFonts w:ascii="Times New Roman" w:hAnsi="Times New Roman"/>
                <w:sz w:val="24"/>
              </w:rPr>
              <w:t xml:space="preserve"> αναφέρουν εάν έχουν δημόσια αναπτυξιακή μονάδα.</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Οντότητα που εγγυάται το δημόσιο αναπτυξιακό πιστωτικό ίδρυμα / τη δημόσια αναπτυξιακή μονάδα σύμφωνα με το άρθρο 429α παράγραφος 2 στοιχείο δ) του ΚΚΑ: κεντρική κυβέρνηση, περιφερειακή κυβέρνηση, τοπική αρχή</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Τα ιδρύματα που είτε αποτελούν δημόσιο αναπτυξιακό</w:t>
            </w:r>
            <w:r>
              <w:rPr>
                <w:rFonts w:ascii="Times New Roman" w:hAnsi="Times New Roman"/>
                <w:color w:val="auto"/>
                <w:sz w:val="24"/>
              </w:rPr>
              <w:t xml:space="preserve"> πιστωτικό ίδρυμα </w:t>
            </w:r>
            <w:r>
              <w:rPr>
                <w:rFonts w:ascii="Times New Roman" w:hAnsi="Times New Roman"/>
                <w:sz w:val="24"/>
              </w:rPr>
              <w:t>είτε διαθέτουν δημόσια αναπτυξιακή μονάδα αναφέρουν εάν έχουν την εγγύηση κάποιας κεντρικής κυβέρνησης, περιφερειακής κυβέρνησης ή τοπικής αρχής.</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αναφέρουν «TRUE» στη γραμμή που αντιστοιχεί στο κατάλληλο είδος παρόχου προστασίας και «FALSE» στα υπόλοιπα.</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lastRenderedPageBreak/>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Κεντρική κυβέρνηση που εγγυάται το δημόσιο αναπτυξιακό</w:t>
            </w:r>
            <w:r>
              <w:rPr>
                <w:rFonts w:ascii="Times New Roman" w:hAnsi="Times New Roman"/>
                <w:b/>
                <w:color w:val="auto"/>
                <w:sz w:val="24"/>
              </w:rPr>
              <w:t xml:space="preserve"> πιστωτικό ίδρυμα </w:t>
            </w:r>
            <w:r>
              <w:rPr>
                <w:rFonts w:ascii="Times New Roman" w:hAnsi="Times New Roman"/>
                <w:b/>
                <w:sz w:val="24"/>
              </w:rPr>
              <w:t>/ τη δημόσια αναπτυξιακή μονάδα</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Περιφερειακή κυβέρνηση που εγγυάται το δημόσιο αναπτυξιακό</w:t>
            </w:r>
            <w:r>
              <w:rPr>
                <w:rFonts w:ascii="Times New Roman" w:hAnsi="Times New Roman"/>
                <w:b/>
                <w:color w:val="auto"/>
                <w:sz w:val="24"/>
              </w:rPr>
              <w:t xml:space="preserve"> πιστωτικό ίδρυμα </w:t>
            </w:r>
            <w:r>
              <w:rPr>
                <w:rFonts w:ascii="Times New Roman" w:hAnsi="Times New Roman"/>
                <w:b/>
                <w:sz w:val="24"/>
              </w:rPr>
              <w:t>/ τη δημόσια αναπτυξιακή μονάδα</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Τοπική αρχή που εγγυάται το δημόσιο αναπτυξιακό</w:t>
            </w:r>
            <w:r>
              <w:rPr>
                <w:rFonts w:ascii="Times New Roman" w:hAnsi="Times New Roman"/>
                <w:b/>
                <w:color w:val="auto"/>
                <w:sz w:val="24"/>
              </w:rPr>
              <w:t xml:space="preserve"> πιστωτικό ίδρυμα</w:t>
            </w:r>
            <w:r>
              <w:rPr>
                <w:rFonts w:ascii="Times New Roman" w:hAnsi="Times New Roman"/>
                <w:b/>
                <w:sz w:val="24"/>
              </w:rPr>
              <w:t xml:space="preserve"> / τη δημόσια αναπτυξιακή μονάδα</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Είδος ληφθείσας εγγύησης, σύμφωνα με το άρθρο 429α παράγραφος 2 στοιχείο δ) του ΚΚΑ.</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 xml:space="preserve">Τα ιδρύματα που είτε αποτελούν δημόσιο αναπτυξιακό </w:t>
            </w:r>
            <w:r>
              <w:rPr>
                <w:rFonts w:ascii="Times New Roman" w:hAnsi="Times New Roman"/>
                <w:color w:val="auto"/>
                <w:sz w:val="24"/>
              </w:rPr>
              <w:t>πιστωτικό ίδρυμα</w:t>
            </w:r>
            <w:r>
              <w:rPr>
                <w:rFonts w:ascii="Times New Roman" w:hAnsi="Times New Roman"/>
                <w:sz w:val="24"/>
              </w:rPr>
              <w:t xml:space="preserve"> είτε διαθέτουν δημόσια αναπτυξιακή μονάδα αναφέρουν το είδος της ληφθείσας προστασίας</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Τα ιδρύματα αναφέρουν «TRUE» στη γραμμή που αντιστοιχεί στο κατάλληλο είδος προστασίας και «FALSE» στα υπόλοιπα.</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Υποχρέωση προστασίας της βιωσιμότητας του πιστωτικού ιδρύματος</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Άμεση εγγύηση των απαιτήσεων ιδίων κεφαλαίων των πιστωτικών ιδρυμάτων, των απαιτήσεων χρηματοδότησης ή των χορηγούμενων προνομιακών δανείων</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Έμμεση εγγύηση των απαιτήσεων ιδίων κεφαλαίων των πιστωτικών ιδρυμάτων, των απαιτήσεων χρηματοδότησης ή των χορηγούμενων προνομιακών δανείων</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266557"/>
      <w:r>
        <w:rPr>
          <w:rFonts w:ascii="Times New Roman" w:hAnsi="Times New Roman"/>
          <w:b/>
          <w:sz w:val="24"/>
        </w:rPr>
        <w:t>7.</w:t>
      </w:r>
      <w:r>
        <w:tab/>
      </w:r>
      <w:r>
        <w:rPr>
          <w:rFonts w:ascii="Times New Roman" w:hAnsi="Times New Roman"/>
          <w:b/>
          <w:sz w:val="24"/>
        </w:rPr>
        <w:t>C 48.00 Μεταβλητότητα του δείκτη μόχλευσης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Οι πληροφορίες συλλέγονται για τον σκοπό της παρακολούθησης της μεταβλητότητας του δείκτη μόχλευσης. Οι πληροφορίες υποβάλλονται μόνο από μεγάλα ιδρύματα.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266558"/>
      <w:r>
        <w:rPr>
          <w:rFonts w:ascii="Times New Roman" w:hAnsi="Times New Roman"/>
          <w:b/>
          <w:sz w:val="24"/>
        </w:rPr>
        <w:t>8.</w:t>
      </w:r>
      <w:r>
        <w:tab/>
      </w:r>
      <w:r>
        <w:rPr>
          <w:rFonts w:ascii="Times New Roman" w:hAnsi="Times New Roman"/>
          <w:b/>
          <w:sz w:val="24"/>
        </w:rPr>
        <w:t>C 48.01 Μεταβλητότητα του δείκτη μόχλευσης: Μέση τιμή για την περίοδο αναφοράς</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Γραμμή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και στήλη</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Οδηγίες</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Μέση τιμή για την περίοδο αναφοράς – αξία ανοίγματος ΣΧΤ</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Τα ιδρύματα αναφέρουν τη μέση τιμή των ημερήσιων τιμών του τριμήνου αναφοράς για την αξία ανοίγματος ΣΧΤ, χωρίς το απαλλασσόμενο σκέλος CCP των ανοιγμάτων διαπραγμάτευσης που εκκαθαρίζονται για πελάτη όπως ορίζεται στις γραμμές 0010 και 0050 του υποδείγματος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Μέση τιμή για την περίοδο αναφοράς –</w:t>
            </w:r>
            <w:r>
              <w:rPr>
                <w:sz w:val="24"/>
              </w:rPr>
              <w:t xml:space="preserve"> </w:t>
            </w:r>
            <w:r>
              <w:rPr>
                <w:rFonts w:ascii="Times New Roman" w:hAnsi="Times New Roman"/>
                <w:b/>
                <w:color w:val="auto"/>
                <w:sz w:val="24"/>
              </w:rPr>
              <w:t xml:space="preserve">Προσαρμογές για συναλλαγές λογιστικής πωλήσεων ΣΧΤ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Τα ιδρύματα αναφέρουν τη μέση τιμή των ημερήσιων τιμών του τριμήνου αναφοράς για τις προσαρμογές για συναλλαγές λογιστικής πωλήσεων ΣΧΤ όπως ορίζονται στη γραμμή 0230</w:t>
            </w:r>
            <w:r>
              <w:rPr>
                <w:rFonts w:ascii="Times New Roman" w:hAnsi="Times New Roman"/>
                <w:sz w:val="24"/>
              </w:rPr>
              <w:t xml:space="preserve"> του υποδείγματος C47.00</w:t>
            </w:r>
            <w:r>
              <w:rPr>
                <w:rFonts w:ascii="Times New Roman" w:hAnsi="Times New Roman"/>
                <w:color w:val="auto"/>
                <w:sz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266559"/>
      <w:r>
        <w:rPr>
          <w:rFonts w:ascii="Times New Roman" w:hAnsi="Times New Roman"/>
          <w:b/>
          <w:sz w:val="24"/>
        </w:rPr>
        <w:t>9.</w:t>
      </w:r>
      <w:r>
        <w:tab/>
      </w:r>
      <w:r>
        <w:rPr>
          <w:rFonts w:ascii="Times New Roman" w:hAnsi="Times New Roman"/>
          <w:b/>
          <w:sz w:val="24"/>
        </w:rPr>
        <w:t>C 48.02 Μεταβλητότητα του δείκτη μόχλευσης: ημερήσιες τιμές για την περίοδο αναφοράς</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Αναφέρονται οι ημερήσιες τιμές του τριμήνου.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Γραμμή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και στήλη</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Οδηγίες</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Ημερομηνία αναφοράς εντός της περιόδου αναφοράς</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Τα ιδρύματα αναφέρουν την ημερομηνία στην οποία αναφέρεται η υποβληθείσα ημερήσια τιμή. Αναφέρεται κάθε ημέρα του τριμήνου αναφοράς.</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Αξία ανοίγματος ΣΧΤ</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Τα ιδρύματα αναφέρουν τις ημερήσιες τιμές του τριμήνου αναφοράς για την αξία ανοίγματος ΣΧΤ, χωρίς το απαλλασσόμενο σκέλος CCP των ανοιγμάτων διαπραγμάτευσης που εκκαθαρίζονται για πελάτη όπως ορίζεται στις γραμμές 0010 και 0050 του υποδείγματος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Προσαρμογές για συναλλαγές λογιστικής πωλήσεων ΣΧΤ</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Τα ιδρύματα αναφέρουν τις ημερήσιες τιμές του τριμήνου αναφοράς για τις προσαρμογές για συναλλαγές λογιστικής πωλήσεων ΣΧΤ όπως ορίζονται στη γραμμή 0230</w:t>
            </w:r>
            <w:r>
              <w:rPr>
                <w:rFonts w:ascii="Times New Roman" w:hAnsi="Times New Roman"/>
                <w:sz w:val="24"/>
              </w:rPr>
              <w:t xml:space="preserve"> του υποδείγματος C47.00</w:t>
            </w:r>
            <w:r>
              <w:rPr>
                <w:rFonts w:ascii="Times New Roman" w:hAnsi="Times New Roman"/>
                <w:color w:val="auto"/>
                <w:sz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ΕΑΤ τακτική χρήση"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ΕΑΤ τακτική χρήση"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ΕΑΤ τακτική χρήση"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ΕΑΤ τακτική χρήση"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ΕΑΤ τακτική χρήση"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ΕΑΤ τακτική χρήση"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ΕΑΤ τακτική χρήση</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6B8C4DBC"/>
    <w:lvl w:ilvl="0" w:tplc="8AD231CE">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879C01B8"/>
    <w:lvl w:ilvl="0" w:tplc="EF10F8A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9312BB04"/>
    <w:lvl w:ilvl="0" w:tplc="EF10F8A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FE84A0E4"/>
    <w:lvl w:ilvl="0" w:tplc="DC58C0D2">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AEDEFB34"/>
    <w:lvl w:ilvl="0" w:tplc="8AD231CE">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050268BE"/>
    <w:lvl w:ilvl="0" w:tplc="8AD231CE">
      <w:start w:val="1"/>
      <w:numFmt w:val="lowerRoman"/>
      <w:lvlText w:val="%1)"/>
      <w:lvlJc w:val="righ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9D262A98"/>
    <w:lvl w:ilvl="0" w:tplc="8AD231CE">
      <w:start w:val="1"/>
      <w:numFmt w:val="lowerRoman"/>
      <w:lvlText w:val="%1)"/>
      <w:lvlJc w:val="righ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85CC7E64"/>
    <w:lvl w:ilvl="0" w:tplc="8AD231CE">
      <w:start w:val="1"/>
      <w:numFmt w:val="lowerRoman"/>
      <w:lvlText w:val="%1)"/>
      <w:lvlJc w:val="righ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num>
  <w:num w:numId="28" w16cid:durableId="61028127">
    <w:abstractNumId w:val="56"/>
  </w:num>
  <w:num w:numId="29" w16cid:durableId="1187059781">
    <w:abstractNumId w:val="49"/>
  </w:num>
  <w:num w:numId="30" w16cid:durableId="240067311">
    <w:abstractNumId w:val="35"/>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 w:numId="61" w16cid:durableId="414668083">
    <w:abstractNumId w:val="47"/>
  </w:num>
  <w:num w:numId="62" w16cid:durableId="2063360495">
    <w:abstractNumId w:val="56"/>
  </w:num>
  <w:num w:numId="63" w16cid:durableId="119154317">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3EDD"/>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6D68"/>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034C"/>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6F0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l-G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DAC955-C5ED-4B5F-BD7C-4DCFE32B5507}"/>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5.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78</Pages>
  <Words>22905</Words>
  <Characters>140363</Characters>
  <Application>Microsoft Office Word</Application>
  <DocSecurity>0</DocSecurity>
  <Lines>3190</Lines>
  <Paragraphs>1774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161494</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2025-01-20T11:09:37Z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eac5cd5a-d965-434d-8b4d-7a391656db58</vt:lpwstr>
  </property>
  <property fmtid="{D5CDD505-2E9C-101B-9397-08002B2CF9AE}" pid="12" name="MSIP_Label_6bd9ddd1-4d20-43f6-abfa-fc3c07406f94_ContentBits">
    <vt:lpwstr>0</vt:lpwstr>
  </property>
</Properties>
</file>