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LT</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II PRIEDAS</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„II PRIEDAS</w:t>
      </w:r>
    </w:p>
    <w:p w14:paraId="1330A6A8" w14:textId="5D7F4003" w:rsidR="000F1AF3" w:rsidRPr="00D41692" w:rsidRDefault="00D11E4C" w:rsidP="00D41692">
      <w:pPr>
        <w:jc w:val="center"/>
        <w:rPr>
          <w:rFonts w:ascii="Times New Roman" w:hAnsi="Times New Roman"/>
          <w:b/>
          <w:sz w:val="24"/>
        </w:rPr>
      </w:pPr>
      <w:r>
        <w:rPr>
          <w:rFonts w:ascii="Times New Roman" w:hAnsi="Times New Roman"/>
          <w:b/>
          <w:sz w:val="24"/>
        </w:rPr>
        <w:t>INFORMACIJOS APIE NUOSAVAS LĖŠAS IR NUOSAVŲ LĖŠŲ REIKALAVIMUS TEIKIMO NURODYMAI</w:t>
      </w:r>
      <w:bookmarkStart w:id="2" w:name="_Toc264033192"/>
      <w:bookmarkEnd w:id="0"/>
      <w:bookmarkEnd w:id="1"/>
      <w:bookmarkEnd w:id="2"/>
      <w:r>
        <w:rPr>
          <w:rFonts w:ascii="Times New Roman" w:hAnsi="Times New Roman"/>
          <w:b/>
          <w:sz w:val="24"/>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rPr>
      </w:pPr>
      <w:bookmarkStart w:id="3" w:name="_Toc360188322"/>
      <w:bookmarkStart w:id="4" w:name="_Toc473560870"/>
      <w:bookmarkStart w:id="5" w:name="_Toc151714358"/>
      <w:r>
        <w:rPr>
          <w:rFonts w:ascii="Times New Roman" w:hAnsi="Times New Roman"/>
        </w:rPr>
        <w:t>II DALIS. SU FORMA SUSIJĘ NURODYMAI</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Pr>
          <w:rFonts w:ascii="Times New Roman" w:hAnsi="Times New Roman"/>
          <w:sz w:val="24"/>
        </w:rPr>
        <w:t>4.</w:t>
      </w:r>
      <w:r>
        <w:tab/>
      </w:r>
      <w:r>
        <w:rPr>
          <w:rFonts w:ascii="Times New Roman" w:hAnsi="Times New Roman"/>
          <w:sz w:val="24"/>
        </w:rPr>
        <w:t>Operacinės rizikos formos</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136</w:t>
      </w:r>
      <w:r>
        <w:fldChar w:fldCharType="end"/>
      </w:r>
      <w:r>
        <w:t>.</w:t>
      </w:r>
      <w:r>
        <w:tab/>
        <w:t xml:space="preserve">[tuščia] </w:t>
      </w:r>
    </w:p>
    <w:p w14:paraId="4904781C" w14:textId="28B3D707"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137</w:t>
      </w:r>
      <w:r>
        <w:fldChar w:fldCharType="end"/>
      </w:r>
      <w:r>
        <w:t>.</w:t>
      </w:r>
      <w:r w:rsidR="007735E9">
        <w:tab/>
      </w:r>
      <w:r>
        <w:t xml:space="preserve">[tuščia] </w:t>
      </w:r>
    </w:p>
    <w:p w14:paraId="4B809D6B" w14:textId="0B845704"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138</w:t>
      </w:r>
      <w:r>
        <w:fldChar w:fldCharType="end"/>
      </w:r>
      <w:r>
        <w:t>.</w:t>
      </w:r>
      <w:r>
        <w:tab/>
        <w:t xml:space="preserve">[tuščia] </w:t>
      </w:r>
    </w:p>
    <w:p w14:paraId="2023E425" w14:textId="5437B6F0"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139</w:t>
      </w:r>
      <w:r>
        <w:fldChar w:fldCharType="end"/>
      </w:r>
      <w:r>
        <w:t>.</w:t>
      </w:r>
      <w:r>
        <w:tab/>
        <w:t xml:space="preserve">[tuščia] </w:t>
      </w:r>
    </w:p>
    <w:p w14:paraId="1BF423DA" w14:textId="66143245"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140</w:t>
      </w:r>
      <w:r>
        <w:fldChar w:fldCharType="end"/>
      </w:r>
      <w:r>
        <w:t>.</w:t>
      </w:r>
      <w:r>
        <w:tab/>
        <w:t xml:space="preserve">[tuščia] </w:t>
      </w:r>
    </w:p>
    <w:p w14:paraId="001035D2" w14:textId="1BD5781A"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141</w:t>
      </w:r>
      <w:r>
        <w:fldChar w:fldCharType="end"/>
      </w:r>
      <w:r>
        <w:t>.</w:t>
      </w:r>
      <w:r>
        <w:tab/>
        <w:t>[tuščia]</w:t>
      </w:r>
    </w:p>
    <w:p w14:paraId="23737963"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8" w:name="_Toc152862711"/>
      <w:r>
        <w:rPr>
          <w:rFonts w:ascii="Times New Roman" w:hAnsi="Times New Roman"/>
          <w:sz w:val="24"/>
        </w:rPr>
        <w:t>4.1.</w:t>
      </w:r>
      <w:r>
        <w:tab/>
      </w:r>
      <w:r>
        <w:rPr>
          <w:rFonts w:ascii="Times New Roman" w:hAnsi="Times New Roman"/>
          <w:sz w:val="24"/>
          <w:u w:val="single"/>
        </w:rPr>
        <w:t>Informacijos apie nuosavų lėšų reikalavimus operacinei rizikai padengti teikimas</w:t>
      </w:r>
      <w:bookmarkEnd w:id="18"/>
    </w:p>
    <w:p w14:paraId="200487A9"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9" w:name="_Toc152862712"/>
      <w:r>
        <w:rPr>
          <w:rFonts w:ascii="Times New Roman" w:hAnsi="Times New Roman"/>
          <w:sz w:val="24"/>
        </w:rPr>
        <w:t>4.1.1.</w:t>
      </w:r>
      <w:r>
        <w:tab/>
      </w:r>
      <w:r>
        <w:rPr>
          <w:rFonts w:ascii="Times New Roman" w:hAnsi="Times New Roman"/>
          <w:sz w:val="24"/>
          <w:u w:val="single"/>
        </w:rPr>
        <w:t>Bendrosios pastabos</w:t>
      </w:r>
      <w:bookmarkEnd w:id="19"/>
    </w:p>
    <w:p w14:paraId="60C67A56" w14:textId="5F0C19D1" w:rsidR="0062765D" w:rsidRPr="0062765D" w:rsidRDefault="0062765D" w:rsidP="00855EF0">
      <w:pPr>
        <w:spacing w:before="0" w:after="240"/>
        <w:ind w:left="360" w:hanging="360"/>
        <w:rPr>
          <w:rFonts w:ascii="Times New Roman" w:hAnsi="Times New Roman"/>
          <w:noProof/>
          <w:sz w:val="24"/>
        </w:rPr>
      </w:pPr>
      <w:r>
        <w:rPr>
          <w:rFonts w:ascii="Times New Roman" w:hAnsi="Times New Roman"/>
          <w:sz w:val="24"/>
        </w:rPr>
        <w:t>141a. C 16.01 formoje nurodomi nuosavų lėšų reikalavimai operacinei rizikai padengti, atsižvelgiant į verslo rodiklio komponentą ir susijusį verslo rodiklį pagal Reglamento (ES) Nr. 575/2013 312–314 straipsnius.</w:t>
      </w:r>
    </w:p>
    <w:p w14:paraId="2BDF4A3C" w14:textId="48C88916" w:rsidR="00A85FE5" w:rsidRPr="0062765D" w:rsidRDefault="00DB52C6" w:rsidP="00F72493">
      <w:pPr>
        <w:spacing w:before="0" w:after="240"/>
        <w:ind w:left="360" w:hanging="360"/>
        <w:rPr>
          <w:rFonts w:ascii="Times New Roman" w:hAnsi="Times New Roman"/>
          <w:noProof/>
          <w:sz w:val="24"/>
        </w:rPr>
      </w:pPr>
      <w:r>
        <w:rPr>
          <w:rFonts w:ascii="Times New Roman" w:hAnsi="Times New Roman"/>
          <w:sz w:val="24"/>
        </w:rPr>
        <w:t xml:space="preserve">141b. Įstaigos visas sumas pateikia pagal apskaitos sistemą, kurią jos taiko teikdamos finansinę informaciją, nebent šiame priede nurodyta kitaip. </w:t>
      </w:r>
    </w:p>
    <w:p w14:paraId="3F5B8138" w14:textId="5DDCE8AF" w:rsidR="0062765D" w:rsidRPr="0062765D" w:rsidRDefault="00DB52C6" w:rsidP="0062765D">
      <w:pPr>
        <w:spacing w:before="0" w:after="240"/>
        <w:ind w:left="360" w:hanging="360"/>
        <w:rPr>
          <w:rFonts w:ascii="Times New Roman" w:hAnsi="Times New Roman"/>
          <w:noProof/>
          <w:sz w:val="24"/>
        </w:rPr>
      </w:pPr>
      <w:r>
        <w:rPr>
          <w:rFonts w:ascii="Times New Roman" w:hAnsi="Times New Roman"/>
          <w:sz w:val="24"/>
        </w:rPr>
        <w:t xml:space="preserve">141c. Įstaigos apskaičiuoja savo nuosavų lėšų reikalavimus ir pateikia informaciją formose, remdamosi finansinių metų pabaigoje turima informacija. Todėl naudojami trijų paskutinių dvylikos mėnesių laikotarpių, prasidedančių nuo finansinių metų pabaigos, stebėjimo duomenys (pvz., ataskaitinių datų „gruodžio Y-1, kovo Y, birželio Y ir rugsėjo Y“ ir finansinių metų pabaigos „gruodžio 31“ atveju skaičiavimai grindžiami finansine padėtimi „gruodžio 31“ dieną, naudojant visus Y-1, Y-2 ir Y-3 finansinius metus). </w:t>
      </w:r>
    </w:p>
    <w:p w14:paraId="34790AA0" w14:textId="4FE91511" w:rsidR="0062765D" w:rsidRDefault="00DB52C6" w:rsidP="0062765D">
      <w:pPr>
        <w:spacing w:before="0" w:after="240"/>
        <w:ind w:left="360" w:hanging="360"/>
        <w:rPr>
          <w:rFonts w:ascii="Times New Roman" w:hAnsi="Times New Roman"/>
          <w:sz w:val="24"/>
        </w:rPr>
      </w:pPr>
      <w:r>
        <w:rPr>
          <w:rFonts w:ascii="Times New Roman" w:hAnsi="Times New Roman"/>
          <w:sz w:val="24"/>
        </w:rPr>
        <w:t xml:space="preserve">141d. Jeigu nėra audituotų duomenų, įstaigos gali naudoti prognozuojamus verslo duomenis. Jeigu naudojami audituoti duomenys, įstaigos nurodo audituotus duomenis, kurie, tikėtina, </w:t>
      </w:r>
      <w:r>
        <w:rPr>
          <w:rFonts w:ascii="Times New Roman" w:hAnsi="Times New Roman"/>
          <w:sz w:val="24"/>
        </w:rPr>
        <w:lastRenderedPageBreak/>
        <w:t xml:space="preserve">nesikeis. Nukrypti nuo šio nekeitimo principo galima pagal Reglamento (ES) Nr. 575/2013 315 straipsnio 1 ir 2 dalis. </w:t>
      </w:r>
    </w:p>
    <w:p w14:paraId="27F080A5" w14:textId="6DE910D0" w:rsidR="00FA5064" w:rsidRDefault="00DB52C6" w:rsidP="00FA5064">
      <w:pPr>
        <w:spacing w:before="0" w:after="240"/>
        <w:ind w:left="360" w:hanging="360"/>
        <w:rPr>
          <w:rFonts w:ascii="Times New Roman" w:hAnsi="Times New Roman"/>
          <w:sz w:val="24"/>
        </w:rPr>
      </w:pPr>
      <w:r>
        <w:rPr>
          <w:rFonts w:ascii="Times New Roman" w:hAnsi="Times New Roman"/>
          <w:sz w:val="24"/>
        </w:rPr>
        <w:t xml:space="preserve">141e. Teikdamos informaciją įstaigos neįtraukia jokių verčių, susijusių su straipsniais, nustatytais pagal Reglamento (ES) Nr. 575/2013 314 straipsnio 7 dalį ir išsamiau nurodytais techniniame reguliavimo standarte, kuris turi būti parengtas pagal 314 straipsnio 9 dalį. </w:t>
      </w:r>
    </w:p>
    <w:p w14:paraId="65A130C3" w14:textId="77777777" w:rsidR="008E3C30" w:rsidRPr="006E49F0" w:rsidRDefault="00DB52C6" w:rsidP="001A7684">
      <w:pPr>
        <w:spacing w:before="0" w:after="240"/>
        <w:ind w:left="360" w:hanging="360"/>
        <w:rPr>
          <w:rFonts w:ascii="Times New Roman" w:hAnsi="Times New Roman"/>
          <w:sz w:val="24"/>
        </w:rPr>
      </w:pPr>
      <w:r>
        <w:rPr>
          <w:rFonts w:ascii="Times New Roman" w:hAnsi="Times New Roman"/>
          <w:sz w:val="24"/>
        </w:rPr>
        <w:t>141f</w:t>
      </w:r>
      <w:r>
        <w:t xml:space="preserve">. </w:t>
      </w:r>
      <w:r>
        <w:rPr>
          <w:rFonts w:ascii="Times New Roman" w:hAnsi="Times New Roman"/>
          <w:sz w:val="24"/>
        </w:rPr>
        <w:t xml:space="preserve">Įstaigos, apskaičiuodamos verslo rodiklį (pvz., kai turi patronuojamųjų įstaigų, naudojančių kitą valiutą nei įstaigos ataskaitose nurodoma valiuta), pagal taikomą apskaitos sistemą kiekvieniems trejiems metams, kuriais remiantis apskaičiuojamas verslo rodiklis, taiko atitinkamą valiutos kursą. Todėl atitinkamais metais taikytas valiutos kursas kiekvieną ataskaitinę datą neatnaujinamas. </w:t>
      </w:r>
    </w:p>
    <w:p w14:paraId="06A7780A" w14:textId="58C20260" w:rsidR="006E63FF" w:rsidRPr="007735E9" w:rsidRDefault="008E3C30" w:rsidP="001A7684">
      <w:pPr>
        <w:spacing w:before="0" w:after="240"/>
        <w:ind w:left="360" w:hanging="360"/>
        <w:rPr>
          <w:rFonts w:ascii="Times New Roman" w:hAnsi="Times New Roman"/>
          <w:sz w:val="24"/>
        </w:rPr>
      </w:pPr>
      <w:r>
        <w:rPr>
          <w:rFonts w:ascii="Times New Roman" w:hAnsi="Times New Roman"/>
          <w:sz w:val="24"/>
        </w:rPr>
        <w:t>141g.</w:t>
      </w:r>
      <w:r>
        <w:rPr>
          <w:rFonts w:ascii="Calibri" w:hAnsi="Calibri"/>
          <w:sz w:val="22"/>
        </w:rPr>
        <w:t xml:space="preserve"> </w:t>
      </w:r>
      <w:r w:rsidRPr="007735E9">
        <w:rPr>
          <w:rFonts w:ascii="Times New Roman" w:hAnsi="Times New Roman"/>
          <w:sz w:val="24"/>
        </w:rPr>
        <w:t>Kalbant apie ribinių verčių taikymą verslo rodiklio komponentui apskaičiuoti pagal Reglamento (ES) Nr. 575/2013 313 straipsnį, euro zonai nepriklausančios įstaigos, kurios priežiūros informaciją teikia savo vietos valiuta, konvertuodamos šias ribines vertes į savo vietos valiutą taiko vidutinį laikotarpio, už kurį pagal apskaitos sistemą apskaičiuojamas verslo rodiklio komponentas, valiutos kursą (paskutinių trejų finansinių metų vidurkį).</w:t>
      </w:r>
    </w:p>
    <w:p w14:paraId="031BD6E8" w14:textId="4B566AA7" w:rsidR="008803F1" w:rsidRDefault="0062765D" w:rsidP="008803F1">
      <w:pPr>
        <w:keepNext/>
        <w:spacing w:before="240" w:after="240"/>
        <w:ind w:left="357" w:hanging="357"/>
        <w:outlineLvl w:val="1"/>
        <w:rPr>
          <w:rFonts w:ascii="Times New Roman" w:eastAsia="Arial" w:hAnsi="Times New Roman"/>
          <w:sz w:val="24"/>
          <w:u w:val="single"/>
        </w:rPr>
      </w:pPr>
      <w:bookmarkStart w:id="20" w:name="_Toc152862713"/>
      <w:r>
        <w:rPr>
          <w:rFonts w:ascii="Times New Roman" w:hAnsi="Times New Roman"/>
          <w:sz w:val="24"/>
          <w:u w:val="single"/>
        </w:rPr>
        <w:t>4.1.2.</w:t>
      </w:r>
      <w:r>
        <w:tab/>
      </w:r>
      <w:r>
        <w:rPr>
          <w:rFonts w:ascii="Times New Roman" w:hAnsi="Times New Roman"/>
          <w:sz w:val="24"/>
          <w:u w:val="single"/>
        </w:rPr>
        <w:t>C 16.01. Operacinė rizika. Nuosavų lėšų reikalavimai (OPR OFR)</w:t>
      </w:r>
      <w:bookmarkEnd w:id="20"/>
    </w:p>
    <w:p w14:paraId="37EA392E" w14:textId="08491DA9" w:rsidR="0060540A" w:rsidRPr="00F83296" w:rsidRDefault="006B71D2" w:rsidP="00F83296">
      <w:pPr>
        <w:spacing w:before="0" w:after="240"/>
        <w:ind w:left="360" w:hanging="360"/>
        <w:rPr>
          <w:rFonts w:ascii="Times New Roman" w:eastAsia="Arial" w:hAnsi="Times New Roman"/>
          <w:sz w:val="24"/>
          <w:u w:val="single"/>
        </w:rPr>
      </w:pPr>
      <w:r>
        <w:rPr>
          <w:rFonts w:ascii="Times New Roman" w:hAnsi="Times New Roman"/>
          <w:sz w:val="24"/>
        </w:rPr>
        <w:t>141h. Šioje formoje pateikiama informacija apskaičiuojama atsižvelgiant į paskutinių trejų finansinių metų sumas.</w:t>
      </w:r>
    </w:p>
    <w:p w14:paraId="4A1DC110" w14:textId="03CEE5BE" w:rsidR="0062765D" w:rsidRPr="0062765D" w:rsidRDefault="0062765D" w:rsidP="0062765D">
      <w:pPr>
        <w:spacing w:before="0" w:after="240"/>
        <w:rPr>
          <w:rFonts w:ascii="Times New Roman" w:hAnsi="Times New Roman"/>
          <w:sz w:val="24"/>
          <w:u w:val="single"/>
        </w:rPr>
      </w:pPr>
      <w:r>
        <w:rPr>
          <w:rFonts w:ascii="Times New Roman" w:hAnsi="Times New Roman"/>
          <w:sz w:val="24"/>
          <w:u w:val="single"/>
        </w:rPr>
        <w:t>Nurodymai dėl konkrečių pozicijų.</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rPr>
            </w:pPr>
            <w:r>
              <w:rPr>
                <w:rFonts w:ascii="Times New Roman" w:hAnsi="Times New Roman"/>
                <w:b/>
                <w:sz w:val="24"/>
              </w:rPr>
              <w:t>Skiltys</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Pr>
                <w:rFonts w:ascii="Times New Roman" w:hAnsi="Times New Roman"/>
                <w:b/>
                <w:sz w:val="24"/>
                <w:u w:val="single"/>
              </w:rPr>
              <w:t>Nuorodos į teisės aktus ir nurodymai</w:t>
            </w:r>
          </w:p>
        </w:tc>
      </w:tr>
      <w:tr w:rsidR="0062765D" w:rsidRPr="0062765D" w14:paraId="757FFFEF" w14:textId="77777777" w:rsidTr="00B9490A">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Pr>
                <w:rFonts w:ascii="Times New Roman" w:hAnsi="Times New Roman"/>
                <w:sz w:val="24"/>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Vertė</w:t>
            </w:r>
          </w:p>
          <w:p w14:paraId="40C487F3" w14:textId="4EBA1618" w:rsidR="0062765D" w:rsidRDefault="0062765D" w:rsidP="0062765D">
            <w:pPr>
              <w:jc w:val="left"/>
              <w:rPr>
                <w:rFonts w:ascii="Times New Roman" w:hAnsi="Times New Roman"/>
                <w:sz w:val="24"/>
              </w:rPr>
            </w:pPr>
            <w:r>
              <w:rPr>
                <w:rFonts w:ascii="Times New Roman" w:hAnsi="Times New Roman"/>
                <w:sz w:val="24"/>
              </w:rPr>
              <w:t>Verslo rodiklio ir jo trijų komponentų vertė: ILDC, SC ir FC</w:t>
            </w:r>
            <w:r w:rsidR="007735E9">
              <w:rPr>
                <w:rFonts w:ascii="Times New Roman" w:hAnsi="Times New Roman"/>
                <w:sz w:val="24"/>
              </w:rPr>
              <w:t>.</w:t>
            </w:r>
          </w:p>
          <w:p w14:paraId="4EA05B1B" w14:textId="77777777" w:rsidR="0062765D" w:rsidRPr="0062765D" w:rsidRDefault="0062765D" w:rsidP="0062765D">
            <w:pPr>
              <w:jc w:val="left"/>
              <w:rPr>
                <w:rFonts w:ascii="Times New Roman" w:hAnsi="Times New Roman"/>
                <w:sz w:val="24"/>
              </w:rPr>
            </w:pPr>
            <w:r>
              <w:rPr>
                <w:rFonts w:ascii="Times New Roman" w:hAnsi="Times New Roman"/>
                <w:sz w:val="24"/>
              </w:rPr>
              <w:t>Vertė apima koregavimus dėl susijungimų, įsigijimų ir perleidimų poveikio pagal Reglamento (ES) Nr. 575/2013 315 straipsnio 1 ir 2 dalis.</w:t>
            </w:r>
          </w:p>
          <w:p w14:paraId="160B8F2D" w14:textId="61260FD0" w:rsidR="00BC5ECA" w:rsidRDefault="00BC5ECA" w:rsidP="00BC5ECA">
            <w:pPr>
              <w:jc w:val="left"/>
              <w:rPr>
                <w:rFonts w:ascii="Times New Roman" w:hAnsi="Times New Roman"/>
                <w:sz w:val="24"/>
              </w:rPr>
            </w:pPr>
            <w:r>
              <w:rPr>
                <w:rFonts w:ascii="Times New Roman" w:hAnsi="Times New Roman"/>
                <w:sz w:val="24"/>
              </w:rPr>
              <w:t xml:space="preserve">Finansinio komponento (FC) atveju vertė atspindi arba apskaitinę vertę, apskaičiuotą taikant apskaitos metodą, arba apskaitinę vertę, taikant </w:t>
            </w:r>
            <w:proofErr w:type="spellStart"/>
            <w:r>
              <w:rPr>
                <w:rFonts w:ascii="Times New Roman" w:hAnsi="Times New Roman"/>
                <w:sz w:val="24"/>
              </w:rPr>
              <w:t>prudencinę</w:t>
            </w:r>
            <w:proofErr w:type="spellEnd"/>
            <w:r>
              <w:rPr>
                <w:rFonts w:ascii="Times New Roman" w:hAnsi="Times New Roman"/>
                <w:sz w:val="24"/>
              </w:rPr>
              <w:t xml:space="preserve"> ribą (</w:t>
            </w:r>
            <w:proofErr w:type="spellStart"/>
            <w:r>
              <w:rPr>
                <w:rFonts w:ascii="Times New Roman" w:hAnsi="Times New Roman"/>
                <w:sz w:val="24"/>
              </w:rPr>
              <w:t>prudencinės</w:t>
            </w:r>
            <w:proofErr w:type="spellEnd"/>
            <w:r>
              <w:rPr>
                <w:rFonts w:ascii="Times New Roman" w:hAnsi="Times New Roman"/>
                <w:sz w:val="24"/>
              </w:rPr>
              <w:t xml:space="preserve"> ribos metodą (PBA)) prekybos knygos ir bankinės knygos straipsniams nustatyti. Informacija apie taikytą metodą bus pateikta 0110 eilutėje.</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789" w:type="dxa"/>
          </w:tcPr>
          <w:p w14:paraId="3853732D" w14:textId="7ED772A3"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dalis, kurią atitinka: koregavimai dėl subjektų ar veiklos susijungimo ir (arba) įsigijimo</w:t>
            </w:r>
          </w:p>
          <w:p w14:paraId="74765691" w14:textId="77777777" w:rsidR="0062765D" w:rsidRPr="0062765D" w:rsidRDefault="0062765D" w:rsidP="0062765D">
            <w:pPr>
              <w:jc w:val="left"/>
              <w:rPr>
                <w:rFonts w:ascii="Times New Roman" w:hAnsi="Times New Roman"/>
                <w:bCs/>
                <w:sz w:val="24"/>
              </w:rPr>
            </w:pPr>
            <w:r>
              <w:rPr>
                <w:rFonts w:ascii="Times New Roman" w:hAnsi="Times New Roman"/>
                <w:sz w:val="24"/>
              </w:rPr>
              <w:t>0010 skiltyje nurodytos vertės dalis, atitinkanti verslo rodiklio komponentus, susijusi su sujungtais ar įsigytais subjektais ar veikla pagal Reglamento (ES) Nr. 575/2013 315 straipsnio 1 dalį.</w:t>
            </w:r>
          </w:p>
        </w:tc>
      </w:tr>
      <w:tr w:rsidR="0062765D" w:rsidRPr="0062765D" w14:paraId="6B1C004B" w14:textId="77777777" w:rsidTr="00B9490A">
        <w:trPr>
          <w:trHeight w:val="300"/>
        </w:trPr>
        <w:tc>
          <w:tcPr>
            <w:tcW w:w="1225" w:type="dxa"/>
          </w:tcPr>
          <w:p w14:paraId="163A2836" w14:textId="77777777" w:rsidR="0062765D" w:rsidRPr="0062765D" w:rsidRDefault="0062765D" w:rsidP="0062765D">
            <w:pPr>
              <w:rPr>
                <w:rFonts w:ascii="Times New Roman" w:hAnsi="Times New Roman"/>
                <w:sz w:val="24"/>
              </w:rPr>
            </w:pPr>
            <w:r>
              <w:rPr>
                <w:rFonts w:ascii="Times New Roman" w:hAnsi="Times New Roman"/>
                <w:sz w:val="24"/>
              </w:rPr>
              <w:t>0030</w:t>
            </w:r>
          </w:p>
        </w:tc>
        <w:tc>
          <w:tcPr>
            <w:tcW w:w="7789" w:type="dxa"/>
          </w:tcPr>
          <w:p w14:paraId="5025702A" w14:textId="53EE67A4"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(Koregavimai dėl subjektų ar veiklos perleidimo)</w:t>
            </w:r>
          </w:p>
          <w:p w14:paraId="474CDF36" w14:textId="77777777"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Suma, neįtraukta į veiklos rodiklio komponentus, susijusi su perleistais subjektais ar veikla pagal Reglamento (ES) Nr. 575/2013 315 straipsnio 2 dalį.</w:t>
            </w:r>
          </w:p>
        </w:tc>
      </w:tr>
      <w:tr w:rsidR="0062765D" w:rsidRPr="0062765D" w14:paraId="29E6E185" w14:textId="77777777" w:rsidTr="00B9490A">
        <w:trPr>
          <w:trHeight w:val="300"/>
        </w:trPr>
        <w:tc>
          <w:tcPr>
            <w:tcW w:w="1225" w:type="dxa"/>
          </w:tcPr>
          <w:p w14:paraId="2C4429BE" w14:textId="77777777" w:rsidR="0062765D" w:rsidRPr="0062765D" w:rsidRDefault="0062765D" w:rsidP="0062765D">
            <w:pPr>
              <w:rPr>
                <w:rFonts w:ascii="Times New Roman" w:hAnsi="Times New Roman"/>
                <w:sz w:val="24"/>
              </w:rPr>
            </w:pPr>
            <w:r>
              <w:rPr>
                <w:rFonts w:ascii="Times New Roman" w:hAnsi="Times New Roman"/>
                <w:sz w:val="24"/>
              </w:rPr>
              <w:lastRenderedPageBreak/>
              <w:t>0040</w:t>
            </w:r>
          </w:p>
        </w:tc>
        <w:tc>
          <w:tcPr>
            <w:tcW w:w="7789" w:type="dxa"/>
          </w:tcPr>
          <w:p w14:paraId="4E023876"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 xml:space="preserve">Nuosavų lėšų reikalavimai </w:t>
            </w:r>
          </w:p>
          <w:p w14:paraId="035197F4" w14:textId="13991B6C" w:rsidR="0062765D" w:rsidRDefault="0062765D" w:rsidP="0062765D">
            <w:pPr>
              <w:rPr>
                <w:rFonts w:ascii="Times New Roman" w:hAnsi="Times New Roman"/>
                <w:sz w:val="24"/>
              </w:rPr>
            </w:pPr>
            <w:r>
              <w:rPr>
                <w:rFonts w:ascii="Times New Roman" w:hAnsi="Times New Roman"/>
                <w:sz w:val="24"/>
              </w:rPr>
              <w:t>Nuosavų lėšų reikalavimai apskaičiuojami pagal Reglamento (ES) Nr. 575/2013 312–314 straipsnius (verslo rodiklio komponentas).</w:t>
            </w:r>
          </w:p>
          <w:p w14:paraId="459E44D5" w14:textId="36477AA5" w:rsidR="00C44D1A" w:rsidRPr="00C44D1A" w:rsidRDefault="00C44D1A" w:rsidP="00C44D1A">
            <w:pPr>
              <w:rPr>
                <w:rFonts w:ascii="Times New Roman" w:hAnsi="Times New Roman"/>
                <w:sz w:val="24"/>
              </w:rPr>
            </w:pPr>
            <w:r>
              <w:rPr>
                <w:rFonts w:ascii="Times New Roman" w:hAnsi="Times New Roman"/>
                <w:sz w:val="24"/>
              </w:rPr>
              <w:t xml:space="preserve">Kai įstaigai taikoma Reglamento (ES) Nr. 575/2013 314 straipsnio 4 dalyje nurodyta nukrypti leidžianti nuostata, įstaiga prie nuosavų lėšų reikalavimų, apskaičiuotų pagal verslo rodiklio komponentą, prideda nuosavų lėšų reikalavimus, apskaičiuotus pagal ASA metodą mažmeninės bankininkystės ir (arba) komercinės bankininkystės verslo linijoms, kurioms taikoma nukrypti leidžianti nuostata (nes jos nėra verslo rodiklio komponento apskaičiavimo sistemos dalis).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62765D">
            <w:pPr>
              <w:rPr>
                <w:rFonts w:ascii="Times New Roman" w:hAnsi="Times New Roman"/>
                <w:sz w:val="24"/>
              </w:rPr>
            </w:pPr>
            <w:r>
              <w:rPr>
                <w:rFonts w:ascii="Times New Roman" w:hAnsi="Times New Roman"/>
                <w:sz w:val="24"/>
              </w:rPr>
              <w:t>0050</w:t>
            </w:r>
          </w:p>
        </w:tc>
        <w:tc>
          <w:tcPr>
            <w:tcW w:w="7789" w:type="dxa"/>
          </w:tcPr>
          <w:p w14:paraId="0BC49014"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Rizikos pozicijos suma</w:t>
            </w:r>
          </w:p>
          <w:p w14:paraId="0ED80FDB" w14:textId="77777777" w:rsidR="0062765D" w:rsidRPr="0062765D" w:rsidRDefault="0062765D" w:rsidP="0062765D">
            <w:pPr>
              <w:rPr>
                <w:rFonts w:ascii="Times New Roman" w:hAnsi="Times New Roman"/>
                <w:bCs/>
                <w:sz w:val="24"/>
              </w:rPr>
            </w:pPr>
            <w:r>
              <w:rPr>
                <w:rFonts w:ascii="Times New Roman" w:hAnsi="Times New Roman"/>
                <w:sz w:val="24"/>
              </w:rPr>
              <w:t>Rizikos pozicijos suma (REA) apskaičiuojama pagal Reglamento (ES) Nr. 575/2013 92 straipsnį.</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62765D" w:rsidRDefault="0062765D" w:rsidP="0062765D">
      <w:pPr>
        <w:spacing w:before="0" w:after="240"/>
        <w:rPr>
          <w:rFonts w:ascii="Times New Roman" w:hAnsi="Times New Roman"/>
          <w:sz w:val="24"/>
        </w:rPr>
      </w:pPr>
      <w:r>
        <w:rPr>
          <w:rFonts w:ascii="Times New Roman" w:hAnsi="Times New Roman"/>
          <w:sz w:val="24"/>
        </w:rPr>
        <w:t>Nurodymai pagal eilutes:</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rPr>
            </w:pPr>
            <w:r>
              <w:rPr>
                <w:rFonts w:ascii="Times New Roman" w:hAnsi="Times New Roman"/>
                <w:b/>
                <w:sz w:val="24"/>
              </w:rPr>
              <w:t>Eilutės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rPr>
            </w:pPr>
            <w:r>
              <w:rPr>
                <w:rFonts w:ascii="Times New Roman" w:hAnsi="Times New Roman"/>
                <w:b/>
                <w:sz w:val="24"/>
                <w:u w:val="single"/>
              </w:rPr>
              <w:t>Nuorodos į teisės aktus ir nurodymai</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rFonts w:ascii="Times New Roman" w:hAnsi="Times New Roman"/>
                <w:b/>
                <w:bCs/>
                <w:sz w:val="24"/>
                <w:u w:val="single"/>
              </w:rPr>
            </w:pPr>
            <w:r>
              <w:rPr>
                <w:rFonts w:ascii="Times New Roman" w:hAnsi="Times New Roman"/>
                <w:b/>
                <w:sz w:val="24"/>
                <w:u w:val="single"/>
              </w:rPr>
              <w:t>Veiklos rodiklio komponentas ir ASA</w:t>
            </w:r>
          </w:p>
          <w:p w14:paraId="66A9A1ED" w14:textId="73BDAEB6" w:rsidR="00137C27" w:rsidRPr="0062765D" w:rsidRDefault="00E0541A" w:rsidP="0062765D">
            <w:pPr>
              <w:jc w:val="left"/>
              <w:rPr>
                <w:rFonts w:ascii="Times New Roman" w:hAnsi="Times New Roman"/>
                <w:b/>
                <w:bCs/>
                <w:sz w:val="24"/>
                <w:u w:val="single"/>
              </w:rPr>
            </w:pPr>
            <w:r>
              <w:rPr>
                <w:rFonts w:ascii="Times New Roman" w:hAnsi="Times New Roman"/>
                <w:sz w:val="24"/>
              </w:rPr>
              <w:t>Reglamento (ES) Nr. 575/2013 313 straipsnis, 314 straipsnio 4 dalis.</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Veiklos rodiklis</w:t>
            </w:r>
          </w:p>
          <w:p w14:paraId="75392277" w14:textId="77777777" w:rsidR="00A12BD5" w:rsidRDefault="0062765D" w:rsidP="0062765D">
            <w:pPr>
              <w:jc w:val="left"/>
              <w:rPr>
                <w:rFonts w:ascii="Times New Roman" w:hAnsi="Times New Roman"/>
                <w:sz w:val="24"/>
              </w:rPr>
            </w:pPr>
            <w:r>
              <w:rPr>
                <w:rFonts w:ascii="Times New Roman" w:hAnsi="Times New Roman"/>
                <w:sz w:val="24"/>
              </w:rPr>
              <w:t>Verslo rodiklio vertė, apskaičiuota pagal Reglamento (ES) Nr. 575/2013 314 straipsnio 1 dalį.</w:t>
            </w:r>
          </w:p>
          <w:p w14:paraId="55A108AA" w14:textId="2A55DB17" w:rsidR="00A55F29" w:rsidRPr="00A55F29" w:rsidRDefault="00A55F29" w:rsidP="00A55F29">
            <w:pPr>
              <w:jc w:val="left"/>
              <w:rPr>
                <w:rFonts w:ascii="Times New Roman" w:hAnsi="Times New Roman"/>
                <w:sz w:val="24"/>
              </w:rPr>
            </w:pPr>
            <w:r>
              <w:rPr>
                <w:rFonts w:ascii="Times New Roman" w:hAnsi="Times New Roman"/>
                <w:sz w:val="24"/>
              </w:rPr>
              <w:t xml:space="preserve">Kai įstaigai taikoma Reglamento (ES) Nr. 575/2013 314 straipsnio 4 dalyje nurodyta nukrypti leidžianti nuostata, įstaiga į nukrypti leidžiančios nuostatos taikymo sritį neįtraukia jokių verčių, susijusių su mažmeninės bankininkystės ir (arba) komercinės bankininkystės verslo linijomis.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Palūkanų, nuomos ir dividendų komponentas</w:t>
            </w:r>
          </w:p>
          <w:p w14:paraId="47773943" w14:textId="2CF555A2"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 xml:space="preserve">Bendra ILDC suma apskaičiuojama vadovaujantis Reglamento (ES) Nr. 575/2013 314 straipsnio 2 dalimi ir, kai taikoma, 314 straipsnio 3 dalimi.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Pr>
                <w:rFonts w:ascii="Times New Roman" w:hAnsi="Times New Roman"/>
                <w:sz w:val="24"/>
              </w:rPr>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Su atskira įstaiga ir (arba) konsoliduota grupe susijęs ILDC (išskyrus subjektus, kuriems taikoma 314 straipsnio 3 dalis)</w:t>
            </w:r>
          </w:p>
          <w:p w14:paraId="20179C90" w14:textId="77777777"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ILDC apskaičiuojamas vadovaujantis Reglamento (ES) Nr. 575/2013 314 straipsnio 2 dalimi. </w:t>
            </w:r>
          </w:p>
          <w:p w14:paraId="44DE0AF1" w14:textId="3AC2CF35"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Kai teikiamos konsoliduotos ataskaitos, o įstaigai taikoma Reglamento (ES) Nr. 575/2013 314 straipsnio 3 dalyje nurodyta nukrypti leidžianti nuostata, įstaiga neįtraukia jokių verčių, naudotų toms konkrečioms patronuojamosioms įstaigoms atskirai apskaičiuojant ILDC. Šiame straipsnyje nurodytų </w:t>
            </w:r>
            <w:r>
              <w:rPr>
                <w:rFonts w:ascii="Times New Roman" w:hAnsi="Times New Roman"/>
                <w:color w:val="000000" w:themeColor="text1"/>
                <w:sz w:val="24"/>
              </w:rPr>
              <w:lastRenderedPageBreak/>
              <w:t xml:space="preserve">grupei priklausančių patronuojamųjų įstaigų ir likusių grupei priklausančių įstaigų tarpusavio likučiai yra panaikinami. </w:t>
            </w:r>
          </w:p>
          <w:p w14:paraId="15569619" w14:textId="6CF262A0"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Kai įstaigai taikoma Reglamento (ES) Nr. 575/2013 314 straipsnio 4 dalyje nurodyta nukrypti leidžianti nuostata, įstaiga į nukrypti leidžiančios nuostatos taikymo sritį neįtraukia jokių verčių, susijusių su mažmeninės bankininkystės ir (arba) komercinės bankininkystės verslo linijomis.</w:t>
            </w:r>
          </w:p>
          <w:p w14:paraId="35C8E8B1" w14:textId="398C1E78" w:rsidR="0062765D" w:rsidRPr="007735E9" w:rsidRDefault="0062765D" w:rsidP="0062765D">
            <w:pPr>
              <w:jc w:val="left"/>
              <w:rPr>
                <w:rFonts w:ascii="Times New Roman" w:hAnsi="Times New Roman"/>
                <w:color w:val="000000" w:themeColor="text1"/>
                <w:sz w:val="24"/>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Subjektų, kuriems taikoma 314 straipsnio 3 dalis, ILDC</w:t>
            </w:r>
          </w:p>
          <w:p w14:paraId="574F1C29" w14:textId="4EE469F6" w:rsidR="0062765D" w:rsidRPr="004A5A87"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Kai teikiamos konsoliduotos ataskaitos, o įstaigai taikoma 314 straipsnio 3 dalyje nurodyta nukrypti leidžianti nuostata, ji pateikia tų konkrečių patronuojamųjų įstaigų, kurioms skaičiuojamas atskiras ILDC, ILDC verčių sumą. Apskaičiuojant atskirą ILDC, grupei priklausančių patronuojamųjų įstaigų ir likusių grupei priklausančių įstaigų tarpusavio likučiai yra panaikinami.</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Paslaugų komponentas</w:t>
            </w:r>
          </w:p>
          <w:p w14:paraId="68E6D128" w14:textId="742461BD" w:rsid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Paslaugų komponentas apskaičiuojamas vadovaujantis Reglamento (ES) Nr. 575/2013 314 straipsnio 5 dalimi.</w:t>
            </w:r>
          </w:p>
          <w:p w14:paraId="79F2D39A" w14:textId="29BE7323" w:rsidR="0062765D" w:rsidRPr="004A5A87"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 xml:space="preserve">Kai įstaigai taikoma Reglamento (ES) Nr. 575/2013 314 straipsnio 4 dalyje nurodyta nukrypti leidžianti nuostata, įstaiga į nukrypti leidžiančios nuostatos taikymo sritį neįtraukia jokių verčių, susijusių su mažmeninės bankininkystės ir (arba) komercinės bankininkystės verslo linijomis.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Finansinis komponentas </w:t>
            </w:r>
          </w:p>
          <w:p w14:paraId="25D11A82" w14:textId="0487D2A6" w:rsidR="004A5A87" w:rsidRPr="00C2709D" w:rsidRDefault="004A5A87" w:rsidP="0062765D">
            <w:pPr>
              <w:jc w:val="left"/>
              <w:rPr>
                <w:rFonts w:ascii="Times New Roman" w:hAnsi="Times New Roman"/>
                <w:color w:val="000000" w:themeColor="text1"/>
                <w:sz w:val="24"/>
              </w:rPr>
            </w:pPr>
            <w:r>
              <w:rPr>
                <w:rFonts w:ascii="Times New Roman" w:hAnsi="Times New Roman"/>
                <w:color w:val="000000" w:themeColor="text1"/>
                <w:sz w:val="24"/>
              </w:rPr>
              <w:t xml:space="preserve">Finansinis komponentas apskaičiuojamas vadovaujantis Reglamento (ES) Nr. 575/2013 314 straipsnio 6 dalimi. </w:t>
            </w:r>
          </w:p>
          <w:p w14:paraId="7BCC8437" w14:textId="0A53C57C" w:rsidR="0062765D" w:rsidRPr="0062765D"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 xml:space="preserve">Kai įstaigai taikoma Reglamento (ES) Nr. 575/2013 314 straipsnio 4 dalyje nurodyta nukrypti leidžianti nuostata, įstaiga į nukrypti leidžiančios nuostatos taikymo sritį neįtraukia jokių verčių, susijusių su mažmeninės bankininkystės ir (arba) komercinės bankininkystės verslo linijomis.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rFonts w:ascii="Times New Roman" w:hAnsi="Times New Roman"/>
                <w:b/>
                <w:bCs/>
                <w:sz w:val="24"/>
                <w:u w:val="single"/>
              </w:rPr>
            </w:pPr>
            <w:r>
              <w:rPr>
                <w:rFonts w:ascii="Times New Roman" w:hAnsi="Times New Roman"/>
                <w:b/>
                <w:sz w:val="24"/>
                <w:u w:val="single"/>
              </w:rPr>
              <w:t>ASA pagal 314 straipsnio 4 dalį (mažmeninė bankininkystė)</w:t>
            </w:r>
          </w:p>
          <w:p w14:paraId="35824B06" w14:textId="79A2A47B" w:rsidR="00452946" w:rsidRPr="00C2709D" w:rsidRDefault="00452946" w:rsidP="0062765D">
            <w:pPr>
              <w:jc w:val="left"/>
              <w:rPr>
                <w:rFonts w:ascii="Times New Roman" w:hAnsi="Times New Roman"/>
                <w:sz w:val="24"/>
                <w:u w:val="single"/>
              </w:rPr>
            </w:pPr>
            <w:r>
              <w:rPr>
                <w:rFonts w:ascii="Times New Roman" w:hAnsi="Times New Roman"/>
                <w:sz w:val="24"/>
                <w:u w:val="single"/>
              </w:rPr>
              <w:t>314 straipsnio 4 dalis verslo linijos „mažmeninė bankininkystė“ atveju.</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rFonts w:ascii="Times New Roman" w:hAnsi="Times New Roman"/>
                <w:b/>
                <w:bCs/>
                <w:sz w:val="24"/>
                <w:u w:val="single"/>
              </w:rPr>
            </w:pPr>
            <w:r>
              <w:rPr>
                <w:rFonts w:ascii="Times New Roman" w:hAnsi="Times New Roman"/>
                <w:b/>
                <w:sz w:val="24"/>
                <w:u w:val="single"/>
              </w:rPr>
              <w:t>ASA pagal 314 straipsnio 4 dalį (komercinė bankininkystė)</w:t>
            </w:r>
          </w:p>
          <w:p w14:paraId="03643C1A" w14:textId="1F6FF309" w:rsidR="00452946" w:rsidRPr="00C2709D" w:rsidRDefault="00452946" w:rsidP="0062765D">
            <w:pPr>
              <w:jc w:val="left"/>
              <w:rPr>
                <w:rFonts w:ascii="Times New Roman" w:hAnsi="Times New Roman"/>
                <w:sz w:val="24"/>
              </w:rPr>
            </w:pPr>
            <w:r>
              <w:rPr>
                <w:rFonts w:ascii="Times New Roman" w:hAnsi="Times New Roman"/>
                <w:sz w:val="24"/>
              </w:rPr>
              <w:t>314 straipsnio 4 dalis verslo linijos „komercinė bankininkystė“ atveju.</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Papildomas straipsnis. Su atskira įstaiga ir (arba) konsoliduota grupe susijęs ILDC (įskaitant subjektus, kuriems taikoma 314 straipsnio 3 dalis) </w:t>
            </w:r>
          </w:p>
          <w:p w14:paraId="0A3600F0" w14:textId="676E665D" w:rsidR="00623144" w:rsidRPr="00623144" w:rsidRDefault="0062765D" w:rsidP="0062765D">
            <w:pPr>
              <w:jc w:val="left"/>
              <w:rPr>
                <w:rFonts w:ascii="Times New Roman" w:hAnsi="Times New Roman"/>
                <w:bCs/>
                <w:sz w:val="24"/>
              </w:rPr>
            </w:pPr>
            <w:r>
              <w:rPr>
                <w:rFonts w:ascii="Times New Roman" w:hAnsi="Times New Roman"/>
                <w:sz w:val="24"/>
              </w:rPr>
              <w:t xml:space="preserve">Kai įstaigai taikoma Reglamento (ES) Nr. 575/2013 314 straipsnio 3 dalyje nurodyta nukrypti leidžianti nuostata, ji pateikia teorinį individualų arba konsoliduotą ILDC, apskaičiuotą pagal to reglamento 314 straipsnio 2 dalį, tarsi įstaigai nukrypti leidžianti nuostata nebūtų taikoma.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lastRenderedPageBreak/>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sz w:val="24"/>
                <w:u w:val="single"/>
              </w:rPr>
              <w:t>Apskaičiuojant finansinį komponentą (FC) taikomas metodas</w:t>
            </w:r>
          </w:p>
          <w:p w14:paraId="446F68C8" w14:textId="2BC1E74C" w:rsidR="009A383C" w:rsidRDefault="0046793D" w:rsidP="009A383C">
            <w:pPr>
              <w:jc w:val="left"/>
              <w:rPr>
                <w:rFonts w:ascii="Times New Roman" w:hAnsi="Times New Roman"/>
                <w:color w:val="000000" w:themeColor="text1"/>
                <w:sz w:val="24"/>
              </w:rPr>
            </w:pPr>
            <w:r>
              <w:rPr>
                <w:rFonts w:ascii="Times New Roman" w:hAnsi="Times New Roman"/>
                <w:color w:val="000000" w:themeColor="text1"/>
                <w:sz w:val="24"/>
              </w:rPr>
              <w:t xml:space="preserve">Įstaigos nurodo, kokį metodą taikė (apskaitos metodą arba </w:t>
            </w:r>
            <w:proofErr w:type="spellStart"/>
            <w:r>
              <w:rPr>
                <w:rFonts w:ascii="Times New Roman" w:hAnsi="Times New Roman"/>
                <w:color w:val="000000" w:themeColor="text1"/>
                <w:sz w:val="24"/>
              </w:rPr>
              <w:t>prudencinės</w:t>
            </w:r>
            <w:proofErr w:type="spellEnd"/>
            <w:r>
              <w:rPr>
                <w:rFonts w:ascii="Times New Roman" w:hAnsi="Times New Roman"/>
                <w:color w:val="000000" w:themeColor="text1"/>
                <w:sz w:val="24"/>
              </w:rPr>
              <w:t xml:space="preserve"> ribos) finansiniam komponentui (FC) apskaičiuoti pagal Reglamento (ES) Nr. 575/2013 314 straipsnio 6 dalį.</w:t>
            </w:r>
          </w:p>
          <w:p w14:paraId="6D07D0F8" w14:textId="41B2F1DC" w:rsidR="009A383C" w:rsidRPr="0062765D" w:rsidRDefault="009A383C" w:rsidP="0062765D">
            <w:pPr>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rFonts w:ascii="Times New Roman" w:hAnsi="Times New Roman"/>
                <w:sz w:val="24"/>
              </w:rPr>
            </w:pPr>
            <w:r>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62765D">
            <w:pPr>
              <w:jc w:val="left"/>
              <w:rPr>
                <w:rFonts w:ascii="Times New Roman" w:hAnsi="Times New Roman"/>
                <w:b/>
                <w:bCs/>
                <w:sz w:val="24"/>
                <w:u w:val="single"/>
              </w:rPr>
            </w:pPr>
            <w:r>
              <w:rPr>
                <w:rFonts w:ascii="Times New Roman" w:hAnsi="Times New Roman"/>
                <w:b/>
                <w:sz w:val="24"/>
                <w:u w:val="single"/>
              </w:rPr>
              <w:t xml:space="preserve">Kitos veiklos išlaidos </w:t>
            </w:r>
          </w:p>
          <w:p w14:paraId="7F073DE0" w14:textId="77777777" w:rsidR="00BF7C53" w:rsidRDefault="007E18B7" w:rsidP="0062765D">
            <w:pPr>
              <w:jc w:val="left"/>
              <w:rPr>
                <w:rFonts w:ascii="Times New Roman" w:hAnsi="Times New Roman"/>
                <w:color w:val="000000" w:themeColor="text1"/>
                <w:sz w:val="24"/>
              </w:rPr>
            </w:pPr>
            <w:r>
              <w:rPr>
                <w:rFonts w:ascii="Times New Roman" w:hAnsi="Times New Roman"/>
                <w:color w:val="000000" w:themeColor="text1"/>
                <w:sz w:val="24"/>
              </w:rPr>
              <w:t>Kitos veiklos išlaidos pagal Reglamento (ES) Nr. 575/2013 314 straipsnio 5 dalį.</w:t>
            </w:r>
          </w:p>
          <w:p w14:paraId="2B660A1C" w14:textId="344F4D8C" w:rsidR="000B40F9" w:rsidRPr="0062765D" w:rsidRDefault="000B40F9" w:rsidP="000B40F9">
            <w:pPr>
              <w:jc w:val="left"/>
              <w:rP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ascii="Times New Roman" w:hAnsi="Times New Roman"/>
          <w:sz w:val="24"/>
          <w:u w:val="none"/>
        </w:rPr>
        <w:t>4.2.</w:t>
      </w:r>
      <w:r w:rsidRPr="007735E9">
        <w:rPr>
          <w:u w:val="none"/>
        </w:rPr>
        <w:tab/>
      </w:r>
      <w:r>
        <w:rPr>
          <w:rFonts w:ascii="Times New Roman" w:hAnsi="Times New Roman"/>
          <w:sz w:val="24"/>
        </w:rPr>
        <w:t>Operacinė rizika. Išsami informacija apie praėjusių metų nuostolius (OPR DETAILS)</w:t>
      </w:r>
      <w:bookmarkEnd w:id="56"/>
      <w:bookmarkEnd w:id="57"/>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Pr>
          <w:rFonts w:ascii="Times New Roman" w:hAnsi="Times New Roman"/>
          <w:sz w:val="24"/>
          <w:u w:val="none"/>
        </w:rPr>
        <w:t>4.2.1.</w:t>
      </w:r>
      <w:r w:rsidRPr="007735E9">
        <w:rPr>
          <w:u w:val="none"/>
        </w:rPr>
        <w:tab/>
      </w:r>
      <w:r>
        <w:rPr>
          <w:rFonts w:ascii="Times New Roman" w:hAnsi="Times New Roman"/>
          <w:sz w:val="24"/>
        </w:rPr>
        <w:t>Bendrosios pastabos</w:t>
      </w:r>
      <w:bookmarkEnd w:id="58"/>
      <w:bookmarkEnd w:id="59"/>
    </w:p>
    <w:p w14:paraId="4AD0CC5E" w14:textId="11470677" w:rsidR="002871CE" w:rsidRDefault="005C14B0" w:rsidP="00A768EA">
      <w:pPr>
        <w:pStyle w:val="InstructionsText2"/>
        <w:numPr>
          <w:ilvl w:val="0"/>
          <w:numId w:val="29"/>
        </w:numPr>
      </w:pPr>
      <w:bookmarkStart w:id="60" w:name="_Hlk152855791"/>
      <w:r>
        <w:t xml:space="preserve"> C 17.01 formoje (OPR DETAILS 1) vadovaujantis šio skirsnio 1 ir 2 lentelėse pateiktomis apibrėžtimis apibendrinama informacija apie įstaigos per praėjusius metus fiksuotus bendruosius nuostolius ir susigrąžintas nuostolių sumas pagal įvykio rūšis ir verslo linijas. C 17.02 formoje (OPR DETAILS 2) pateikiama išsami informacija apie didžiausius nuostolio įvykius per paskutinius metus. Turėtų būti fiksuojami tik tie įvykiai, dėl kurių patiriama nuostolių. </w:t>
      </w:r>
    </w:p>
    <w:p w14:paraId="2FD685B4" w14:textId="4ACBC943" w:rsidR="00C30107" w:rsidRDefault="00C30107" w:rsidP="00E434A1">
      <w:pPr>
        <w:pStyle w:val="InstructionsText2"/>
        <w:numPr>
          <w:ilvl w:val="0"/>
          <w:numId w:val="0"/>
        </w:numPr>
      </w:pPr>
      <w:r>
        <w:t>1 lentelė. Operacinės rizikos įvykių rūšys</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rPr>
            </w:pPr>
            <w:r>
              <w:rPr>
                <w:rFonts w:ascii="Times New Roman" w:hAnsi="Times New Roman"/>
                <w:b/>
                <w:sz w:val="24"/>
              </w:rPr>
              <w:t>Įvykio rūšies kategorija</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rPr>
            </w:pPr>
            <w:r>
              <w:rPr>
                <w:rFonts w:ascii="Times New Roman" w:hAnsi="Times New Roman"/>
                <w:b/>
                <w:sz w:val="24"/>
              </w:rPr>
              <w:t>Apibrėžtis</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rPr>
            </w:pPr>
            <w:r>
              <w:rPr>
                <w:rFonts w:ascii="Times New Roman" w:hAnsi="Times New Roman"/>
                <w:sz w:val="24"/>
              </w:rPr>
              <w:t>Sukčiavimas įstaigoje</w:t>
            </w:r>
          </w:p>
        </w:tc>
        <w:tc>
          <w:tcPr>
            <w:tcW w:w="6450" w:type="dxa"/>
            <w:tcMar>
              <w:top w:w="30" w:type="dxa"/>
              <w:left w:w="30" w:type="dxa"/>
              <w:bottom w:w="30" w:type="dxa"/>
              <w:right w:w="30" w:type="dxa"/>
            </w:tcMar>
          </w:tcPr>
          <w:p w14:paraId="1E631938" w14:textId="77777777" w:rsidR="00C30107" w:rsidRPr="001619AF" w:rsidRDefault="00C30107">
            <w:pPr>
              <w:spacing w:before="60" w:after="60"/>
              <w:rPr>
                <w:rFonts w:ascii="Times New Roman" w:hAnsi="Times New Roman"/>
                <w:sz w:val="24"/>
              </w:rPr>
            </w:pPr>
            <w:r>
              <w:rPr>
                <w:rFonts w:ascii="Times New Roman" w:hAnsi="Times New Roman"/>
                <w:sz w:val="24"/>
              </w:rPr>
              <w:t>Nuostoliai dėl pasikėsinimo sukčiauti, pasisavinti turtą arba apeiti reglamentus, įstatymus arba bendrovės politiką, išskyrus diversifikavimo ir (arba) diskriminavimo atvejus, kurie susiję su bent viena šalimi įstaigoje</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rPr>
            </w:pPr>
            <w:r>
              <w:rPr>
                <w:rFonts w:ascii="Times New Roman" w:hAnsi="Times New Roman"/>
                <w:sz w:val="24"/>
              </w:rPr>
              <w:t>Sukčiavimas už įstaigos ribų</w:t>
            </w:r>
          </w:p>
        </w:tc>
        <w:tc>
          <w:tcPr>
            <w:tcW w:w="6450" w:type="dxa"/>
            <w:tcMar>
              <w:top w:w="30" w:type="dxa"/>
              <w:left w:w="30" w:type="dxa"/>
              <w:bottom w:w="30" w:type="dxa"/>
              <w:right w:w="30" w:type="dxa"/>
            </w:tcMar>
          </w:tcPr>
          <w:p w14:paraId="2E0CACFE" w14:textId="77777777" w:rsidR="00C30107" w:rsidRPr="001619AF" w:rsidRDefault="00C30107">
            <w:pPr>
              <w:spacing w:before="60" w:after="60"/>
              <w:rPr>
                <w:rFonts w:ascii="Times New Roman" w:hAnsi="Times New Roman"/>
                <w:sz w:val="24"/>
              </w:rPr>
            </w:pPr>
            <w:r>
              <w:rPr>
                <w:rFonts w:ascii="Times New Roman" w:hAnsi="Times New Roman"/>
                <w:sz w:val="24"/>
              </w:rPr>
              <w:t>Nuostoliai dėl trečiosios šalies pasikėsinimo sukčiauti, pasisavinti turtą arba apeiti įstatymus</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rPr>
            </w:pPr>
            <w:r>
              <w:rPr>
                <w:rFonts w:ascii="Times New Roman" w:hAnsi="Times New Roman"/>
                <w:sz w:val="24"/>
              </w:rPr>
              <w:t>Darbo praktika ir darbo vietos sauga</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rPr>
            </w:pPr>
            <w:r>
              <w:rPr>
                <w:rFonts w:ascii="Times New Roman" w:hAnsi="Times New Roman"/>
                <w:sz w:val="24"/>
              </w:rPr>
              <w:t>Nuostoliai, atsiradę dėl nesuderinamumo su darbo, sveikatos arba saugos įstatymais arba susitarimais, dėl išmokų, susijusių su reikalavimais atlyginti žalą asmens sužalojimo atveju, arba dėl diversifikavimo ir (arba) diskriminavimo atvejų</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rPr>
            </w:pPr>
            <w:r>
              <w:rPr>
                <w:rFonts w:ascii="Times New Roman" w:hAnsi="Times New Roman"/>
                <w:sz w:val="24"/>
              </w:rPr>
              <w:t>Klientai, produktai ir verslo praktika</w:t>
            </w:r>
          </w:p>
        </w:tc>
        <w:tc>
          <w:tcPr>
            <w:tcW w:w="6450" w:type="dxa"/>
            <w:tcMar>
              <w:top w:w="30" w:type="dxa"/>
              <w:left w:w="30" w:type="dxa"/>
              <w:bottom w:w="30" w:type="dxa"/>
              <w:right w:w="30" w:type="dxa"/>
            </w:tcMar>
          </w:tcPr>
          <w:p w14:paraId="232F6D15" w14:textId="77777777" w:rsidR="00C30107" w:rsidRPr="001619AF" w:rsidRDefault="00C30107">
            <w:pPr>
              <w:spacing w:before="60" w:after="60"/>
              <w:rPr>
                <w:rFonts w:ascii="Times New Roman" w:hAnsi="Times New Roman"/>
                <w:sz w:val="24"/>
              </w:rPr>
            </w:pPr>
            <w:r>
              <w:rPr>
                <w:rFonts w:ascii="Times New Roman" w:hAnsi="Times New Roman"/>
                <w:sz w:val="24"/>
              </w:rPr>
              <w:t>Nuostoliai, atsiradę dėl netyčinio arba neapdairaus profesinių pareigų nevykdymo konkrečių klientų atžvilgiu (įskaitant tarpusavio pasitikėjimo ir tinkamumo reikalavimus) arba dėl produkto pobūdžio ar sudėties</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rPr>
            </w:pPr>
            <w:r>
              <w:rPr>
                <w:rFonts w:ascii="Times New Roman" w:hAnsi="Times New Roman"/>
                <w:sz w:val="24"/>
              </w:rPr>
              <w:t>Žala materialiajam turtui</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rPr>
            </w:pPr>
            <w:r>
              <w:rPr>
                <w:rFonts w:ascii="Times New Roman" w:hAnsi="Times New Roman"/>
                <w:sz w:val="24"/>
              </w:rPr>
              <w:t>Nuostoliai, atsiradę dėl materialiojo turto praradimo arba sugadinimo dėl stichinės nelaimės arba kitų įvykių</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rPr>
            </w:pPr>
            <w:r>
              <w:rPr>
                <w:rFonts w:ascii="Times New Roman" w:hAnsi="Times New Roman"/>
                <w:sz w:val="24"/>
              </w:rPr>
              <w:t>Verslo sutrikdymas ir sistemų trikdžiai</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rPr>
            </w:pPr>
            <w:r>
              <w:rPr>
                <w:rFonts w:ascii="Times New Roman" w:hAnsi="Times New Roman"/>
                <w:sz w:val="24"/>
              </w:rPr>
              <w:t>Nuostoliai, atsiradę dėl verslo sutrikdymo arba sistemos trikdžių</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rPr>
            </w:pPr>
            <w:r>
              <w:rPr>
                <w:rFonts w:ascii="Times New Roman" w:hAnsi="Times New Roman"/>
                <w:sz w:val="24"/>
              </w:rPr>
              <w:lastRenderedPageBreak/>
              <w:t>Vykdymas, pristatymas ir proceso valdymas</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rPr>
            </w:pPr>
            <w:r>
              <w:rPr>
                <w:rFonts w:ascii="Times New Roman" w:hAnsi="Times New Roman"/>
                <w:sz w:val="24"/>
              </w:rPr>
              <w:t>Nuostoliai dėl nesėkmingo sandorio tvarkymo arba proceso valdymo, dėl santykių su prekybos partneriais ir pardavėjais</w:t>
            </w:r>
          </w:p>
        </w:tc>
      </w:tr>
    </w:tbl>
    <w:p w14:paraId="18C5F03D" w14:textId="77777777" w:rsidR="00C30107" w:rsidRDefault="00C30107" w:rsidP="00E434A1">
      <w:pPr>
        <w:pStyle w:val="InstructionsText2"/>
        <w:numPr>
          <w:ilvl w:val="0"/>
          <w:numId w:val="0"/>
        </w:numPr>
      </w:pPr>
    </w:p>
    <w:p w14:paraId="38E4F126" w14:textId="53DB2F37" w:rsidR="00C30107" w:rsidRDefault="00C30107" w:rsidP="00E434A1">
      <w:pPr>
        <w:pStyle w:val="InstructionsText2"/>
        <w:numPr>
          <w:ilvl w:val="0"/>
          <w:numId w:val="0"/>
        </w:numPr>
      </w:pPr>
      <w:r>
        <w:t xml:space="preserve">2 lentelė. </w:t>
      </w:r>
      <w:r w:rsidR="007735E9">
        <w:t>V</w:t>
      </w:r>
      <w:r>
        <w:t xml:space="preserve">erslo linijos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Pr>
                <w:rFonts w:ascii="Times New Roman" w:hAnsi="Times New Roman"/>
                <w:b/>
                <w:sz w:val="24"/>
              </w:rPr>
              <w:t>Verslo linija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Pr>
                <w:rFonts w:ascii="Times New Roman" w:hAnsi="Times New Roman"/>
                <w:b/>
                <w:sz w:val="24"/>
              </w:rPr>
              <w:t>Veiklos rūšių sąrašas</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r>
              <w:rPr>
                <w:rFonts w:ascii="Times New Roman" w:hAnsi="Times New Roman"/>
                <w:sz w:val="24"/>
              </w:rPr>
              <w:t>Įmonių finansai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Pr>
                <w:rFonts w:ascii="Times New Roman" w:hAnsi="Times New Roman"/>
                <w:sz w:val="24"/>
              </w:rPr>
              <w:t>Finansinių priemonių emisijos organizavimas ir vykdymas arba finansinių priemonių išplatinimas įsipareigojus supirkti likutį</w:t>
            </w:r>
          </w:p>
          <w:p w14:paraId="2E81165F" w14:textId="77777777" w:rsidR="00105D77" w:rsidRDefault="00105D77">
            <w:pPr>
              <w:spacing w:before="60" w:after="60"/>
              <w:rPr>
                <w:rFonts w:ascii="Times New Roman" w:hAnsi="Times New Roman"/>
                <w:sz w:val="24"/>
              </w:rPr>
            </w:pPr>
            <w:r>
              <w:rPr>
                <w:rFonts w:ascii="Times New Roman" w:hAnsi="Times New Roman"/>
                <w:sz w:val="24"/>
              </w:rPr>
              <w:t>Paslaugos, susijusios su emisijos organizavimu ir vykdymu</w:t>
            </w:r>
          </w:p>
          <w:p w14:paraId="294412EE" w14:textId="77777777" w:rsidR="00105D77" w:rsidRDefault="00105D77">
            <w:pPr>
              <w:spacing w:before="60" w:after="60"/>
              <w:rPr>
                <w:rFonts w:ascii="Times New Roman" w:hAnsi="Times New Roman"/>
                <w:sz w:val="24"/>
              </w:rPr>
            </w:pPr>
            <w:r>
              <w:rPr>
                <w:rFonts w:ascii="Times New Roman" w:hAnsi="Times New Roman"/>
                <w:sz w:val="24"/>
              </w:rPr>
              <w:t>Konsultacijos dėl investicijų</w:t>
            </w:r>
          </w:p>
          <w:p w14:paraId="3396F4D3" w14:textId="77777777" w:rsidR="00105D77" w:rsidRDefault="00105D77">
            <w:pPr>
              <w:spacing w:before="60" w:after="60"/>
              <w:rPr>
                <w:rFonts w:ascii="Times New Roman" w:hAnsi="Times New Roman"/>
                <w:sz w:val="24"/>
              </w:rPr>
            </w:pPr>
            <w:r>
              <w:rPr>
                <w:rFonts w:ascii="Times New Roman" w:hAnsi="Times New Roman"/>
                <w:sz w:val="24"/>
              </w:rPr>
              <w:t>Įmonėms teikiamos konsultacijos dėl kapitalo struktūros, pramonės strategijos ir su tuo susijusių klausimų, taip pat konsultacijos ir paslaugos, susijusios su įmonių susijungimais ir pirkimu</w:t>
            </w:r>
          </w:p>
          <w:p w14:paraId="413B1D9E" w14:textId="77777777" w:rsidR="00105D77" w:rsidRDefault="00105D77">
            <w:pPr>
              <w:spacing w:before="60" w:after="60"/>
              <w:rPr>
                <w:rFonts w:ascii="Times New Roman" w:hAnsi="Times New Roman"/>
                <w:sz w:val="24"/>
              </w:rPr>
            </w:pPr>
            <w:r>
              <w:rPr>
                <w:rFonts w:ascii="Times New Roman" w:hAnsi="Times New Roman"/>
                <w:sz w:val="24"/>
              </w:rPr>
              <w:t>Investavimo tyrimai ir finansų analizė bei kitos bendro pobūdžio rekomendacijos, susijusios su finansinių priemonių sandoriais</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Pr>
                <w:rFonts w:ascii="Times New Roman" w:hAnsi="Times New Roman"/>
                <w:sz w:val="24"/>
              </w:rPr>
              <w:t>Prekyba ir pardavimai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Pr>
                <w:rFonts w:ascii="Times New Roman" w:hAnsi="Times New Roman"/>
                <w:sz w:val="24"/>
              </w:rPr>
              <w:t>Sandorių sudarymas savo sąskaita</w:t>
            </w:r>
          </w:p>
          <w:p w14:paraId="2C39E21A" w14:textId="77777777" w:rsidR="00105D77" w:rsidRDefault="00105D77">
            <w:pPr>
              <w:spacing w:before="60" w:after="60"/>
              <w:rPr>
                <w:rFonts w:ascii="Times New Roman" w:hAnsi="Times New Roman"/>
                <w:sz w:val="24"/>
              </w:rPr>
            </w:pPr>
            <w:r>
              <w:rPr>
                <w:rFonts w:ascii="Times New Roman" w:hAnsi="Times New Roman"/>
                <w:sz w:val="24"/>
              </w:rPr>
              <w:t>Tarpininkavimas pinigų rinkoje</w:t>
            </w:r>
          </w:p>
          <w:p w14:paraId="43A3C940" w14:textId="77777777" w:rsidR="00105D77" w:rsidRDefault="00105D77">
            <w:pPr>
              <w:spacing w:before="60" w:after="60"/>
              <w:rPr>
                <w:rFonts w:ascii="Times New Roman" w:hAnsi="Times New Roman"/>
                <w:sz w:val="24"/>
              </w:rPr>
            </w:pPr>
            <w:r>
              <w:rPr>
                <w:rFonts w:ascii="Times New Roman" w:hAnsi="Times New Roman"/>
                <w:sz w:val="24"/>
              </w:rPr>
              <w:t>Pavedimų, susijusių su viena ar daugiau finansinių priemonių, priėmimas ir perdavimas</w:t>
            </w:r>
          </w:p>
          <w:p w14:paraId="7D6C72DD" w14:textId="77777777" w:rsidR="00105D77" w:rsidRDefault="00105D77">
            <w:pPr>
              <w:spacing w:before="60" w:after="60"/>
              <w:rPr>
                <w:rFonts w:ascii="Times New Roman" w:hAnsi="Times New Roman"/>
                <w:sz w:val="24"/>
              </w:rPr>
            </w:pPr>
            <w:r>
              <w:rPr>
                <w:rFonts w:ascii="Times New Roman" w:hAnsi="Times New Roman"/>
                <w:sz w:val="24"/>
              </w:rPr>
              <w:t>Pavedimų vykdymas klientų vardu</w:t>
            </w:r>
          </w:p>
          <w:p w14:paraId="447F8797" w14:textId="77777777" w:rsidR="00105D77" w:rsidRDefault="00105D77">
            <w:pPr>
              <w:spacing w:before="60" w:after="60"/>
              <w:rPr>
                <w:rFonts w:ascii="Times New Roman" w:hAnsi="Times New Roman"/>
                <w:sz w:val="24"/>
              </w:rPr>
            </w:pPr>
            <w:r>
              <w:rPr>
                <w:rFonts w:ascii="Times New Roman" w:hAnsi="Times New Roman"/>
                <w:sz w:val="24"/>
              </w:rPr>
              <w:t>Finansinių priemonių išplatinimas neįsipareigojus supirkti likučio</w:t>
            </w:r>
          </w:p>
          <w:p w14:paraId="6B8176B5" w14:textId="77777777" w:rsidR="00105D77" w:rsidRDefault="00105D77">
            <w:pPr>
              <w:spacing w:before="60" w:after="60"/>
              <w:rPr>
                <w:rFonts w:ascii="Times New Roman" w:hAnsi="Times New Roman"/>
                <w:sz w:val="24"/>
              </w:rPr>
            </w:pPr>
            <w:r>
              <w:rPr>
                <w:rFonts w:ascii="Times New Roman" w:hAnsi="Times New Roman"/>
                <w:sz w:val="24"/>
              </w:rPr>
              <w:t>Daugiašalių prekybos sistemų administravimas</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Pr>
                <w:rFonts w:ascii="Times New Roman" w:hAnsi="Times New Roman"/>
                <w:sz w:val="24"/>
              </w:rPr>
              <w:t>Tarpininkavimo (brokerio) paslaugos mažmeniniams klientams</w:t>
            </w:r>
          </w:p>
          <w:p w14:paraId="1644FF45" w14:textId="77777777" w:rsidR="00105D77" w:rsidRDefault="00105D77">
            <w:pPr>
              <w:spacing w:before="60" w:after="60"/>
              <w:rPr>
                <w:rFonts w:ascii="Times New Roman" w:hAnsi="Times New Roman"/>
                <w:sz w:val="24"/>
              </w:rPr>
            </w:pPr>
            <w:r>
              <w:rPr>
                <w:rFonts w:ascii="Times New Roman" w:hAnsi="Times New Roman"/>
                <w:sz w:val="24"/>
              </w:rPr>
              <w:t>(Veikla su fiziniais asmenimis arba MVĮ, kurie tenkina 123 straipsnyje mažmeninių pozicijų klasei nustatytus kriterijus)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Pr>
                <w:rFonts w:ascii="Times New Roman" w:hAnsi="Times New Roman"/>
                <w:sz w:val="24"/>
              </w:rPr>
              <w:t>Pavedimų, susijusių su viena ar daugiau finansinių priemonių, priėmimas ir perdavimas</w:t>
            </w:r>
          </w:p>
          <w:p w14:paraId="0A298DA8" w14:textId="77777777" w:rsidR="00105D77" w:rsidRDefault="00105D77">
            <w:pPr>
              <w:spacing w:before="60" w:after="60"/>
              <w:rPr>
                <w:rFonts w:ascii="Times New Roman" w:hAnsi="Times New Roman"/>
                <w:sz w:val="24"/>
              </w:rPr>
            </w:pPr>
            <w:r>
              <w:rPr>
                <w:rFonts w:ascii="Times New Roman" w:hAnsi="Times New Roman"/>
                <w:sz w:val="24"/>
              </w:rPr>
              <w:t>Pavedimų vykdymas klientų vardu</w:t>
            </w:r>
          </w:p>
          <w:p w14:paraId="772C1A67" w14:textId="77777777" w:rsidR="00105D77" w:rsidRDefault="00105D77">
            <w:pPr>
              <w:spacing w:before="60" w:after="60"/>
              <w:rPr>
                <w:rFonts w:ascii="Times New Roman" w:hAnsi="Times New Roman"/>
                <w:sz w:val="24"/>
              </w:rPr>
            </w:pPr>
            <w:r>
              <w:rPr>
                <w:rFonts w:ascii="Times New Roman" w:hAnsi="Times New Roman"/>
                <w:sz w:val="24"/>
              </w:rPr>
              <w:t>Finansinių priemonių išplatinimas neįsipareigojus supirkti likučio</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Pr>
                <w:rFonts w:ascii="Times New Roman" w:hAnsi="Times New Roman"/>
                <w:sz w:val="24"/>
              </w:rPr>
              <w:t>Komercinė bankininkystė</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Pr>
                <w:rFonts w:ascii="Times New Roman" w:hAnsi="Times New Roman"/>
                <w:sz w:val="24"/>
              </w:rPr>
              <w:t>Indėlių ir kitų grąžintinų lėšų priėmimas</w:t>
            </w:r>
          </w:p>
          <w:p w14:paraId="76F23BE8" w14:textId="77777777" w:rsidR="00105D77" w:rsidRDefault="00105D77">
            <w:pPr>
              <w:spacing w:before="60" w:after="60"/>
              <w:rPr>
                <w:rFonts w:ascii="Times New Roman" w:hAnsi="Times New Roman"/>
                <w:sz w:val="24"/>
              </w:rPr>
            </w:pPr>
            <w:r>
              <w:rPr>
                <w:rFonts w:ascii="Times New Roman" w:hAnsi="Times New Roman"/>
                <w:sz w:val="24"/>
              </w:rPr>
              <w:t>Skolinimas</w:t>
            </w:r>
          </w:p>
          <w:p w14:paraId="45F13788" w14:textId="77777777" w:rsidR="00105D77" w:rsidRDefault="00105D77">
            <w:pPr>
              <w:spacing w:before="60" w:after="60"/>
              <w:rPr>
                <w:rFonts w:ascii="Times New Roman" w:hAnsi="Times New Roman"/>
                <w:sz w:val="24"/>
              </w:rPr>
            </w:pPr>
            <w:r>
              <w:rPr>
                <w:rFonts w:ascii="Times New Roman" w:hAnsi="Times New Roman"/>
                <w:sz w:val="24"/>
              </w:rPr>
              <w:t>Finansinė išperkamoji nuoma</w:t>
            </w:r>
          </w:p>
          <w:p w14:paraId="51EC26CF" w14:textId="77777777" w:rsidR="00105D77" w:rsidRDefault="00105D77">
            <w:pPr>
              <w:spacing w:before="60" w:after="60"/>
              <w:rPr>
                <w:rFonts w:ascii="Times New Roman" w:hAnsi="Times New Roman"/>
                <w:sz w:val="24"/>
              </w:rPr>
            </w:pPr>
            <w:r>
              <w:rPr>
                <w:rFonts w:ascii="Times New Roman" w:hAnsi="Times New Roman"/>
                <w:sz w:val="24"/>
              </w:rPr>
              <w:t>Garantijos ir įsipareigojimai</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Pr>
                <w:rFonts w:ascii="Times New Roman" w:hAnsi="Times New Roman"/>
                <w:sz w:val="24"/>
              </w:rPr>
              <w:lastRenderedPageBreak/>
              <w:t>Mažmeninė bankininkystė</w:t>
            </w:r>
          </w:p>
          <w:p w14:paraId="7CAFF922" w14:textId="77777777" w:rsidR="00105D77" w:rsidRDefault="00105D77">
            <w:pPr>
              <w:spacing w:before="60" w:after="60"/>
              <w:rPr>
                <w:rFonts w:ascii="Times New Roman" w:hAnsi="Times New Roman"/>
                <w:sz w:val="24"/>
              </w:rPr>
            </w:pPr>
            <w:r>
              <w:rPr>
                <w:rFonts w:ascii="Times New Roman" w:hAnsi="Times New Roman"/>
                <w:sz w:val="24"/>
              </w:rPr>
              <w:t>(Veikla su fiziniais asmenimis arba MVĮ, kurie tenkina 123 straipsnyje mažmeninių pozicijų klasei nustatytus kriterijus)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Pr>
                <w:rFonts w:ascii="Times New Roman" w:hAnsi="Times New Roman"/>
                <w:sz w:val="24"/>
              </w:rPr>
              <w:t>Indėlių ir kitų grąžintinų lėšų priėmimas</w:t>
            </w:r>
          </w:p>
          <w:p w14:paraId="36AF04A5" w14:textId="77777777" w:rsidR="00105D77" w:rsidRDefault="00105D77">
            <w:pPr>
              <w:spacing w:before="60" w:after="60"/>
              <w:rPr>
                <w:rFonts w:ascii="Times New Roman" w:hAnsi="Times New Roman"/>
                <w:sz w:val="24"/>
              </w:rPr>
            </w:pPr>
            <w:r>
              <w:rPr>
                <w:rFonts w:ascii="Times New Roman" w:hAnsi="Times New Roman"/>
                <w:sz w:val="24"/>
              </w:rPr>
              <w:t>Skolinimas</w:t>
            </w:r>
          </w:p>
          <w:p w14:paraId="7351F485" w14:textId="77777777" w:rsidR="00105D77" w:rsidRDefault="00105D77">
            <w:pPr>
              <w:spacing w:before="60" w:after="60"/>
              <w:rPr>
                <w:rFonts w:ascii="Times New Roman" w:hAnsi="Times New Roman"/>
                <w:sz w:val="24"/>
              </w:rPr>
            </w:pPr>
            <w:r>
              <w:rPr>
                <w:rFonts w:ascii="Times New Roman" w:hAnsi="Times New Roman"/>
                <w:sz w:val="24"/>
              </w:rPr>
              <w:t>Finansinė išperkamoji nuoma</w:t>
            </w:r>
          </w:p>
          <w:p w14:paraId="2A1E9691" w14:textId="77777777" w:rsidR="00105D77" w:rsidRDefault="00105D77">
            <w:pPr>
              <w:spacing w:before="60" w:after="60"/>
              <w:rPr>
                <w:rFonts w:ascii="Times New Roman" w:hAnsi="Times New Roman"/>
                <w:sz w:val="24"/>
              </w:rPr>
            </w:pPr>
            <w:r>
              <w:rPr>
                <w:rFonts w:ascii="Times New Roman" w:hAnsi="Times New Roman"/>
                <w:sz w:val="24"/>
              </w:rPr>
              <w:t>Garantijos ir įsipareigojimai</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Pr>
                <w:rFonts w:ascii="Times New Roman" w:hAnsi="Times New Roman"/>
                <w:sz w:val="24"/>
              </w:rPr>
              <w:t>Mokėjimai ir atsiskaitymai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Pr>
                <w:rFonts w:ascii="Times New Roman" w:hAnsi="Times New Roman"/>
                <w:sz w:val="24"/>
              </w:rPr>
              <w:t>Pinigų pervedimo paslaugos</w:t>
            </w:r>
          </w:p>
          <w:p w14:paraId="44972E69" w14:textId="77777777" w:rsidR="00105D77" w:rsidRDefault="00105D77">
            <w:pPr>
              <w:spacing w:before="60" w:after="60"/>
              <w:rPr>
                <w:rFonts w:ascii="Times New Roman" w:hAnsi="Times New Roman"/>
                <w:sz w:val="24"/>
              </w:rPr>
            </w:pPr>
            <w:r>
              <w:rPr>
                <w:rFonts w:ascii="Times New Roman" w:hAnsi="Times New Roman"/>
                <w:sz w:val="24"/>
              </w:rPr>
              <w:t>Mokėjimo priemonių išleidimas ir tvarkymas</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Pr>
                <w:rFonts w:ascii="Times New Roman" w:hAnsi="Times New Roman"/>
                <w:sz w:val="24"/>
              </w:rPr>
              <w:t>Tarpininkavimo paslaugos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rFonts w:ascii="Times New Roman" w:hAnsi="Times New Roman"/>
                <w:sz w:val="24"/>
              </w:rPr>
            </w:pPr>
            <w:r>
              <w:rPr>
                <w:rFonts w:ascii="Times New Roman" w:hAnsi="Times New Roman"/>
                <w:sz w:val="24"/>
              </w:rPr>
              <w:t>Finansinių priemonių saugojimas ir administravimas klientų sąskaita, įskaitant tų finansinių priemonių pirkimą, pardavimą ir gavimą pagal kliento pateiktus nurodymus bei su tuo susijusią veiklą, pavyzdžiui, grynųjų pinigų ir (arba) užtikrinimo priemonių valdymą</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Pr>
                <w:rFonts w:ascii="Times New Roman" w:hAnsi="Times New Roman"/>
                <w:sz w:val="24"/>
              </w:rPr>
              <w:t>Turto valdymas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Pr>
                <w:rFonts w:ascii="Times New Roman" w:hAnsi="Times New Roman"/>
                <w:sz w:val="24"/>
              </w:rPr>
              <w:t>Portfelio valdymas</w:t>
            </w:r>
          </w:p>
          <w:p w14:paraId="1153DFEB" w14:textId="77777777" w:rsidR="00105D77" w:rsidRDefault="00105D77">
            <w:pPr>
              <w:spacing w:before="60" w:after="60"/>
              <w:rPr>
                <w:rFonts w:ascii="Times New Roman" w:hAnsi="Times New Roman"/>
                <w:sz w:val="24"/>
              </w:rPr>
            </w:pPr>
            <w:r>
              <w:rPr>
                <w:rFonts w:ascii="Times New Roman" w:hAnsi="Times New Roman"/>
                <w:sz w:val="24"/>
              </w:rPr>
              <w:t>KIPVPS valdymas</w:t>
            </w:r>
          </w:p>
          <w:p w14:paraId="59C1F470" w14:textId="77777777" w:rsidR="00105D77" w:rsidRDefault="00105D77">
            <w:pPr>
              <w:spacing w:before="60" w:after="60"/>
              <w:rPr>
                <w:rFonts w:ascii="Times New Roman" w:hAnsi="Times New Roman"/>
                <w:sz w:val="24"/>
              </w:rPr>
            </w:pPr>
            <w:r>
              <w:rPr>
                <w:rFonts w:ascii="Times New Roman" w:hAnsi="Times New Roman"/>
                <w:sz w:val="24"/>
              </w:rPr>
              <w:t>Kitos turto valdymo formos</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Pr>
                <w:rFonts w:ascii="Times New Roman" w:hAnsi="Times New Roman"/>
                <w:color w:val="333333"/>
                <w:sz w:val="24"/>
              </w:rPr>
              <w:t>Įmonių straipsniai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rFonts w:ascii="Times New Roman" w:eastAsia="Verdana" w:hAnsi="Times New Roman"/>
                <w:sz w:val="24"/>
              </w:rPr>
            </w:pPr>
            <w:r>
              <w:rPr>
                <w:rFonts w:ascii="Times New Roman" w:hAnsi="Times New Roman"/>
                <w:sz w:val="24"/>
              </w:rPr>
              <w:t xml:space="preserve"> Nuostolio įvykiai, kurie turi įtakos visai įstaigai ir kurie neįtraukti į pirmiau nurodytas kategorijas.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0"/>
    <w:p w14:paraId="504CA18E" w14:textId="0480AAC4"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t>143</w:t>
      </w:r>
      <w:r>
        <w:fldChar w:fldCharType="end"/>
      </w:r>
      <w:r>
        <w:t>. Pagal Reglamento (ES) Nr. 575/2013 317 straipsnio 5 dalį operacinės rizikos nuostoliai, susiję su kredito rizika, kurie įtraukiami į pagal kredito riziką įvertintų pozicijų sumą (ribiniai su kreditu susiję operacinės rizikos įvykiai), neįtraukiami nei į C 17.01, nei į C 17.02 formą.</w:t>
      </w:r>
    </w:p>
    <w:p w14:paraId="26DEA8B1" w14:textId="2FE80D2B"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t>144</w:t>
      </w:r>
      <w:r>
        <w:fldChar w:fldCharType="end"/>
      </w:r>
      <w:r>
        <w:t xml:space="preserve">. [tuščia] </w:t>
      </w:r>
    </w:p>
    <w:p w14:paraId="46FA5B8D" w14:textId="744E080E"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145</w:t>
      </w:r>
      <w:r>
        <w:fldChar w:fldCharType="end"/>
      </w:r>
      <w:r>
        <w:t xml:space="preserve">. Bendrasis nuostolis – nuostolis, kaip nurodyta Reglamento (ES) Nr. 575/2013 318 straipsnio 1 dalyje, siejamas su operacinės rizikos įvykiu prieš bet kokį susigrąžinimą, nedarant poveikio toliau apibrėžtoms greitai susigrąžinamoms nuostolio įvykių sumoms. </w:t>
      </w:r>
    </w:p>
    <w:p w14:paraId="0D97147B" w14:textId="62C64B74"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146</w:t>
      </w:r>
      <w:r>
        <w:fldChar w:fldCharType="end"/>
      </w:r>
      <w:r>
        <w:t>. Susigrąžinimas – kaip nurodyta 318 straipsnio 1 dalyje, vienas ar keli atskiri įvykiai, susiję su atskiru laike pradiniu operacinės rizikos įvykiu, kai iš trečiosios šalies gaunamos lėšos arba ekonominė nauda.</w:t>
      </w:r>
    </w:p>
    <w:p w14:paraId="77F96781" w14:textId="3328DE6A"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147</w:t>
      </w:r>
      <w:r>
        <w:fldChar w:fldCharType="end"/>
      </w:r>
      <w:r>
        <w:t>.</w:t>
      </w:r>
      <w:r w:rsidR="007735E9">
        <w:t xml:space="preserve"> </w:t>
      </w:r>
      <w:r>
        <w:t>Greitai susigrąžinamos nuostolio įvykių sumos – operacinės rizikos įvykiai, lemiantys nuostolius, kurių sumos iš dalies arba visiškai susigrąžinamos per penkias darbo dienas. Greitai susigrąžinamos nuostolio įvykio sumos atveju į bendrojo nuostolio apibrėžtį įtraukiama tik nesusigrąžinta nuostolio sumos dalis (t. y. nuostolis atėmus greitai iš dalies susigrąžintą sumą). Todėl nuostolio įvykiai, dėl kurių atsiranda nuostoliai, kurių visos sumos susigrąžinamos per penkias darbo dienas, neįtraukiami nei į bendrojo nuostolio apibrėžtį, nei į OPR DETAILS formą.</w:t>
      </w:r>
    </w:p>
    <w:p w14:paraId="3604C23D" w14:textId="57CE843C" w:rsidR="00FD54FC" w:rsidRPr="002A677E" w:rsidRDefault="00E434A1" w:rsidP="00E434A1">
      <w:pPr>
        <w:pStyle w:val="InstructionsText2"/>
        <w:numPr>
          <w:ilvl w:val="0"/>
          <w:numId w:val="0"/>
        </w:numPr>
      </w:pPr>
      <w:r>
        <w:lastRenderedPageBreak/>
        <w:fldChar w:fldCharType="begin"/>
      </w:r>
      <w:r>
        <w:instrText xml:space="preserve"> seq paragraphs </w:instrText>
      </w:r>
      <w:r>
        <w:fldChar w:fldCharType="separate"/>
      </w:r>
      <w:r>
        <w:t>148</w:t>
      </w:r>
      <w:r>
        <w:fldChar w:fldCharType="end"/>
      </w:r>
      <w:r>
        <w:t xml:space="preserve">. Apskaitos data – data, kai, atsižvelgiant į nuostolį dėl operacinės rizikos, nuostolis arba rezervas / atidėjinys pirmą kartą pripažintas pelno (nuostolių) ataskaitoje, kaip nurodyta Reglamento (ES) Nr. 575/2013 317 straipsnio 4 dalies a punkte. Ta data logiškai eina po „įvykio datos“ (t. y. datos, kai operacinės rizikos įvykis įvyko ar pirmą kartą prasidėjo) ir „nustatymo datos“ (t. y. datos, kai įstaiga sužinojo apie operacinės rizikos įvykį). </w:t>
      </w:r>
    </w:p>
    <w:p w14:paraId="6F9C7A18" w14:textId="164CEA3B" w:rsidR="00FD54FC" w:rsidRDefault="00E434A1" w:rsidP="00E434A1">
      <w:pPr>
        <w:pStyle w:val="InstructionsText2"/>
        <w:numPr>
          <w:ilvl w:val="0"/>
          <w:numId w:val="0"/>
        </w:numPr>
      </w:pPr>
      <w:r>
        <w:fldChar w:fldCharType="begin"/>
      </w:r>
      <w:r>
        <w:instrText xml:space="preserve"> seq paragraphs </w:instrText>
      </w:r>
      <w:r>
        <w:fldChar w:fldCharType="separate"/>
      </w:r>
      <w:r>
        <w:t>149</w:t>
      </w:r>
      <w:r>
        <w:fldChar w:fldCharType="end"/>
      </w:r>
      <w:r>
        <w:t xml:space="preserve">. Apskaičiuojant informacijos teikimo ribines vertes, dėl bendro operacinės rizikos įvykio arba kelių su pradine operacine rizika susijusių įvykių, sukėlusių įvykius ar nuostolius (pagrindinis įvykis), patirti nuostoliai yra sumuojami. Jeigu bendra grynoji suma, apskaičiuota už 10 metų laikotarpį, viršija šią ribinę vertę, nuostoliai ir koregavimai turėtų būti nurodomi įvertinus poveikį apskaitai pagal Reglamento (ES) Nr. 575/2013 317 straipsnio 3 dalies c punktą ir 318 straipsnio 1 dalį, net jeigu tas poveikis konkrečiu laikotarpiu būtų mažesnis už ribinę vertę. </w:t>
      </w:r>
    </w:p>
    <w:p w14:paraId="13FA59F7" w14:textId="1FC2A63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150</w:t>
      </w:r>
      <w:r>
        <w:fldChar w:fldCharType="end"/>
      </w:r>
      <w:r>
        <w:t>. Atitinkamų metų birželio mėn. pateikti duomenys yra tarpiniai duomenys, o gruodžio mėn. pateikiami galutiniai duomenys. Todėl birželio mėn. duomenys yra šešių mėn. (t. y. kalendorinių metų sausio 1 d.–birželio 30 d.) ataskaitinio laikotarpio, o gruodžio mėn. – dvylikos mėn. (t. y. kalendorinių metų sausio 1 d.–gruodžio 31 d.) ataskaitinio laikotarpio duomenys. Tiek birželio mėn., tiek gruodžio mėn. duomenų atveju „ankstesni ataskaitiniai laikotarpiai“ yra visi ataskaitiniai laikotarpiai iki laikotarpio, kuris baigėsi prieš tai ėjusių kalendorinių metų pabaigoje, ir jį įskaitant.</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Pr>
          <w:rFonts w:ascii="Times New Roman" w:hAnsi="Times New Roman"/>
          <w:sz w:val="24"/>
          <w:u w:val="none"/>
        </w:rPr>
        <w:t>4.2.2.</w:t>
      </w:r>
      <w:r>
        <w:tab/>
      </w:r>
      <w:r>
        <w:rPr>
          <w:rFonts w:ascii="Times New Roman" w:hAnsi="Times New Roman"/>
          <w:sz w:val="24"/>
        </w:rPr>
        <w:t>C 17.01. Operacinės rizikos nuostoliai ir susigrąžintos sumos pagal verslo liniją ir nuostolio įvykių rūšį per praėjusius metus (OPR DETAILS 1)</w:t>
      </w:r>
      <w:bookmarkEnd w:id="61"/>
      <w:bookmarkEnd w:id="62"/>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Pr>
          <w:rFonts w:ascii="Times New Roman" w:hAnsi="Times New Roman"/>
          <w:sz w:val="24"/>
          <w:u w:val="none"/>
        </w:rPr>
        <w:t>4.2.2.1.</w:t>
      </w:r>
      <w:r w:rsidRPr="007735E9">
        <w:rPr>
          <w:u w:val="none"/>
        </w:rPr>
        <w:tab/>
      </w:r>
      <w:r>
        <w:rPr>
          <w:rFonts w:ascii="Times New Roman" w:hAnsi="Times New Roman"/>
          <w:sz w:val="24"/>
        </w:rPr>
        <w:t>Bendrosios pastabos</w:t>
      </w:r>
      <w:bookmarkEnd w:id="63"/>
      <w:bookmarkEnd w:id="64"/>
    </w:p>
    <w:p w14:paraId="1B1EFECB" w14:textId="7B02287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151</w:t>
      </w:r>
      <w:r>
        <w:fldChar w:fldCharType="end"/>
      </w:r>
      <w:r>
        <w:t xml:space="preserve"> C 17.01 formoje remiantis šio skirsnio 1 ir 2 lentelėse pateiktomis apibrėžtimis apibendrinama informacija apie įstaigos per praėjusius metus fiksuotus nuostolius ir susigrąžintas sumas, kurie viršija įstaigos viduje taikomas ribas, pagal įvykio rūšis ir verslo linijas. Gali būti, kad vieno nuostolio įvykio nuostolius reikės priskirti kelioms verslo linijoms.</w:t>
      </w:r>
    </w:p>
    <w:p w14:paraId="0F217350" w14:textId="2457BB61"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152</w:t>
      </w:r>
      <w:r>
        <w:fldChar w:fldCharType="end"/>
      </w:r>
      <w:r>
        <w:t>. Skiltyse pateiktos įvairios nuostolio įvykių rūšys ir nurodoma bendra suma pagal kiekvieną verslo liniją; kartu pateikiamas papildomos informacijos straipsnis, kuriame nurodoma žemiausia riba, taikoma įstaigos viduje renkant duomenis apie nuostolius, taip pagal kiekvieną verslo liniją nurodoma žemiausia ir aukščiausia riba, jei ribų yra daugiau negu viena.</w:t>
      </w:r>
    </w:p>
    <w:p w14:paraId="11517512" w14:textId="09702C9C"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153</w:t>
      </w:r>
      <w:r>
        <w:fldChar w:fldCharType="end"/>
      </w:r>
      <w:r>
        <w:t>. Eilutėse pateiktos verslo linijos ir informacija apie kiekvieną iš jų – nuostolio įvykių (naujų nuostolio įvykių) skaičius, bendrųjų nuostolių suma (nauji nuostolio įvykiai), nuostolio įvykių, dėl kurių atliktas nuostolių koregavimas, skaičius, su ankstesniais ataskaitiniais laikotarpiais susijęs nuostolių koregavimas, didžiausias vieno įvykio nuostolis, penkių didžiausių nuostolių suma ir bendra susigrąžinta nuostolių suma (tiesiogiai susigrąžintų nuostolių suma ir sumos, susigražintos pagal draudimo ir kitus rizikos perleidimo mechanizmus).</w:t>
      </w:r>
    </w:p>
    <w:p w14:paraId="01C6C8D7" w14:textId="4AC621C4" w:rsidR="008E3F40" w:rsidRDefault="00E434A1" w:rsidP="00E434A1">
      <w:pPr>
        <w:pStyle w:val="InstructionsText2"/>
        <w:numPr>
          <w:ilvl w:val="0"/>
          <w:numId w:val="0"/>
        </w:numPr>
      </w:pPr>
      <w:r>
        <w:fldChar w:fldCharType="begin"/>
      </w:r>
      <w:r>
        <w:instrText xml:space="preserve"> seq paragraphs </w:instrText>
      </w:r>
      <w:r>
        <w:fldChar w:fldCharType="separate"/>
      </w:r>
      <w:r>
        <w:t>154</w:t>
      </w:r>
      <w:r>
        <w:fldChar w:fldCharType="end"/>
      </w:r>
      <w:r>
        <w:t>. Siekiant gauti reikšmę „iš viso pagal verslo linijas“ taip pat nurodomi duomenys apie nuostolio įvykių skaičių ir bendrųjų nuostolių sumą tam tikriems intervalams pagal nustatytas ribas, t. y. 10 000, 20 000, 100 000 ir 1 000 000. Ribos nustatytos eurais ir įtrauktos, kad būtų galima palyginti įstaigų praneštus nuostolius. Todėl tos ribos nebūtinai yra susijusios su minimaliomis nuostolių ribomis, naudojamomis renkant vidaus duomenis apie nuostolius, kurios turi būti pateikiamos kitoje formos dalyje.</w:t>
      </w:r>
    </w:p>
    <w:p w14:paraId="66F6BC90" w14:textId="74B242EF" w:rsidR="008A1E95" w:rsidRPr="00594639" w:rsidRDefault="006B71D2" w:rsidP="008E3C30">
      <w:pPr>
        <w:pStyle w:val="InstructionsText2"/>
        <w:numPr>
          <w:ilvl w:val="0"/>
          <w:numId w:val="0"/>
        </w:numPr>
      </w:pPr>
      <w:r>
        <w:t xml:space="preserve">154a. Susigrąžinta nuostolių suma nurodoma su teigiamu ženklu.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Pr>
          <w:rFonts w:ascii="Times New Roman" w:hAnsi="Times New Roman"/>
          <w:sz w:val="24"/>
          <w:u w:val="none"/>
        </w:rPr>
        <w:t>4.2.2.2.</w:t>
      </w:r>
      <w:r w:rsidRPr="007735E9">
        <w:rPr>
          <w:u w:val="none"/>
        </w:rPr>
        <w:tab/>
      </w:r>
      <w:r>
        <w:rPr>
          <w:rFonts w:ascii="Times New Roman" w:hAnsi="Times New Roman"/>
          <w:sz w:val="24"/>
        </w:rPr>
        <w:t>Nurodymai dėl konkrečių pozicijų</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Skiltys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ĮVYKIŲ RŪŠYS</w:t>
            </w:r>
          </w:p>
          <w:p w14:paraId="77CB6459" w14:textId="34950BD9" w:rsidR="0084728B" w:rsidRPr="002A677E" w:rsidRDefault="00FD54FC" w:rsidP="0084728B">
            <w:pPr>
              <w:rPr>
                <w:rFonts w:ascii="Times New Roman" w:hAnsi="Times New Roman"/>
                <w:sz w:val="24"/>
              </w:rPr>
            </w:pPr>
            <w:r>
              <w:rPr>
                <w:rFonts w:ascii="Times New Roman" w:hAnsi="Times New Roman"/>
                <w:sz w:val="24"/>
              </w:rPr>
              <w:t>Įstaigos nuostolius atitinkamose skiltyse (0010–0070) nurodo pagal nuostolio įvykių rūšis.</w:t>
            </w:r>
          </w:p>
          <w:p w14:paraId="3023C2E3" w14:textId="3DB1C18B" w:rsidR="00FD54FC" w:rsidRPr="002A677E" w:rsidRDefault="00FD54FC" w:rsidP="0084728B">
            <w:pPr>
              <w:rPr>
                <w:rFonts w:ascii="Times New Roman" w:hAnsi="Times New Roman"/>
                <w:bCs/>
                <w:sz w:val="24"/>
              </w:rPr>
            </w:pPr>
            <w:r>
              <w:rPr>
                <w:rFonts w:ascii="Times New Roman" w:hAnsi="Times New Roman"/>
                <w:sz w:val="24"/>
              </w:rPr>
              <w:t>Įstaigos, 2024 m. gruodžio mėn. apskaičiavusios savo nuosavų lėšų reikalavimą pagal BIA metodą, nuostolius, kurių nuostolio įvykių rūšis nėra nurodyta, gali nurodyti tik 0080 skiltyje.</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IŠ VISO PAGAL NUOSTOLIO ĮVYKIŲ RŪŠIS</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0080 skiltyje įstaigos pateikia šią kiekvienos verslo linijos informaciją: „nuostolio įvykių (naujų nuostolio įvykių) skaičius“ iš viso, „bendrųjų nuostolių suma (nauji nuostolio įvykiai)“ iš viso, „nuostolio įvykių, dėl kurių atliktas nuostolių koregavimas, skaičius“ iš viso, „su ankstesniais ataskaitiniais laikotarpiais susijęs nuostolių koregavimas“ iš viso, „didžiausias vieno įvykio nuostolis“, „penkių didžiausių nuostolių suma“, „bendra tiesiogiai susigrąžinta nuostolių suma“ iš viso ir „bendra suma, susigrąžinta pagal draudimo ir kitus rizikos perleidimo mechanizmus“ iš viso.</w:t>
            </w:r>
          </w:p>
          <w:p w14:paraId="435DA6FC" w14:textId="40BFB6DE"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Jeigu įstaiga yra nurodžiusi su visais nuostoliais susietas nuostolio įvykių rūšis, 0080 skiltyje pateikiama nuostolio įvykių skaičiaus, bendrųjų nuostolių sumos iš viso, susigrąžintos nuostolių sumos iš viso ir su ankstesniais ataskaitiniais laikotarpiais susijusių nuostolių koregavimo sumų, nurodytų 0010–0070 skiltyse, paprasta suma.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0080 skiltyje nurodomas „didžiausias vieno įvykio nuostolis“ – didžiausias vieno įvykio nuostolis pagal vieną verslo liniją, sutampantis su didžiausių vieno įvykio nuostolių didžiausia suma, nurodyta 0010–0070 skiltyse, jeigu įstaiga yra nurodžiusi su visais nuostoliais susietas nuostolio įvykių rūšis.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0080 skiltyje nurodant penkių didžiausių nuostolių sumą nurodoma penkių didžiausių nuostolių pagal vieną verslo liniją suma.</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PAPILDOMAS STRAIPSNIS. RIBOS, TAIKOMOS DUOMENŲ RINKIMUI</w:t>
            </w:r>
          </w:p>
          <w:p w14:paraId="6C9949A4" w14:textId="0EA420E7"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0090 ir 0100 skiltyse įstaigos nurodo minimalias nuostolių ribas, kurios jau yra nustatytos ir naudojamos renkant vidaus duomenis apie nuostolius.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Jeigu kiekvienai verslo linijai įstaiga taiko tik vieną ribą, pildoma tik 0090 skiltis. </w:t>
            </w:r>
          </w:p>
          <w:p w14:paraId="70501482" w14:textId="498EFA89"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Jeigu tai pačiai verslo linijai įstaiga taiko kelias skirtingas ribas, taip pat nurodoma aukščiausia taikytina riba (0100 skiltyje).</w:t>
            </w:r>
          </w:p>
        </w:tc>
      </w:tr>
    </w:tbl>
    <w:p w14:paraId="7D438528" w14:textId="77777777" w:rsidR="00FD54FC" w:rsidRPr="007735E9"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Eilutės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VERSLO LINIJOS: ĮMONIŲ FINANSAI, PREKYBA IR PARDAVIMAI, TARPININKAVIMO (BROKERIO) PASLAUGOS MAŽMENINIAMS </w:t>
            </w:r>
            <w:r>
              <w:rPr>
                <w:rStyle w:val="InstructionsTabelleberschrift"/>
                <w:rFonts w:ascii="Times New Roman" w:hAnsi="Times New Roman"/>
                <w:sz w:val="24"/>
              </w:rPr>
              <w:lastRenderedPageBreak/>
              <w:t>KLIENTAMS, KOMERCINĖ BANKININKYSTĖ, MAŽMENINĖ BANKININKYSTĖ, MOKĖJIMAI IR ATSISKAITYMAI, TARPININKAVIMO PASLAUGOS, TURTO VALDYMAS, ĮMONIŲ STRAIPSNIAI</w:t>
            </w:r>
          </w:p>
          <w:p w14:paraId="4ABD41A7" w14:textId="4AA98EEC" w:rsidR="00FD54FC" w:rsidRPr="002A677E" w:rsidRDefault="00FD54FC" w:rsidP="00FD54FC">
            <w:pPr>
              <w:pStyle w:val="PlainText"/>
              <w:jc w:val="both"/>
              <w:rPr>
                <w:rFonts w:ascii="Times New Roman" w:hAnsi="Times New Roman"/>
                <w:sz w:val="24"/>
                <w:szCs w:val="24"/>
              </w:rPr>
            </w:pPr>
            <w:r>
              <w:rPr>
                <w:rFonts w:ascii="Times New Roman" w:hAnsi="Times New Roman"/>
                <w:sz w:val="24"/>
              </w:rPr>
              <w:t>Pagal kiekvieną nuostolio įvykio rūšį ir verslo liniją įstaiga, atsižvelgdama į įstaigos viduje taikomas ribas, pateikia šią informaciją: nuostolio įvykių (naujų nuostolio įvykių) skaičių, bendrųjų nuostolių sumą (nauji nuostolio įvykiai), nuostolio įvykių, dėl kurių atliktas nuostolių koregavimas, skaičių, su ankstesniais ataskaitiniais laikotarpiais susijusį nuostolių koregavimą, didžiausią vieno įvykio nuostolį, penkių didžiausių nuostolių sumą, bendrą tiesiogiai susigrąžintą nuostolių sumą ir bendrą sumą, susigrąžintą pagal draudimo ir kitus rizikos perleidimo mechanizmus.</w:t>
            </w:r>
          </w:p>
          <w:p w14:paraId="598C709E" w14:textId="77777777" w:rsidR="00FD54FC" w:rsidRPr="002A677E" w:rsidRDefault="00FD54FC" w:rsidP="00FD54FC">
            <w:pPr>
              <w:rPr>
                <w:rFonts w:ascii="Times New Roman" w:hAnsi="Times New Roman"/>
                <w:sz w:val="24"/>
              </w:rPr>
            </w:pPr>
            <w:r>
              <w:rPr>
                <w:rFonts w:ascii="Times New Roman" w:hAnsi="Times New Roman"/>
                <w:sz w:val="24"/>
              </w:rPr>
              <w:t>Jeigu nuostolio įvykis paveikia daugiau negu vieną verslo liniją, „bendroji nuostolių suma“ paskirstoma tarp visų paveiktų verslo linijų.</w:t>
            </w:r>
          </w:p>
          <w:p w14:paraId="7BC94C24" w14:textId="643D0143" w:rsidR="00FD54FC" w:rsidRPr="002A677E" w:rsidRDefault="00FD54FC" w:rsidP="00FD54FC">
            <w:pPr>
              <w:rPr>
                <w:rFonts w:ascii="Times New Roman" w:hAnsi="Times New Roman"/>
                <w:bCs/>
                <w:sz w:val="24"/>
              </w:rPr>
            </w:pPr>
            <w:r>
              <w:rPr>
                <w:rFonts w:ascii="Times New Roman" w:hAnsi="Times New Roman"/>
                <w:sz w:val="24"/>
              </w:rPr>
              <w:t>Įstaigos, 2024 m. gruodžio mėn. apskaičiavusios savo nuosavų lėšų reikalavimą pagal BIA metodą, nuostolius, kurių verslo linija nėra nurodyta, gali nurodyti tik 0910-0980 eilutėse.</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Nuostolio įvykių (naujų nuostolio įvykių) skaičius</w:t>
            </w:r>
          </w:p>
          <w:p w14:paraId="0A87F437" w14:textId="77777777" w:rsidR="00FD54FC" w:rsidRPr="002A677E" w:rsidRDefault="00FD54FC" w:rsidP="00FD54FC">
            <w:pPr>
              <w:rPr>
                <w:rFonts w:ascii="Times New Roman" w:hAnsi="Times New Roman"/>
                <w:sz w:val="24"/>
              </w:rPr>
            </w:pPr>
            <w:r>
              <w:rPr>
                <w:rFonts w:ascii="Times New Roman" w:hAnsi="Times New Roman"/>
                <w:sz w:val="24"/>
              </w:rPr>
              <w:t>Nuostolio įvykių skaičius yra nuostolio įvykių, kurių bendrasis nuostolis įtrauktas į apskaitą per ataskaitinį laikotarpį, skaičius.</w:t>
            </w:r>
          </w:p>
          <w:p w14:paraId="1CB08978" w14:textId="77777777" w:rsidR="00FD54FC" w:rsidRPr="002A677E" w:rsidRDefault="00FD54FC" w:rsidP="00FD54FC">
            <w:pPr>
              <w:rPr>
                <w:rFonts w:ascii="Times New Roman" w:hAnsi="Times New Roman"/>
                <w:sz w:val="24"/>
              </w:rPr>
            </w:pPr>
            <w:r>
              <w:rPr>
                <w:rFonts w:ascii="Times New Roman" w:hAnsi="Times New Roman"/>
                <w:sz w:val="24"/>
              </w:rPr>
              <w:t>Nuostolio įvykių skaičius yra susijęs su naujais įvykiais, t. y. operacinės rizikos įvykiais, kurie yra:</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pirmą kartą įtraukti į apskaitą per ataskaitinį laikotarpį arba</w:t>
            </w:r>
          </w:p>
          <w:p w14:paraId="1A1A183C" w14:textId="13664215"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pirmą kartą įtraukti į apskaitą per ankstesnį ataskaitinį laikotarpį, jeigu nuostolio įvykis nebuvo įtrauktas į jokią ankstesnę priežiūros ataskaitą, pvz., dėl to, kad buvo įvertintas kaip operacinės rizikos nuostolio įvykis tik einamuoju ataskaitiniu laikotarpiu arba tam nuostolio įvykiui priskirtas agreguotas nuostolis (t. y. pirminis nuostolis pridėjus ar atėmus visus nuostolių koregavimus ankstesniais ataskaitiniais laikotarpiais) tik einamuoju ataskaitiniu laikotarpiu viršijo vidaus duomenų rinkimo ribą.</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Nauji nuostolio įvykiai neapima nuostolio įvykių, pirmą kartą įtrauktų į apskaitą per ankstesnį ataskaitinį laikotarpį, kurie jau buvo įtraukti į ankstesnes priežiūros ataskaitas.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Bendrųjų nuostolių suma (nauji nuostolio įvykiai)</w:t>
            </w:r>
          </w:p>
          <w:p w14:paraId="2E85E133" w14:textId="4AF33778" w:rsidR="00FD54FC" w:rsidRPr="002A677E" w:rsidRDefault="00FD54FC" w:rsidP="00FD54FC">
            <w:pPr>
              <w:rPr>
                <w:rFonts w:ascii="Times New Roman" w:hAnsi="Times New Roman"/>
                <w:sz w:val="24"/>
              </w:rPr>
            </w:pPr>
            <w:r>
              <w:rPr>
                <w:rFonts w:ascii="Times New Roman" w:hAnsi="Times New Roman"/>
                <w:sz w:val="24"/>
              </w:rPr>
              <w:t xml:space="preserve">Bendrųjų nuostolių suma yra bendrųjų nuostolių sumos, susijusios su operacinės rizikos nuostolio įvykiais pagal Reglamento (ES) Nr. 575/2013 318 straipsnio 2 </w:t>
            </w:r>
            <w:proofErr w:type="spellStart"/>
            <w:r>
              <w:rPr>
                <w:rFonts w:ascii="Times New Roman" w:hAnsi="Times New Roman"/>
                <w:sz w:val="24"/>
              </w:rPr>
              <w:t>dalį.Visi</w:t>
            </w:r>
            <w:proofErr w:type="spellEnd"/>
            <w:r>
              <w:rPr>
                <w:rFonts w:ascii="Times New Roman" w:hAnsi="Times New Roman"/>
                <w:sz w:val="24"/>
              </w:rPr>
              <w:t xml:space="preserve"> su vienu nuostolio įvykiu susiję nuostoliai, įtraukiami į apskaitą per ataskaitinį laikotarpį, yra susumuojami ir laikomi bendruoju to nuostolio įvykio nuostoliu tuo ataskaitiniu laikotarpiu.</w:t>
            </w:r>
          </w:p>
          <w:p w14:paraId="611D2B8E" w14:textId="77777777" w:rsidR="00FD54FC" w:rsidRPr="002A677E" w:rsidRDefault="00FD54FC" w:rsidP="00FD54FC">
            <w:pPr>
              <w:rPr>
                <w:rFonts w:ascii="Times New Roman" w:hAnsi="Times New Roman"/>
                <w:sz w:val="24"/>
              </w:rPr>
            </w:pPr>
            <w:r>
              <w:rPr>
                <w:rFonts w:ascii="Times New Roman" w:hAnsi="Times New Roman"/>
                <w:sz w:val="24"/>
              </w:rPr>
              <w:t xml:space="preserve">Nurodoma bendrųjų nuostolių suma yra susijusi su naujais nuostolio įvykiais, kaip nurodyta šios lentelės ankstesnėje eilutėje. Nuostolio įvykių, kurie pirmą kartą įtraukti į apskaitą per ankstesnį ataskaitinį laikotarpį ir nebuvo įtraukti į jokią ankstesnę priežiūros ataskaitą, iki ataskaitinės datos sukaupta bendra nuostolių suma (t. y. pirminis nuostolis pridėjus ar atėmus visus nuostolių koregavimus </w:t>
            </w:r>
            <w:r>
              <w:rPr>
                <w:rFonts w:ascii="Times New Roman" w:hAnsi="Times New Roman"/>
                <w:sz w:val="24"/>
              </w:rPr>
              <w:lastRenderedPageBreak/>
              <w:t>ankstesniais ataskaitiniais laikotarpiais) nurodoma kaip bendrasis nuostolis ataskaitinę datą.</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Apskaičiuojant nurodytinas sumas neatsižvelgiama į susigrąžintas sumas.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Nuostolio įvykių, dėl kurių buvo atliekamas nuostolių koregavimas, skaičius</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Nuostolio įvykių, dėl kurių buvo atliekamas nuostolių koregavimas, skaičius – operacinės rizikos nuostolio įvykių, pirmą kartą įtrauktų į apskaitą per ankstesnius ataskaitinius laikotarpius ir jau įtrauktų į ankstesnes ataskaitas, kurių nuostolių koregavimas atliktas einamuoju ataskaitiniu laikotarpiu, skaičius. </w:t>
            </w:r>
          </w:p>
          <w:p w14:paraId="35A5D3D6" w14:textId="77777777" w:rsidR="00FD54FC" w:rsidRPr="002A677E" w:rsidRDefault="001F6487" w:rsidP="005F1EB8">
            <w:pPr>
              <w:rPr>
                <w:b/>
                <w:sz w:val="24"/>
              </w:rPr>
            </w:pPr>
            <w:r>
              <w:rPr>
                <w:rFonts w:ascii="Times New Roman" w:hAnsi="Times New Roman"/>
                <w:sz w:val="24"/>
              </w:rPr>
              <w:t>Jeigu per ataskaitinį laikotarpį dėl nuostolio įvykio atliktas daugiau nei vienas nuostolių koregavimas, šių nuostolių koregavimo sumų suma laikoma vienu koregavimu per laikotarpį.</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 ankstesniais ataskaitiniais laikotarpiais susijęs nuostolių koregavimas</w:t>
            </w:r>
          </w:p>
          <w:p w14:paraId="13788219" w14:textId="77777777" w:rsidR="00FD54FC" w:rsidRPr="002A677E" w:rsidRDefault="00FD54FC" w:rsidP="00FD54FC">
            <w:pPr>
              <w:rPr>
                <w:rFonts w:ascii="Times New Roman" w:hAnsi="Times New Roman"/>
                <w:sz w:val="24"/>
              </w:rPr>
            </w:pPr>
            <w:r>
              <w:rPr>
                <w:rFonts w:ascii="Times New Roman" w:hAnsi="Times New Roman"/>
                <w:sz w:val="24"/>
              </w:rPr>
              <w:t>Su ankstesniais ataskaitiniais laikotarpiais susijęs nuostolių koregavimas – suma visų šių elementų (teigiamų ar neigiamų):</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bendrųjų nuostolių sumų, susijusių su operacinės rizikos įvykių, pirmą kartą įtrauktų į apskaitą ir praneštų ankstesniais ataskaitiniais laikotarpiais, teigiamu nuostolių koregavimu (pvz., atidėjinių padidinimu, susijusiais nuostolio įvykiais, papildomais atsiskaitymais) per ataskaitinį laikotarpį;</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bendrųjų nuostolių sumų, susijusių su operacinės rizikos nuostolio įvykių, pirmą kartą įtrauktų į apskaitą ir praneštų ankstesniais ataskaitiniais laikotarpiais, neigiamu nuostolių koregavimu (pvz., dėl atidėjinių sumažėjimo) per ataskaitinį laikotarpį. </w:t>
            </w:r>
          </w:p>
          <w:p w14:paraId="6796D1A0" w14:textId="77777777" w:rsidR="00FD54FC" w:rsidRPr="002A677E" w:rsidRDefault="001F6487" w:rsidP="00FD54FC">
            <w:pPr>
              <w:rPr>
                <w:rFonts w:ascii="Times New Roman" w:hAnsi="Times New Roman"/>
                <w:sz w:val="24"/>
              </w:rPr>
            </w:pPr>
            <w:r>
              <w:rPr>
                <w:rFonts w:ascii="Times New Roman" w:hAnsi="Times New Roman"/>
                <w:sz w:val="24"/>
              </w:rPr>
              <w:t>Jeigu per ataskaitinį laikotarpį dėl nuostolio įvykio atliktas daugiau nei vienas nuostolių koregavimas, visos šios nuostolių koregavimo sumos sudedamos, atsižvelgiant į koregavimo ženklą (teigiamas, neigiamas). Ta suma laikoma to nuostolio įvykio nuostolių koregavimu tuo ataskaitiniu laikotarpiu.</w:t>
            </w:r>
          </w:p>
          <w:p w14:paraId="1FF4DC2A" w14:textId="77777777" w:rsidR="00FD54FC" w:rsidRPr="002A677E" w:rsidRDefault="001F6487" w:rsidP="00FD54FC">
            <w:pPr>
              <w:rPr>
                <w:rFonts w:ascii="Times New Roman" w:hAnsi="Times New Roman"/>
                <w:sz w:val="24"/>
              </w:rPr>
            </w:pPr>
            <w:r>
              <w:rPr>
                <w:rFonts w:ascii="Times New Roman" w:hAnsi="Times New Roman"/>
                <w:sz w:val="24"/>
              </w:rPr>
              <w:t>Jeigu dėl neigiamo nuostolių koregavimo nuostolio įvykiui priskirtina pakoreguota nuostolio suma nesiekia įstaigos vidaus duomenų rinkimo ribos, įstaiga nurodo bendrą to nuostolio įvykio nuostolio sumą, susikaupusią iki paskutinio karto, kai įvykis praneštas gruodžio mėn. ataskaitinę datą (t. y. pirminis nuostolis pridėjus ar atėmus visus nuostolių koregavimus ankstesniais ataskaitiniais laikotarpiais), su minuso ženklu, o ne paties neigiamo nuostolių koregavimo sumą.</w:t>
            </w:r>
          </w:p>
          <w:p w14:paraId="0FAF0676" w14:textId="77777777" w:rsidR="00FD54FC" w:rsidRPr="002A677E" w:rsidRDefault="00FD54FC" w:rsidP="00EB62C2">
            <w:pPr>
              <w:rPr>
                <w:b/>
                <w:sz w:val="24"/>
              </w:rPr>
            </w:pPr>
            <w:r>
              <w:rPr>
                <w:rFonts w:ascii="Times New Roman" w:hAnsi="Times New Roman"/>
                <w:sz w:val="24"/>
              </w:rPr>
              <w:t>Apskaičiuojant nurodytinas sumas neatsižvelgiama į susigrąžintas sumas.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Didžiausias vieno įvykio nuostolis</w:t>
            </w:r>
          </w:p>
          <w:p w14:paraId="388ADCDC" w14:textId="77777777" w:rsidR="00FD54FC" w:rsidRPr="002A677E" w:rsidRDefault="00FD54FC" w:rsidP="00FD54FC">
            <w:pPr>
              <w:rPr>
                <w:rFonts w:ascii="Times New Roman" w:hAnsi="Times New Roman"/>
                <w:sz w:val="24"/>
              </w:rPr>
            </w:pPr>
            <w:r>
              <w:rPr>
                <w:rFonts w:ascii="Times New Roman" w:hAnsi="Times New Roman"/>
                <w:sz w:val="24"/>
              </w:rPr>
              <w:t>Didžiausias vieno įvykio nuostolis – didesnė iš šių sumų:</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didžiausia bendrųjų nuostolių suma, susijusi su nuostolio įvykiu, apie kurį pirmą kartą pranešta per ataskaitinį laikotarpį; ir</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didžiausia teigiama nuostolių koregavimo suma (kaip nurodyta pirmiau 0040, 0140, …, 0840 eilutėse), susijusi su nuostolio įvykiu, apie kurį pirmą kartą pranešta per ankstesnį ataskaitinį laikotarpį.</w:t>
            </w:r>
          </w:p>
          <w:p w14:paraId="1AFA00C9" w14:textId="77777777" w:rsidR="00FD54FC" w:rsidRPr="002A677E" w:rsidRDefault="00FD54FC" w:rsidP="00F52FC6">
            <w:pPr>
              <w:rPr>
                <w:sz w:val="24"/>
              </w:rPr>
            </w:pPr>
            <w:r>
              <w:rPr>
                <w:rFonts w:ascii="Times New Roman" w:hAnsi="Times New Roman"/>
                <w:sz w:val="24"/>
              </w:rPr>
              <w:t>Apskaičiuojant nurodytinas sumas neatsižvelgiama į susigrąžintas sumas.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Penkių didžiausių nuostolių suma</w:t>
            </w:r>
          </w:p>
          <w:p w14:paraId="3D9655C2" w14:textId="77777777" w:rsidR="00FD54FC" w:rsidRPr="002A677E" w:rsidRDefault="00FD54FC" w:rsidP="00FD54FC">
            <w:pPr>
              <w:rPr>
                <w:rFonts w:ascii="Times New Roman" w:hAnsi="Times New Roman"/>
                <w:sz w:val="24"/>
              </w:rPr>
            </w:pPr>
            <w:r>
              <w:rPr>
                <w:rFonts w:ascii="Times New Roman" w:hAnsi="Times New Roman"/>
                <w:sz w:val="24"/>
              </w:rPr>
              <w:t>Penkių didžiausių nuostolių suma – penkių didžiausių toliau nurodytų sumų suma:</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nuostolio įvykių, apie kuriuos pirmą kartą pranešta per ataskaitinį laikotarpį, bendrųjų nuostolių sumų; ir</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teigiamo nuostolių koregavimo sumų (kaip apibrėžta pirmiau 0040, 0140, …, 0840 eilutėse), susijusių su nuostolio įvykiais, apie kuriuos pirmą kartą pranešta per ankstesnį ataskaitinį laikotarpį. Suma, kurią galima laikyti viena iš penkių didžiausių, yra paties nuostolių koregavimo suma, o ne bendras nuostolis, siejamas su atitinkamu nuostolio įvykiu prieš nuostolių koregavimą ar po jo.</w:t>
            </w:r>
          </w:p>
          <w:p w14:paraId="00CACAFA" w14:textId="77777777" w:rsidR="00FD54FC" w:rsidRPr="002A677E" w:rsidRDefault="00FD54FC" w:rsidP="00F52FC6">
            <w:pPr>
              <w:rPr>
                <w:sz w:val="24"/>
              </w:rPr>
            </w:pPr>
            <w:r>
              <w:rPr>
                <w:rFonts w:ascii="Times New Roman" w:hAnsi="Times New Roman"/>
                <w:sz w:val="24"/>
              </w:rPr>
              <w:t>Apskaičiuojant nurodytinas sumas neatsižvelgiama į susigrąžintas sumas.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Bendra tiesiogiai susigrąžinta nuostolių suma</w:t>
            </w:r>
          </w:p>
          <w:p w14:paraId="0E30E677" w14:textId="793292FF" w:rsidR="00FD54FC" w:rsidRPr="002A677E" w:rsidRDefault="00FD54FC" w:rsidP="00FD54FC">
            <w:pPr>
              <w:rPr>
                <w:rFonts w:ascii="Times New Roman" w:hAnsi="Times New Roman"/>
                <w:sz w:val="24"/>
              </w:rPr>
            </w:pPr>
            <w:r>
              <w:rPr>
                <w:rFonts w:ascii="Times New Roman" w:hAnsi="Times New Roman"/>
                <w:sz w:val="24"/>
              </w:rPr>
              <w:t xml:space="preserve">Tiesiogiai susigrąžintos nuostolių sumos – visos susigrąžintos nuostolių sumos, išskyrus tas, kurioms taikomas draudimas, kaip nurodoma šios lentelės tolesnėje eilutėje. </w:t>
            </w:r>
          </w:p>
          <w:p w14:paraId="49A16F4E" w14:textId="77777777" w:rsidR="00FD54FC" w:rsidRDefault="00FD54FC" w:rsidP="00FD54FC">
            <w:pPr>
              <w:rPr>
                <w:rFonts w:ascii="Times New Roman" w:hAnsi="Times New Roman"/>
                <w:sz w:val="24"/>
              </w:rPr>
            </w:pPr>
            <w:r>
              <w:rPr>
                <w:rFonts w:ascii="Times New Roman" w:hAnsi="Times New Roman"/>
                <w:sz w:val="24"/>
              </w:rPr>
              <w:t>Bendra tiesiogiai susigrąžinta nuostolių suma yra visų per ataskaitinį laikotarpį į apskaitą įtrauktų tiesiogiai susigrąžintų sumų ir jų koregavimų, susijusių su operacinės rizikos nuostolio įvykiais, pirmą kartą įtrauktais į apskaitą per ataskaitinį laikotarpį arba ankstesniais ataskaitiniais laikotarpiais, suma.</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243E2BDC"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Bendra suma, susigrąžinta iš draudimo </w:t>
            </w:r>
          </w:p>
          <w:p w14:paraId="22B75DB4" w14:textId="24AD70C9" w:rsidR="00FD54FC" w:rsidRPr="002A677E" w:rsidRDefault="00FD54FC" w:rsidP="00FD54FC">
            <w:pPr>
              <w:rPr>
                <w:rFonts w:ascii="Times New Roman" w:hAnsi="Times New Roman"/>
                <w:sz w:val="24"/>
              </w:rPr>
            </w:pPr>
            <w:r>
              <w:rPr>
                <w:rFonts w:ascii="Times New Roman" w:hAnsi="Times New Roman"/>
                <w:sz w:val="24"/>
              </w:rPr>
              <w:t xml:space="preserve">Sumos, susigrąžintos iš draudimo – sumos, susigrąžintos pagal Reglamento (ES) Nr. 575/2013 317 straipsnio 1 dalį ir 318 straipsnį. </w:t>
            </w:r>
          </w:p>
          <w:p w14:paraId="6F9286F3" w14:textId="3EB99CA9" w:rsidR="00FD54FC" w:rsidRPr="002A677E" w:rsidRDefault="00FD54FC" w:rsidP="00070AF9">
            <w:pPr>
              <w:rPr>
                <w:sz w:val="24"/>
              </w:rPr>
            </w:pPr>
            <w:r>
              <w:rPr>
                <w:rFonts w:ascii="Times New Roman" w:hAnsi="Times New Roman"/>
                <w:sz w:val="24"/>
              </w:rPr>
              <w:t>Bendra iš draudimo susigražinta suma yra visų per ataskaitinį laikotarpį į apskaitą įtrauktų iš draudimo susigražintų sumų ir jų koregavimų, susijusių su operacinės rizikos nuostolio įvykiais, pirmą kartą įtrauktais į apskaitą per ataskaitinį laikotarpį arba ankstesniais ataskaitiniais laikotarpiais, suma.</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IŠ VISO PAGAL VERSLO LINIJAS</w:t>
            </w:r>
          </w:p>
          <w:p w14:paraId="62DF7EDA" w14:textId="77777777" w:rsidR="00FD54FC" w:rsidRPr="002A677E" w:rsidRDefault="00FD54FC" w:rsidP="00F114E6">
            <w:pPr>
              <w:rPr>
                <w:rFonts w:ascii="Times New Roman" w:hAnsi="Times New Roman"/>
                <w:sz w:val="24"/>
              </w:rPr>
            </w:pPr>
            <w:r>
              <w:rPr>
                <w:rFonts w:ascii="Times New Roman" w:hAnsi="Times New Roman"/>
                <w:sz w:val="24"/>
              </w:rPr>
              <w:t>Pagal kiekvieną nuostolio įvykio rūšį (0010–0080 skiltys) nurodomi bendri verslo linijų duomenys.</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Nuostolio įvykių skaičius</w:t>
            </w:r>
          </w:p>
          <w:p w14:paraId="34FAAF76" w14:textId="71BBD004" w:rsidR="00FD54FC" w:rsidRPr="002A677E" w:rsidRDefault="00FD54FC" w:rsidP="00FD54FC">
            <w:pPr>
              <w:rPr>
                <w:rFonts w:ascii="Times New Roman" w:hAnsi="Times New Roman"/>
                <w:sz w:val="24"/>
              </w:rPr>
            </w:pPr>
            <w:r>
              <w:rPr>
                <w:rFonts w:ascii="Times New Roman" w:hAnsi="Times New Roman"/>
                <w:sz w:val="24"/>
              </w:rPr>
              <w:t>0910 eilutėje nurodomas nuostolio įvykių, viršijančių įstaigos viduje taikomą ribą, skaičius pagal nuostolio įvykių rūšis teikiant bendrus verslo linijų duomenis. Ši reikšmė gali būti mažesnė už nuostolio įvykių skaičiaus pagal verslo liniją sumą, nes nuostolio įvykiai, turintys daugialypį poveikį (poveikį skirtingoms verslo linijoms), laikomi vienu įvykiu. Ji gali būti didesnė, jeigu įstaiga, 2024 m. gruodžio mėn. apskaičiavusi savo nuosavų lėšų reikalavimus pagal BIA metodą, negali kiekvienu atveju nurodyti verslo linijos (-ų), kuriai (-</w:t>
            </w:r>
            <w:proofErr w:type="spellStart"/>
            <w:r>
              <w:rPr>
                <w:rFonts w:ascii="Times New Roman" w:hAnsi="Times New Roman"/>
                <w:sz w:val="24"/>
              </w:rPr>
              <w:t>ioms</w:t>
            </w:r>
            <w:proofErr w:type="spellEnd"/>
            <w:r>
              <w:rPr>
                <w:rFonts w:ascii="Times New Roman" w:hAnsi="Times New Roman"/>
                <w:sz w:val="24"/>
              </w:rPr>
              <w:t>) nuostolis daro poveikį.</w:t>
            </w:r>
          </w:p>
          <w:p w14:paraId="1029FFB0" w14:textId="77777777" w:rsidR="00FD54FC" w:rsidRPr="002A677E" w:rsidRDefault="00FD54FC" w:rsidP="00FD54FC">
            <w:pPr>
              <w:rPr>
                <w:rFonts w:ascii="Times New Roman" w:hAnsi="Times New Roman"/>
                <w:sz w:val="24"/>
              </w:rPr>
            </w:pPr>
            <w:r>
              <w:rPr>
                <w:rFonts w:ascii="Times New Roman" w:hAnsi="Times New Roman"/>
                <w:sz w:val="24"/>
              </w:rPr>
              <w:lastRenderedPageBreak/>
              <w:t>0911–0914 eilutėse nurodomas nuostolio įvykių, kurių bendrųjų nuostolių suma įtraukta į susijusiose formos eilutėse apibrėžtus intervalus, skaičius.</w:t>
            </w:r>
          </w:p>
          <w:p w14:paraId="3642B0CB" w14:textId="732C4B5C" w:rsidR="00FD54FC" w:rsidRPr="002A677E" w:rsidRDefault="00FD54FC" w:rsidP="00FD54FC">
            <w:pPr>
              <w:rPr>
                <w:rFonts w:ascii="Times New Roman" w:hAnsi="Times New Roman"/>
                <w:sz w:val="24"/>
              </w:rPr>
            </w:pPr>
            <w:r>
              <w:rPr>
                <w:rFonts w:ascii="Times New Roman" w:hAnsi="Times New Roman"/>
                <w:sz w:val="24"/>
              </w:rPr>
              <w:t>Jeigu įstaiga yra priskyrusi visus savo nuostolius vienai iš verslo linijų arba yra nurodžiusi su visais nuostoliais susietas nuostolio įvykių rūšis, 0080 skilčiai atitinkamai taikomi šie nurodymai:</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0910–0914 eilutėse nurodytas bendras nuostolio įvykių skaičius yra lygus horizontaliai nuostolio įvykių skaičiaus atitinkamoje eilutėje sumai, nes į tą skaičių įtraukti nuostolio įvykiai, turintys poveikį skirtingoms verslo linijoms, jau laikomi vienu nuostolio įvykiu.</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0080 skiltyje, 0910 eilutėje pateiktas skaičius nebūtinai yra lygus nuostolio įvykių skaičiaus, įtraukto į 0080 skiltį, vertikaliai sumai, nes vienas nuostolio įvykis vienu metu gali turėti poveikio skirtingoms verslo linijoms.</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Bendrųjų nuostolių suma (nauji nuostolio įvykiai)</w:t>
            </w:r>
          </w:p>
          <w:p w14:paraId="5A8AAD03" w14:textId="058A16DC" w:rsidR="00FD54FC" w:rsidRPr="002A677E" w:rsidRDefault="00FD54FC" w:rsidP="00FD54FC">
            <w:pPr>
              <w:rPr>
                <w:rFonts w:ascii="Times New Roman" w:hAnsi="Times New Roman"/>
                <w:sz w:val="24"/>
              </w:rPr>
            </w:pPr>
            <w:r>
              <w:rPr>
                <w:rFonts w:ascii="Times New Roman" w:hAnsi="Times New Roman"/>
                <w:sz w:val="24"/>
              </w:rPr>
              <w:t xml:space="preserve">Jeigu įstaiga yra priskyrusi visus savo nuostolius atitinkamai verslo linijai, 0920 eilutėje nurodoma bendrųjų nuostolių suma (nauji nuostolio įvykiai) yra pagal kiekvieną verslo liniją praneštų naujų nuostolio įvykių bendrųjų nuostolių sumų paprasta suma.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0921–0924 eilutėse nurodoma nuostolio įvykių, kurių bendrųjų nuostolių suma įtraukta į susijusiose eilutėse apibrėžtus intervalus, bendrųjų nuostolių suma.</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Nuostolio įvykių, dėl kurių buvo atliekamas nuostolių koregavimas, skaičius</w:t>
            </w:r>
          </w:p>
          <w:p w14:paraId="7C0FBBBE" w14:textId="1D9BA1FB" w:rsidR="00FD54FC" w:rsidRPr="002A677E" w:rsidRDefault="00FD54FC" w:rsidP="00FD54FC">
            <w:pPr>
              <w:rPr>
                <w:rFonts w:ascii="Times New Roman" w:hAnsi="Times New Roman"/>
                <w:sz w:val="24"/>
              </w:rPr>
            </w:pPr>
            <w:r>
              <w:rPr>
                <w:rFonts w:ascii="Times New Roman" w:hAnsi="Times New Roman"/>
                <w:sz w:val="24"/>
              </w:rPr>
              <w:t>0930 eilutėje nurodomas bendras skaičius nuostolio įvykių, dėl kurių buvo atliekamas nuostolių koregavimas, nurodytas 0030, 0130, …, 0830 eilutėse. Ta reikšmė gali būti mažesnė už nuostolio įvykių, dėl kurių buvo atliekamas nuostolių koregavimas, skaičiaus pagal verslo liniją sumą, nes nuostolio įvykiai, turintys daugialypį poveikį (poveikį skirtingoms verslo linijoms), laikomi vienu įvykiu. Ji gali būti didesnė, jeigu įstaiga, 2024 m. gruodžio mėn. apskaičiavusi savo nuosavų lėšų reikalavimus pagal BIA metodą, negali kiekvienu atveju nurodyti verslo linijos (-ų), kuriai (-</w:t>
            </w:r>
            <w:proofErr w:type="spellStart"/>
            <w:r>
              <w:rPr>
                <w:rFonts w:ascii="Times New Roman" w:hAnsi="Times New Roman"/>
                <w:sz w:val="24"/>
              </w:rPr>
              <w:t>ioms</w:t>
            </w:r>
            <w:proofErr w:type="spellEnd"/>
            <w:r>
              <w:rPr>
                <w:rFonts w:ascii="Times New Roman" w:hAnsi="Times New Roman"/>
                <w:sz w:val="24"/>
              </w:rPr>
              <w:t>) nuostolis daro poveikį.</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Nuostolio įvykių, dėl kurių buvo atliekamas nuostolių koregavimas, skaičius suskirstomas į nuostolio įvykių, dėl kurių per ataskaitinį laikotarpį buvo atliekamas teigiamas nuostolių koregavimas, skaičių ir nuostolio įvykių, dėl kurių per ataskaitinį laikotarpį buvo atliekamas neigiamas nuostolių koregavimas, skaičių (visi nurodomi su teigiamu ženklu).</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Su ankstesniais ataskaitiniais laikotarpiais susijęs nuostolių koregavimas</w:t>
            </w:r>
          </w:p>
          <w:p w14:paraId="3A4A4FF4" w14:textId="280DCB1D" w:rsidR="00FD54FC" w:rsidRPr="002A677E" w:rsidRDefault="00FD54FC" w:rsidP="00FD54FC">
            <w:pPr>
              <w:rPr>
                <w:rFonts w:ascii="Times New Roman" w:hAnsi="Times New Roman"/>
                <w:sz w:val="24"/>
              </w:rPr>
            </w:pPr>
            <w:r>
              <w:rPr>
                <w:rFonts w:ascii="Times New Roman" w:hAnsi="Times New Roman"/>
                <w:sz w:val="24"/>
              </w:rPr>
              <w:t>0940 eilutėje nurodoma bendra nuostolių koregavimo suma, susijusi su ankstesniais ataskaitiniais laikotarpiais, pagal verslo linijas (kaip nurodyta 0040, 0140, …, 0840 eilutėse). Jeigu įstaiga yra priskyrusi visus savo nuostolius atitinkamai verslo linijai, 0940 eilutėje nurodoma suma yra pagal įvairias verslo linijas praneštų nuostolių koregavimo sumų, susijusių su ankstesniais ataskaitiniais laikotarpiais, paprasta suma.</w:t>
            </w:r>
          </w:p>
          <w:p w14:paraId="4FEA0713" w14:textId="77777777" w:rsidR="00FD54FC" w:rsidRPr="002A677E" w:rsidRDefault="00FD54FC" w:rsidP="00EB6FC2">
            <w:pPr>
              <w:rPr>
                <w:rFonts w:ascii="Times New Roman" w:hAnsi="Times New Roman"/>
                <w:sz w:val="24"/>
              </w:rPr>
            </w:pPr>
            <w:r>
              <w:rPr>
                <w:rFonts w:ascii="Times New Roman" w:hAnsi="Times New Roman"/>
                <w:sz w:val="24"/>
              </w:rPr>
              <w:t xml:space="preserve">Nuostolių koregavimo suma suskirstoma į sumą, susijusią su nuostolio įvykiais, dėl kurių per ataskaitinį laikotarpį buvo atliekamas teigiamas nuostolių koregavimas (0945 eilutė, kurioje nurodytas teigiamas skaičius), ir sumą, susijusią su </w:t>
            </w:r>
            <w:r>
              <w:rPr>
                <w:rFonts w:ascii="Times New Roman" w:hAnsi="Times New Roman"/>
                <w:sz w:val="24"/>
              </w:rPr>
              <w:lastRenderedPageBreak/>
              <w:t>nuostolio įvykiais, dėl kurių per ataskaitinį laikotarpį buvo atliekamas neigiamas nuostolių koregavimas (0946 eilutė, kurioje nurodytas neigiamas skaičius). Jeigu dėl neigiamo nuostolių koregavimo pakoreguota nuostolio įvykio nuostolio suma nesiekia įstaigos vidaus duomenų rinkimo ribos, įstaiga 0946 eilutėje nurodo bendrą to nuostolio įvykio nuostolio sumą, susikaupusią iki paskutinio karto, kai nuostolio įvykis praneštas gruodžio mėn. ataskaitinę datą (t. y. pirminis nuostolis pridėjus ar atėmus visus nuostolių koregavimus ankstesniais ataskaitiniais laikotarpiais), su minuso ženklu, o ne paties neigiamo nuostolių koregavimo sumą.</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Didžiausias vieno įvykio nuostolis</w:t>
            </w:r>
          </w:p>
          <w:p w14:paraId="475751C9" w14:textId="4A0524CC" w:rsidR="00FD54FC" w:rsidRPr="002A677E" w:rsidRDefault="00FD54FC" w:rsidP="00FD54FC">
            <w:pPr>
              <w:rPr>
                <w:rFonts w:ascii="Times New Roman" w:hAnsi="Times New Roman"/>
                <w:sz w:val="24"/>
              </w:rPr>
            </w:pPr>
            <w:r>
              <w:rPr>
                <w:rFonts w:ascii="Times New Roman" w:hAnsi="Times New Roman"/>
                <w:sz w:val="24"/>
              </w:rPr>
              <w:t>Jeigu įstaiga yra priskyrusi visus savo nuostolius vienai iš išvardytų verslo linijų, didžiausias vieno įvykio nuostolis yra didžiausias įstaigos viduje taikomą ribą viršijantis nuostolis pagal kiekvieną nuostolio įvykio rūšį ir palyginus visas verslo linijas. Tos reikšmės gali būti didesnės, palyginti su didžiausiu vieno įvykio nuostoliu, nurodytu pagal kiekvieną verslo liniją, jeigu nuostolio įvykis paveikia skirtingas verslo linijas.</w:t>
            </w:r>
          </w:p>
          <w:p w14:paraId="7BE96ED9" w14:textId="718AAC52" w:rsidR="00FD54FC" w:rsidRPr="002A677E" w:rsidRDefault="00FD54FC" w:rsidP="00FD54FC">
            <w:pPr>
              <w:rPr>
                <w:rFonts w:ascii="Times New Roman" w:hAnsi="Times New Roman"/>
                <w:sz w:val="24"/>
              </w:rPr>
            </w:pPr>
            <w:r>
              <w:rPr>
                <w:rFonts w:ascii="Times New Roman" w:hAnsi="Times New Roman"/>
                <w:sz w:val="24"/>
              </w:rPr>
              <w:t>Jeigu įstaiga yra priskyrusi visus savo nuostolius vienai iš išvardytų verslo linijų arba yra nurodžiusi su visais nuostoliais susietas nuostolio įvykių rūšis, 0080 skilčiai taikomi šie nurodymai:</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Nurodomas didžiausias vieno įvykio nuostolis yra lygus didžiausiai iš visų verčių, nurodytų šioje eilutėje 0010–0070 skiltyse.</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Jeigu nuostolio įvykiai daro poveikį skirtingoms verslo linijoms, {r0950, c0080} nurodoma suma gali viršyti atskirų verslo linijų didžiausio vieno įvykio nuostolio sumas, nurodytas kitose 0080 skilties eilutėse.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Penkių didžiausių nuostolių suma</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Nurodoma suma, gauta sudėjus penkių didžiausių bendrųjų nuostolių sumas pagal kiekvieną nuostolio įvykio rūšį ir palyginus visas verslo linijas. Ta suma gali būti didesnė už didžiausią penkių didžiausių nuostolių sumą, užfiksuotą pagal kiekvieną verslo liniją. Ta suma nurodoma nepaisant nuostolių skaičiaus. </w:t>
            </w:r>
          </w:p>
          <w:p w14:paraId="462BED5E" w14:textId="12CDE9EE" w:rsidR="00FD54FC" w:rsidRPr="002A677E" w:rsidRDefault="00FD54FC" w:rsidP="00AB6610">
            <w:pPr>
              <w:rPr>
                <w:rStyle w:val="InstructionsTabelleberschrift"/>
                <w:rFonts w:ascii="Times New Roman" w:hAnsi="Times New Roman"/>
                <w:sz w:val="24"/>
              </w:rPr>
            </w:pPr>
            <w:r>
              <w:rPr>
                <w:rFonts w:ascii="Times New Roman" w:hAnsi="Times New Roman"/>
                <w:sz w:val="24"/>
              </w:rPr>
              <w:t>Jeigu įstaiga yra priskyrusi visus savo nuostolius vienai iš išvardytų verslo linijų ir yra nurodžiusi su visais nuostoliais susietas nuostolio įvykių rūšis, 0080 skiltyje penkių didžiausių nuostolių suma yra penkių didžiausių nuostolių visoje matricoje suma, o tai reiškia, kad ji nebūtinai yra lygi arba didžiausiai penkių didžiausių nuostolių sumos vertei, nurodytai 0960 eilutėje, arba didžiausiai penkių didžiausių nuostolių sumos vertei, nurodytai 0080 skiltyje.</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 tiesiogiai susigrąžinta nuostolių suma</w:t>
            </w:r>
          </w:p>
          <w:p w14:paraId="651924C3" w14:textId="6F1F830A" w:rsidR="00FD54FC" w:rsidRPr="002A677E" w:rsidRDefault="00FD54FC" w:rsidP="00705025">
            <w:pPr>
              <w:rPr>
                <w:rStyle w:val="InstructionsTabelleberschrift"/>
                <w:rFonts w:ascii="Times New Roman" w:hAnsi="Times New Roman"/>
                <w:sz w:val="24"/>
              </w:rPr>
            </w:pPr>
            <w:r>
              <w:rPr>
                <w:rFonts w:ascii="Times New Roman" w:hAnsi="Times New Roman"/>
                <w:sz w:val="24"/>
              </w:rPr>
              <w:t>Jeigu įstaiga yra priskyrusi visus savo nuostolius vienai iš išvardytų verslo linijų, bendra tiesiogiai susigrąžinta nuostolių suma yra kiekvienos verslo linijos bendrų tiesiogiai susigrąžintų nuostolių sumų paprasta suma.</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Bendra suma, susigrąžinta iš draudimo </w:t>
            </w:r>
          </w:p>
          <w:p w14:paraId="105A6F22" w14:textId="54B9A449" w:rsidR="00FD54FC" w:rsidRPr="002A677E" w:rsidRDefault="00FD54FC" w:rsidP="007062FD">
            <w:pPr>
              <w:rPr>
                <w:rFonts w:ascii="Times New Roman" w:hAnsi="Times New Roman"/>
                <w:b/>
                <w:bCs/>
                <w:sz w:val="24"/>
                <w:u w:val="single"/>
              </w:rPr>
            </w:pPr>
            <w:r>
              <w:rPr>
                <w:rFonts w:ascii="Times New Roman" w:hAnsi="Times New Roman"/>
                <w:sz w:val="24"/>
              </w:rPr>
              <w:t>Jeigu įstaiga yra priskyrusi visus savo nuostolius viena iš išvardytų verslo linijų, bendra suma, susigrąžinta iš draudimo, yra kiekvienos verslo linijos bendrų sumų, susigrąžintų iš draudimo, paprasta suma.</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Pr>
          <w:rFonts w:ascii="Times New Roman" w:hAnsi="Times New Roman"/>
          <w:sz w:val="24"/>
          <w:u w:val="none"/>
        </w:rPr>
        <w:t>4.2.3.</w:t>
      </w:r>
      <w:r>
        <w:tab/>
      </w:r>
      <w:r>
        <w:rPr>
          <w:rFonts w:ascii="Times New Roman" w:hAnsi="Times New Roman"/>
          <w:sz w:val="24"/>
        </w:rPr>
        <w:t>C 17.02. Operacinė rizika. Išsami informacija apie praėjusių metų didžiausius nuostolio įvykius (OPR DETAILS 2)</w:t>
      </w:r>
      <w:bookmarkEnd w:id="67"/>
      <w:bookmarkEnd w:id="6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Pr>
          <w:rFonts w:ascii="Times New Roman" w:hAnsi="Times New Roman"/>
          <w:sz w:val="24"/>
          <w:u w:val="none"/>
        </w:rPr>
        <w:t>4.2.3.1.</w:t>
      </w:r>
      <w:r w:rsidRPr="007735E9">
        <w:rPr>
          <w:u w:val="none"/>
        </w:rPr>
        <w:tab/>
      </w:r>
      <w:r>
        <w:rPr>
          <w:rFonts w:ascii="Times New Roman" w:hAnsi="Times New Roman"/>
          <w:sz w:val="24"/>
        </w:rPr>
        <w:t>Bendrosios pastabos</w:t>
      </w:r>
      <w:bookmarkEnd w:id="69"/>
      <w:bookmarkEnd w:id="70"/>
    </w:p>
    <w:p w14:paraId="06D9B602" w14:textId="53B658AD" w:rsidR="00FD54FC" w:rsidRPr="002A677E" w:rsidRDefault="00457837" w:rsidP="00E434A1">
      <w:pPr>
        <w:pStyle w:val="InstructionsText2"/>
        <w:numPr>
          <w:ilvl w:val="0"/>
          <w:numId w:val="0"/>
        </w:numPr>
      </w:pPr>
      <w:r>
        <w:fldChar w:fldCharType="begin"/>
      </w:r>
      <w:r>
        <w:instrText xml:space="preserve"> seq paragraphs </w:instrText>
      </w:r>
      <w:r>
        <w:fldChar w:fldCharType="separate"/>
      </w:r>
      <w:r>
        <w:t>155</w:t>
      </w:r>
      <w:r>
        <w:fldChar w:fldCharType="end"/>
      </w:r>
      <w:r>
        <w:t>. C 17.02 formoje pateikiama informacija apie atskirus nuostolio įvykius (vienam nuostolio įvykiui viena eilutė).</w:t>
      </w:r>
    </w:p>
    <w:p w14:paraId="6928228C" w14:textId="046FA9AB"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156</w:t>
      </w:r>
      <w:r>
        <w:fldChar w:fldCharType="end"/>
      </w:r>
      <w:r>
        <w:t>.</w:t>
      </w:r>
      <w:r>
        <w:tab/>
        <w:t xml:space="preserve"> Šioje formoje pateikiama informacija yra susijusi su naujais nuostolio įvykiais, t. y. operacinės rizikos įvykiais, kurie yra:</w:t>
      </w:r>
    </w:p>
    <w:p w14:paraId="43C23B10" w14:textId="77777777" w:rsidR="00FD54FC" w:rsidRPr="002A677E" w:rsidRDefault="00125707" w:rsidP="00E434A1">
      <w:pPr>
        <w:pStyle w:val="InstructionsText2"/>
        <w:numPr>
          <w:ilvl w:val="0"/>
          <w:numId w:val="0"/>
        </w:numPr>
      </w:pPr>
      <w:r>
        <w:t>a)</w:t>
      </w:r>
      <w:r>
        <w:tab/>
        <w:t>pirmą kartą įtraukti į apskaitą per ataskaitinį laikotarpį arba</w:t>
      </w:r>
    </w:p>
    <w:p w14:paraId="0D60A55D" w14:textId="77777777" w:rsidR="00FD54FC" w:rsidRPr="002A677E" w:rsidRDefault="00125707" w:rsidP="00E434A1">
      <w:pPr>
        <w:pStyle w:val="InstructionsText2"/>
        <w:numPr>
          <w:ilvl w:val="0"/>
          <w:numId w:val="0"/>
        </w:numPr>
      </w:pPr>
      <w:r>
        <w:t>b)</w:t>
      </w:r>
      <w:r>
        <w:tab/>
        <w:t>pirmą kartą įtraukti į apskaitą per ankstesnį ataskaitinį laikotarpį, jeigu nuostolio įvykis nebuvo įtrauktas į jokią ankstesnę priežiūros ataskaitą, pvz., dėl to, kad buvo įvertintas kaip operacinės rizikos nuostolio įvykis tik einamuoju ataskaitiniu laikotarpiu arba tam nuostolio įvykiui priskirtas sukauptas nuostolis (t. y. pirminis nuostolis pridėjus ar atėmus visus nuostolių koregavimus ankstesniais ataskaitiniais laikotarpiais) tik einamuoju ataskaitiniu laikotarpiu viršijo vidaus duomenų rinkimo ribą.</w:t>
      </w:r>
    </w:p>
    <w:p w14:paraId="4FB49E60" w14:textId="5D0BE6A7" w:rsidR="00F41508" w:rsidRPr="002A677E" w:rsidRDefault="00E434A1" w:rsidP="00E434A1">
      <w:pPr>
        <w:pStyle w:val="InstructionsText2"/>
        <w:numPr>
          <w:ilvl w:val="0"/>
          <w:numId w:val="0"/>
        </w:numPr>
      </w:pPr>
      <w:r>
        <w:fldChar w:fldCharType="begin"/>
      </w:r>
      <w:r>
        <w:instrText xml:space="preserve"> seq paragraphs </w:instrText>
      </w:r>
      <w:r>
        <w:fldChar w:fldCharType="separate"/>
      </w:r>
      <w:r>
        <w:t>157</w:t>
      </w:r>
      <w:r>
        <w:fldChar w:fldCharType="end"/>
      </w:r>
      <w:r>
        <w:t>. Nurodomi tik tie nuostolio įvykiai, kurių bendrųjų nuostolių suma yra lygi ar viršija 100 000 EUR.</w:t>
      </w:r>
    </w:p>
    <w:p w14:paraId="5F2CAE8D" w14:textId="77777777" w:rsidR="00FD54FC" w:rsidRPr="002A677E" w:rsidRDefault="00FD54FC" w:rsidP="00E434A1">
      <w:pPr>
        <w:pStyle w:val="InstructionsText2"/>
        <w:numPr>
          <w:ilvl w:val="0"/>
          <w:numId w:val="0"/>
        </w:numPr>
      </w:pPr>
      <w:r>
        <w:t>Laikantis šios ribos:</w:t>
      </w:r>
    </w:p>
    <w:p w14:paraId="503143B8" w14:textId="1D0A0564" w:rsidR="00FD54FC" w:rsidRPr="002A677E" w:rsidRDefault="00125707" w:rsidP="00E434A1">
      <w:pPr>
        <w:pStyle w:val="InstructionsText2"/>
        <w:numPr>
          <w:ilvl w:val="0"/>
          <w:numId w:val="0"/>
        </w:numPr>
      </w:pPr>
      <w:r>
        <w:t>a)</w:t>
      </w:r>
      <w:r>
        <w:tab/>
        <w:t>didžiausias kiekvienos rūšies įvykis, jeigu įstaiga yra nurodžiusi su nuostoliais susietas įvykių rūšis, ir</w:t>
      </w:r>
    </w:p>
    <w:p w14:paraId="0CFFC449" w14:textId="77777777" w:rsidR="00FD54FC" w:rsidRPr="002A677E" w:rsidRDefault="00125707" w:rsidP="00E434A1">
      <w:pPr>
        <w:pStyle w:val="InstructionsText2"/>
        <w:numPr>
          <w:ilvl w:val="0"/>
          <w:numId w:val="0"/>
        </w:numPr>
      </w:pPr>
      <w:r>
        <w:t>b)</w:t>
      </w:r>
      <w:r>
        <w:tab/>
        <w:t>bent dešimt didžiausių įvykių iš likusiųjų, nepriklausomai nuo to, ar įvykio rūšis nurodyta, pagal bendrųjų nuostolių sumą įtraukiami į formą;</w:t>
      </w:r>
    </w:p>
    <w:p w14:paraId="4B19E136" w14:textId="77777777" w:rsidR="00FD54FC" w:rsidRPr="002A677E" w:rsidRDefault="00125707" w:rsidP="00E434A1">
      <w:pPr>
        <w:pStyle w:val="InstructionsText2"/>
        <w:numPr>
          <w:ilvl w:val="0"/>
          <w:numId w:val="0"/>
        </w:numPr>
      </w:pPr>
      <w:r>
        <w:t>c)</w:t>
      </w:r>
      <w:r>
        <w:tab/>
        <w:t>nuostolio įvykių eiliškumas priklauso nuo jiems priskirto bendrojo nuostolio;</w:t>
      </w:r>
    </w:p>
    <w:p w14:paraId="3AE1B367" w14:textId="77777777" w:rsidR="00FD54FC" w:rsidRPr="002A677E" w:rsidRDefault="00125707" w:rsidP="00E434A1">
      <w:pPr>
        <w:pStyle w:val="InstructionsText2"/>
        <w:numPr>
          <w:ilvl w:val="0"/>
          <w:numId w:val="0"/>
        </w:numPr>
      </w:pPr>
      <w:r>
        <w:t>d)</w:t>
      </w:r>
      <w:r>
        <w:tab/>
        <w:t>nuostolio įvykis į formą įtraukiamas tik vieną kartą.</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Pr>
          <w:rFonts w:ascii="Times New Roman" w:hAnsi="Times New Roman"/>
          <w:sz w:val="24"/>
          <w:u w:val="none"/>
        </w:rPr>
        <w:t>4.2.3.2.</w:t>
      </w:r>
      <w:r w:rsidRPr="007735E9">
        <w:rPr>
          <w:u w:val="none"/>
        </w:rPr>
        <w:tab/>
      </w:r>
      <w:r>
        <w:rPr>
          <w:rFonts w:ascii="Times New Roman" w:hAnsi="Times New Roman"/>
          <w:sz w:val="24"/>
        </w:rPr>
        <w:t>Nurodymai dėl konkrečių pozicijų</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Skiltys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Įvykio Nr.</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Kiekvienai formos eilutei suteikiamas unikalus įvykio numeris. </w:t>
            </w:r>
          </w:p>
          <w:p w14:paraId="0801D83B" w14:textId="77777777" w:rsidR="00FD54FC" w:rsidRPr="002A677E" w:rsidRDefault="00FD54FC" w:rsidP="00FD54FC">
            <w:pPr>
              <w:rPr>
                <w:rFonts w:ascii="Times New Roman" w:hAnsi="Times New Roman"/>
                <w:sz w:val="24"/>
              </w:rPr>
            </w:pPr>
            <w:r>
              <w:rPr>
                <w:rFonts w:ascii="Times New Roman" w:hAnsi="Times New Roman"/>
                <w:sz w:val="24"/>
              </w:rPr>
              <w:t>Kai egzistuoja vidinis numeris, įstaigos jį ir nurodo. Kitu atveju nurodomas numeris atitinka skaičių eiliškumą – 1, 2, 3 ir t. t.</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Apskaitos data</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Apskaitos data – diena, kurią nuostolis arba rezervas / atidėjinys nuostoliui dėl operacinės rizikos pirmą kartą pripažintas pelno (nuostolių) ataskaitoje.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lastRenderedPageBreak/>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Įvykio data</w:t>
            </w:r>
          </w:p>
          <w:p w14:paraId="49262D6C" w14:textId="77777777" w:rsidR="00FD54FC" w:rsidRPr="002A677E" w:rsidRDefault="00FD54FC" w:rsidP="00871877">
            <w:pPr>
              <w:rPr>
                <w:rFonts w:ascii="Times New Roman" w:hAnsi="Times New Roman"/>
                <w:sz w:val="24"/>
              </w:rPr>
            </w:pPr>
            <w:r>
              <w:rPr>
                <w:rFonts w:ascii="Times New Roman" w:hAnsi="Times New Roman"/>
                <w:sz w:val="24"/>
              </w:rPr>
              <w:t>Įvykio data – diena, kurią operacinės rizikos nuostolio įvykis įvyko ar pirmą kartą prasidėjo.</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Nustatymo data</w:t>
            </w:r>
          </w:p>
          <w:p w14:paraId="520821A8" w14:textId="77777777" w:rsidR="00FD54FC" w:rsidRPr="002A677E" w:rsidRDefault="00FD54FC" w:rsidP="00FD54FC">
            <w:pPr>
              <w:rPr>
                <w:rFonts w:ascii="Times New Roman" w:hAnsi="Times New Roman"/>
                <w:sz w:val="24"/>
              </w:rPr>
            </w:pPr>
            <w:r>
              <w:rPr>
                <w:rFonts w:ascii="Times New Roman" w:hAnsi="Times New Roman"/>
                <w:sz w:val="24"/>
              </w:rPr>
              <w:t>Nustatymo data – diena, kurią įstaiga sužinojo apie operacinės rizikos nuostolio įvykį.</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Nuostolio įvykių rūšis</w:t>
            </w:r>
          </w:p>
          <w:p w14:paraId="73A75C19" w14:textId="1C0C4757" w:rsidR="00FD54FC" w:rsidRPr="002A677E" w:rsidRDefault="00F41508" w:rsidP="00EB6FC2">
            <w:pPr>
              <w:rPr>
                <w:rFonts w:ascii="Times New Roman" w:hAnsi="Times New Roman"/>
                <w:sz w:val="24"/>
              </w:rPr>
            </w:pPr>
            <w:r>
              <w:rPr>
                <w:rFonts w:ascii="Times New Roman" w:hAnsi="Times New Roman"/>
                <w:sz w:val="24"/>
              </w:rPr>
              <w:t xml:space="preserve">Nuostolio įvykių rūšys, kaip apibrėžta šio priedo 1 lentelės 4.2.1 skirsnyje. </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Bendrasis nuostolis</w:t>
            </w:r>
          </w:p>
          <w:p w14:paraId="5E868659" w14:textId="77777777" w:rsidR="00FD54FC" w:rsidRPr="002A677E" w:rsidRDefault="00FD54FC" w:rsidP="0023276A">
            <w:pPr>
              <w:rPr>
                <w:rFonts w:ascii="Times New Roman" w:hAnsi="Times New Roman"/>
                <w:sz w:val="24"/>
              </w:rPr>
            </w:pPr>
            <w:r>
              <w:rPr>
                <w:rFonts w:ascii="Times New Roman" w:hAnsi="Times New Roman"/>
                <w:sz w:val="24"/>
              </w:rPr>
              <w:t>Su nuostolio įvykiu susijęs bendrasis nuostolis, nurodytas C 17.01 formos 0020, 0120 ir t. t. eilutėse.</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Bendrasis nuostolis atėmus tiesiogiai susigrąžintas sumas</w:t>
            </w:r>
          </w:p>
          <w:p w14:paraId="371DD3AD" w14:textId="77777777" w:rsidR="00FD54FC" w:rsidRPr="002A677E" w:rsidRDefault="00FD54FC" w:rsidP="0023276A">
            <w:pPr>
              <w:rPr>
                <w:rFonts w:ascii="Times New Roman" w:hAnsi="Times New Roman"/>
                <w:sz w:val="24"/>
              </w:rPr>
            </w:pPr>
            <w:r>
              <w:rPr>
                <w:rFonts w:ascii="Times New Roman" w:hAnsi="Times New Roman"/>
                <w:sz w:val="24"/>
              </w:rPr>
              <w:t>Su nuostolio įvykiu susijęs bendrasis nuostolis, nurodytas C 17.01 formos 0020, 0120 ir t. t. eilutėse, atėmus su tuo nuostolio įvykiu susijusias tiesiogiai susigrąžintas sumas.</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Bendrasis nuostolis pagal verslo liniją</w:t>
            </w:r>
          </w:p>
          <w:p w14:paraId="15FC08A2" w14:textId="6BE4BE54" w:rsidR="00FD54FC" w:rsidRPr="002A677E" w:rsidRDefault="00FD54FC" w:rsidP="007062FD">
            <w:pPr>
              <w:rPr>
                <w:rFonts w:ascii="Times New Roman" w:hAnsi="Times New Roman"/>
                <w:sz w:val="24"/>
              </w:rPr>
            </w:pPr>
            <w:r>
              <w:rPr>
                <w:rFonts w:ascii="Times New Roman" w:hAnsi="Times New Roman"/>
                <w:sz w:val="24"/>
              </w:rPr>
              <w:t xml:space="preserve">0060 skiltyje nurodytas bendrasis nuostolis priskiriamas atitinkamoms verslo linijoms, nurodytoms 2 lentelės 4.2.1 skirsnyje. </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Juridinio asmens pavadinimas</w:t>
            </w:r>
          </w:p>
          <w:p w14:paraId="196BBE73" w14:textId="7342A187" w:rsidR="00FD54FC" w:rsidRPr="002A677E" w:rsidRDefault="00FD54FC" w:rsidP="00FD54FC">
            <w:pPr>
              <w:rPr>
                <w:rFonts w:ascii="Times New Roman" w:hAnsi="Times New Roman"/>
                <w:sz w:val="24"/>
              </w:rPr>
            </w:pPr>
            <w:r>
              <w:rPr>
                <w:rFonts w:ascii="Times New Roman" w:hAnsi="Times New Roman"/>
                <w:sz w:val="24"/>
              </w:rPr>
              <w:t>C 06.02 formos 0011 skiltyje nurodytas juridinio asmens, kuriame patirti nuostoliai arba didžioji dalis nuostolių, kai poveikis padarytas keliems subjektams, pavadinimas.</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Kodas</w:t>
            </w:r>
          </w:p>
          <w:p w14:paraId="2B51325F" w14:textId="351ACEFF" w:rsidR="000D0A23" w:rsidRPr="002A677E" w:rsidRDefault="0062362F" w:rsidP="009B627A">
            <w:pPr>
              <w:rPr>
                <w:rFonts w:ascii="Times New Roman" w:hAnsi="Times New Roman"/>
                <w:sz w:val="24"/>
              </w:rPr>
            </w:pPr>
            <w:r>
              <w:rPr>
                <w:rFonts w:ascii="Times New Roman" w:hAnsi="Times New Roman"/>
                <w:sz w:val="24"/>
              </w:rPr>
              <w:t>C 06.02 formos 0021 skiltyje nurodytas juridinio asmens, kuriame patirti nuostoliai arba didžioji dalis nuostolių, kai poveikis padarytas keliems subjektams, kodas.</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KODO RŪŠIS</w:t>
            </w:r>
          </w:p>
          <w:p w14:paraId="13D1F0E6" w14:textId="5C3CE252" w:rsidR="000D0A23" w:rsidRPr="002A677E" w:rsidRDefault="000D0A23" w:rsidP="009B627A">
            <w:pPr>
              <w:rPr>
                <w:rStyle w:val="InstructionsTabelleberschrift"/>
                <w:rFonts w:ascii="Times New Roman" w:hAnsi="Times New Roman"/>
                <w:sz w:val="24"/>
              </w:rPr>
            </w:pPr>
            <w:r>
              <w:rPr>
                <w:rStyle w:val="InstructionsTabelleText"/>
                <w:rFonts w:ascii="Times New Roman" w:hAnsi="Times New Roman"/>
                <w:sz w:val="24"/>
              </w:rPr>
              <w:t>Įstaigos nurodo 0181 skiltyje nurodyto kodo rūšį:</w:t>
            </w:r>
            <w:r>
              <w:rPr>
                <w:rStyle w:val="FormatvorlageInstructionsTabelleText"/>
                <w:rFonts w:ascii="Times New Roman" w:hAnsi="Times New Roman"/>
                <w:sz w:val="24"/>
              </w:rPr>
              <w:t xml:space="preserve"> „LEI kodas“ arba „ne LEI kodas“, kuris turi derėti ir su C 06.02 formos 0026 skilties verte. Kodo rūšis nurodoma visada.</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Padalinys</w:t>
            </w:r>
          </w:p>
          <w:p w14:paraId="7468F598" w14:textId="77777777" w:rsidR="00FD54FC" w:rsidRPr="002A677E" w:rsidRDefault="00FD54FC" w:rsidP="00FD54FC">
            <w:pPr>
              <w:rPr>
                <w:rFonts w:ascii="Times New Roman" w:hAnsi="Times New Roman"/>
                <w:sz w:val="24"/>
              </w:rPr>
            </w:pPr>
            <w:r>
              <w:rPr>
                <w:rFonts w:ascii="Times New Roman" w:hAnsi="Times New Roman"/>
                <w:sz w:val="24"/>
              </w:rPr>
              <w:t>Įstaigos, kurioje patirti nuostoliai arba didžioji dalis nuostolių, kai poveikis padarytas keliems padaliniams ar filialams, padalinys arba filialas.</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Aprašymas</w:t>
            </w:r>
          </w:p>
          <w:p w14:paraId="5B222555" w14:textId="77777777" w:rsidR="00FD54FC" w:rsidRPr="002A677E" w:rsidRDefault="00FD54FC" w:rsidP="00FD239F">
            <w:pPr>
              <w:rPr>
                <w:rFonts w:ascii="Times New Roman" w:hAnsi="Times New Roman"/>
                <w:sz w:val="24"/>
              </w:rPr>
            </w:pPr>
            <w:r>
              <w:rPr>
                <w:rFonts w:ascii="Times New Roman" w:hAnsi="Times New Roman"/>
                <w:sz w:val="24"/>
              </w:rPr>
              <w:lastRenderedPageBreak/>
              <w:t>Nuostolio įvykio aprašymas, prireikus apibendrinant ar nurodant anoniminius duomenis, kuris apima bent informaciją apie patį įvykį ir to nuostolio įvykio priežastis ar jį lėmusius veiksnius, kai šie žinomi.</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C01BF" w14:textId="77777777" w:rsidR="008358A6" w:rsidRDefault="008358A6" w:rsidP="00D946DB">
      <w:pPr>
        <w:spacing w:before="0" w:after="0"/>
      </w:pPr>
      <w:r>
        <w:separator/>
      </w:r>
    </w:p>
  </w:endnote>
  <w:endnote w:type="continuationSeparator" w:id="0">
    <w:p w14:paraId="04A0152E" w14:textId="77777777" w:rsidR="008358A6" w:rsidRDefault="008358A6" w:rsidP="00D946DB">
      <w:pPr>
        <w:spacing w:before="0" w:after="0"/>
      </w:pPr>
      <w:r>
        <w:continuationSeparator/>
      </w:r>
    </w:p>
  </w:endnote>
  <w:endnote w:type="continuationNotice" w:id="1">
    <w:p w14:paraId="55BA3AB2" w14:textId="77777777" w:rsidR="008358A6" w:rsidRDefault="008358A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w:t>
    </w:r>
    <w:r>
      <w:rPr>
        <w:rFonts w:ascii="Times New Roman" w:hAnsi="Times New Roman"/>
        <w:sz w:val="20"/>
      </w:rPr>
      <w:t>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C5FAF" w14:textId="77777777" w:rsidR="008358A6" w:rsidRDefault="008358A6" w:rsidP="00D946DB">
      <w:pPr>
        <w:spacing w:before="0" w:after="0"/>
      </w:pPr>
      <w:r>
        <w:separator/>
      </w:r>
    </w:p>
  </w:footnote>
  <w:footnote w:type="continuationSeparator" w:id="0">
    <w:p w14:paraId="4DA1BE14" w14:textId="77777777" w:rsidR="008358A6" w:rsidRDefault="008358A6" w:rsidP="00D946DB">
      <w:pPr>
        <w:spacing w:before="0" w:after="0"/>
      </w:pPr>
      <w:r>
        <w:continuationSeparator/>
      </w:r>
    </w:p>
  </w:footnote>
  <w:footnote w:type="continuationNotice" w:id="1">
    <w:p w14:paraId="688F2904" w14:textId="77777777" w:rsidR="008358A6" w:rsidRDefault="008358A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2D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32B"/>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35E9"/>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58A6"/>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lt-L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5046"/>
    <w:rPr>
      <w:rFonts w:ascii="Verdana" w:hAnsi="Verdana" w:cs="Times New Roman"/>
      <w:b/>
      <w:sz w:val="24"/>
      <w:szCs w:val="24"/>
      <w:u w:val="single"/>
      <w:lang w:val="lt-LT"/>
    </w:rPr>
  </w:style>
  <w:style w:type="character" w:customStyle="1" w:styleId="Heading3Char">
    <w:name w:val="Heading 3 Char"/>
    <w:aliases w:val="Title 2 Char"/>
    <w:uiPriority w:val="99"/>
    <w:locked/>
    <w:rsid w:val="00884FEB"/>
    <w:rPr>
      <w:rFonts w:cs="Times New Roman"/>
      <w:sz w:val="24"/>
      <w:szCs w:val="24"/>
      <w:lang w:val="lt-L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t-L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t-L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lt-L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2.xml><?xml version="1.0" encoding="utf-8"?>
<ds:datastoreItem xmlns:ds="http://schemas.openxmlformats.org/officeDocument/2006/customXml" ds:itemID="{8F0989EA-FFF9-43DF-9250-3D0588C49B7B}"/>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5025</Words>
  <Characters>34278</Characters>
  <Application>Microsoft Office Word</Application>
  <DocSecurity>0</DocSecurity>
  <Lines>797</Lines>
  <Paragraphs>377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38926</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2025-01-27T11:16:00Z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2025-01-27T11:16:36Z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fb3e8c3c-54a0-4074-934a-d249e302d722</vt:lpwstr>
  </property>
  <property fmtid="{D5CDD505-2E9C-101B-9397-08002B2CF9AE}" pid="9" name="MSIP_Label_6bd9ddd1-4d20-43f6-abfa-fc3c07406f94_ContentBits">
    <vt:lpwstr>0</vt:lpwstr>
  </property>
</Properties>
</file>