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27C06" w14:textId="3CC8DBCE" w:rsidR="00845EB1" w:rsidRPr="0068244B" w:rsidRDefault="00845EB1" w:rsidP="00845EB1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IT</w:t>
      </w:r>
      <w:r>
        <w:t xml:space="preserve"> </w:t>
      </w:r>
      <w:r>
        <w:br/>
      </w:r>
      <w:r>
        <w:rPr>
          <w:rFonts w:ascii="Times New Roman" w:hAnsi="Times New Roman"/>
          <w:b/>
          <w:sz w:val="24"/>
        </w:rPr>
        <w:t>ALLEGATO VIII</w:t>
      </w:r>
    </w:p>
    <w:p w14:paraId="7586364F" w14:textId="77777777" w:rsidR="00923A16" w:rsidRPr="00403919" w:rsidRDefault="00923A16" w:rsidP="00845EB1">
      <w:pPr>
        <w:jc w:val="center"/>
        <w:rPr>
          <w:rFonts w:ascii="Times New Roman" w:hAnsi="Times New Roman"/>
          <w:b/>
          <w:sz w:val="24"/>
        </w:rPr>
      </w:pPr>
    </w:p>
    <w:p w14:paraId="38DE6923" w14:textId="77777777" w:rsidR="00923A16" w:rsidRPr="00403919" w:rsidRDefault="00923A16" w:rsidP="00845EB1">
      <w:pPr>
        <w:jc w:val="center"/>
        <w:rPr>
          <w:rFonts w:ascii="Times New Roman" w:hAnsi="Times New Roman"/>
          <w:b/>
          <w:sz w:val="24"/>
        </w:rPr>
      </w:pPr>
    </w:p>
    <w:p w14:paraId="60311301" w14:textId="6E170F77" w:rsidR="0040604D" w:rsidRPr="00403919" w:rsidRDefault="00515147" w:rsidP="00845EB1">
      <w:pPr>
        <w:jc w:val="center"/>
        <w:rPr>
          <w:rFonts w:ascii="Times New Roman" w:hAnsi="Times New Roman"/>
          <w:b/>
          <w:sz w:val="24"/>
          <w:szCs w:val="32"/>
          <w:u w:val="single"/>
        </w:rPr>
      </w:pPr>
      <w:r w:rsidRPr="00403919">
        <w:rPr>
          <w:rFonts w:ascii="Times New Roman" w:hAnsi="Times New Roman"/>
          <w:b/>
          <w:sz w:val="24"/>
          <w:szCs w:val="32"/>
          <w:u w:val="single"/>
        </w:rPr>
        <w:t>"ALLEGATO XXI</w:t>
      </w:r>
    </w:p>
    <w:p w14:paraId="55B2E7E1" w14:textId="45F1B4D9" w:rsidR="0040604D" w:rsidRPr="00403919" w:rsidRDefault="0040604D" w:rsidP="00D02291">
      <w:pPr>
        <w:jc w:val="center"/>
        <w:rPr>
          <w:rFonts w:ascii="Times New Roman" w:hAnsi="Times New Roman"/>
          <w:b/>
          <w:sz w:val="24"/>
          <w:szCs w:val="32"/>
        </w:rPr>
      </w:pPr>
      <w:r w:rsidRPr="00403919">
        <w:rPr>
          <w:rFonts w:ascii="Times New Roman" w:hAnsi="Times New Roman"/>
          <w:b/>
          <w:sz w:val="24"/>
          <w:szCs w:val="32"/>
        </w:rPr>
        <w:t>ISTRUZIONI PER LA COMPILAZIONE DEL MODELLO RELATIVO ALLA CONCENTRAZIONE DELLA CAPACITÀ DI COMPENSAZIONE (C 71.00) DELL’ALLEGATO XX</w:t>
      </w:r>
    </w:p>
    <w:p w14:paraId="4B767D67" w14:textId="77777777" w:rsidR="0040604D" w:rsidRPr="0068244B" w:rsidRDefault="0040604D" w:rsidP="00845EB1">
      <w:pPr>
        <w:pStyle w:val="InstructionsText"/>
      </w:pPr>
    </w:p>
    <w:p w14:paraId="1BB5AA04" w14:textId="388BB032" w:rsidR="00E05204" w:rsidRPr="0068244B" w:rsidRDefault="00E05204" w:rsidP="00E05204">
      <w:pPr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Concentrazione della capacità di compensazione per emittente/controparte (CCC) (C</w:t>
      </w:r>
      <w:r w:rsidR="00403919">
        <w:rPr>
          <w:rFonts w:ascii="Times New Roman" w:hAnsi="Times New Roman"/>
          <w:sz w:val="24"/>
          <w:u w:val="single"/>
        </w:rPr>
        <w:t> </w:t>
      </w:r>
      <w:r>
        <w:rPr>
          <w:rFonts w:ascii="Times New Roman" w:hAnsi="Times New Roman"/>
          <w:sz w:val="24"/>
          <w:u w:val="single"/>
        </w:rPr>
        <w:t>71.00)</w:t>
      </w:r>
    </w:p>
    <w:p w14:paraId="23482DE0" w14:textId="77777777" w:rsidR="00111A31" w:rsidRPr="0068244B" w:rsidRDefault="00111A31" w:rsidP="00845EB1">
      <w:pPr>
        <w:pStyle w:val="InstructionsText"/>
      </w:pPr>
    </w:p>
    <w:p w14:paraId="2314BCB9" w14:textId="3D6E6875" w:rsidR="00B1719D" w:rsidRPr="0068244B" w:rsidRDefault="00292B75" w:rsidP="00292B75">
      <w:pPr>
        <w:widowControl w:val="0"/>
        <w:spacing w:before="0" w:after="0" w:line="280" w:lineRule="atLeast"/>
        <w:ind w:left="714" w:hanging="357"/>
        <w:rPr>
          <w:rFonts w:ascii="Times New Roman" w:hAnsi="Times New Roman"/>
          <w:sz w:val="24"/>
        </w:rPr>
      </w:pPr>
      <w:r w:rsidRPr="00403919">
        <w:rPr>
          <w:rFonts w:ascii="Times New Roman" w:hAnsi="Times New Roman"/>
          <w:sz w:val="24"/>
        </w:rPr>
        <w:t>1.</w:t>
      </w:r>
      <w:r w:rsidRPr="00403919">
        <w:rPr>
          <w:sz w:val="24"/>
        </w:rPr>
        <w:tab/>
      </w:r>
      <w:r w:rsidRPr="00403919">
        <w:rPr>
          <w:rFonts w:ascii="Times New Roman" w:hAnsi="Times New Roman"/>
          <w:sz w:val="24"/>
        </w:rPr>
        <w:t>Per</w:t>
      </w:r>
      <w:r>
        <w:rPr>
          <w:rFonts w:ascii="Times New Roman" w:hAnsi="Times New Roman"/>
          <w:sz w:val="24"/>
        </w:rPr>
        <w:t xml:space="preserve"> raccogliere informazioni sulla concentrazione della capacità di compensazione degli enti segnalanti con riferimento alle dieci principali attività detenute o linee di liquidità concesse all'ente a tale scopo nell'ambito del modello C 71.00, gli enti applicano le istruzioni contenute nel presente allegato.</w:t>
      </w:r>
    </w:p>
    <w:p w14:paraId="6D98D095" w14:textId="6A747233" w:rsidR="00672B1B" w:rsidRPr="0068244B" w:rsidRDefault="00292B75" w:rsidP="00292B75">
      <w:pPr>
        <w:widowControl w:val="0"/>
        <w:spacing w:before="0" w:after="0" w:line="280" w:lineRule="atLeast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>
        <w:tab/>
      </w:r>
      <w:r>
        <w:rPr>
          <w:rFonts w:ascii="Times New Roman" w:hAnsi="Times New Roman"/>
          <w:sz w:val="24"/>
        </w:rPr>
        <w:t xml:space="preserve">Se all'emittente o alla controparte è assegnato più di un tipo di prodotto, valuta o classe di merito di credito, è segnalato l'importo totale. Il tipo di prodotto, valuta o classe di merito di credito da segnalare sono quelli che sono rilevanti per la quota più elevata della concentrazione della capacità di compensazione. </w:t>
      </w:r>
    </w:p>
    <w:p w14:paraId="1A86D9FE" w14:textId="2D9CE2DF" w:rsidR="00FF4741" w:rsidRPr="0068244B" w:rsidRDefault="00292B75" w:rsidP="00292B75">
      <w:pPr>
        <w:widowControl w:val="0"/>
        <w:spacing w:before="0" w:after="0" w:line="280" w:lineRule="atLeast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</w:t>
      </w:r>
      <w:r>
        <w:tab/>
      </w:r>
      <w:r>
        <w:rPr>
          <w:rFonts w:ascii="Times New Roman" w:hAnsi="Times New Roman"/>
          <w:sz w:val="24"/>
        </w:rPr>
        <w:t>La capacità di compensazione in C 71.00 è la stessa che in C 66.01, ma le attività segnalate come capacità di compensazione ai fini di C 71.00 devono essere prive di gravami, in modo che l'ente possa convertirle in contanti alla data di riferimento per le segnalazioni.</w:t>
      </w:r>
    </w:p>
    <w:p w14:paraId="52C95F92" w14:textId="76B8503D" w:rsidR="00EF029F" w:rsidRPr="0068244B" w:rsidRDefault="00292B75" w:rsidP="00292B75">
      <w:pPr>
        <w:widowControl w:val="0"/>
        <w:spacing w:before="0" w:after="0" w:line="280" w:lineRule="atLeast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</w:t>
      </w:r>
      <w:r>
        <w:tab/>
      </w:r>
      <w:r>
        <w:rPr>
          <w:rFonts w:ascii="Times New Roman" w:hAnsi="Times New Roman"/>
          <w:sz w:val="24"/>
        </w:rPr>
        <w:t>Per il calcolo delle concentrazioni ai fini del modello di segnalazione C 71.00 per valuta rilevante, gli enti utilizzano le concentrazioni in tutte le valute.</w:t>
      </w:r>
    </w:p>
    <w:p w14:paraId="5D592CDE" w14:textId="137C55E0" w:rsidR="0005633D" w:rsidRPr="0068244B" w:rsidRDefault="00292B75" w:rsidP="00292B75">
      <w:pPr>
        <w:widowControl w:val="0"/>
        <w:spacing w:before="0" w:after="0" w:line="280" w:lineRule="atLeast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</w:t>
      </w:r>
      <w:r>
        <w:tab/>
      </w:r>
      <w:r>
        <w:rPr>
          <w:rFonts w:ascii="Times New Roman" w:hAnsi="Times New Roman"/>
          <w:sz w:val="24"/>
        </w:rPr>
        <w:t>Se appartengono a diversi gruppi di clienti connessi, l'emittente o la controparte vengono segnalati solo una volta nel gruppo con la concentrazione della capacità di compensazione più elevata.</w:t>
      </w:r>
    </w:p>
    <w:p w14:paraId="2C0B2260" w14:textId="45FF6BEE" w:rsidR="00CB05F9" w:rsidRPr="0068244B" w:rsidRDefault="00292B75" w:rsidP="008C0F1F">
      <w:pPr>
        <w:widowControl w:val="0"/>
        <w:spacing w:before="0" w:after="0" w:line="280" w:lineRule="atLeast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</w:t>
      </w:r>
      <w:r>
        <w:tab/>
      </w:r>
      <w:r>
        <w:rPr>
          <w:rFonts w:ascii="Times New Roman" w:hAnsi="Times New Roman"/>
          <w:sz w:val="24"/>
        </w:rPr>
        <w:t>Fatta eccezione per la riga 0120, le concentrazioni di capacità di compensazione con una banca centrale come emittente o controparte non sono segnalate in questo modello. Nel caso in cui l'ente ha già posizionato attività presso una banca centrale per le operazioni di liquidità standard e nella misura in cui tali attività rientrino nella categoria dei dieci principali emittenti o controparti con capacità di compensazione priva di gravame, l’ente segnala l’emittente e il tipo di prodotto originari.</w:t>
      </w:r>
    </w:p>
    <w:p w14:paraId="423289FA" w14:textId="77777777" w:rsidR="00E05204" w:rsidRPr="00403919" w:rsidRDefault="00E05204" w:rsidP="00E05204">
      <w:pPr>
        <w:rPr>
          <w:rFonts w:ascii="Times New Roman" w:hAnsi="Times New Roman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0"/>
        <w:gridCol w:w="7266"/>
      </w:tblGrid>
      <w:tr w:rsidR="00E05204" w:rsidRPr="0068244B" w14:paraId="4310E2B4" w14:textId="77777777" w:rsidTr="00845EB1">
        <w:tc>
          <w:tcPr>
            <w:tcW w:w="990" w:type="dxa"/>
            <w:shd w:val="clear" w:color="auto" w:fill="EEECE1" w:themeFill="background2"/>
          </w:tcPr>
          <w:p w14:paraId="27E41224" w14:textId="77777777" w:rsidR="00E05204" w:rsidRPr="0068244B" w:rsidRDefault="00E05204" w:rsidP="00E31CA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Colonna</w:t>
            </w:r>
          </w:p>
        </w:tc>
        <w:tc>
          <w:tcPr>
            <w:tcW w:w="7306" w:type="dxa"/>
            <w:shd w:val="clear" w:color="auto" w:fill="EEECE1" w:themeFill="background2"/>
          </w:tcPr>
          <w:p w14:paraId="7398AC24" w14:textId="77777777" w:rsidR="00E05204" w:rsidRPr="0068244B" w:rsidRDefault="00E05204" w:rsidP="00E31CA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Riferimenti giuridici e istruzioni</w:t>
            </w:r>
          </w:p>
        </w:tc>
      </w:tr>
      <w:tr w:rsidR="00E05204" w:rsidRPr="0068244B" w14:paraId="32AA40F1" w14:textId="77777777" w:rsidTr="00845EB1">
        <w:tc>
          <w:tcPr>
            <w:tcW w:w="990" w:type="dxa"/>
          </w:tcPr>
          <w:p w14:paraId="79D5F65E" w14:textId="172F12E8" w:rsidR="00E05204" w:rsidRPr="0068244B" w:rsidRDefault="00D47672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306" w:type="dxa"/>
          </w:tcPr>
          <w:p w14:paraId="20597254" w14:textId="73E89BCB" w:rsidR="00E05204" w:rsidRPr="0068244B" w:rsidRDefault="004C1638" w:rsidP="00D665F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Nome dell'emittente</w:t>
            </w:r>
          </w:p>
          <w:p w14:paraId="36B02E7E" w14:textId="3FDFB966" w:rsidR="00E05204" w:rsidRPr="0068244B" w:rsidRDefault="00E05204" w:rsidP="00D665F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 nome dei dieci principali emittenti di attività non vincolate o controparti di linee di liquidità irrevocabili non utilizzate concesse all'ente è registrato nella colonna 0010 in modo discendente. L'elemento più consistente sarà registrato alla voce 1.01, il secondo alla voce 1.02 e così via.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Gli emittenti </w:t>
            </w:r>
            <w:r>
              <w:rPr>
                <w:rFonts w:ascii="Times New Roman" w:hAnsi="Times New Roman"/>
                <w:sz w:val="24"/>
              </w:rPr>
              <w:lastRenderedPageBreak/>
              <w:t>e le controparti che costituiscono un gruppo di clienti connessi sono segnalati come un’unica concentrazione.</w:t>
            </w:r>
          </w:p>
          <w:p w14:paraId="4E01B5DA" w14:textId="4F0E946D" w:rsidR="00E05204" w:rsidRPr="0068244B" w:rsidRDefault="00E05204" w:rsidP="00C05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 nome dell'emittente o della controparte è la denominazione completa del soggetto giuridico che ha emesso le attività o ha concesso le linee di liquidità, compreso qualsiasi riferimento al tipo di società conformemente al diritto societario nazionale.</w:t>
            </w:r>
          </w:p>
        </w:tc>
      </w:tr>
      <w:tr w:rsidR="00E05204" w:rsidRPr="0068244B" w14:paraId="5485249F" w14:textId="77777777" w:rsidTr="00845EB1">
        <w:tc>
          <w:tcPr>
            <w:tcW w:w="990" w:type="dxa"/>
          </w:tcPr>
          <w:p w14:paraId="488A21BC" w14:textId="3FB00318" w:rsidR="00E05204" w:rsidRPr="0068244B" w:rsidRDefault="00125C48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0020</w:t>
            </w:r>
          </w:p>
        </w:tc>
        <w:tc>
          <w:tcPr>
            <w:tcW w:w="7306" w:type="dxa"/>
          </w:tcPr>
          <w:p w14:paraId="763D0E5F" w14:textId="77777777" w:rsidR="00E05204" w:rsidRPr="0068244B" w:rsidRDefault="00E05204" w:rsidP="00C05CCA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Codice LEI</w:t>
            </w:r>
          </w:p>
          <w:p w14:paraId="7861A1B2" w14:textId="0A8A8B52" w:rsidR="00E05204" w:rsidRPr="0068244B" w:rsidRDefault="00E05204" w:rsidP="00C05CCA">
            <w:pPr>
              <w:rPr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Codice identificativo del soggetto giuridico della controparte. </w:t>
            </w:r>
          </w:p>
        </w:tc>
      </w:tr>
      <w:tr w:rsidR="00E05204" w:rsidRPr="0068244B" w14:paraId="2B1BAA00" w14:textId="77777777" w:rsidTr="00845EB1">
        <w:tc>
          <w:tcPr>
            <w:tcW w:w="990" w:type="dxa"/>
          </w:tcPr>
          <w:p w14:paraId="12DAC473" w14:textId="0D9F5636" w:rsidR="00E05204" w:rsidRPr="0068244B" w:rsidRDefault="00125C48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306" w:type="dxa"/>
          </w:tcPr>
          <w:p w14:paraId="6DAF3DB3" w14:textId="4B8E1486" w:rsidR="00E05204" w:rsidRPr="0068244B" w:rsidRDefault="004C1638" w:rsidP="00D665F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Settore dell'emittente</w:t>
            </w:r>
          </w:p>
          <w:p w14:paraId="62F53B63" w14:textId="5D0C886D" w:rsidR="00E05204" w:rsidRPr="0068244B" w:rsidRDefault="00E05204" w:rsidP="00845EB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 ciascun emittente o controparte è attribuito un settore sulla base delle seguenti classi di settori economici per l'informativa finanziaria (FINREP) (cfr. allegato V, parte 1, del presente regolamento di esecuzione):</w:t>
            </w:r>
          </w:p>
          <w:p w14:paraId="563180C8" w14:textId="31A14F6F" w:rsidR="00E05204" w:rsidRPr="0068244B" w:rsidRDefault="00E05204" w:rsidP="00845EB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i) amministrazioni pubbliche; ii) enti creditizi; iii) altre società finanziarie; iv) società non finanziarie; v) famiglie. </w:t>
            </w:r>
          </w:p>
          <w:p w14:paraId="3E53ACDF" w14:textId="14712E31" w:rsidR="00E05204" w:rsidRPr="0068244B" w:rsidRDefault="00E05204" w:rsidP="008C0F1F">
            <w:pPr>
              <w:rPr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Per</w:t>
            </w:r>
            <w:r>
              <w:rPr>
                <w:rFonts w:ascii="Times New Roman" w:hAnsi="Times New Roman"/>
                <w:sz w:val="24"/>
              </w:rPr>
              <w:t xml:space="preserve"> i gruppi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di clienti connessi non viene segnalato alcun settore. </w:t>
            </w:r>
          </w:p>
        </w:tc>
      </w:tr>
      <w:tr w:rsidR="00E05204" w:rsidRPr="0068244B" w14:paraId="66F40C8E" w14:textId="77777777" w:rsidTr="00845EB1">
        <w:tc>
          <w:tcPr>
            <w:tcW w:w="990" w:type="dxa"/>
          </w:tcPr>
          <w:p w14:paraId="5F55844F" w14:textId="059AC78A" w:rsidR="00E05204" w:rsidRPr="0068244B" w:rsidRDefault="00125C48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306" w:type="dxa"/>
          </w:tcPr>
          <w:p w14:paraId="6EC1C162" w14:textId="488287EA" w:rsidR="00E05204" w:rsidRPr="0068244B" w:rsidRDefault="00E05204" w:rsidP="00D665F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Residenza dell'emittente </w:t>
            </w:r>
          </w:p>
          <w:p w14:paraId="0F33DF35" w14:textId="1A6D87BA" w:rsidR="00E05204" w:rsidRPr="0068244B" w:rsidRDefault="00E05204" w:rsidP="00C05CCA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Si utilizza il codice ISO 3166-1-alpha-2 del paese in cui l'emittente o la controparte ha sede (tra cui gli pseudo-codici ISO per le organizzazioni internazionali</w:t>
            </w:r>
            <w:r>
              <w:rPr>
                <w:rFonts w:ascii="Times New Roman" w:hAnsi="Times New Roman"/>
                <w:sz w:val="24"/>
              </w:rPr>
              <w:t xml:space="preserve">, disponibili nell'ultima edizione del </w:t>
            </w:r>
            <w:r w:rsidR="00403919" w:rsidRPr="00403919">
              <w:rPr>
                <w:rFonts w:ascii="Times New Roman" w:hAnsi="Times New Roman"/>
                <w:sz w:val="24"/>
              </w:rPr>
              <w:t>"</w:t>
            </w:r>
            <w:r>
              <w:rPr>
                <w:rFonts w:ascii="Times New Roman" w:hAnsi="Times New Roman"/>
                <w:sz w:val="24"/>
              </w:rPr>
              <w:t>vademecum di Eurostat sulla bilancia dei pagamenti</w:t>
            </w:r>
            <w:r w:rsidR="00403919" w:rsidRPr="00403919">
              <w:rPr>
                <w:rFonts w:ascii="Times New Roman" w:hAnsi="Times New Roman"/>
                <w:sz w:val="24"/>
              </w:rPr>
              <w:t>"</w:t>
            </w:r>
            <w:r>
              <w:rPr>
                <w:rFonts w:ascii="Times New Roman" w:hAnsi="Times New Roman"/>
                <w:sz w:val="24"/>
              </w:rPr>
              <w:t>)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. </w:t>
            </w:r>
          </w:p>
          <w:p w14:paraId="60598FF1" w14:textId="5505D19C" w:rsidR="00E05204" w:rsidRPr="0068244B" w:rsidRDefault="00E05204" w:rsidP="00C05CCA">
            <w:pPr>
              <w:rPr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Per i gruppi di clienti connessi non viene segnalato il paese. </w:t>
            </w:r>
          </w:p>
        </w:tc>
      </w:tr>
      <w:tr w:rsidR="00E05204" w:rsidRPr="0068244B" w14:paraId="0F08D697" w14:textId="77777777" w:rsidTr="00845EB1">
        <w:tc>
          <w:tcPr>
            <w:tcW w:w="990" w:type="dxa"/>
          </w:tcPr>
          <w:p w14:paraId="3B929507" w14:textId="2C8459FF" w:rsidR="00E05204" w:rsidRPr="0068244B" w:rsidRDefault="00D47672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7306" w:type="dxa"/>
          </w:tcPr>
          <w:p w14:paraId="016C0789" w14:textId="77777777" w:rsidR="00E05204" w:rsidRPr="0068244B" w:rsidRDefault="00E05204" w:rsidP="00D665F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Tipo di prodotto</w:t>
            </w:r>
          </w:p>
          <w:p w14:paraId="7DC48699" w14:textId="4D5DEEF0" w:rsidR="00E05204" w:rsidRPr="0068244B" w:rsidRDefault="00E05204" w:rsidP="00D665F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Agli emittenti/alle controparti registrati nella colonna 0010 è assegnato un tipo di prodotto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corrispondente</w:t>
            </w:r>
            <w:r>
              <w:rPr>
                <w:rFonts w:ascii="Times New Roman" w:hAnsi="Times New Roman"/>
                <w:sz w:val="24"/>
              </w:rPr>
              <w:t xml:space="preserve"> al prodotto in cui è detenuta l'attività o in cui è stata ricevuta la linea di liquidità standby utilizzando i seguenti codici indicati in grassetto:</w:t>
            </w:r>
          </w:p>
          <w:p w14:paraId="1CB9AEA2" w14:textId="77777777" w:rsidR="00E05204" w:rsidRPr="0068244B" w:rsidRDefault="00E05204" w:rsidP="00D665FC">
            <w:pPr>
              <w:rPr>
                <w:rFonts w:ascii="Times New Roman" w:hAnsi="Times New Roman"/>
                <w:sz w:val="24"/>
              </w:rPr>
            </w:pPr>
            <w:bookmarkStart w:id="0" w:name="OLE_LINK1"/>
            <w:r>
              <w:rPr>
                <w:rFonts w:ascii="Times New Roman" w:hAnsi="Times New Roman"/>
                <w:b/>
                <w:sz w:val="24"/>
              </w:rPr>
              <w:t>SrB</w:t>
            </w:r>
            <w:r>
              <w:rPr>
                <w:rFonts w:ascii="Times New Roman" w:hAnsi="Times New Roman"/>
                <w:sz w:val="24"/>
              </w:rPr>
              <w:t xml:space="preserve"> (obbligazione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senior</w:t>
            </w:r>
            <w:r>
              <w:rPr>
                <w:rFonts w:ascii="Times New Roman" w:hAnsi="Times New Roman"/>
                <w:sz w:val="24"/>
              </w:rPr>
              <w:t xml:space="preserve">); </w:t>
            </w:r>
          </w:p>
          <w:p w14:paraId="6ADB0D10" w14:textId="77777777" w:rsidR="00E05204" w:rsidRPr="0068244B" w:rsidRDefault="00E05204" w:rsidP="00D665F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SubB</w:t>
            </w:r>
            <w:r>
              <w:rPr>
                <w:rFonts w:ascii="Times New Roman" w:hAnsi="Times New Roman"/>
                <w:sz w:val="24"/>
              </w:rPr>
              <w:t xml:space="preserve"> (obbligazione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subordinata</w:t>
            </w:r>
            <w:r>
              <w:rPr>
                <w:rFonts w:ascii="Times New Roman" w:hAnsi="Times New Roman"/>
                <w:sz w:val="24"/>
              </w:rPr>
              <w:t>);</w:t>
            </w:r>
          </w:p>
          <w:p w14:paraId="08EFBEC2" w14:textId="77777777" w:rsidR="00E05204" w:rsidRPr="0068244B" w:rsidRDefault="00E05204" w:rsidP="00A36F2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CP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Commercial</w:t>
            </w:r>
            <w:r>
              <w:rPr>
                <w:rFonts w:ascii="Times New Roman" w:hAnsi="Times New Roman"/>
                <w:i/>
                <w:sz w:val="24"/>
              </w:rPr>
              <w:t xml:space="preserve"> Paper</w:t>
            </w:r>
            <w:r>
              <w:rPr>
                <w:rFonts w:ascii="Times New Roman" w:hAnsi="Times New Roman"/>
                <w:sz w:val="24"/>
              </w:rPr>
              <w:t>);</w:t>
            </w:r>
          </w:p>
          <w:p w14:paraId="71AB267C" w14:textId="77777777" w:rsidR="00E05204" w:rsidRPr="0068244B" w:rsidRDefault="00E0520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CB</w:t>
            </w:r>
            <w:r>
              <w:rPr>
                <w:rFonts w:ascii="Times New Roman" w:hAnsi="Times New Roman"/>
                <w:sz w:val="24"/>
              </w:rPr>
              <w:t xml:space="preserve"> (obbligazioni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garantite</w:t>
            </w:r>
            <w:r>
              <w:rPr>
                <w:rFonts w:ascii="Times New Roman" w:hAnsi="Times New Roman"/>
                <w:sz w:val="24"/>
              </w:rPr>
              <w:t xml:space="preserve">); </w:t>
            </w:r>
          </w:p>
          <w:p w14:paraId="16004F55" w14:textId="644C50DD" w:rsidR="00E05204" w:rsidRPr="0068244B" w:rsidRDefault="00E0520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US (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titolo</w:t>
            </w:r>
            <w:r>
              <w:rPr>
                <w:rFonts w:ascii="Times New Roman" w:hAnsi="Times New Roman"/>
                <w:sz w:val="24"/>
              </w:rPr>
              <w:t xml:space="preserve"> OICVM, ossia strumenti finanziari che rappresentano un'azione o un titolo emessa/o da un organismo d'investimento collettivo in valori mobiliari);</w:t>
            </w:r>
          </w:p>
          <w:p w14:paraId="2E54EB88" w14:textId="77777777" w:rsidR="00E05204" w:rsidRPr="0068244B" w:rsidRDefault="00E0520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ABS</w:t>
            </w:r>
            <w:r>
              <w:rPr>
                <w:rFonts w:ascii="Times New Roman" w:hAnsi="Times New Roman"/>
                <w:sz w:val="24"/>
              </w:rPr>
              <w:t xml:space="preserve"> (titolo garantito da attività);</w:t>
            </w:r>
          </w:p>
          <w:p w14:paraId="47B806DE" w14:textId="77777777" w:rsidR="00E05204" w:rsidRPr="0068244B" w:rsidRDefault="00E0520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CrCl</w:t>
            </w:r>
            <w:r>
              <w:rPr>
                <w:rFonts w:ascii="Times New Roman" w:hAnsi="Times New Roman"/>
                <w:sz w:val="24"/>
              </w:rPr>
              <w:t xml:space="preserve"> (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credito</w:t>
            </w:r>
            <w:r>
              <w:rPr>
                <w:rFonts w:ascii="Times New Roman" w:hAnsi="Times New Roman"/>
                <w:sz w:val="24"/>
              </w:rPr>
              <w:t>);</w:t>
            </w:r>
          </w:p>
          <w:p w14:paraId="77F497F4" w14:textId="77777777" w:rsidR="00E05204" w:rsidRPr="0068244B" w:rsidRDefault="00E0520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Eq</w:t>
            </w:r>
            <w:r>
              <w:rPr>
                <w:rFonts w:ascii="Times New Roman" w:hAnsi="Times New Roman"/>
                <w:sz w:val="24"/>
              </w:rPr>
              <w:t xml:space="preserve"> (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strumento di capitale</w:t>
            </w:r>
            <w:r>
              <w:rPr>
                <w:rFonts w:ascii="Times New Roman" w:hAnsi="Times New Roman"/>
                <w:sz w:val="24"/>
              </w:rPr>
              <w:t>);</w:t>
            </w:r>
          </w:p>
          <w:p w14:paraId="3F4E3AAB" w14:textId="396B9AF6" w:rsidR="00E05204" w:rsidRPr="0068244B" w:rsidRDefault="00E0520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Oro (se oro fisico, che può essere trattato come un'unica controparte);</w:t>
            </w:r>
          </w:p>
          <w:p w14:paraId="6AE61C73" w14:textId="77777777" w:rsidR="00E05204" w:rsidRPr="0068244B" w:rsidRDefault="00E0520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LiqL</w:t>
            </w:r>
            <w:r>
              <w:rPr>
                <w:rFonts w:ascii="Times New Roman" w:hAnsi="Times New Roman"/>
                <w:sz w:val="24"/>
              </w:rPr>
              <w:t xml:space="preserve"> (linea di liquidità irrevocabile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non utilizzata</w:t>
            </w:r>
            <w:r>
              <w:rPr>
                <w:rFonts w:ascii="Times New Roman" w:hAnsi="Times New Roman"/>
                <w:sz w:val="24"/>
              </w:rPr>
              <w:t xml:space="preserve"> concessa all'ente);</w:t>
            </w:r>
          </w:p>
          <w:p w14:paraId="23B5C30F" w14:textId="77777777" w:rsidR="00E05204" w:rsidRPr="0068244B" w:rsidRDefault="00E0520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OPT</w:t>
            </w:r>
            <w:r>
              <w:rPr>
                <w:rFonts w:ascii="Times New Roman" w:hAnsi="Times New Roman"/>
                <w:sz w:val="24"/>
              </w:rPr>
              <w:t xml:space="preserve"> (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Altro</w:t>
            </w:r>
            <w:r>
              <w:rPr>
                <w:rFonts w:ascii="Times New Roman" w:hAnsi="Times New Roman"/>
                <w:sz w:val="24"/>
              </w:rPr>
              <w:t xml:space="preserve"> tipo di prodotto).</w:t>
            </w:r>
            <w:bookmarkEnd w:id="0"/>
          </w:p>
        </w:tc>
      </w:tr>
      <w:tr w:rsidR="00E05204" w:rsidRPr="0068244B" w14:paraId="4C932A7E" w14:textId="77777777" w:rsidTr="00845EB1">
        <w:tc>
          <w:tcPr>
            <w:tcW w:w="990" w:type="dxa"/>
          </w:tcPr>
          <w:p w14:paraId="611D24E9" w14:textId="2F1E489F" w:rsidR="00E05204" w:rsidRPr="0068244B" w:rsidRDefault="00125C48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0060</w:t>
            </w:r>
          </w:p>
        </w:tc>
        <w:tc>
          <w:tcPr>
            <w:tcW w:w="7306" w:type="dxa"/>
          </w:tcPr>
          <w:p w14:paraId="361DF87B" w14:textId="77777777" w:rsidR="00E05204" w:rsidRPr="0068244B" w:rsidRDefault="00E05204" w:rsidP="00D665F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Valuta</w:t>
            </w:r>
          </w:p>
          <w:p w14:paraId="1D458B95" w14:textId="403BDA7B" w:rsidR="00C05CCA" w:rsidRPr="0068244B" w:rsidRDefault="004C1638" w:rsidP="00D665F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Agli emittenti o alle controparti registrati nella colonna 0010 è assegnato un codice ISO della valuta nella colonna 0060 corrispondente alla denominazione dell'attività ricevuta o delle linee di liquidità irrevocabili non utilizzate concesse all'ente. È segnalato il codice unitario della valuta, formato da tre lettere, conformemente alla ISO 4217. </w:t>
            </w:r>
          </w:p>
          <w:p w14:paraId="74611C9A" w14:textId="7CC928F5" w:rsidR="00774708" w:rsidRPr="0068244B" w:rsidRDefault="00047ECB" w:rsidP="00BC58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Se fa parte di una concentrazione della capacità di compensazione, la linea multivaluta è conteggiata nella valuta prevalente nel resto della concentrazione. Per quanto riguarda la segnalazione separata in valute rilevanti di cui all'articolo 415, paragrafo 2, del regolamento (UE) n. 575/2013, gli enti effettuano una valutazione della valuta in cui è probabile che si verifichi il flusso e segnalano la voce solo in detta valuta rilevante, in linea con le istruzioni per la segnalazione separata di valute rilevanti nel requisito di copertura della liquidità (LCR), a norma del regolamento (UE) 2021/451.</w:t>
            </w:r>
          </w:p>
        </w:tc>
      </w:tr>
      <w:tr w:rsidR="00E05204" w:rsidRPr="0068244B" w14:paraId="73A43F51" w14:textId="77777777" w:rsidTr="00845EB1">
        <w:tc>
          <w:tcPr>
            <w:tcW w:w="990" w:type="dxa"/>
          </w:tcPr>
          <w:p w14:paraId="44D208DA" w14:textId="23F6D9FD" w:rsidR="00E05204" w:rsidRPr="0068244B" w:rsidRDefault="00125C48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306" w:type="dxa"/>
          </w:tcPr>
          <w:p w14:paraId="48AA6E4F" w14:textId="77777777" w:rsidR="00E05204" w:rsidRPr="0068244B" w:rsidRDefault="00E05204" w:rsidP="00047ECB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Classe di merito di credito</w:t>
            </w:r>
          </w:p>
          <w:p w14:paraId="692CB839" w14:textId="4FEB8CF9" w:rsidR="00E05204" w:rsidRPr="0068244B" w:rsidRDefault="00966F82" w:rsidP="00C05CCA">
            <w:pPr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Deve essere assegnata la classe di merito di credito appropriata in conformità al regolamento (UE) n. 575/2013, che è la stessa delle voci segnalate nelle fasce di scadenza. In assenza di rating, è assegnata la classe </w:t>
            </w:r>
            <w:r w:rsidR="00403919" w:rsidRPr="00403919">
              <w:rPr>
                <w:rFonts w:ascii="Times New Roman" w:hAnsi="Times New Roman"/>
                <w:sz w:val="24"/>
              </w:rPr>
              <w:t>"</w:t>
            </w:r>
            <w:r>
              <w:rPr>
                <w:rFonts w:ascii="Times New Roman" w:hAnsi="Times New Roman"/>
                <w:sz w:val="24"/>
              </w:rPr>
              <w:t>priva di rating</w:t>
            </w:r>
            <w:r w:rsidR="00403919" w:rsidRPr="00403919">
              <w:rPr>
                <w:rFonts w:ascii="Times New Roman" w:hAnsi="Times New Roman"/>
                <w:sz w:val="24"/>
              </w:rPr>
              <w:t>"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E05204" w:rsidRPr="0068244B" w14:paraId="2461383F" w14:textId="77777777" w:rsidTr="00845EB1">
        <w:tc>
          <w:tcPr>
            <w:tcW w:w="990" w:type="dxa"/>
          </w:tcPr>
          <w:p w14:paraId="7F1DF3BE" w14:textId="04859E06" w:rsidR="00E05204" w:rsidRPr="0068244B" w:rsidRDefault="00125C48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306" w:type="dxa"/>
          </w:tcPr>
          <w:p w14:paraId="3B1CC0D3" w14:textId="77777777" w:rsidR="00E05204" w:rsidRPr="0068244B" w:rsidRDefault="00E05204" w:rsidP="00047ECB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Valore di mercato/nominale</w:t>
            </w:r>
          </w:p>
          <w:p w14:paraId="78CE7B68" w14:textId="6F7E8537" w:rsidR="00E05204" w:rsidRPr="0068244B" w:rsidRDefault="00E05204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Il valore di mercato o il fair value (valore equo) delle attività o, se del caso, il valore nominale della linea di liquidità non utilizzata concessa all'ente. </w:t>
            </w:r>
          </w:p>
        </w:tc>
      </w:tr>
      <w:tr w:rsidR="00E05204" w:rsidRPr="0068244B" w14:paraId="74EA2D80" w14:textId="77777777" w:rsidTr="00845EB1">
        <w:tc>
          <w:tcPr>
            <w:tcW w:w="990" w:type="dxa"/>
          </w:tcPr>
          <w:p w14:paraId="40B79F48" w14:textId="17099E72" w:rsidR="00E05204" w:rsidRPr="0068244B" w:rsidRDefault="00125C48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306" w:type="dxa"/>
          </w:tcPr>
          <w:p w14:paraId="5F665131" w14:textId="77777777" w:rsidR="00E05204" w:rsidRPr="0068244B" w:rsidRDefault="00E05204" w:rsidP="00047ECB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Valore della garanzia reale stanziabile presso la banca centrale</w:t>
            </w:r>
          </w:p>
          <w:p w14:paraId="507C4FE8" w14:textId="2A6E5839" w:rsidR="00E05204" w:rsidRPr="0068244B" w:rsidRDefault="00E05204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Il valore della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garanzia reale</w:t>
            </w:r>
            <w:r>
              <w:rPr>
                <w:rFonts w:ascii="Times New Roman" w:hAnsi="Times New Roman"/>
                <w:sz w:val="24"/>
              </w:rPr>
              <w:t xml:space="preserve"> secondo le norme della banca centrale relative a operazioni su iniziativa delle controparti per attività specifiche.</w:t>
            </w:r>
          </w:p>
          <w:p w14:paraId="4C124B93" w14:textId="0E66424F" w:rsidR="00BA0551" w:rsidRPr="0068244B" w:rsidRDefault="00B457F4" w:rsidP="005151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Per le attività denominate in una valuta indicata nel regolamento di esecuzione (UE) 2015/233 della Commissione</w:t>
            </w:r>
            <w:r>
              <w:rPr>
                <w:rFonts w:ascii="Times New Roman" w:hAnsi="Times New Roman"/>
                <w:sz w:val="24"/>
                <w:vertAlign w:val="superscript"/>
              </w:rPr>
              <w:t>*</w:t>
            </w:r>
            <w:r>
              <w:rPr>
                <w:rFonts w:ascii="Times New Roman" w:hAnsi="Times New Roman"/>
                <w:sz w:val="24"/>
              </w:rPr>
              <w:t xml:space="preserve"> tra le valute con una definizione estremamente restrittiva di stanziabilità presso una banca centrale, gli enti lasciano vuoto questo campo."</w:t>
            </w:r>
          </w:p>
        </w:tc>
      </w:tr>
    </w:tbl>
    <w:p w14:paraId="2BD524BD" w14:textId="77777777" w:rsidR="00515147" w:rsidRPr="0068244B" w:rsidRDefault="00515147" w:rsidP="00845EB1">
      <w:pPr>
        <w:pStyle w:val="InstructionsText"/>
      </w:pPr>
      <w:r>
        <w:t>______________</w:t>
      </w:r>
    </w:p>
    <w:p w14:paraId="56E0854E" w14:textId="54D1CC6B" w:rsidR="00D02FE4" w:rsidRPr="00845EB1" w:rsidRDefault="00515147" w:rsidP="00515147">
      <w:pPr>
        <w:pStyle w:val="InstructionsText"/>
        <w:rPr>
          <w:rStyle w:val="InstructionsTabelleText"/>
          <w:b/>
        </w:rPr>
      </w:pPr>
      <w:r>
        <w:rPr>
          <w:vertAlign w:val="superscript"/>
        </w:rPr>
        <w:t>*</w:t>
      </w:r>
      <w:r>
        <w:t>Regolamento di esecuzione (UE) 2015/233 della Commissione, del 13 febbraio 2015, che stabilisce norme tecniche di attuazione per quanto riguarda le valute nelle quali vi è una definizione estremamente restrittiva di stanziabilità presso la banca centrale ai sensi del regolamento (UE) n. 575/2013 del Parlamento europeo e del Consiglio (GU</w:t>
      </w:r>
      <w:r w:rsidR="00403919">
        <w:t> </w:t>
      </w:r>
      <w:r>
        <w:t>L</w:t>
      </w:r>
      <w:r w:rsidR="00403919">
        <w:t> </w:t>
      </w:r>
      <w:r>
        <w:t xml:space="preserve">39 del 14.2.2015, pag. 11). </w:t>
      </w:r>
    </w:p>
    <w:sectPr w:rsidR="00D02FE4" w:rsidRPr="00845EB1" w:rsidSect="001C50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130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81C07" w14:textId="77777777" w:rsidR="00E93689" w:rsidRDefault="00E93689">
      <w:r>
        <w:separator/>
      </w:r>
    </w:p>
  </w:endnote>
  <w:endnote w:type="continuationSeparator" w:id="0">
    <w:p w14:paraId="1B0C87B6" w14:textId="77777777" w:rsidR="00E93689" w:rsidRDefault="00E93689">
      <w:r>
        <w:continuationSeparator/>
      </w:r>
    </w:p>
  </w:endnote>
  <w:endnote w:type="continuationNotice" w:id="1">
    <w:p w14:paraId="1FB52F26" w14:textId="77777777" w:rsidR="00E93689" w:rsidRDefault="00E9368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93A16" w14:textId="77777777" w:rsidR="00191FF3" w:rsidRDefault="00191F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01713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CDB5EC" w14:textId="59B7D084" w:rsidR="008E3ABF" w:rsidRDefault="008E3A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75EDC8A2" w14:textId="77777777" w:rsidR="008E3ABF" w:rsidRDefault="008E3AB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0682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C21430" w14:textId="0316AE9F" w:rsidR="009B3D8D" w:rsidRDefault="009B3D8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266E4E64" w14:textId="77777777" w:rsidR="009B3D8D" w:rsidRDefault="009B3D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87DBF" w14:textId="77777777" w:rsidR="00E93689" w:rsidRDefault="00E93689">
      <w:r>
        <w:separator/>
      </w:r>
    </w:p>
  </w:footnote>
  <w:footnote w:type="continuationSeparator" w:id="0">
    <w:p w14:paraId="5AE6DC05" w14:textId="77777777" w:rsidR="00E93689" w:rsidRDefault="00E93689">
      <w:r>
        <w:continuationSeparator/>
      </w:r>
    </w:p>
  </w:footnote>
  <w:footnote w:type="continuationNotice" w:id="1">
    <w:p w14:paraId="6C243A08" w14:textId="77777777" w:rsidR="00E93689" w:rsidRDefault="00E9368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5DF9F" w14:textId="3D370CD7" w:rsidR="00191FF3" w:rsidRDefault="00191F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6DA46" w14:textId="12540B02" w:rsidR="00B85053" w:rsidRDefault="00B85053" w:rsidP="00CB3679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24103" w14:textId="692A2ED8" w:rsidR="00B85053" w:rsidRDefault="00B85053" w:rsidP="001C50E6">
    <w:pPr>
      <w:pStyle w:val="Header"/>
      <w:tabs>
        <w:tab w:val="left" w:pos="2742"/>
        <w:tab w:val="right" w:pos="8306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52CE6"/>
    <w:multiLevelType w:val="hybridMultilevel"/>
    <w:tmpl w:val="451A7CD0"/>
    <w:lvl w:ilvl="0" w:tplc="9CEC86B4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2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0653368">
    <w:abstractNumId w:val="2"/>
  </w:num>
  <w:num w:numId="2" w16cid:durableId="1162936589">
    <w:abstractNumId w:val="1"/>
  </w:num>
  <w:num w:numId="3" w16cid:durableId="75937046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02FE4"/>
    <w:rsid w:val="00003323"/>
    <w:rsid w:val="000038B0"/>
    <w:rsid w:val="00005124"/>
    <w:rsid w:val="0000533E"/>
    <w:rsid w:val="000055AF"/>
    <w:rsid w:val="00007F98"/>
    <w:rsid w:val="00010E6E"/>
    <w:rsid w:val="0001317A"/>
    <w:rsid w:val="00014140"/>
    <w:rsid w:val="000147A2"/>
    <w:rsid w:val="00017710"/>
    <w:rsid w:val="00020037"/>
    <w:rsid w:val="00020D35"/>
    <w:rsid w:val="000222A8"/>
    <w:rsid w:val="00024284"/>
    <w:rsid w:val="00025096"/>
    <w:rsid w:val="00027397"/>
    <w:rsid w:val="000305BD"/>
    <w:rsid w:val="000319E0"/>
    <w:rsid w:val="00032985"/>
    <w:rsid w:val="00032AC7"/>
    <w:rsid w:val="00032D38"/>
    <w:rsid w:val="00033E6A"/>
    <w:rsid w:val="0003410D"/>
    <w:rsid w:val="00036812"/>
    <w:rsid w:val="00037147"/>
    <w:rsid w:val="00045FD6"/>
    <w:rsid w:val="000460CB"/>
    <w:rsid w:val="000473FA"/>
    <w:rsid w:val="00047ECB"/>
    <w:rsid w:val="000502BD"/>
    <w:rsid w:val="000502EB"/>
    <w:rsid w:val="0005030F"/>
    <w:rsid w:val="000516AE"/>
    <w:rsid w:val="000520B1"/>
    <w:rsid w:val="0005230B"/>
    <w:rsid w:val="00052C04"/>
    <w:rsid w:val="000536F6"/>
    <w:rsid w:val="0005450D"/>
    <w:rsid w:val="00054637"/>
    <w:rsid w:val="000553C2"/>
    <w:rsid w:val="0005541B"/>
    <w:rsid w:val="00055892"/>
    <w:rsid w:val="0005633D"/>
    <w:rsid w:val="00057495"/>
    <w:rsid w:val="00060360"/>
    <w:rsid w:val="0006085A"/>
    <w:rsid w:val="00061237"/>
    <w:rsid w:val="00062247"/>
    <w:rsid w:val="000634DB"/>
    <w:rsid w:val="00063538"/>
    <w:rsid w:val="000635F8"/>
    <w:rsid w:val="00065B7A"/>
    <w:rsid w:val="000661DE"/>
    <w:rsid w:val="00067872"/>
    <w:rsid w:val="0007112B"/>
    <w:rsid w:val="0007486C"/>
    <w:rsid w:val="000761EA"/>
    <w:rsid w:val="00076DEF"/>
    <w:rsid w:val="000774F6"/>
    <w:rsid w:val="000811DC"/>
    <w:rsid w:val="00083FD8"/>
    <w:rsid w:val="000858D4"/>
    <w:rsid w:val="00087DC0"/>
    <w:rsid w:val="000916BF"/>
    <w:rsid w:val="0009355B"/>
    <w:rsid w:val="00094799"/>
    <w:rsid w:val="000A1B1B"/>
    <w:rsid w:val="000A1E8B"/>
    <w:rsid w:val="000A22EF"/>
    <w:rsid w:val="000A265B"/>
    <w:rsid w:val="000A4E47"/>
    <w:rsid w:val="000A6553"/>
    <w:rsid w:val="000A65B1"/>
    <w:rsid w:val="000A676C"/>
    <w:rsid w:val="000A7714"/>
    <w:rsid w:val="000B1AD8"/>
    <w:rsid w:val="000B1E42"/>
    <w:rsid w:val="000B31E2"/>
    <w:rsid w:val="000B323F"/>
    <w:rsid w:val="000B36FE"/>
    <w:rsid w:val="000B45B9"/>
    <w:rsid w:val="000B5A28"/>
    <w:rsid w:val="000B7471"/>
    <w:rsid w:val="000C0065"/>
    <w:rsid w:val="000C1613"/>
    <w:rsid w:val="000C1BA6"/>
    <w:rsid w:val="000C1E1F"/>
    <w:rsid w:val="000C2B9F"/>
    <w:rsid w:val="000C3837"/>
    <w:rsid w:val="000C44C9"/>
    <w:rsid w:val="000C46A9"/>
    <w:rsid w:val="000C651F"/>
    <w:rsid w:val="000C72CD"/>
    <w:rsid w:val="000C7B0C"/>
    <w:rsid w:val="000D002E"/>
    <w:rsid w:val="000D04E1"/>
    <w:rsid w:val="000D50C1"/>
    <w:rsid w:val="000D7457"/>
    <w:rsid w:val="000D7711"/>
    <w:rsid w:val="000E0086"/>
    <w:rsid w:val="000E375E"/>
    <w:rsid w:val="000E3E1D"/>
    <w:rsid w:val="000E43D6"/>
    <w:rsid w:val="000E54B5"/>
    <w:rsid w:val="000E7CD0"/>
    <w:rsid w:val="000F0DF9"/>
    <w:rsid w:val="000F32F6"/>
    <w:rsid w:val="000F5579"/>
    <w:rsid w:val="000F740F"/>
    <w:rsid w:val="0010105A"/>
    <w:rsid w:val="0010175F"/>
    <w:rsid w:val="00101DBE"/>
    <w:rsid w:val="00103C2D"/>
    <w:rsid w:val="00104ECF"/>
    <w:rsid w:val="00104F31"/>
    <w:rsid w:val="00105E75"/>
    <w:rsid w:val="00107C11"/>
    <w:rsid w:val="001105C6"/>
    <w:rsid w:val="00110E44"/>
    <w:rsid w:val="00111A31"/>
    <w:rsid w:val="0011243F"/>
    <w:rsid w:val="001126F1"/>
    <w:rsid w:val="001128AA"/>
    <w:rsid w:val="00112DAD"/>
    <w:rsid w:val="00114DCE"/>
    <w:rsid w:val="0011685F"/>
    <w:rsid w:val="00120331"/>
    <w:rsid w:val="00123582"/>
    <w:rsid w:val="00124EB8"/>
    <w:rsid w:val="001253FE"/>
    <w:rsid w:val="00125C48"/>
    <w:rsid w:val="00127122"/>
    <w:rsid w:val="0013073C"/>
    <w:rsid w:val="001325ED"/>
    <w:rsid w:val="001359BB"/>
    <w:rsid w:val="00136431"/>
    <w:rsid w:val="00136550"/>
    <w:rsid w:val="00140831"/>
    <w:rsid w:val="00140ABC"/>
    <w:rsid w:val="00142225"/>
    <w:rsid w:val="00143022"/>
    <w:rsid w:val="00143B75"/>
    <w:rsid w:val="00145317"/>
    <w:rsid w:val="001456E6"/>
    <w:rsid w:val="00147C46"/>
    <w:rsid w:val="00147F95"/>
    <w:rsid w:val="001507A4"/>
    <w:rsid w:val="001526C6"/>
    <w:rsid w:val="00152A18"/>
    <w:rsid w:val="0015307E"/>
    <w:rsid w:val="00153E41"/>
    <w:rsid w:val="00155567"/>
    <w:rsid w:val="00155E96"/>
    <w:rsid w:val="00161BDD"/>
    <w:rsid w:val="001625B0"/>
    <w:rsid w:val="001632B2"/>
    <w:rsid w:val="00165C19"/>
    <w:rsid w:val="001660A1"/>
    <w:rsid w:val="00166BAD"/>
    <w:rsid w:val="0017040C"/>
    <w:rsid w:val="00170712"/>
    <w:rsid w:val="00174660"/>
    <w:rsid w:val="00174D74"/>
    <w:rsid w:val="0017510B"/>
    <w:rsid w:val="0018393C"/>
    <w:rsid w:val="0018399F"/>
    <w:rsid w:val="00187112"/>
    <w:rsid w:val="00191CE8"/>
    <w:rsid w:val="00191FF3"/>
    <w:rsid w:val="001922E6"/>
    <w:rsid w:val="001924A9"/>
    <w:rsid w:val="001925FB"/>
    <w:rsid w:val="001934CA"/>
    <w:rsid w:val="001959EA"/>
    <w:rsid w:val="00195D88"/>
    <w:rsid w:val="00197358"/>
    <w:rsid w:val="00197458"/>
    <w:rsid w:val="00197B73"/>
    <w:rsid w:val="00197EDB"/>
    <w:rsid w:val="001A1D46"/>
    <w:rsid w:val="001A2A5D"/>
    <w:rsid w:val="001A331C"/>
    <w:rsid w:val="001A5E1F"/>
    <w:rsid w:val="001B05A8"/>
    <w:rsid w:val="001B0E00"/>
    <w:rsid w:val="001B1693"/>
    <w:rsid w:val="001B391C"/>
    <w:rsid w:val="001B5CC0"/>
    <w:rsid w:val="001B5DC4"/>
    <w:rsid w:val="001B609D"/>
    <w:rsid w:val="001C32BB"/>
    <w:rsid w:val="001C3ABE"/>
    <w:rsid w:val="001C4004"/>
    <w:rsid w:val="001C4296"/>
    <w:rsid w:val="001C44AD"/>
    <w:rsid w:val="001C50E6"/>
    <w:rsid w:val="001C5C97"/>
    <w:rsid w:val="001D2383"/>
    <w:rsid w:val="001D4F56"/>
    <w:rsid w:val="001D7651"/>
    <w:rsid w:val="001E0127"/>
    <w:rsid w:val="001E0B50"/>
    <w:rsid w:val="001E377E"/>
    <w:rsid w:val="001E4031"/>
    <w:rsid w:val="001E4878"/>
    <w:rsid w:val="001E4D8E"/>
    <w:rsid w:val="001E4EA9"/>
    <w:rsid w:val="001F03D5"/>
    <w:rsid w:val="001F06E6"/>
    <w:rsid w:val="001F0920"/>
    <w:rsid w:val="001F0985"/>
    <w:rsid w:val="001F21BE"/>
    <w:rsid w:val="001F222A"/>
    <w:rsid w:val="001F2559"/>
    <w:rsid w:val="001F3791"/>
    <w:rsid w:val="001F38B6"/>
    <w:rsid w:val="001F3C44"/>
    <w:rsid w:val="001F41F9"/>
    <w:rsid w:val="001F54B3"/>
    <w:rsid w:val="001F552A"/>
    <w:rsid w:val="001F5BAD"/>
    <w:rsid w:val="001F7680"/>
    <w:rsid w:val="001F7864"/>
    <w:rsid w:val="001F7E2C"/>
    <w:rsid w:val="002039F8"/>
    <w:rsid w:val="00203C60"/>
    <w:rsid w:val="00203DDF"/>
    <w:rsid w:val="00204D9A"/>
    <w:rsid w:val="00206F9E"/>
    <w:rsid w:val="0021066C"/>
    <w:rsid w:val="002108D8"/>
    <w:rsid w:val="00210E4D"/>
    <w:rsid w:val="00211504"/>
    <w:rsid w:val="00211F7A"/>
    <w:rsid w:val="00212FCC"/>
    <w:rsid w:val="00214011"/>
    <w:rsid w:val="00217076"/>
    <w:rsid w:val="00217556"/>
    <w:rsid w:val="00220736"/>
    <w:rsid w:val="00220CBD"/>
    <w:rsid w:val="002219D9"/>
    <w:rsid w:val="002242AF"/>
    <w:rsid w:val="0022499B"/>
    <w:rsid w:val="00224C95"/>
    <w:rsid w:val="002301D6"/>
    <w:rsid w:val="002309CD"/>
    <w:rsid w:val="00231B08"/>
    <w:rsid w:val="002352E7"/>
    <w:rsid w:val="00235ED5"/>
    <w:rsid w:val="00237261"/>
    <w:rsid w:val="002378C6"/>
    <w:rsid w:val="002403E3"/>
    <w:rsid w:val="00243B7F"/>
    <w:rsid w:val="002453B7"/>
    <w:rsid w:val="00245F6F"/>
    <w:rsid w:val="00246D52"/>
    <w:rsid w:val="00247235"/>
    <w:rsid w:val="002505E8"/>
    <w:rsid w:val="00250C47"/>
    <w:rsid w:val="00251381"/>
    <w:rsid w:val="00253273"/>
    <w:rsid w:val="002538F2"/>
    <w:rsid w:val="0025496A"/>
    <w:rsid w:val="00257904"/>
    <w:rsid w:val="00257EFA"/>
    <w:rsid w:val="0026098F"/>
    <w:rsid w:val="00261C3A"/>
    <w:rsid w:val="0026228C"/>
    <w:rsid w:val="0026410D"/>
    <w:rsid w:val="00264535"/>
    <w:rsid w:val="0026486E"/>
    <w:rsid w:val="0026487A"/>
    <w:rsid w:val="00265A6B"/>
    <w:rsid w:val="00265C4F"/>
    <w:rsid w:val="00265D0F"/>
    <w:rsid w:val="00270D39"/>
    <w:rsid w:val="00273B9D"/>
    <w:rsid w:val="00274246"/>
    <w:rsid w:val="00274A2D"/>
    <w:rsid w:val="00274FC9"/>
    <w:rsid w:val="002779FD"/>
    <w:rsid w:val="002813A2"/>
    <w:rsid w:val="00282604"/>
    <w:rsid w:val="00284510"/>
    <w:rsid w:val="00286398"/>
    <w:rsid w:val="002873EA"/>
    <w:rsid w:val="00290092"/>
    <w:rsid w:val="0029091E"/>
    <w:rsid w:val="002914DD"/>
    <w:rsid w:val="00291A5F"/>
    <w:rsid w:val="00292B75"/>
    <w:rsid w:val="00292D74"/>
    <w:rsid w:val="0029373D"/>
    <w:rsid w:val="0029404F"/>
    <w:rsid w:val="00295731"/>
    <w:rsid w:val="002957A1"/>
    <w:rsid w:val="002959B8"/>
    <w:rsid w:val="00295C96"/>
    <w:rsid w:val="00296254"/>
    <w:rsid w:val="002963F5"/>
    <w:rsid w:val="0029689C"/>
    <w:rsid w:val="002A0287"/>
    <w:rsid w:val="002A0515"/>
    <w:rsid w:val="002A08C1"/>
    <w:rsid w:val="002A1620"/>
    <w:rsid w:val="002A2091"/>
    <w:rsid w:val="002A24DB"/>
    <w:rsid w:val="002A4E71"/>
    <w:rsid w:val="002A575B"/>
    <w:rsid w:val="002A71AB"/>
    <w:rsid w:val="002B09BC"/>
    <w:rsid w:val="002B19FD"/>
    <w:rsid w:val="002B1FDF"/>
    <w:rsid w:val="002B27BD"/>
    <w:rsid w:val="002B3370"/>
    <w:rsid w:val="002B33E6"/>
    <w:rsid w:val="002B4524"/>
    <w:rsid w:val="002B61DE"/>
    <w:rsid w:val="002B6C9B"/>
    <w:rsid w:val="002C0F1F"/>
    <w:rsid w:val="002C60EE"/>
    <w:rsid w:val="002C67AA"/>
    <w:rsid w:val="002C72B4"/>
    <w:rsid w:val="002D1564"/>
    <w:rsid w:val="002D4EAD"/>
    <w:rsid w:val="002D6FC1"/>
    <w:rsid w:val="002D74BE"/>
    <w:rsid w:val="002D7DBC"/>
    <w:rsid w:val="002E06E0"/>
    <w:rsid w:val="002E0FBD"/>
    <w:rsid w:val="002E226D"/>
    <w:rsid w:val="002E4EDF"/>
    <w:rsid w:val="002E526C"/>
    <w:rsid w:val="002E6647"/>
    <w:rsid w:val="002E7093"/>
    <w:rsid w:val="002F100F"/>
    <w:rsid w:val="002F2006"/>
    <w:rsid w:val="002F3F30"/>
    <w:rsid w:val="002F40B2"/>
    <w:rsid w:val="002F461A"/>
    <w:rsid w:val="002F49D9"/>
    <w:rsid w:val="002F54A6"/>
    <w:rsid w:val="002F6343"/>
    <w:rsid w:val="00301B66"/>
    <w:rsid w:val="003040AA"/>
    <w:rsid w:val="00305838"/>
    <w:rsid w:val="003062E2"/>
    <w:rsid w:val="0031067C"/>
    <w:rsid w:val="00310CF5"/>
    <w:rsid w:val="00315C5E"/>
    <w:rsid w:val="00316707"/>
    <w:rsid w:val="00316817"/>
    <w:rsid w:val="00320184"/>
    <w:rsid w:val="00322AD6"/>
    <w:rsid w:val="0032336B"/>
    <w:rsid w:val="003237B6"/>
    <w:rsid w:val="00325272"/>
    <w:rsid w:val="00325C2E"/>
    <w:rsid w:val="00327A13"/>
    <w:rsid w:val="00330661"/>
    <w:rsid w:val="00331212"/>
    <w:rsid w:val="00331259"/>
    <w:rsid w:val="003322E1"/>
    <w:rsid w:val="0033279C"/>
    <w:rsid w:val="00332BEB"/>
    <w:rsid w:val="00332D04"/>
    <w:rsid w:val="003344EC"/>
    <w:rsid w:val="00335698"/>
    <w:rsid w:val="003400BD"/>
    <w:rsid w:val="00340D40"/>
    <w:rsid w:val="003411FB"/>
    <w:rsid w:val="003414A3"/>
    <w:rsid w:val="00341A84"/>
    <w:rsid w:val="00342A05"/>
    <w:rsid w:val="00342A27"/>
    <w:rsid w:val="00345BBF"/>
    <w:rsid w:val="00346A24"/>
    <w:rsid w:val="00347094"/>
    <w:rsid w:val="00347456"/>
    <w:rsid w:val="0035186E"/>
    <w:rsid w:val="0035467B"/>
    <w:rsid w:val="0035579B"/>
    <w:rsid w:val="003618AD"/>
    <w:rsid w:val="00365819"/>
    <w:rsid w:val="00365D67"/>
    <w:rsid w:val="003664D2"/>
    <w:rsid w:val="00367F87"/>
    <w:rsid w:val="00370CE1"/>
    <w:rsid w:val="003719B4"/>
    <w:rsid w:val="00372157"/>
    <w:rsid w:val="003727B9"/>
    <w:rsid w:val="0037286C"/>
    <w:rsid w:val="00373296"/>
    <w:rsid w:val="003737D3"/>
    <w:rsid w:val="003748A7"/>
    <w:rsid w:val="00375F1B"/>
    <w:rsid w:val="00376755"/>
    <w:rsid w:val="003821DB"/>
    <w:rsid w:val="0038298F"/>
    <w:rsid w:val="00382D94"/>
    <w:rsid w:val="00382E57"/>
    <w:rsid w:val="00387314"/>
    <w:rsid w:val="00387DE5"/>
    <w:rsid w:val="00390C02"/>
    <w:rsid w:val="00391724"/>
    <w:rsid w:val="003920BB"/>
    <w:rsid w:val="00392C32"/>
    <w:rsid w:val="003A05E1"/>
    <w:rsid w:val="003A07A5"/>
    <w:rsid w:val="003A45A0"/>
    <w:rsid w:val="003A4AA3"/>
    <w:rsid w:val="003A65ED"/>
    <w:rsid w:val="003A77C4"/>
    <w:rsid w:val="003B0648"/>
    <w:rsid w:val="003B1948"/>
    <w:rsid w:val="003B2DAA"/>
    <w:rsid w:val="003B36FA"/>
    <w:rsid w:val="003B492B"/>
    <w:rsid w:val="003B5902"/>
    <w:rsid w:val="003B5E4E"/>
    <w:rsid w:val="003B6711"/>
    <w:rsid w:val="003B7D4B"/>
    <w:rsid w:val="003B7F4E"/>
    <w:rsid w:val="003C0FCA"/>
    <w:rsid w:val="003C23AF"/>
    <w:rsid w:val="003C34BD"/>
    <w:rsid w:val="003C4B9E"/>
    <w:rsid w:val="003C52C9"/>
    <w:rsid w:val="003C6A18"/>
    <w:rsid w:val="003C7C25"/>
    <w:rsid w:val="003D460D"/>
    <w:rsid w:val="003D4BDF"/>
    <w:rsid w:val="003D627C"/>
    <w:rsid w:val="003D6B9C"/>
    <w:rsid w:val="003D6CCA"/>
    <w:rsid w:val="003D7052"/>
    <w:rsid w:val="003E0FD8"/>
    <w:rsid w:val="003E2353"/>
    <w:rsid w:val="003E7307"/>
    <w:rsid w:val="003E76E9"/>
    <w:rsid w:val="003E7985"/>
    <w:rsid w:val="003F1434"/>
    <w:rsid w:val="003F171E"/>
    <w:rsid w:val="003F176E"/>
    <w:rsid w:val="003F37A5"/>
    <w:rsid w:val="003F5389"/>
    <w:rsid w:val="00401AE9"/>
    <w:rsid w:val="00402D60"/>
    <w:rsid w:val="004036B6"/>
    <w:rsid w:val="00403919"/>
    <w:rsid w:val="00403A80"/>
    <w:rsid w:val="0040604D"/>
    <w:rsid w:val="00406560"/>
    <w:rsid w:val="004066B9"/>
    <w:rsid w:val="004115FF"/>
    <w:rsid w:val="004127AC"/>
    <w:rsid w:val="00412B2C"/>
    <w:rsid w:val="00416408"/>
    <w:rsid w:val="004174D0"/>
    <w:rsid w:val="00422366"/>
    <w:rsid w:val="004225B8"/>
    <w:rsid w:val="00423C2C"/>
    <w:rsid w:val="00424695"/>
    <w:rsid w:val="004249E7"/>
    <w:rsid w:val="00425C97"/>
    <w:rsid w:val="00426411"/>
    <w:rsid w:val="00427114"/>
    <w:rsid w:val="00430772"/>
    <w:rsid w:val="00431FDC"/>
    <w:rsid w:val="00432104"/>
    <w:rsid w:val="0043404E"/>
    <w:rsid w:val="00436A29"/>
    <w:rsid w:val="0043770A"/>
    <w:rsid w:val="00437C92"/>
    <w:rsid w:val="00440C15"/>
    <w:rsid w:val="00442C44"/>
    <w:rsid w:val="004438F6"/>
    <w:rsid w:val="00443C8F"/>
    <w:rsid w:val="00444F57"/>
    <w:rsid w:val="00445F38"/>
    <w:rsid w:val="00450530"/>
    <w:rsid w:val="00453058"/>
    <w:rsid w:val="00455269"/>
    <w:rsid w:val="00455BBB"/>
    <w:rsid w:val="00456C57"/>
    <w:rsid w:val="00464465"/>
    <w:rsid w:val="00465663"/>
    <w:rsid w:val="004679FE"/>
    <w:rsid w:val="00471A02"/>
    <w:rsid w:val="00471D03"/>
    <w:rsid w:val="0047207F"/>
    <w:rsid w:val="00472557"/>
    <w:rsid w:val="004748D6"/>
    <w:rsid w:val="00474E51"/>
    <w:rsid w:val="00477625"/>
    <w:rsid w:val="0048110A"/>
    <w:rsid w:val="00481635"/>
    <w:rsid w:val="00481671"/>
    <w:rsid w:val="0048225A"/>
    <w:rsid w:val="004842A4"/>
    <w:rsid w:val="00484814"/>
    <w:rsid w:val="00485FC0"/>
    <w:rsid w:val="00490CBE"/>
    <w:rsid w:val="00491360"/>
    <w:rsid w:val="00492D45"/>
    <w:rsid w:val="00493BAC"/>
    <w:rsid w:val="0049459E"/>
    <w:rsid w:val="00495988"/>
    <w:rsid w:val="004959F9"/>
    <w:rsid w:val="004971FB"/>
    <w:rsid w:val="004A0067"/>
    <w:rsid w:val="004A0AFD"/>
    <w:rsid w:val="004A1949"/>
    <w:rsid w:val="004A1C3C"/>
    <w:rsid w:val="004A2C03"/>
    <w:rsid w:val="004A3251"/>
    <w:rsid w:val="004A4943"/>
    <w:rsid w:val="004A6F1D"/>
    <w:rsid w:val="004B0991"/>
    <w:rsid w:val="004B179E"/>
    <w:rsid w:val="004B37CF"/>
    <w:rsid w:val="004B4EEB"/>
    <w:rsid w:val="004B52C5"/>
    <w:rsid w:val="004C0310"/>
    <w:rsid w:val="004C03B1"/>
    <w:rsid w:val="004C03B6"/>
    <w:rsid w:val="004C067F"/>
    <w:rsid w:val="004C08FE"/>
    <w:rsid w:val="004C0945"/>
    <w:rsid w:val="004C12AE"/>
    <w:rsid w:val="004C1638"/>
    <w:rsid w:val="004C2CB2"/>
    <w:rsid w:val="004C3A64"/>
    <w:rsid w:val="004C3B19"/>
    <w:rsid w:val="004C4793"/>
    <w:rsid w:val="004C55E2"/>
    <w:rsid w:val="004C6B4F"/>
    <w:rsid w:val="004C6E56"/>
    <w:rsid w:val="004C7903"/>
    <w:rsid w:val="004C7F74"/>
    <w:rsid w:val="004D0658"/>
    <w:rsid w:val="004D0CA9"/>
    <w:rsid w:val="004D16B9"/>
    <w:rsid w:val="004D33CA"/>
    <w:rsid w:val="004D3581"/>
    <w:rsid w:val="004D3A78"/>
    <w:rsid w:val="004D3A98"/>
    <w:rsid w:val="004D4A7D"/>
    <w:rsid w:val="004E0009"/>
    <w:rsid w:val="004E0828"/>
    <w:rsid w:val="004E25C9"/>
    <w:rsid w:val="004E3FE3"/>
    <w:rsid w:val="004E6B4F"/>
    <w:rsid w:val="004E78DB"/>
    <w:rsid w:val="004E7F70"/>
    <w:rsid w:val="004F058B"/>
    <w:rsid w:val="004F1F32"/>
    <w:rsid w:val="004F1FAB"/>
    <w:rsid w:val="004F431A"/>
    <w:rsid w:val="004F50F4"/>
    <w:rsid w:val="004F638B"/>
    <w:rsid w:val="004F6C3F"/>
    <w:rsid w:val="004F7535"/>
    <w:rsid w:val="00500809"/>
    <w:rsid w:val="0050144D"/>
    <w:rsid w:val="0050358E"/>
    <w:rsid w:val="005048E9"/>
    <w:rsid w:val="005065EE"/>
    <w:rsid w:val="005068A3"/>
    <w:rsid w:val="00506C3F"/>
    <w:rsid w:val="00507349"/>
    <w:rsid w:val="00507470"/>
    <w:rsid w:val="0051041F"/>
    <w:rsid w:val="00510435"/>
    <w:rsid w:val="0051314B"/>
    <w:rsid w:val="00514EBB"/>
    <w:rsid w:val="0051512B"/>
    <w:rsid w:val="00515147"/>
    <w:rsid w:val="005153DA"/>
    <w:rsid w:val="00515597"/>
    <w:rsid w:val="0051595F"/>
    <w:rsid w:val="00516D1A"/>
    <w:rsid w:val="00520A83"/>
    <w:rsid w:val="005222CE"/>
    <w:rsid w:val="005243AD"/>
    <w:rsid w:val="005244BB"/>
    <w:rsid w:val="005266EF"/>
    <w:rsid w:val="00526AF7"/>
    <w:rsid w:val="005277AA"/>
    <w:rsid w:val="00527920"/>
    <w:rsid w:val="005304E1"/>
    <w:rsid w:val="00530802"/>
    <w:rsid w:val="005315D2"/>
    <w:rsid w:val="005332F1"/>
    <w:rsid w:val="00534A69"/>
    <w:rsid w:val="00537CF7"/>
    <w:rsid w:val="00540C96"/>
    <w:rsid w:val="00542112"/>
    <w:rsid w:val="00544476"/>
    <w:rsid w:val="00544A62"/>
    <w:rsid w:val="00545558"/>
    <w:rsid w:val="0054702C"/>
    <w:rsid w:val="00547E60"/>
    <w:rsid w:val="00551909"/>
    <w:rsid w:val="00551FB4"/>
    <w:rsid w:val="005537CE"/>
    <w:rsid w:val="00553EAE"/>
    <w:rsid w:val="00554F20"/>
    <w:rsid w:val="00556E35"/>
    <w:rsid w:val="005608A0"/>
    <w:rsid w:val="00560CC4"/>
    <w:rsid w:val="00561902"/>
    <w:rsid w:val="00561E62"/>
    <w:rsid w:val="00562455"/>
    <w:rsid w:val="00562468"/>
    <w:rsid w:val="0056474F"/>
    <w:rsid w:val="00564FAC"/>
    <w:rsid w:val="00570C54"/>
    <w:rsid w:val="00571315"/>
    <w:rsid w:val="00572E18"/>
    <w:rsid w:val="00575061"/>
    <w:rsid w:val="0057741E"/>
    <w:rsid w:val="005815BE"/>
    <w:rsid w:val="0058293E"/>
    <w:rsid w:val="005830CB"/>
    <w:rsid w:val="00584554"/>
    <w:rsid w:val="00584E64"/>
    <w:rsid w:val="00590747"/>
    <w:rsid w:val="005914BC"/>
    <w:rsid w:val="0059182F"/>
    <w:rsid w:val="00592110"/>
    <w:rsid w:val="00592B97"/>
    <w:rsid w:val="00594112"/>
    <w:rsid w:val="00595525"/>
    <w:rsid w:val="005966B1"/>
    <w:rsid w:val="00597669"/>
    <w:rsid w:val="005A1E9A"/>
    <w:rsid w:val="005A3FC3"/>
    <w:rsid w:val="005A4733"/>
    <w:rsid w:val="005A7661"/>
    <w:rsid w:val="005A771B"/>
    <w:rsid w:val="005A7EC0"/>
    <w:rsid w:val="005B08B3"/>
    <w:rsid w:val="005B0C3C"/>
    <w:rsid w:val="005B11DA"/>
    <w:rsid w:val="005B27B2"/>
    <w:rsid w:val="005B3B47"/>
    <w:rsid w:val="005B3B62"/>
    <w:rsid w:val="005B45A3"/>
    <w:rsid w:val="005B47BD"/>
    <w:rsid w:val="005B58D2"/>
    <w:rsid w:val="005B6948"/>
    <w:rsid w:val="005B6F53"/>
    <w:rsid w:val="005C2204"/>
    <w:rsid w:val="005C409E"/>
    <w:rsid w:val="005C5936"/>
    <w:rsid w:val="005D10E3"/>
    <w:rsid w:val="005D18D4"/>
    <w:rsid w:val="005D1C45"/>
    <w:rsid w:val="005D249C"/>
    <w:rsid w:val="005D292A"/>
    <w:rsid w:val="005D32F6"/>
    <w:rsid w:val="005D330A"/>
    <w:rsid w:val="005D3867"/>
    <w:rsid w:val="005D5B20"/>
    <w:rsid w:val="005D5D43"/>
    <w:rsid w:val="005D659A"/>
    <w:rsid w:val="005D6BA8"/>
    <w:rsid w:val="005D7857"/>
    <w:rsid w:val="005D7879"/>
    <w:rsid w:val="005E0149"/>
    <w:rsid w:val="005E075E"/>
    <w:rsid w:val="005E162F"/>
    <w:rsid w:val="005E3727"/>
    <w:rsid w:val="005E39E2"/>
    <w:rsid w:val="005E4BDA"/>
    <w:rsid w:val="005E6140"/>
    <w:rsid w:val="005E6B42"/>
    <w:rsid w:val="005E7F28"/>
    <w:rsid w:val="005F002F"/>
    <w:rsid w:val="005F2433"/>
    <w:rsid w:val="005F3A4B"/>
    <w:rsid w:val="005F4027"/>
    <w:rsid w:val="005F4234"/>
    <w:rsid w:val="005F63A9"/>
    <w:rsid w:val="006007F2"/>
    <w:rsid w:val="00600B36"/>
    <w:rsid w:val="00600E5A"/>
    <w:rsid w:val="00603A99"/>
    <w:rsid w:val="00610546"/>
    <w:rsid w:val="00611695"/>
    <w:rsid w:val="0061365F"/>
    <w:rsid w:val="00613F86"/>
    <w:rsid w:val="00613FC0"/>
    <w:rsid w:val="0061442A"/>
    <w:rsid w:val="00616BFA"/>
    <w:rsid w:val="00616D44"/>
    <w:rsid w:val="0062073A"/>
    <w:rsid w:val="006242E9"/>
    <w:rsid w:val="0062477C"/>
    <w:rsid w:val="00625032"/>
    <w:rsid w:val="00625143"/>
    <w:rsid w:val="00632E46"/>
    <w:rsid w:val="006354DF"/>
    <w:rsid w:val="006359EA"/>
    <w:rsid w:val="00635A22"/>
    <w:rsid w:val="00635DC7"/>
    <w:rsid w:val="00637E2E"/>
    <w:rsid w:val="00637F1C"/>
    <w:rsid w:val="00640611"/>
    <w:rsid w:val="00640F43"/>
    <w:rsid w:val="00641DBF"/>
    <w:rsid w:val="0064308D"/>
    <w:rsid w:val="006439CE"/>
    <w:rsid w:val="00643C9B"/>
    <w:rsid w:val="006463B5"/>
    <w:rsid w:val="00646C49"/>
    <w:rsid w:val="006470A0"/>
    <w:rsid w:val="00651007"/>
    <w:rsid w:val="00652D30"/>
    <w:rsid w:val="006537F7"/>
    <w:rsid w:val="00653D4E"/>
    <w:rsid w:val="00655ED9"/>
    <w:rsid w:val="00655F28"/>
    <w:rsid w:val="0065656C"/>
    <w:rsid w:val="00656908"/>
    <w:rsid w:val="00656C18"/>
    <w:rsid w:val="00663A34"/>
    <w:rsid w:val="006644C7"/>
    <w:rsid w:val="00665B17"/>
    <w:rsid w:val="00667FEE"/>
    <w:rsid w:val="006708BC"/>
    <w:rsid w:val="00671C24"/>
    <w:rsid w:val="00671EF3"/>
    <w:rsid w:val="00672329"/>
    <w:rsid w:val="00672684"/>
    <w:rsid w:val="00672B1B"/>
    <w:rsid w:val="006761DC"/>
    <w:rsid w:val="00680437"/>
    <w:rsid w:val="00680CBC"/>
    <w:rsid w:val="00681960"/>
    <w:rsid w:val="0068244B"/>
    <w:rsid w:val="00683EF0"/>
    <w:rsid w:val="00684617"/>
    <w:rsid w:val="00686B41"/>
    <w:rsid w:val="0069188C"/>
    <w:rsid w:val="00694087"/>
    <w:rsid w:val="006942B2"/>
    <w:rsid w:val="00695052"/>
    <w:rsid w:val="00695799"/>
    <w:rsid w:val="006958CF"/>
    <w:rsid w:val="00695BDE"/>
    <w:rsid w:val="006A01B6"/>
    <w:rsid w:val="006A12B8"/>
    <w:rsid w:val="006A1825"/>
    <w:rsid w:val="006A32C7"/>
    <w:rsid w:val="006A558C"/>
    <w:rsid w:val="006B283D"/>
    <w:rsid w:val="006B33B8"/>
    <w:rsid w:val="006B46EF"/>
    <w:rsid w:val="006B5845"/>
    <w:rsid w:val="006B613C"/>
    <w:rsid w:val="006B6618"/>
    <w:rsid w:val="006C09A9"/>
    <w:rsid w:val="006C0E1F"/>
    <w:rsid w:val="006C24B8"/>
    <w:rsid w:val="006C3576"/>
    <w:rsid w:val="006C35E3"/>
    <w:rsid w:val="006C486B"/>
    <w:rsid w:val="006C4D88"/>
    <w:rsid w:val="006C5E41"/>
    <w:rsid w:val="006D00AA"/>
    <w:rsid w:val="006D290D"/>
    <w:rsid w:val="006D56BA"/>
    <w:rsid w:val="006D59CC"/>
    <w:rsid w:val="006D7758"/>
    <w:rsid w:val="006D795C"/>
    <w:rsid w:val="006E1330"/>
    <w:rsid w:val="006E2C26"/>
    <w:rsid w:val="006E3500"/>
    <w:rsid w:val="006F11B5"/>
    <w:rsid w:val="006F131D"/>
    <w:rsid w:val="006F275E"/>
    <w:rsid w:val="006F434B"/>
    <w:rsid w:val="006F4DF6"/>
    <w:rsid w:val="006F6E92"/>
    <w:rsid w:val="006F725A"/>
    <w:rsid w:val="0070093F"/>
    <w:rsid w:val="00700BD5"/>
    <w:rsid w:val="00702966"/>
    <w:rsid w:val="00702D78"/>
    <w:rsid w:val="00703413"/>
    <w:rsid w:val="0070579B"/>
    <w:rsid w:val="0070591E"/>
    <w:rsid w:val="00705F68"/>
    <w:rsid w:val="007074DB"/>
    <w:rsid w:val="0071240D"/>
    <w:rsid w:val="00712B12"/>
    <w:rsid w:val="00712B67"/>
    <w:rsid w:val="007161C1"/>
    <w:rsid w:val="00717B11"/>
    <w:rsid w:val="00720169"/>
    <w:rsid w:val="00722702"/>
    <w:rsid w:val="00723CA3"/>
    <w:rsid w:val="00724BAE"/>
    <w:rsid w:val="0072666C"/>
    <w:rsid w:val="0073004F"/>
    <w:rsid w:val="00730DBF"/>
    <w:rsid w:val="00731C06"/>
    <w:rsid w:val="007354FB"/>
    <w:rsid w:val="007359FE"/>
    <w:rsid w:val="007362B2"/>
    <w:rsid w:val="007368C1"/>
    <w:rsid w:val="00736DCB"/>
    <w:rsid w:val="0074239A"/>
    <w:rsid w:val="00743492"/>
    <w:rsid w:val="0074360F"/>
    <w:rsid w:val="00743F7E"/>
    <w:rsid w:val="007449E8"/>
    <w:rsid w:val="007470C6"/>
    <w:rsid w:val="00750DD3"/>
    <w:rsid w:val="00751DC2"/>
    <w:rsid w:val="00751E46"/>
    <w:rsid w:val="0075293E"/>
    <w:rsid w:val="007558B8"/>
    <w:rsid w:val="00757056"/>
    <w:rsid w:val="0075769C"/>
    <w:rsid w:val="00761DED"/>
    <w:rsid w:val="00762190"/>
    <w:rsid w:val="00764290"/>
    <w:rsid w:val="00764D7E"/>
    <w:rsid w:val="00767868"/>
    <w:rsid w:val="0077052A"/>
    <w:rsid w:val="00770BC7"/>
    <w:rsid w:val="00772E63"/>
    <w:rsid w:val="0077329F"/>
    <w:rsid w:val="00774708"/>
    <w:rsid w:val="0077591B"/>
    <w:rsid w:val="007764E5"/>
    <w:rsid w:val="0077793E"/>
    <w:rsid w:val="00780731"/>
    <w:rsid w:val="00780D66"/>
    <w:rsid w:val="00781A57"/>
    <w:rsid w:val="007823C2"/>
    <w:rsid w:val="00783775"/>
    <w:rsid w:val="00786055"/>
    <w:rsid w:val="00786634"/>
    <w:rsid w:val="00787538"/>
    <w:rsid w:val="00787967"/>
    <w:rsid w:val="00791156"/>
    <w:rsid w:val="00791251"/>
    <w:rsid w:val="00792387"/>
    <w:rsid w:val="007926BB"/>
    <w:rsid w:val="00793D38"/>
    <w:rsid w:val="00793D61"/>
    <w:rsid w:val="00793DB9"/>
    <w:rsid w:val="00793F9D"/>
    <w:rsid w:val="007959A4"/>
    <w:rsid w:val="00795C34"/>
    <w:rsid w:val="007974FD"/>
    <w:rsid w:val="007A061D"/>
    <w:rsid w:val="007A34AA"/>
    <w:rsid w:val="007A3F5F"/>
    <w:rsid w:val="007A5BD8"/>
    <w:rsid w:val="007A5E1D"/>
    <w:rsid w:val="007A6A70"/>
    <w:rsid w:val="007A72DC"/>
    <w:rsid w:val="007A7871"/>
    <w:rsid w:val="007B18A5"/>
    <w:rsid w:val="007B2BBD"/>
    <w:rsid w:val="007B3403"/>
    <w:rsid w:val="007B4269"/>
    <w:rsid w:val="007B5A2D"/>
    <w:rsid w:val="007B76FE"/>
    <w:rsid w:val="007B7F2C"/>
    <w:rsid w:val="007C05E5"/>
    <w:rsid w:val="007C0BEB"/>
    <w:rsid w:val="007C1380"/>
    <w:rsid w:val="007C29FB"/>
    <w:rsid w:val="007C2CF7"/>
    <w:rsid w:val="007C30BA"/>
    <w:rsid w:val="007C3A15"/>
    <w:rsid w:val="007C43CE"/>
    <w:rsid w:val="007C4F75"/>
    <w:rsid w:val="007D087E"/>
    <w:rsid w:val="007D3E81"/>
    <w:rsid w:val="007D4A44"/>
    <w:rsid w:val="007D4ACE"/>
    <w:rsid w:val="007D6378"/>
    <w:rsid w:val="007D69E0"/>
    <w:rsid w:val="007E0394"/>
    <w:rsid w:val="007E1CCC"/>
    <w:rsid w:val="007E2BEF"/>
    <w:rsid w:val="007E4405"/>
    <w:rsid w:val="007E4564"/>
    <w:rsid w:val="007E6E38"/>
    <w:rsid w:val="007E7CD1"/>
    <w:rsid w:val="007F0519"/>
    <w:rsid w:val="007F0565"/>
    <w:rsid w:val="007F0CA1"/>
    <w:rsid w:val="007F0D42"/>
    <w:rsid w:val="007F1786"/>
    <w:rsid w:val="007F1EB7"/>
    <w:rsid w:val="007F2A5B"/>
    <w:rsid w:val="007F3253"/>
    <w:rsid w:val="007F6A1C"/>
    <w:rsid w:val="0080118E"/>
    <w:rsid w:val="00801459"/>
    <w:rsid w:val="00801610"/>
    <w:rsid w:val="00801C2E"/>
    <w:rsid w:val="00801E14"/>
    <w:rsid w:val="00801EC5"/>
    <w:rsid w:val="00802010"/>
    <w:rsid w:val="00802152"/>
    <w:rsid w:val="00804914"/>
    <w:rsid w:val="0081105A"/>
    <w:rsid w:val="00813966"/>
    <w:rsid w:val="008159B0"/>
    <w:rsid w:val="00817959"/>
    <w:rsid w:val="00817AF6"/>
    <w:rsid w:val="00822C02"/>
    <w:rsid w:val="00823837"/>
    <w:rsid w:val="0082447C"/>
    <w:rsid w:val="00824565"/>
    <w:rsid w:val="008260BA"/>
    <w:rsid w:val="008263F9"/>
    <w:rsid w:val="0082643B"/>
    <w:rsid w:val="00830F16"/>
    <w:rsid w:val="008326BA"/>
    <w:rsid w:val="008334B3"/>
    <w:rsid w:val="0083376D"/>
    <w:rsid w:val="00835E1D"/>
    <w:rsid w:val="00837942"/>
    <w:rsid w:val="00840052"/>
    <w:rsid w:val="0084065D"/>
    <w:rsid w:val="008428D3"/>
    <w:rsid w:val="00843890"/>
    <w:rsid w:val="00844416"/>
    <w:rsid w:val="008450E8"/>
    <w:rsid w:val="00845767"/>
    <w:rsid w:val="00845EB1"/>
    <w:rsid w:val="008460B2"/>
    <w:rsid w:val="00846CE5"/>
    <w:rsid w:val="00847710"/>
    <w:rsid w:val="00847872"/>
    <w:rsid w:val="00852469"/>
    <w:rsid w:val="00853590"/>
    <w:rsid w:val="0085529D"/>
    <w:rsid w:val="008553D2"/>
    <w:rsid w:val="0085617B"/>
    <w:rsid w:val="008579F1"/>
    <w:rsid w:val="00860E58"/>
    <w:rsid w:val="00861C38"/>
    <w:rsid w:val="00862642"/>
    <w:rsid w:val="00862BED"/>
    <w:rsid w:val="00865AC1"/>
    <w:rsid w:val="00870EC4"/>
    <w:rsid w:val="0087243A"/>
    <w:rsid w:val="00873BBE"/>
    <w:rsid w:val="00875E14"/>
    <w:rsid w:val="00880B55"/>
    <w:rsid w:val="00882AB3"/>
    <w:rsid w:val="00884612"/>
    <w:rsid w:val="008846C2"/>
    <w:rsid w:val="00885125"/>
    <w:rsid w:val="0088754E"/>
    <w:rsid w:val="00887ECC"/>
    <w:rsid w:val="008901AF"/>
    <w:rsid w:val="00893902"/>
    <w:rsid w:val="00893BB6"/>
    <w:rsid w:val="0089454F"/>
    <w:rsid w:val="0089516E"/>
    <w:rsid w:val="008964F2"/>
    <w:rsid w:val="008A0F6D"/>
    <w:rsid w:val="008A1696"/>
    <w:rsid w:val="008A1DB9"/>
    <w:rsid w:val="008A1F2A"/>
    <w:rsid w:val="008A20A5"/>
    <w:rsid w:val="008A3649"/>
    <w:rsid w:val="008A41BF"/>
    <w:rsid w:val="008A5226"/>
    <w:rsid w:val="008A5726"/>
    <w:rsid w:val="008A5A8E"/>
    <w:rsid w:val="008A6AD4"/>
    <w:rsid w:val="008A6BEE"/>
    <w:rsid w:val="008A7751"/>
    <w:rsid w:val="008A7BBD"/>
    <w:rsid w:val="008A7FB9"/>
    <w:rsid w:val="008B0347"/>
    <w:rsid w:val="008B07C7"/>
    <w:rsid w:val="008B0FFF"/>
    <w:rsid w:val="008B101A"/>
    <w:rsid w:val="008B16E3"/>
    <w:rsid w:val="008B208E"/>
    <w:rsid w:val="008B32E0"/>
    <w:rsid w:val="008B654F"/>
    <w:rsid w:val="008B6F84"/>
    <w:rsid w:val="008C0A5B"/>
    <w:rsid w:val="008C0F1F"/>
    <w:rsid w:val="008C12CB"/>
    <w:rsid w:val="008C41A5"/>
    <w:rsid w:val="008C45B1"/>
    <w:rsid w:val="008C47DC"/>
    <w:rsid w:val="008C4BF9"/>
    <w:rsid w:val="008C4D4B"/>
    <w:rsid w:val="008C592E"/>
    <w:rsid w:val="008C6044"/>
    <w:rsid w:val="008C6B6B"/>
    <w:rsid w:val="008C6E36"/>
    <w:rsid w:val="008C71F3"/>
    <w:rsid w:val="008C7508"/>
    <w:rsid w:val="008C7C43"/>
    <w:rsid w:val="008D07B6"/>
    <w:rsid w:val="008D2CB3"/>
    <w:rsid w:val="008D3C0F"/>
    <w:rsid w:val="008D3FA9"/>
    <w:rsid w:val="008D6ECE"/>
    <w:rsid w:val="008D6ECF"/>
    <w:rsid w:val="008E0656"/>
    <w:rsid w:val="008E12C2"/>
    <w:rsid w:val="008E16F4"/>
    <w:rsid w:val="008E1E6A"/>
    <w:rsid w:val="008E36FC"/>
    <w:rsid w:val="008E3ABF"/>
    <w:rsid w:val="008E6FE1"/>
    <w:rsid w:val="008E7D4F"/>
    <w:rsid w:val="008F1100"/>
    <w:rsid w:val="008F23F6"/>
    <w:rsid w:val="008F2DBC"/>
    <w:rsid w:val="008F4183"/>
    <w:rsid w:val="008F4190"/>
    <w:rsid w:val="008F48A4"/>
    <w:rsid w:val="008F6B6B"/>
    <w:rsid w:val="008F6DDA"/>
    <w:rsid w:val="008F713F"/>
    <w:rsid w:val="008F7C06"/>
    <w:rsid w:val="009005D0"/>
    <w:rsid w:val="00902B35"/>
    <w:rsid w:val="00905BEA"/>
    <w:rsid w:val="00906FD0"/>
    <w:rsid w:val="00907DC6"/>
    <w:rsid w:val="00912545"/>
    <w:rsid w:val="00915FB9"/>
    <w:rsid w:val="00916037"/>
    <w:rsid w:val="0092203C"/>
    <w:rsid w:val="00922D9F"/>
    <w:rsid w:val="00922DB3"/>
    <w:rsid w:val="00923A16"/>
    <w:rsid w:val="0092526B"/>
    <w:rsid w:val="00926380"/>
    <w:rsid w:val="00930C1A"/>
    <w:rsid w:val="00935A4D"/>
    <w:rsid w:val="00936735"/>
    <w:rsid w:val="00936ADB"/>
    <w:rsid w:val="00937FD6"/>
    <w:rsid w:val="00941A66"/>
    <w:rsid w:val="009432DC"/>
    <w:rsid w:val="009439F8"/>
    <w:rsid w:val="00945629"/>
    <w:rsid w:val="00946AE8"/>
    <w:rsid w:val="00950DEE"/>
    <w:rsid w:val="009521AF"/>
    <w:rsid w:val="00956D8A"/>
    <w:rsid w:val="009577E2"/>
    <w:rsid w:val="00960024"/>
    <w:rsid w:val="00961603"/>
    <w:rsid w:val="00961851"/>
    <w:rsid w:val="0096225C"/>
    <w:rsid w:val="00962983"/>
    <w:rsid w:val="00964B81"/>
    <w:rsid w:val="00966998"/>
    <w:rsid w:val="00966CE3"/>
    <w:rsid w:val="00966F82"/>
    <w:rsid w:val="00967CA7"/>
    <w:rsid w:val="00967FEB"/>
    <w:rsid w:val="0097107C"/>
    <w:rsid w:val="00973AB9"/>
    <w:rsid w:val="00973C6E"/>
    <w:rsid w:val="00977E20"/>
    <w:rsid w:val="00977F19"/>
    <w:rsid w:val="0098084D"/>
    <w:rsid w:val="00983A15"/>
    <w:rsid w:val="00983C01"/>
    <w:rsid w:val="00984379"/>
    <w:rsid w:val="009856F7"/>
    <w:rsid w:val="009900A6"/>
    <w:rsid w:val="0099038D"/>
    <w:rsid w:val="00990A14"/>
    <w:rsid w:val="00990C79"/>
    <w:rsid w:val="009917F0"/>
    <w:rsid w:val="009930C8"/>
    <w:rsid w:val="00994617"/>
    <w:rsid w:val="009946CF"/>
    <w:rsid w:val="009A007E"/>
    <w:rsid w:val="009A07BC"/>
    <w:rsid w:val="009A1AF1"/>
    <w:rsid w:val="009A1C01"/>
    <w:rsid w:val="009A3AE8"/>
    <w:rsid w:val="009A4A22"/>
    <w:rsid w:val="009A5620"/>
    <w:rsid w:val="009A643C"/>
    <w:rsid w:val="009A77E1"/>
    <w:rsid w:val="009B0276"/>
    <w:rsid w:val="009B0D78"/>
    <w:rsid w:val="009B3D8D"/>
    <w:rsid w:val="009B4603"/>
    <w:rsid w:val="009B647A"/>
    <w:rsid w:val="009C14D7"/>
    <w:rsid w:val="009C3C83"/>
    <w:rsid w:val="009C3DA4"/>
    <w:rsid w:val="009C4047"/>
    <w:rsid w:val="009C4CB0"/>
    <w:rsid w:val="009C6BFD"/>
    <w:rsid w:val="009C7466"/>
    <w:rsid w:val="009D04B7"/>
    <w:rsid w:val="009D10DD"/>
    <w:rsid w:val="009D1906"/>
    <w:rsid w:val="009D1C94"/>
    <w:rsid w:val="009D253B"/>
    <w:rsid w:val="009D3308"/>
    <w:rsid w:val="009D35DD"/>
    <w:rsid w:val="009D3E9D"/>
    <w:rsid w:val="009D4C95"/>
    <w:rsid w:val="009D5165"/>
    <w:rsid w:val="009D548F"/>
    <w:rsid w:val="009E264D"/>
    <w:rsid w:val="009E3431"/>
    <w:rsid w:val="009E4088"/>
    <w:rsid w:val="009E4CBF"/>
    <w:rsid w:val="009E5639"/>
    <w:rsid w:val="009E6B2D"/>
    <w:rsid w:val="009E6B53"/>
    <w:rsid w:val="009E7588"/>
    <w:rsid w:val="009F2B9C"/>
    <w:rsid w:val="009F42A4"/>
    <w:rsid w:val="009F664D"/>
    <w:rsid w:val="00A00D6D"/>
    <w:rsid w:val="00A01B66"/>
    <w:rsid w:val="00A03731"/>
    <w:rsid w:val="00A03A3B"/>
    <w:rsid w:val="00A05CF9"/>
    <w:rsid w:val="00A06CBD"/>
    <w:rsid w:val="00A11325"/>
    <w:rsid w:val="00A11331"/>
    <w:rsid w:val="00A12578"/>
    <w:rsid w:val="00A13BBC"/>
    <w:rsid w:val="00A16192"/>
    <w:rsid w:val="00A16318"/>
    <w:rsid w:val="00A17196"/>
    <w:rsid w:val="00A17921"/>
    <w:rsid w:val="00A17C2E"/>
    <w:rsid w:val="00A20405"/>
    <w:rsid w:val="00A21A4D"/>
    <w:rsid w:val="00A21DEE"/>
    <w:rsid w:val="00A22BE4"/>
    <w:rsid w:val="00A23EAA"/>
    <w:rsid w:val="00A24714"/>
    <w:rsid w:val="00A25E2F"/>
    <w:rsid w:val="00A27A0B"/>
    <w:rsid w:val="00A27E98"/>
    <w:rsid w:val="00A30795"/>
    <w:rsid w:val="00A312A7"/>
    <w:rsid w:val="00A3183A"/>
    <w:rsid w:val="00A3211A"/>
    <w:rsid w:val="00A366AF"/>
    <w:rsid w:val="00A36F2D"/>
    <w:rsid w:val="00A3703F"/>
    <w:rsid w:val="00A3708B"/>
    <w:rsid w:val="00A40027"/>
    <w:rsid w:val="00A4098D"/>
    <w:rsid w:val="00A40F7F"/>
    <w:rsid w:val="00A439AE"/>
    <w:rsid w:val="00A45170"/>
    <w:rsid w:val="00A45DCF"/>
    <w:rsid w:val="00A46599"/>
    <w:rsid w:val="00A47F08"/>
    <w:rsid w:val="00A51CE6"/>
    <w:rsid w:val="00A521E9"/>
    <w:rsid w:val="00A52505"/>
    <w:rsid w:val="00A535BD"/>
    <w:rsid w:val="00A53755"/>
    <w:rsid w:val="00A54D15"/>
    <w:rsid w:val="00A60B0D"/>
    <w:rsid w:val="00A60D95"/>
    <w:rsid w:val="00A6186C"/>
    <w:rsid w:val="00A65D11"/>
    <w:rsid w:val="00A66974"/>
    <w:rsid w:val="00A700F3"/>
    <w:rsid w:val="00A706E3"/>
    <w:rsid w:val="00A70F42"/>
    <w:rsid w:val="00A72BB4"/>
    <w:rsid w:val="00A737F5"/>
    <w:rsid w:val="00A74D48"/>
    <w:rsid w:val="00A757C6"/>
    <w:rsid w:val="00A76161"/>
    <w:rsid w:val="00A80D6A"/>
    <w:rsid w:val="00A81EF1"/>
    <w:rsid w:val="00A84934"/>
    <w:rsid w:val="00A91963"/>
    <w:rsid w:val="00A9260A"/>
    <w:rsid w:val="00A932E9"/>
    <w:rsid w:val="00A93B20"/>
    <w:rsid w:val="00A93C6E"/>
    <w:rsid w:val="00A9464B"/>
    <w:rsid w:val="00A95302"/>
    <w:rsid w:val="00A953A0"/>
    <w:rsid w:val="00A95884"/>
    <w:rsid w:val="00A97BAB"/>
    <w:rsid w:val="00A97BC2"/>
    <w:rsid w:val="00AA1AD8"/>
    <w:rsid w:val="00AA1E7A"/>
    <w:rsid w:val="00AA2CAF"/>
    <w:rsid w:val="00AA3E58"/>
    <w:rsid w:val="00AA444D"/>
    <w:rsid w:val="00AA6CDC"/>
    <w:rsid w:val="00AB0201"/>
    <w:rsid w:val="00AB066B"/>
    <w:rsid w:val="00AB1662"/>
    <w:rsid w:val="00AB1E22"/>
    <w:rsid w:val="00AB1E35"/>
    <w:rsid w:val="00AB2703"/>
    <w:rsid w:val="00AB2D85"/>
    <w:rsid w:val="00AB511C"/>
    <w:rsid w:val="00AB628F"/>
    <w:rsid w:val="00AC12B2"/>
    <w:rsid w:val="00AC13F6"/>
    <w:rsid w:val="00AC2E34"/>
    <w:rsid w:val="00AC510A"/>
    <w:rsid w:val="00AD33EE"/>
    <w:rsid w:val="00AD60DD"/>
    <w:rsid w:val="00AD794C"/>
    <w:rsid w:val="00AE1363"/>
    <w:rsid w:val="00AE1BBE"/>
    <w:rsid w:val="00AE2407"/>
    <w:rsid w:val="00AE2CE9"/>
    <w:rsid w:val="00AE3BA4"/>
    <w:rsid w:val="00AE561A"/>
    <w:rsid w:val="00AE58F7"/>
    <w:rsid w:val="00AE6C16"/>
    <w:rsid w:val="00AE7884"/>
    <w:rsid w:val="00AF0669"/>
    <w:rsid w:val="00AF1DEA"/>
    <w:rsid w:val="00AF2034"/>
    <w:rsid w:val="00AF359C"/>
    <w:rsid w:val="00AF43F5"/>
    <w:rsid w:val="00AF4E42"/>
    <w:rsid w:val="00AF5AA6"/>
    <w:rsid w:val="00AF626D"/>
    <w:rsid w:val="00B0076D"/>
    <w:rsid w:val="00B00D6E"/>
    <w:rsid w:val="00B01241"/>
    <w:rsid w:val="00B01BCD"/>
    <w:rsid w:val="00B01EC8"/>
    <w:rsid w:val="00B02200"/>
    <w:rsid w:val="00B0397B"/>
    <w:rsid w:val="00B05165"/>
    <w:rsid w:val="00B05DAC"/>
    <w:rsid w:val="00B07939"/>
    <w:rsid w:val="00B07B6E"/>
    <w:rsid w:val="00B10978"/>
    <w:rsid w:val="00B115F0"/>
    <w:rsid w:val="00B124AC"/>
    <w:rsid w:val="00B14B42"/>
    <w:rsid w:val="00B1719D"/>
    <w:rsid w:val="00B17C39"/>
    <w:rsid w:val="00B223E1"/>
    <w:rsid w:val="00B2254C"/>
    <w:rsid w:val="00B233D2"/>
    <w:rsid w:val="00B234F3"/>
    <w:rsid w:val="00B2358D"/>
    <w:rsid w:val="00B23E9F"/>
    <w:rsid w:val="00B24C18"/>
    <w:rsid w:val="00B25CEB"/>
    <w:rsid w:val="00B279B8"/>
    <w:rsid w:val="00B27E9A"/>
    <w:rsid w:val="00B31EB3"/>
    <w:rsid w:val="00B33747"/>
    <w:rsid w:val="00B33A4F"/>
    <w:rsid w:val="00B33B82"/>
    <w:rsid w:val="00B347C5"/>
    <w:rsid w:val="00B350B3"/>
    <w:rsid w:val="00B35A16"/>
    <w:rsid w:val="00B3660C"/>
    <w:rsid w:val="00B36A38"/>
    <w:rsid w:val="00B37127"/>
    <w:rsid w:val="00B37656"/>
    <w:rsid w:val="00B37CA0"/>
    <w:rsid w:val="00B411A1"/>
    <w:rsid w:val="00B42738"/>
    <w:rsid w:val="00B4290D"/>
    <w:rsid w:val="00B42F66"/>
    <w:rsid w:val="00B43FC8"/>
    <w:rsid w:val="00B4436E"/>
    <w:rsid w:val="00B45099"/>
    <w:rsid w:val="00B457F4"/>
    <w:rsid w:val="00B50B0E"/>
    <w:rsid w:val="00B51971"/>
    <w:rsid w:val="00B51AA7"/>
    <w:rsid w:val="00B5260F"/>
    <w:rsid w:val="00B52AB9"/>
    <w:rsid w:val="00B54C58"/>
    <w:rsid w:val="00B55713"/>
    <w:rsid w:val="00B55B83"/>
    <w:rsid w:val="00B56743"/>
    <w:rsid w:val="00B61B93"/>
    <w:rsid w:val="00B64167"/>
    <w:rsid w:val="00B70974"/>
    <w:rsid w:val="00B71474"/>
    <w:rsid w:val="00B71EAA"/>
    <w:rsid w:val="00B728E1"/>
    <w:rsid w:val="00B74A18"/>
    <w:rsid w:val="00B74AED"/>
    <w:rsid w:val="00B7515F"/>
    <w:rsid w:val="00B75F11"/>
    <w:rsid w:val="00B7763F"/>
    <w:rsid w:val="00B77949"/>
    <w:rsid w:val="00B77BC1"/>
    <w:rsid w:val="00B813EE"/>
    <w:rsid w:val="00B822B1"/>
    <w:rsid w:val="00B82C5D"/>
    <w:rsid w:val="00B831A8"/>
    <w:rsid w:val="00B83BB0"/>
    <w:rsid w:val="00B83EE6"/>
    <w:rsid w:val="00B85053"/>
    <w:rsid w:val="00B855EA"/>
    <w:rsid w:val="00B86C63"/>
    <w:rsid w:val="00B8775C"/>
    <w:rsid w:val="00B92060"/>
    <w:rsid w:val="00B92324"/>
    <w:rsid w:val="00B93E33"/>
    <w:rsid w:val="00B953B6"/>
    <w:rsid w:val="00B95C64"/>
    <w:rsid w:val="00BA0551"/>
    <w:rsid w:val="00BA3539"/>
    <w:rsid w:val="00BA5304"/>
    <w:rsid w:val="00BA6AA4"/>
    <w:rsid w:val="00BA6FE7"/>
    <w:rsid w:val="00BA7966"/>
    <w:rsid w:val="00BB08E6"/>
    <w:rsid w:val="00BB1384"/>
    <w:rsid w:val="00BB2204"/>
    <w:rsid w:val="00BB3A95"/>
    <w:rsid w:val="00BB499B"/>
    <w:rsid w:val="00BB4D3B"/>
    <w:rsid w:val="00BB5F04"/>
    <w:rsid w:val="00BB7DB5"/>
    <w:rsid w:val="00BC11DB"/>
    <w:rsid w:val="00BC3299"/>
    <w:rsid w:val="00BC32E3"/>
    <w:rsid w:val="00BC41F5"/>
    <w:rsid w:val="00BC572F"/>
    <w:rsid w:val="00BC5835"/>
    <w:rsid w:val="00BC59C1"/>
    <w:rsid w:val="00BC649D"/>
    <w:rsid w:val="00BC6518"/>
    <w:rsid w:val="00BD05D3"/>
    <w:rsid w:val="00BD3651"/>
    <w:rsid w:val="00BD441A"/>
    <w:rsid w:val="00BD5CAC"/>
    <w:rsid w:val="00BE033D"/>
    <w:rsid w:val="00BE09DA"/>
    <w:rsid w:val="00BE495E"/>
    <w:rsid w:val="00BE635E"/>
    <w:rsid w:val="00BE65A2"/>
    <w:rsid w:val="00BE677C"/>
    <w:rsid w:val="00BE7A53"/>
    <w:rsid w:val="00BF09B5"/>
    <w:rsid w:val="00BF1A09"/>
    <w:rsid w:val="00BF29E1"/>
    <w:rsid w:val="00BF3B1F"/>
    <w:rsid w:val="00BF4504"/>
    <w:rsid w:val="00BF5722"/>
    <w:rsid w:val="00BF691C"/>
    <w:rsid w:val="00C01AFA"/>
    <w:rsid w:val="00C026C1"/>
    <w:rsid w:val="00C03983"/>
    <w:rsid w:val="00C0411C"/>
    <w:rsid w:val="00C055B4"/>
    <w:rsid w:val="00C05CCA"/>
    <w:rsid w:val="00C07276"/>
    <w:rsid w:val="00C116F4"/>
    <w:rsid w:val="00C132A8"/>
    <w:rsid w:val="00C1399E"/>
    <w:rsid w:val="00C14D19"/>
    <w:rsid w:val="00C1591A"/>
    <w:rsid w:val="00C160E8"/>
    <w:rsid w:val="00C16DC7"/>
    <w:rsid w:val="00C1764E"/>
    <w:rsid w:val="00C20ADC"/>
    <w:rsid w:val="00C21AFF"/>
    <w:rsid w:val="00C22F45"/>
    <w:rsid w:val="00C2356E"/>
    <w:rsid w:val="00C2453D"/>
    <w:rsid w:val="00C26AA5"/>
    <w:rsid w:val="00C26C1D"/>
    <w:rsid w:val="00C30EB1"/>
    <w:rsid w:val="00C31512"/>
    <w:rsid w:val="00C334A1"/>
    <w:rsid w:val="00C348B0"/>
    <w:rsid w:val="00C35075"/>
    <w:rsid w:val="00C4170C"/>
    <w:rsid w:val="00C417BC"/>
    <w:rsid w:val="00C41C70"/>
    <w:rsid w:val="00C4202F"/>
    <w:rsid w:val="00C456DD"/>
    <w:rsid w:val="00C458EC"/>
    <w:rsid w:val="00C477BA"/>
    <w:rsid w:val="00C513BC"/>
    <w:rsid w:val="00C51920"/>
    <w:rsid w:val="00C51990"/>
    <w:rsid w:val="00C51AA5"/>
    <w:rsid w:val="00C5394C"/>
    <w:rsid w:val="00C549F7"/>
    <w:rsid w:val="00C55699"/>
    <w:rsid w:val="00C56B32"/>
    <w:rsid w:val="00C6053E"/>
    <w:rsid w:val="00C61187"/>
    <w:rsid w:val="00C61205"/>
    <w:rsid w:val="00C61DE2"/>
    <w:rsid w:val="00C62E8E"/>
    <w:rsid w:val="00C636F2"/>
    <w:rsid w:val="00C64817"/>
    <w:rsid w:val="00C649CE"/>
    <w:rsid w:val="00C65E28"/>
    <w:rsid w:val="00C70407"/>
    <w:rsid w:val="00C70C66"/>
    <w:rsid w:val="00C72A00"/>
    <w:rsid w:val="00C72B89"/>
    <w:rsid w:val="00C7334C"/>
    <w:rsid w:val="00C7615B"/>
    <w:rsid w:val="00C77C4F"/>
    <w:rsid w:val="00C80083"/>
    <w:rsid w:val="00C80551"/>
    <w:rsid w:val="00C81489"/>
    <w:rsid w:val="00C81943"/>
    <w:rsid w:val="00C84355"/>
    <w:rsid w:val="00C84518"/>
    <w:rsid w:val="00C849CB"/>
    <w:rsid w:val="00C854E6"/>
    <w:rsid w:val="00C85FA6"/>
    <w:rsid w:val="00C9131D"/>
    <w:rsid w:val="00C94E5E"/>
    <w:rsid w:val="00C96B02"/>
    <w:rsid w:val="00C97C38"/>
    <w:rsid w:val="00CA2D26"/>
    <w:rsid w:val="00CA44A9"/>
    <w:rsid w:val="00CA4D07"/>
    <w:rsid w:val="00CA5D5D"/>
    <w:rsid w:val="00CA60F9"/>
    <w:rsid w:val="00CA772F"/>
    <w:rsid w:val="00CB0212"/>
    <w:rsid w:val="00CB05F9"/>
    <w:rsid w:val="00CB25B4"/>
    <w:rsid w:val="00CB3679"/>
    <w:rsid w:val="00CB4404"/>
    <w:rsid w:val="00CB4AB0"/>
    <w:rsid w:val="00CB5174"/>
    <w:rsid w:val="00CB797C"/>
    <w:rsid w:val="00CC03D0"/>
    <w:rsid w:val="00CC3135"/>
    <w:rsid w:val="00CC3BA0"/>
    <w:rsid w:val="00CC4AAC"/>
    <w:rsid w:val="00CC5980"/>
    <w:rsid w:val="00CC5FFD"/>
    <w:rsid w:val="00CD076C"/>
    <w:rsid w:val="00CD0CF5"/>
    <w:rsid w:val="00CD2B51"/>
    <w:rsid w:val="00CD37EB"/>
    <w:rsid w:val="00CD4073"/>
    <w:rsid w:val="00CD413A"/>
    <w:rsid w:val="00CE0E41"/>
    <w:rsid w:val="00CE3BDB"/>
    <w:rsid w:val="00CE40EB"/>
    <w:rsid w:val="00CE4189"/>
    <w:rsid w:val="00CE49E3"/>
    <w:rsid w:val="00CE4DEA"/>
    <w:rsid w:val="00CE52FD"/>
    <w:rsid w:val="00CE68EA"/>
    <w:rsid w:val="00CE7DF5"/>
    <w:rsid w:val="00CF094F"/>
    <w:rsid w:val="00CF19C6"/>
    <w:rsid w:val="00CF216E"/>
    <w:rsid w:val="00CF443C"/>
    <w:rsid w:val="00CF528E"/>
    <w:rsid w:val="00CF6568"/>
    <w:rsid w:val="00CF7642"/>
    <w:rsid w:val="00D002EA"/>
    <w:rsid w:val="00D02291"/>
    <w:rsid w:val="00D02322"/>
    <w:rsid w:val="00D02937"/>
    <w:rsid w:val="00D02C60"/>
    <w:rsid w:val="00D02FE4"/>
    <w:rsid w:val="00D03E18"/>
    <w:rsid w:val="00D0423F"/>
    <w:rsid w:val="00D05041"/>
    <w:rsid w:val="00D05BD6"/>
    <w:rsid w:val="00D05D2E"/>
    <w:rsid w:val="00D068D5"/>
    <w:rsid w:val="00D079A1"/>
    <w:rsid w:val="00D079F5"/>
    <w:rsid w:val="00D113F7"/>
    <w:rsid w:val="00D128A6"/>
    <w:rsid w:val="00D13590"/>
    <w:rsid w:val="00D146D7"/>
    <w:rsid w:val="00D14910"/>
    <w:rsid w:val="00D2021B"/>
    <w:rsid w:val="00D209D6"/>
    <w:rsid w:val="00D21B02"/>
    <w:rsid w:val="00D22724"/>
    <w:rsid w:val="00D257D9"/>
    <w:rsid w:val="00D25E91"/>
    <w:rsid w:val="00D26049"/>
    <w:rsid w:val="00D26909"/>
    <w:rsid w:val="00D27CBC"/>
    <w:rsid w:val="00D31B42"/>
    <w:rsid w:val="00D34EAD"/>
    <w:rsid w:val="00D37424"/>
    <w:rsid w:val="00D37783"/>
    <w:rsid w:val="00D40577"/>
    <w:rsid w:val="00D43A69"/>
    <w:rsid w:val="00D45CFC"/>
    <w:rsid w:val="00D468AB"/>
    <w:rsid w:val="00D46CA6"/>
    <w:rsid w:val="00D47309"/>
    <w:rsid w:val="00D47672"/>
    <w:rsid w:val="00D47AEC"/>
    <w:rsid w:val="00D51025"/>
    <w:rsid w:val="00D529D2"/>
    <w:rsid w:val="00D5389B"/>
    <w:rsid w:val="00D53EB0"/>
    <w:rsid w:val="00D54ED0"/>
    <w:rsid w:val="00D56C37"/>
    <w:rsid w:val="00D56F3A"/>
    <w:rsid w:val="00D61924"/>
    <w:rsid w:val="00D64FFA"/>
    <w:rsid w:val="00D663ED"/>
    <w:rsid w:val="00D665FC"/>
    <w:rsid w:val="00D67340"/>
    <w:rsid w:val="00D67984"/>
    <w:rsid w:val="00D67D15"/>
    <w:rsid w:val="00D67DCA"/>
    <w:rsid w:val="00D704B3"/>
    <w:rsid w:val="00D70A13"/>
    <w:rsid w:val="00D71AC6"/>
    <w:rsid w:val="00D7280B"/>
    <w:rsid w:val="00D755AA"/>
    <w:rsid w:val="00D7643A"/>
    <w:rsid w:val="00D7725D"/>
    <w:rsid w:val="00D80160"/>
    <w:rsid w:val="00D808DE"/>
    <w:rsid w:val="00D81DAE"/>
    <w:rsid w:val="00D853F5"/>
    <w:rsid w:val="00D86461"/>
    <w:rsid w:val="00D86E4C"/>
    <w:rsid w:val="00D90872"/>
    <w:rsid w:val="00D90F6F"/>
    <w:rsid w:val="00D95E30"/>
    <w:rsid w:val="00D96E38"/>
    <w:rsid w:val="00DA26CB"/>
    <w:rsid w:val="00DA48E0"/>
    <w:rsid w:val="00DA6B2D"/>
    <w:rsid w:val="00DA76E3"/>
    <w:rsid w:val="00DB1BB8"/>
    <w:rsid w:val="00DB1EF3"/>
    <w:rsid w:val="00DB2E02"/>
    <w:rsid w:val="00DB45AD"/>
    <w:rsid w:val="00DB4C95"/>
    <w:rsid w:val="00DB4DAF"/>
    <w:rsid w:val="00DB4DC3"/>
    <w:rsid w:val="00DB522C"/>
    <w:rsid w:val="00DB71B1"/>
    <w:rsid w:val="00DC0EF6"/>
    <w:rsid w:val="00DC11B2"/>
    <w:rsid w:val="00DC139C"/>
    <w:rsid w:val="00DC1D2D"/>
    <w:rsid w:val="00DC20BD"/>
    <w:rsid w:val="00DC29A9"/>
    <w:rsid w:val="00DC652D"/>
    <w:rsid w:val="00DC6A02"/>
    <w:rsid w:val="00DC7D6C"/>
    <w:rsid w:val="00DD0ADF"/>
    <w:rsid w:val="00DD10B0"/>
    <w:rsid w:val="00DD1BB6"/>
    <w:rsid w:val="00DD1EF8"/>
    <w:rsid w:val="00DD2DB7"/>
    <w:rsid w:val="00DD32D1"/>
    <w:rsid w:val="00DD3D9F"/>
    <w:rsid w:val="00DD49D2"/>
    <w:rsid w:val="00DD5BDC"/>
    <w:rsid w:val="00DD5CB4"/>
    <w:rsid w:val="00DD6325"/>
    <w:rsid w:val="00DD6345"/>
    <w:rsid w:val="00DE08BF"/>
    <w:rsid w:val="00DE0BC0"/>
    <w:rsid w:val="00DE0CD0"/>
    <w:rsid w:val="00DE1247"/>
    <w:rsid w:val="00DE1483"/>
    <w:rsid w:val="00DE1A5D"/>
    <w:rsid w:val="00DE1F2C"/>
    <w:rsid w:val="00DE321C"/>
    <w:rsid w:val="00DE36A7"/>
    <w:rsid w:val="00DE5859"/>
    <w:rsid w:val="00DE62A6"/>
    <w:rsid w:val="00DE6D40"/>
    <w:rsid w:val="00DF082A"/>
    <w:rsid w:val="00DF24D5"/>
    <w:rsid w:val="00DF2A28"/>
    <w:rsid w:val="00DF53E6"/>
    <w:rsid w:val="00DF5B03"/>
    <w:rsid w:val="00DF5D1F"/>
    <w:rsid w:val="00DF731E"/>
    <w:rsid w:val="00DF73FD"/>
    <w:rsid w:val="00E01701"/>
    <w:rsid w:val="00E02AA7"/>
    <w:rsid w:val="00E05204"/>
    <w:rsid w:val="00E074F6"/>
    <w:rsid w:val="00E07613"/>
    <w:rsid w:val="00E078A9"/>
    <w:rsid w:val="00E07AEF"/>
    <w:rsid w:val="00E10115"/>
    <w:rsid w:val="00E11EF5"/>
    <w:rsid w:val="00E1261D"/>
    <w:rsid w:val="00E12FF1"/>
    <w:rsid w:val="00E13119"/>
    <w:rsid w:val="00E13FDD"/>
    <w:rsid w:val="00E14053"/>
    <w:rsid w:val="00E147D3"/>
    <w:rsid w:val="00E1492B"/>
    <w:rsid w:val="00E155AB"/>
    <w:rsid w:val="00E17B5E"/>
    <w:rsid w:val="00E216E0"/>
    <w:rsid w:val="00E22838"/>
    <w:rsid w:val="00E23238"/>
    <w:rsid w:val="00E23B0F"/>
    <w:rsid w:val="00E251C6"/>
    <w:rsid w:val="00E259B3"/>
    <w:rsid w:val="00E263EA"/>
    <w:rsid w:val="00E27D58"/>
    <w:rsid w:val="00E31C93"/>
    <w:rsid w:val="00E31DB3"/>
    <w:rsid w:val="00E31F2C"/>
    <w:rsid w:val="00E323BC"/>
    <w:rsid w:val="00E33681"/>
    <w:rsid w:val="00E36E2F"/>
    <w:rsid w:val="00E40009"/>
    <w:rsid w:val="00E41F0A"/>
    <w:rsid w:val="00E44C4C"/>
    <w:rsid w:val="00E44EAA"/>
    <w:rsid w:val="00E50088"/>
    <w:rsid w:val="00E506E3"/>
    <w:rsid w:val="00E51B5D"/>
    <w:rsid w:val="00E53E59"/>
    <w:rsid w:val="00E54031"/>
    <w:rsid w:val="00E54CC1"/>
    <w:rsid w:val="00E55DE4"/>
    <w:rsid w:val="00E579A7"/>
    <w:rsid w:val="00E60FC1"/>
    <w:rsid w:val="00E61B2A"/>
    <w:rsid w:val="00E62C3D"/>
    <w:rsid w:val="00E64C51"/>
    <w:rsid w:val="00E66886"/>
    <w:rsid w:val="00E70FFD"/>
    <w:rsid w:val="00E71CB0"/>
    <w:rsid w:val="00E72306"/>
    <w:rsid w:val="00E7382F"/>
    <w:rsid w:val="00E738F4"/>
    <w:rsid w:val="00E73DE2"/>
    <w:rsid w:val="00E7415F"/>
    <w:rsid w:val="00E74195"/>
    <w:rsid w:val="00E74D19"/>
    <w:rsid w:val="00E77194"/>
    <w:rsid w:val="00E818A6"/>
    <w:rsid w:val="00E82B65"/>
    <w:rsid w:val="00E848C8"/>
    <w:rsid w:val="00E8535E"/>
    <w:rsid w:val="00E85A50"/>
    <w:rsid w:val="00E8715F"/>
    <w:rsid w:val="00E872E3"/>
    <w:rsid w:val="00E9142E"/>
    <w:rsid w:val="00E91651"/>
    <w:rsid w:val="00E93641"/>
    <w:rsid w:val="00E93689"/>
    <w:rsid w:val="00E94EBD"/>
    <w:rsid w:val="00E978BD"/>
    <w:rsid w:val="00E97B2F"/>
    <w:rsid w:val="00EA01AC"/>
    <w:rsid w:val="00EA16D9"/>
    <w:rsid w:val="00EA2B25"/>
    <w:rsid w:val="00EA3AE7"/>
    <w:rsid w:val="00EA3C75"/>
    <w:rsid w:val="00EA3E5D"/>
    <w:rsid w:val="00EA4C5B"/>
    <w:rsid w:val="00EA6CA3"/>
    <w:rsid w:val="00EA7912"/>
    <w:rsid w:val="00EB0FA0"/>
    <w:rsid w:val="00EB1D0B"/>
    <w:rsid w:val="00EB5007"/>
    <w:rsid w:val="00EB5A19"/>
    <w:rsid w:val="00EB5A8C"/>
    <w:rsid w:val="00EB6FD1"/>
    <w:rsid w:val="00EB74E5"/>
    <w:rsid w:val="00EC004C"/>
    <w:rsid w:val="00EC0BA8"/>
    <w:rsid w:val="00EC317F"/>
    <w:rsid w:val="00EC53F7"/>
    <w:rsid w:val="00EC5B61"/>
    <w:rsid w:val="00EC65DE"/>
    <w:rsid w:val="00EC7812"/>
    <w:rsid w:val="00ED1796"/>
    <w:rsid w:val="00ED17A7"/>
    <w:rsid w:val="00ED3A57"/>
    <w:rsid w:val="00ED6567"/>
    <w:rsid w:val="00EE246C"/>
    <w:rsid w:val="00EE4525"/>
    <w:rsid w:val="00EE49BB"/>
    <w:rsid w:val="00EE7DBE"/>
    <w:rsid w:val="00EF01F9"/>
    <w:rsid w:val="00EF029F"/>
    <w:rsid w:val="00EF2C7A"/>
    <w:rsid w:val="00EF2E0D"/>
    <w:rsid w:val="00EF34D4"/>
    <w:rsid w:val="00EF3B32"/>
    <w:rsid w:val="00EF6290"/>
    <w:rsid w:val="00EF6A97"/>
    <w:rsid w:val="00EF6F16"/>
    <w:rsid w:val="00F00883"/>
    <w:rsid w:val="00F00AB1"/>
    <w:rsid w:val="00F02E7A"/>
    <w:rsid w:val="00F0443F"/>
    <w:rsid w:val="00F0611E"/>
    <w:rsid w:val="00F06FDF"/>
    <w:rsid w:val="00F07ABD"/>
    <w:rsid w:val="00F10992"/>
    <w:rsid w:val="00F10EE2"/>
    <w:rsid w:val="00F1110A"/>
    <w:rsid w:val="00F17820"/>
    <w:rsid w:val="00F21CC6"/>
    <w:rsid w:val="00F22FEE"/>
    <w:rsid w:val="00F26C5B"/>
    <w:rsid w:val="00F309FA"/>
    <w:rsid w:val="00F3178C"/>
    <w:rsid w:val="00F31837"/>
    <w:rsid w:val="00F32B97"/>
    <w:rsid w:val="00F32D3F"/>
    <w:rsid w:val="00F32D85"/>
    <w:rsid w:val="00F332F2"/>
    <w:rsid w:val="00F339E4"/>
    <w:rsid w:val="00F33C5A"/>
    <w:rsid w:val="00F34604"/>
    <w:rsid w:val="00F34D51"/>
    <w:rsid w:val="00F35454"/>
    <w:rsid w:val="00F35864"/>
    <w:rsid w:val="00F3600D"/>
    <w:rsid w:val="00F37164"/>
    <w:rsid w:val="00F40152"/>
    <w:rsid w:val="00F402B9"/>
    <w:rsid w:val="00F40562"/>
    <w:rsid w:val="00F40DDD"/>
    <w:rsid w:val="00F41A4C"/>
    <w:rsid w:val="00F446F4"/>
    <w:rsid w:val="00F44754"/>
    <w:rsid w:val="00F51E54"/>
    <w:rsid w:val="00F52402"/>
    <w:rsid w:val="00F541C2"/>
    <w:rsid w:val="00F55BFF"/>
    <w:rsid w:val="00F60EBD"/>
    <w:rsid w:val="00F612B9"/>
    <w:rsid w:val="00F619AE"/>
    <w:rsid w:val="00F63871"/>
    <w:rsid w:val="00F63D2E"/>
    <w:rsid w:val="00F641F7"/>
    <w:rsid w:val="00F670A6"/>
    <w:rsid w:val="00F67233"/>
    <w:rsid w:val="00F7446C"/>
    <w:rsid w:val="00F765A7"/>
    <w:rsid w:val="00F76A26"/>
    <w:rsid w:val="00F7727B"/>
    <w:rsid w:val="00F77C11"/>
    <w:rsid w:val="00F80021"/>
    <w:rsid w:val="00F8034D"/>
    <w:rsid w:val="00F8179F"/>
    <w:rsid w:val="00F823BB"/>
    <w:rsid w:val="00F82821"/>
    <w:rsid w:val="00F83712"/>
    <w:rsid w:val="00F85E35"/>
    <w:rsid w:val="00F9016D"/>
    <w:rsid w:val="00F930B6"/>
    <w:rsid w:val="00F93F2B"/>
    <w:rsid w:val="00F9633E"/>
    <w:rsid w:val="00F96D23"/>
    <w:rsid w:val="00FA1418"/>
    <w:rsid w:val="00FA2A39"/>
    <w:rsid w:val="00FA3649"/>
    <w:rsid w:val="00FA650E"/>
    <w:rsid w:val="00FA72D9"/>
    <w:rsid w:val="00FA7B85"/>
    <w:rsid w:val="00FB19FD"/>
    <w:rsid w:val="00FB1F3A"/>
    <w:rsid w:val="00FB23AA"/>
    <w:rsid w:val="00FB23B6"/>
    <w:rsid w:val="00FB2A54"/>
    <w:rsid w:val="00FB31F6"/>
    <w:rsid w:val="00FB3A2A"/>
    <w:rsid w:val="00FB3C6F"/>
    <w:rsid w:val="00FB793B"/>
    <w:rsid w:val="00FC0AC1"/>
    <w:rsid w:val="00FC1212"/>
    <w:rsid w:val="00FC1FA7"/>
    <w:rsid w:val="00FC491A"/>
    <w:rsid w:val="00FC560E"/>
    <w:rsid w:val="00FC788F"/>
    <w:rsid w:val="00FC7B0D"/>
    <w:rsid w:val="00FD05AB"/>
    <w:rsid w:val="00FD28F3"/>
    <w:rsid w:val="00FD35D4"/>
    <w:rsid w:val="00FD36EC"/>
    <w:rsid w:val="00FD4564"/>
    <w:rsid w:val="00FD696E"/>
    <w:rsid w:val="00FD6C74"/>
    <w:rsid w:val="00FD6CAE"/>
    <w:rsid w:val="00FE1797"/>
    <w:rsid w:val="00FE1C81"/>
    <w:rsid w:val="00FE2837"/>
    <w:rsid w:val="00FE4DC9"/>
    <w:rsid w:val="00FE6049"/>
    <w:rsid w:val="00FE7D57"/>
    <w:rsid w:val="00FF20D9"/>
    <w:rsid w:val="00FF25FE"/>
    <w:rsid w:val="00FF3763"/>
    <w:rsid w:val="00FF4741"/>
    <w:rsid w:val="00FF52A8"/>
    <w:rsid w:val="00FF5710"/>
    <w:rsid w:val="00FF5824"/>
    <w:rsid w:val="00FF7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  <w14:docId w14:val="15F5D0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1A5D"/>
    <w:pPr>
      <w:spacing w:before="120" w:after="120"/>
      <w:jc w:val="both"/>
    </w:pPr>
    <w:rPr>
      <w:rFonts w:ascii="Verdana" w:hAnsi="Verdana"/>
      <w:szCs w:val="24"/>
      <w:lang w:eastAsia="en-US"/>
    </w:rPr>
  </w:style>
  <w:style w:type="paragraph" w:styleId="Heading2">
    <w:name w:val="heading 2"/>
    <w:basedOn w:val="Normal"/>
    <w:next w:val="Normal"/>
    <w:link w:val="Heading2Char"/>
    <w:autoRedefine/>
    <w:qFormat/>
    <w:rsid w:val="00D02FE4"/>
    <w:pPr>
      <w:keepNext/>
      <w:spacing w:before="240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 Char,Footnote Text Char Char,Footnote,FSR footnote,lábléc,Carattere1,Footnote Text Char1 Char,Footnote Text Char2 Char Char Char,Footnote Text Char1 Char Char Char Char,Footnote Text Char Char Char Char Char Char,fn,f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,Footnote Text Char Char Char,Footnote Char,FSR footnote Char,lábléc Char,Carattere1 Char,Footnote Text Char1 Char Char,Footnote Text Char2 Char Char Char Char,Footnote Text Char1 Char Char Char Char Char"/>
    <w:link w:val="FootnoteText"/>
    <w:rsid w:val="00D02FE4"/>
    <w:rPr>
      <w:rFonts w:ascii="Verdana" w:hAnsi="Verdana"/>
      <w:sz w:val="16"/>
      <w:szCs w:val="16"/>
      <w:lang w:val="it-IT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character" w:customStyle="1" w:styleId="Heading2Char">
    <w:name w:val="Heading 2 Char"/>
    <w:link w:val="Heading2"/>
    <w:rsid w:val="00D02FE4"/>
    <w:rPr>
      <w:rFonts w:ascii="Verdana" w:hAnsi="Verdana"/>
      <w:b/>
      <w:sz w:val="24"/>
      <w:szCs w:val="24"/>
      <w:lang w:val="it-IT" w:eastAsia="en-US" w:bidi="ar-SA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845EB1"/>
    <w:pPr>
      <w:spacing w:before="0" w:after="0"/>
      <w:ind w:left="33"/>
    </w:pPr>
    <w:rPr>
      <w:rFonts w:ascii="Times New Roman" w:hAnsi="Times New Roman"/>
      <w:sz w:val="24"/>
      <w:lang w:eastAsia="de-DE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845EB1"/>
    <w:rPr>
      <w:sz w:val="24"/>
      <w:szCs w:val="24"/>
      <w:lang w:val="it-IT" w:eastAsia="de-DE"/>
    </w:rPr>
  </w:style>
  <w:style w:type="paragraph" w:customStyle="1" w:styleId="InstructionsText2">
    <w:name w:val="Instructions Text 2"/>
    <w:basedOn w:val="InstructionsText"/>
    <w:qFormat/>
    <w:rsid w:val="00D02FE4"/>
    <w:pPr>
      <w:spacing w:after="240"/>
      <w:ind w:left="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it-IT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it-IT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it-IT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it-IT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it-IT" w:eastAsia="en-US"/>
    </w:rPr>
  </w:style>
  <w:style w:type="paragraph" w:styleId="PlainText">
    <w:name w:val="Plain Text"/>
    <w:basedOn w:val="Normal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eastAsia="de-AT"/>
    </w:rPr>
  </w:style>
  <w:style w:type="paragraph" w:customStyle="1" w:styleId="Numberedheadinglevel1">
    <w:name w:val="Numbered heading level 1"/>
    <w:basedOn w:val="Normal"/>
    <w:next w:val="Normal"/>
    <w:qFormat/>
    <w:rsid w:val="00BF691C"/>
    <w:pPr>
      <w:numPr>
        <w:numId w:val="2"/>
      </w:numPr>
      <w:tabs>
        <w:tab w:val="left" w:pos="0"/>
      </w:tabs>
      <w:spacing w:before="360" w:after="360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qFormat/>
    <w:rsid w:val="00BF691C"/>
    <w:pPr>
      <w:numPr>
        <w:ilvl w:val="1"/>
        <w:numId w:val="2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BF691C"/>
    <w:pPr>
      <w:numPr>
        <w:ilvl w:val="2"/>
        <w:numId w:val="2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customStyle="1" w:styleId="DeltaViewInsertion">
    <w:name w:val="DeltaView Insertion"/>
    <w:rsid w:val="00723CA3"/>
    <w:rPr>
      <w:color w:val="0000FF"/>
      <w:spacing w:val="0"/>
      <w:u w:val="double"/>
    </w:rPr>
  </w:style>
  <w:style w:type="character" w:customStyle="1" w:styleId="DeltaViewDeletion">
    <w:name w:val="DeltaView Deletion"/>
    <w:rsid w:val="00723CA3"/>
    <w:rPr>
      <w:strike/>
      <w:color w:val="FF0000"/>
      <w:spacing w:val="0"/>
    </w:rPr>
  </w:style>
  <w:style w:type="paragraph" w:customStyle="1" w:styleId="Point1">
    <w:name w:val="Point 1"/>
    <w:basedOn w:val="Normal"/>
    <w:link w:val="Point1Char"/>
    <w:rsid w:val="00751DC2"/>
    <w:pPr>
      <w:ind w:left="1417" w:hanging="567"/>
    </w:pPr>
    <w:rPr>
      <w:rFonts w:ascii="Times New Roman" w:hAnsi="Times New Roman"/>
      <w:sz w:val="24"/>
      <w:lang w:eastAsia="de-DE"/>
    </w:rPr>
  </w:style>
  <w:style w:type="paragraph" w:customStyle="1" w:styleId="Point0number">
    <w:name w:val="Point 0 (number)"/>
    <w:basedOn w:val="Normal"/>
    <w:rsid w:val="00751DC2"/>
    <w:pPr>
      <w:tabs>
        <w:tab w:val="num" w:pos="360"/>
      </w:tabs>
      <w:ind w:left="850" w:hanging="850"/>
    </w:pPr>
    <w:rPr>
      <w:rFonts w:ascii="Times New Roman" w:hAnsi="Times New Roman"/>
      <w:sz w:val="24"/>
    </w:rPr>
  </w:style>
  <w:style w:type="character" w:customStyle="1" w:styleId="Point1Char">
    <w:name w:val="Point 1 Char"/>
    <w:link w:val="Point1"/>
    <w:locked/>
    <w:rsid w:val="00751DC2"/>
    <w:rPr>
      <w:sz w:val="24"/>
      <w:szCs w:val="24"/>
      <w:lang w:val="it-IT" w:eastAsia="de-DE"/>
    </w:rPr>
  </w:style>
  <w:style w:type="paragraph" w:styleId="Revision">
    <w:name w:val="Revision"/>
    <w:hidden/>
    <w:uiPriority w:val="99"/>
    <w:semiHidden/>
    <w:rsid w:val="0089454F"/>
    <w:rPr>
      <w:rFonts w:ascii="Verdana" w:hAnsi="Verdana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7E6E38"/>
    <w:pPr>
      <w:ind w:left="720"/>
      <w:contextualSpacing/>
    </w:pPr>
  </w:style>
  <w:style w:type="paragraph" w:customStyle="1" w:styleId="DocTitle">
    <w:name w:val="Doc Title"/>
    <w:basedOn w:val="Normal"/>
    <w:qFormat/>
    <w:rsid w:val="00CB3679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CB3679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customStyle="1" w:styleId="Numberedparagraphs">
    <w:name w:val="Numbered paragraphs"/>
    <w:basedOn w:val="Normal"/>
    <w:qFormat/>
    <w:rsid w:val="00CB3679"/>
    <w:pPr>
      <w:numPr>
        <w:numId w:val="3"/>
      </w:numPr>
      <w:tabs>
        <w:tab w:val="left" w:pos="284"/>
      </w:tabs>
      <w:spacing w:before="0" w:after="300" w:line="300" w:lineRule="exact"/>
      <w:ind w:left="284" w:hanging="284"/>
    </w:pPr>
    <w:rPr>
      <w:rFonts w:ascii="Arial" w:hAnsi="Arial"/>
      <w:color w:val="000000"/>
      <w:szCs w:val="20"/>
    </w:rPr>
  </w:style>
  <w:style w:type="paragraph" w:styleId="Header">
    <w:name w:val="header"/>
    <w:basedOn w:val="Normal"/>
    <w:link w:val="HeaderChar"/>
    <w:rsid w:val="00CB3679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CB3679"/>
    <w:rPr>
      <w:rFonts w:ascii="Verdana" w:hAnsi="Verdana"/>
      <w:szCs w:val="24"/>
      <w:lang w:val="it-IT" w:eastAsia="en-US"/>
    </w:rPr>
  </w:style>
  <w:style w:type="paragraph" w:customStyle="1" w:styleId="CM15">
    <w:name w:val="CM1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eastAsia="fr-FR"/>
    </w:rPr>
  </w:style>
  <w:style w:type="paragraph" w:customStyle="1" w:styleId="CM35">
    <w:name w:val="CM3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eastAsia="fr-FR"/>
    </w:rPr>
  </w:style>
  <w:style w:type="table" w:styleId="TableGrid">
    <w:name w:val="Table Grid"/>
    <w:basedOn w:val="TableNormal"/>
    <w:uiPriority w:val="59"/>
    <w:rsid w:val="00E0520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9B3D8D"/>
    <w:rPr>
      <w:sz w:val="24"/>
      <w:szCs w:val="24"/>
      <w:lang w:val="it-I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5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EC746B-269F-4BEB-9ADC-5B7AA263CD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70E3E9-D91E-466F-B301-D169C30CA6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269F40-E835-4695-9D9F-75B5FE078FC9}"/>
</file>

<file path=customXml/itemProps4.xml><?xml version="1.0" encoding="utf-8"?>
<ds:datastoreItem xmlns:ds="http://schemas.openxmlformats.org/officeDocument/2006/customXml" ds:itemID="{74CF23FA-5571-4417-A937-53D4D71A305C}"/>
</file>

<file path=customXml/itemProps5.xml><?xml version="1.0" encoding="utf-8"?>
<ds:datastoreItem xmlns:ds="http://schemas.openxmlformats.org/officeDocument/2006/customXml" ds:itemID="{9C00AAB9-BA41-41F5-9B02-6265A44E9C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993</Words>
  <Characters>5775</Characters>
  <Application>Microsoft Office Word</Application>
  <DocSecurity>0</DocSecurity>
  <Lines>137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2022-10-27T13:24:00Z</dcterms:created>
  <dcterms:modified xsi:type="dcterms:W3CDTF">2025-01-27T10:12:00Z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66ba66e-8b7b-475b-ae81-4aab15d5f212_Enabled">
    <vt:lpwstr>true</vt:lpwstr>
  </property>
  <property fmtid="{D5CDD505-2E9C-101B-9397-08002B2CF9AE}" pid="3" name="MSIP_Label_e66ba66e-8b7b-475b-ae81-4aab15d5f212_SetDate">
    <vt:lpwstr>2022-03-03T13:23:18Z</vt:lpwstr>
  </property>
  <property fmtid="{D5CDD505-2E9C-101B-9397-08002B2CF9AE}" pid="4" name="MSIP_Label_e66ba66e-8b7b-475b-ae81-4aab15d5f212_Method">
    <vt:lpwstr>Privileged</vt:lpwstr>
  </property>
  <property fmtid="{D5CDD505-2E9C-101B-9397-08002B2CF9AE}" pid="5" name="MSIP_Label_e66ba66e-8b7b-475b-ae81-4aab15d5f212_Name">
    <vt:lpwstr>No Label</vt:lpwstr>
  </property>
  <property fmtid="{D5CDD505-2E9C-101B-9397-08002B2CF9AE}" pid="6" name="MSIP_Label_e66ba66e-8b7b-475b-ae81-4aab15d5f212_SiteId">
    <vt:lpwstr>3bacb4ff-f1a2-4c92-b96c-e99fec826b68</vt:lpwstr>
  </property>
  <property fmtid="{D5CDD505-2E9C-101B-9397-08002B2CF9AE}" pid="7" name="MSIP_Label_e66ba66e-8b7b-475b-ae81-4aab15d5f212_ActionId">
    <vt:lpwstr>26a8a858-45fe-4cd0-9dfa-da300a052af8</vt:lpwstr>
  </property>
  <property fmtid="{D5CDD505-2E9C-101B-9397-08002B2CF9AE}" pid="8" name="MSIP_Label_e66ba66e-8b7b-475b-ae81-4aab15d5f212_ContentBits">
    <vt:lpwstr>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2025-01-27T10:12:00Z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e411c326-bf02-4ed9-9f11-8d53eb1414fd</vt:lpwstr>
  </property>
  <property fmtid="{D5CDD505-2E9C-101B-9397-08002B2CF9AE}" pid="15" name="MSIP_Label_6bd9ddd1-4d20-43f6-abfa-fc3c07406f94_ContentBits">
    <vt:lpwstr>0</vt:lpwstr>
  </property>
  <property fmtid="{D5CDD505-2E9C-101B-9397-08002B2CF9AE}" pid="16" name="ContentTypeId">
    <vt:lpwstr>0x010100A640DC13EB184F4EBE5AA21BE9F247DB</vt:lpwstr>
  </property>
</Properties>
</file>