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CS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PŘÍLOHA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„PŘÍLOHA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POKYNY PRO PODÁVÁNÍ ZPRÁV O KAPITÁLU A KAPITÁLOVÝCH POŽADAVCÍCH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Obsah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ČÁST 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OBECNÉ POKYNY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STRUKTURA A KONVENCE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KONVENCE V OBLASTI ČÍSLOVÁNÍ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KONVENCE V OBLASTI ZNAMÉNEK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ČÁST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POKYNY K VYPLŇOVÁNÍ ŠABLON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PŘEHLED KAPITÁLOVÉ PŘIMĚŘENOSTI („CA“)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KAPITÁL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KAPITÁLOVÉ POŽADAVKY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– KAPITÁLOVÉ POMĚRY A ÚROVNĚ KAPITÁLU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– DOPLŇKOVÉ POLOŽKY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PŘECHODNÁ USTANOVENÍ A NÁSTROJE, PRO NĚŽ PLATÍ ZACHOVÁNÍ PRÁVNÍCH ÚČINKŮ: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NÁSTROJE NEPŘEDSTAVUJÍCÍ STÁTNÍ PODPORU (CA5</w:t>
      </w:r>
      <w:r>
        <w:rPr>
          <w:sz w:val="20"/>
          <w:rFonts w:asciiTheme="majorBidi" w:hAnsiTheme="majorBidi"/>
        </w:rPr>
        <w:t xml:space="preserve">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PŘECHODNÁ USTANOVENÍ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– NÁSTROJE SE ZACHOVÁNÍM PRÁVNÍCH ÚČINKŮ: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NÁSTROJE NEPŘEDSTAVUJÍCÍ STÁTNÍ PODPORU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SKUPINOVÁ SOLVENTNOST: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ÚDAJE O PŘIDRUŽENÝCH SUBJEKTECH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PODROBNÉ INFORMACE O SKUPINOVÉ SOLVENTNOSTI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ÚDAJE TÝKAJÍCÍ SE PŘÍSPĚVKŮ SUBJEKTŮ KE SKUPINOVÉ SOLVENTNOSTI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SKUPINOVÁ SOLVENTNOST: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ÚDAJE O PŘIDRUŽENÝCH SUBJEKTECH – CELKEM (GS 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SKUPINOVÁ SOLVENTNOST: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ÚDAJE O PŘIDRUŽENÝCH SUBJEKTECH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ŠABLONY TÝKAJÍCÍ SE ÚVĚROVÉHO RIZIKA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VYKAZOVÁNÍ TECHNIK SNIŽOVÁNÍ ÚVĚROVÉHO RIZIKA SE SUBSTITUČNÍM ÚČINKEM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VYKAZOVÁNÍ ÚVĚROVÉHO RIZIKA PROTISTRANY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ÚVĚROVÉ RIZIKO, ÚVĚROVÉ RIZIKO PROTISTRANY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STANDARDIZOVANÝ PŘÍSTUP KE KAPITÁLOVÝM POŽADAVKŮM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ROZSAH ŠABLONY CR SA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ZAŘAZENÍ EXPOZIC DO KATEGORIÍ EXPOZIC PODLE STANDARDIZOVANÉHO PŘÍSTUPU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VYJASNĚNÍ ROZSAHU NĚKTERÝCH ZVLÁŠTNÍCH KATEGORIÍ EXPOZIC UVEDENÝCH V ČLÁNKU 112 NAŘÍZENÍ (EU) Č. 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KATEGORIE EXPOZIC „INSTITUCE“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KATEGORIE EXPOZIC „KRYTÉ DLUHOPISY“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KATEGORIE EXPOZIC „SUBJEKTY KOLEKTIVNÍHO INVESTOVÁNÍ“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ÚVĚROVÉ RIZIKO, ÚVĚROVÉ RIZIKO PROTISTRANY A 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ROZSAH ŠABLONY CR IRB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ROZČLENĚNÍ ŠABLONY CR IRB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ÚVĚROVÉ RIZIKO, ÚVĚROVÉ RIZIKO PROTISTRANY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ROZČLENĚNÍ PODLE RATINGOVÉHO STUPNĚ NEBO SESKUPENÍ DLUŽNÍKA (ŠABLONA CR IRB 2)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(ROZČLENĚNÍ PODLE ROZMEZÍ PD (CR 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(TOKOVÉ VÝKAZY RWEA (CR IRB 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(ZPĚTNÉ TESTOVÁNÍ PD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ZPĚTNÉ TESTOVÁNÍ PD PODLE ČL. 180 ODST. 1 PÍSM. F) NAŘÍZENÍ (EU) Č. 575/2013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(ROZŘAZOVACÍ PŘÍSTUP SPECIALIZOVANÉHO ÚVĚROVÁNÍ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– ÚVĚROVÉ RIZIKO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 IRB KE KAPITÁLOVÝM POŽADAVKŮM (ROZSAH POUŽITÍ PŘÍSTUPU IRB A STANDARDIZOVANÉHO PŘÍSTUPU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ÚVĚROVÉ RIZIKO, ÚVĚROVÉ RIZIKO PROTISTRANY A 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ÚDAJE SE ZEMĚPISNÝM ROZČLENĚNÍM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ZEMĚPISNÉ ROZČLENĚNÍ EXPOZIC PODLE SÍDLA DLUŽNÍKA: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EXPOZICE PODLE STANDARDIZOVANÉHO PŘÍSTUPU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ZEMĚPISNÉ ROZČLENĚNÍ EXPOZIC PODLE SÍDLA DLUŽNÍKA: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EXPOZICE PODLE PŘÍSTUPU IRB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– ROZČLENĚNÍ ÚVĚROVÝCH EXPOZIC ROZHODNÝCH PRO VÝPOČET PROTICYKLICKÉ KAPITÁLOVÉ REZERVY PODLE ZEMÍ A SAZBY PROTICYKLICKÉ REZERVY SPECIFICKÉ PRO DANOU INSTITUCI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ÚVĚROVÉ RIZIKO, ÚVĚROVÉ RIZIKO PROTISTRANY A VOLNÉ DODÁVKY: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EXPOZICE PODLE IRB, NA KTERÉ SE VZTAHUJE MINIMÁLNÍ VÝSTUPNÍ PRÁH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OBECNÉ POZNÁMKY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POKYNY PRO KONKRÉTNÍ POZICE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a C 10.02 – AKCIOVÉ EXPOZICE V RÁMCI PŘÍSTUPU ZALOŽENÉHO NA INTERNÍM RATINGU (CR EQU IRB 1 A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 (VZTAHUJÍCÍ SE K ŠABLONĚ CR EQU IRB1 I CR EQU IRB 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RIZIKO VYPOŘÁDÁNÍ/DODÁNÍ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– ÚVĚROVÉ RIZIKO – SEKURITIZACE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PODROBNÉ INFORMACE O SEKURITIZACÍCH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ROZSAH ŠABLONY SEC DETAILS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 ROZČLENĚNÍ ŠABLONY SEC DETAILS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 C 14.00 – PODROBNÉ ÚDAJE O SEKURITIZACÍCH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PODROBNÉ ÚDAJE O SEKURITIZACÍCH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ÚVĚROVÉ RIZIKO PROTISTRANY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OBLAST PŮSOBNOSTI ŠABLON PRO ÚVĚROVÉ RIZIKO PROTISTRANY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– OBJEM DERIVÁTOVÝCH OBCHODŮ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– EXPOZICE S CCR PODLE PŘÍSTUPU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EXPOZICE S CCR, S NIMIŽ SE ZACHÁZÍ STANDARDIZOVANÝMI PŘÍSTUPY: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PŘÍSTUPEM SA-CCR A ZJEDNODUŠENÝM PŘÍSTUPEM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– EXPOZICE S CCR, S NIMIŽ SE ZACHÁZÍ METODOU PŮVODNÍ EXPOZICE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– EXPOZICE S CCR, S NIMIŽ SE ZACHÁZÍ METODOU INTERNÍHO MODELU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– DVACET NEJVÝZNAMNĚJŠÍCH PROTISTRAN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– PŘÍSTUP IRB – EXPOZICE S CCR PODLE KATEGORIE EXPOZIC A STUPNICE PD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– SLOŽENÍ KOLATERÁLU PRO EXPOZICE S CCR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– EXPOZICE ÚVĚROVÝCH DERIVÁTŮ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– EXPOZICE VŮČI ÚSTŘEDNÍM PROTISTRANÁM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– VÝKAZY TOKŮ OBJEMŮ RIZIKOVĚ VÁŽENÝCH EXPOZIC (RWEA) PRO EXPOZICE S CCR PODLE METODY INTERNÍHO MODELU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ŠABLONY PRO OPERAČNÍ RIZIKO PROTISTRANY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OPERAČNÍ RIZIKO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OPERAČNÍ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PODROBNÉ INFORMACE O ZTRÁTÁCH V MINULÉM ROCE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ZTRÁTY A VÝTĚŽKY PODLE LINIÍ PODNIKÁNÍ A DRUHŮ UDÁLOSTÍ V MINULÉM ROCE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OPERAČNÍ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PODROBNÉ INFORMACE O NEJVĚTŠÍCH ZTRÁTOVÝCH UDÁLOSTECH V MINULÉM ROCE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ŠABLONY PRO TRŽNÍ RIZIKO PROTISTRANY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STANDARDIZOVANÝ PŘÍSTUP K POZIČNÍM RIZIKŮM U OBCHODOVANÝCH DLUHOVÝCH NÁSTROJŮ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STANDARDIZOVANÝ PŘÍSTUP KE SPECIFICKÉMU RIZIKU U SEKURITIZACÍ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STANDARDIZOVANÝ PŘÍSTUP K SPECIFICKÉMU RIZIKU U PORTFOLIA OBCHODOVÁNÍ S KORELACÍ (MKR SA 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STANDARDIZOVANÝ PŘÍSTUP K POZIČNÍMU RIZIKU U AKCIÍ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STANDARDIZOVANÉ PŘÍSTUPY K MĚNOVÉMU RIZIKU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– TRŽNÍ RIZIKO: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STANDARDIZOVANÉ PŘÍSTUPY KE KOMODITÁM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– INTERNÍ MODEL PRO TRŽNÍ RIZIKO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RIZIKO ÚVĚROVÉ ÚPRAVY V OCENĚNÍ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OBEZŘETNÉ OCEŇOVÁNÍ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– OBEZŘETNÉ OCEŇOVÁNÍ: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AKTIVA A ZÁVAZKY OCEŇOVANÉ REÁLNOU HODNOTOU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– OBEZŘETNÉ OCEŇOVÁNÍ: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ZÁKLADNÍ POSTUP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– OBEZŘETNÉ OCEŇOVÁNÍ: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ZOHLEDŇUJÍCÍ RIZIKO MODELŮ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C 32.04 – OBEZŘETNÉ OCEŇOVÁNÍ: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ZOHLEDŇUJÍCÍ KONCENTROVANÉ POZICE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– EXPOZICE VŮČI VLÁDNÍM INSTITUCÍM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ROZSAH ŠABLON O EXPOZICÍCH VŮČI „VLÁDNÍM INSTITUCÍM“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KRYTÍ ZTRÁT Z NEVÝKONNÝCH EXPOZIC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</w:t>
      </w:r>
      <w:r>
        <w:rPr>
          <w:sz w:val="20"/>
          <w:rFonts w:asciiTheme="majorBidi" w:hAnsiTheme="majorBidi"/>
        </w:rPr>
        <w:t xml:space="preserve">VÝPOČET ODPOČTŮ U NEVÝKONNÝCH EXPOZIC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POŽADAVKY NA MINIMÁLNÍ KRYTÍ A HODNOTY EXPOZIC NEVÝKONNÝCH EXPOZIC S VÝJIMKOU EXPOZIC S ÚLEVOU, NA NĚŽ SE VZTAHUJE ČL. 47C ODST. 6 NAŘÍZENÍ (EU) Č. 575/2013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POŽADAVKY NA MINIMÁLNÍ KRYTÍ A HODNOTY EXPOZIC NEVÝKONNÝCH EXPOZIC S ÚLEVOU, NA NĚŽ SE VZTAHUJE ČL. 47C ODST. 6 NAŘÍZENÍ (EU) Č. 575/2013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POKYNY PRO KONKRÉTNÍ POZICE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PRAHOVÉ HODNOTY PRO OBCHODNÍ PORTFOLIO A TRŽNÍ RIZIKO, HRANICE MEZI OBCHODNÍM A INVESTIČNÍM PORTFOLIEM A REKLASIFIKACE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90.00 – PRAHOVÉ HODNOTY PRO OBCHODNÍ PORTFOLIO A TRŽNÍ RIZIKO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 HRANICE MEZI OBCHODNÍM A INVESTIČNÍM PORTFOLIEM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OBECNÉ POZNÁMKY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– HRANICE: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OBCHODNÍ PORTFOLIO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 OBECNÉ POZNÁMKY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 POKYNY PRO KONKRÉTNÍ POZICE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– HRANICE: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INVESTIČNÍ PORTFOLIO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 OBECNÉ POZNÁMKY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 – POKYNY PRO KONKRÉTNÍ POZICE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– HRANICE OBCHODNÍHO PORTFOLIA – REKLASIFIKACE MEZI PORTFOLII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EXPOZICE VŮČI KRYPTOAKTIVŮM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 OBECNÉ POZNÁMKY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 – POKYNY PRO KONKRÉTNÍ POZICE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ČÁST I: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OBECNÉ POKYNY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STRUKTURA A KONVENCE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Rámec pokrývá celkem šest témat, kterými jsou: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kapitálová přiměřenost, přehled regulatorního kapitálu, celkový objem rizikové expozice,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obezřetné oceňování,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krytí ztrát z nevýkonných expozic;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skupinová solventnost, přehled plnění solventnostních požadavků všemi subjekty, které jsou zahrnuty do konsolidace vykazujícího subjektu;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úvěrové riziko (včetně rizika protistrany, rizika rozmělnění a vypořádacího rizika);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tržní riziko (včetně pozičního rizika v obchodním portfoliu, měnového rizika, komoditního rizika a rizika souvisejícího s úvěrovou úpravou v ocenění);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operační riziko;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expozice vůči vládním institucím;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expozice vůči kryptoaktivům.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Ke každé šabloně jsou uvedeny odkazy na právní předpisy.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V této části tohoto prováděcího nařízení jsou obsaženy další podrobné informace o obecnějších aspektech podávání zpráv ke každé skupině šablon, pokyny pro konkrétní pozice a také pravidla pro ověřování.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Instituce předkládají pouze šablony, které jsou pro ně relevantní v závislosti na přístupu používaném pro určení kapitálových požadavků.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Konvence v oblasti číslování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Při odkazování na sloupce, řádky a buňky šablon se dokument řídí konvencemi pro označování, které jsou stanoveny v bodech 5 až 8.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Uvedené číselné kódy se běžně používají v pravidlech pro ověřování.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V pokynech se používá tento obecný zápis: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{šablona;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řádek;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sloupec}.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V případě validací v rámci šablony, ve které jsou užity pouze údaje z této šablony, se zápisy nevztahují k šabloně: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{řádek;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sloupec}.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Má-li šablona pouze jeden sloupec, odkazuje se pouze na řádky: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{šablona;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řádek}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Hvězdičkou se označuje skutečnost, že u předem specifikovaných řádků či sloupců byla provedena validace.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Konvence v oblasti znamének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Jakákoli částka, která zvyšuje kapitál nebo kapitálové požadavky, se zapisuje jako kladné číslo.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Naopak jakákoli částka, která celkový kapitál nebo kapitálové požadavky snižuje, se zapisuje jako záporné číslo.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Je-li před označením položky uvedeno záporné znaménko (–), předpokládá se, že u této položky nebude vykázáno kladné číslo.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[prázdné]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cs-CZ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cs-CZ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cs-CZ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cs-CZ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cs-CZ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cs-CZ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cs-CZ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cs-CZ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cs-CZ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cs-CZ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cs-CZ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cs-CZ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cs-CZ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cs-CZ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cs-CZ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cs-CZ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cs-CZ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cs-CZ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cs-CZ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cs-CZ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cs-CZ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cs-CZ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cs-CZ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cs-CZ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cs-CZ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cs-CZ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cs-CZ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cs-CZ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cs-CZ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cs-CZ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cs-CZ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cs-CZ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cs-CZ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cs-CZ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cs-CZ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cs-CZ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cs-CZ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C39CE7-0214-4CAD-824F-6CCAA4A4E888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