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FFA5F" w14:textId="77777777" w:rsidR="00AB3AA8" w:rsidRDefault="00AB3AA8" w:rsidP="00AB3AA8">
      <w:pPr>
        <w:jc w:val="center"/>
        <w:rPr>
          <w:sz w:val="24"/>
          <w:szCs w:val="22"/>
          <w:rFonts w:ascii="Times New Roman" w:hAnsi="Times New Roman"/>
        </w:rPr>
      </w:pPr>
      <w:r>
        <w:rPr>
          <w:sz w:val="24"/>
          <w:rFonts w:ascii="Times New Roman" w:hAnsi="Times New Roman"/>
        </w:rPr>
        <w:t xml:space="preserve">CS</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PŘÍLOHA II</w:t>
      </w:r>
    </w:p>
    <w:p w14:paraId="4A662760"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„PŘÍLOHA II</w:t>
      </w:r>
    </w:p>
    <w:p w14:paraId="4C01682A" w14:textId="77777777" w:rsidR="00393F1E" w:rsidRPr="00037E7B" w:rsidRDefault="00393F1E" w:rsidP="00393F1E">
      <w:pPr>
        <w:jc w:val="center"/>
        <w:rPr>
          <w:b/>
          <w:sz w:val="24"/>
          <w:rFonts w:ascii="Times New Roman" w:hAnsi="Times New Roman"/>
        </w:rPr>
      </w:pPr>
      <w:r>
        <w:rPr>
          <w:b/>
          <w:sz w:val="24"/>
          <w:rFonts w:ascii="Times New Roman" w:hAnsi="Times New Roman"/>
        </w:rPr>
        <w:t xml:space="preserve">POKYNY PRO PODÁVÁNÍ ZPRÁV O KAPITÁLU A KAPITÁLOVÝCH POŽADAVCÍCH</w:t>
      </w:r>
    </w:p>
    <w:p w14:paraId="6B9B322A" w14:textId="77777777" w:rsidR="00E26A90" w:rsidRDefault="00E26A90"/>
    <w:p w14:paraId="0A62D0FD" w14:textId="77777777" w:rsidR="00626DD7" w:rsidRDefault="00626DD7" w:rsidP="00626DD7">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ČÁST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POKYNY K VYPLŇOVÁNÍ ŠABLON</w:t>
      </w:r>
    </w:p>
    <w:p w14:paraId="0BF83CF9" w14:textId="77777777" w:rsidR="00626DD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D47E5BD" w14:textId="77777777" w:rsidR="00626DD7" w:rsidRPr="0073663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3.3 Úvěrové riziko a úvěrové riziko protistrany a volné dodávky:</w:t>
      </w:r>
      <w:r>
        <w:rPr>
          <w:sz w:val="24"/>
          <w:rFonts w:ascii="Times New Roman" w:hAnsi="Times New Roman"/>
        </w:rPr>
        <w:t xml:space="preserve"> </w:t>
      </w:r>
      <w:r>
        <w:rPr>
          <w:sz w:val="24"/>
          <w:rFonts w:ascii="Times New Roman" w:hAnsi="Times New Roman"/>
        </w:rPr>
        <w:t xml:space="preserve">přístup IRB ke kapitálovým požadavkům (CR IRB)</w:t>
      </w:r>
    </w:p>
    <w:p w14:paraId="4E7759A8"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0" w:name="_Toc360188358"/>
      <w:bookmarkStart w:id="1" w:name="_Toc473560907"/>
      <w:bookmarkStart w:id="2" w:name="_Toc151714395"/>
      <w:r>
        <w:rPr>
          <w:sz w:val="24"/>
          <w:u w:val="none"/>
          <w:rFonts w:ascii="Times New Roman" w:hAnsi="Times New Roman"/>
        </w:rPr>
        <w:t xml:space="preserve">3.3.1</w:t>
      </w:r>
      <w:r>
        <w:tab/>
      </w:r>
      <w:r>
        <w:rPr>
          <w:sz w:val="24"/>
          <w:rFonts w:ascii="Times New Roman" w:hAnsi="Times New Roman"/>
        </w:rPr>
        <w:t xml:space="preserve">Oblast působnosti šablony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 xml:space="preserve">72</w:t>
      </w:r>
      <w:r>
        <w:fldChar w:fldCharType="end"/>
      </w:r>
      <w:r>
        <w:t xml:space="preserve">.</w:t>
      </w:r>
      <w:r>
        <w:tab/>
      </w:r>
      <w:r>
        <w:t xml:space="preserve">Oblast působnosti šablony CR IRB zahrnuje:</w:t>
      </w:r>
    </w:p>
    <w:p w14:paraId="3BAE32CC" w14:textId="77777777" w:rsidR="00FB3D09" w:rsidRPr="002A677E" w:rsidRDefault="00FB3D09" w:rsidP="00FB3D09">
      <w:pPr>
        <w:pStyle w:val="InstructionsText2"/>
        <w:numPr>
          <w:ilvl w:val="0"/>
          <w:numId w:val="0"/>
        </w:numPr>
        <w:ind w:left="993"/>
      </w:pPr>
      <w:r>
        <w:t xml:space="preserve">i.</w:t>
      </w:r>
      <w:r>
        <w:tab/>
      </w:r>
      <w:r>
        <w:t xml:space="preserve">úvěrové riziko investičního portfolia, kam patří:</w:t>
      </w:r>
    </w:p>
    <w:p w14:paraId="24DF91FB" w14:textId="77777777" w:rsidR="00FB3D09" w:rsidRPr="002A677E" w:rsidRDefault="00FB3D09" w:rsidP="00FB3D09">
      <w:pPr>
        <w:pStyle w:val="InstructionsText2"/>
        <w:numPr>
          <w:ilvl w:val="0"/>
          <w:numId w:val="0"/>
        </w:numPr>
        <w:ind w:left="993"/>
      </w:pPr>
      <w:r>
        <w:t xml:space="preserve">úvěrové riziko protistrany v případě investičního portfolia;</w:t>
      </w:r>
    </w:p>
    <w:p w14:paraId="2FF003CE" w14:textId="77777777" w:rsidR="00FB3D09" w:rsidRPr="002A677E" w:rsidRDefault="00FB3D09" w:rsidP="00FB3D09">
      <w:pPr>
        <w:pStyle w:val="InstructionsText2"/>
        <w:numPr>
          <w:ilvl w:val="0"/>
          <w:numId w:val="0"/>
        </w:numPr>
        <w:ind w:left="993"/>
      </w:pPr>
      <w:r>
        <w:t xml:space="preserve">riziko rozmělnění u pohledávek nabytých za úplatu;</w:t>
      </w:r>
    </w:p>
    <w:p w14:paraId="25CEC377" w14:textId="77777777" w:rsidR="00FB3D09" w:rsidRPr="002A677E" w:rsidRDefault="00FB3D09" w:rsidP="00FB3D09">
      <w:pPr>
        <w:pStyle w:val="InstructionsText2"/>
        <w:numPr>
          <w:ilvl w:val="0"/>
          <w:numId w:val="0"/>
        </w:numPr>
        <w:ind w:left="993"/>
      </w:pPr>
      <w:r>
        <w:t xml:space="preserve">ii.</w:t>
      </w:r>
      <w:r>
        <w:tab/>
      </w:r>
      <w:r>
        <w:t xml:space="preserve">úvěrové riziko protistrany v případě obchodního portfolia;</w:t>
      </w:r>
    </w:p>
    <w:p w14:paraId="082D669A" w14:textId="77777777" w:rsidR="00FB3D09" w:rsidRPr="002A677E" w:rsidRDefault="00FB3D09" w:rsidP="00FB3D09">
      <w:pPr>
        <w:pStyle w:val="InstructionsText2"/>
        <w:numPr>
          <w:ilvl w:val="0"/>
          <w:numId w:val="0"/>
        </w:numPr>
        <w:ind w:left="993"/>
      </w:pPr>
      <w:r>
        <w:t xml:space="preserve">iii.</w:t>
      </w:r>
      <w:r>
        <w:tab/>
      </w:r>
      <w:r>
        <w:t xml:space="preserve">volné dodávky vyplývající ze všech obchodních činností.</w:t>
      </w:r>
    </w:p>
    <w:p w14:paraId="50C5E887" w14:textId="77777777" w:rsidR="00FB3D09" w:rsidRPr="002A677E" w:rsidRDefault="00FB3D09" w:rsidP="00FB3D09">
      <w:pPr>
        <w:pStyle w:val="InstructionsText2"/>
        <w:numPr>
          <w:ilvl w:val="0"/>
          <w:numId w:val="0"/>
        </w:numPr>
        <w:ind w:left="993"/>
      </w:pPr>
      <w:r>
        <w:t xml:space="preserve">73.</w:t>
      </w:r>
      <w:r>
        <w:tab/>
      </w:r>
      <w:r>
        <w:t xml:space="preserve">Tato šablona se vztahuje na expozice, v jejichž případě se objemy rizikově vážených expozic vypočítávají v souladu s články 151 až 157 části třetí hlavy II kapitoly 3 nařízení (EU) č. 575/2013 (o přístupu IRB).</w:t>
      </w:r>
      <w:r>
        <w:t xml:space="preserve"> </w:t>
      </w:r>
    </w:p>
    <w:p w14:paraId="537660ED"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 xml:space="preserve">74</w:t>
      </w:r>
      <w:r>
        <w:fldChar w:fldCharType="end"/>
      </w:r>
      <w:r>
        <w:t xml:space="preserve">.</w:t>
      </w:r>
      <w:r>
        <w:t xml:space="preserve"> </w:t>
      </w:r>
      <w:r>
        <w:t xml:space="preserve">Šablona CR IRB se nevztahuje na následující údaje:</w:t>
      </w:r>
      <w:r>
        <w:t xml:space="preserve"> </w:t>
      </w:r>
    </w:p>
    <w:p w14:paraId="7F7154C9" w14:textId="77777777" w:rsidR="00FB3D09" w:rsidRPr="002A677E" w:rsidRDefault="00FB3D09" w:rsidP="00FB3D09">
      <w:pPr>
        <w:pStyle w:val="InstructionsText2"/>
        <w:numPr>
          <w:ilvl w:val="0"/>
          <w:numId w:val="0"/>
        </w:numPr>
        <w:ind w:left="993"/>
      </w:pPr>
      <w:r>
        <w:t xml:space="preserve">i.</w:t>
      </w:r>
      <w:r>
        <w:tab/>
      </w:r>
      <w:r>
        <w:t xml:space="preserve">akciové expozice, které se vykazují v šabloně CR EQU IRB;</w:t>
      </w:r>
      <w:r>
        <w:t xml:space="preserve"> </w:t>
      </w:r>
    </w:p>
    <w:p w14:paraId="39CEAA6A" w14:textId="77777777" w:rsidR="00FB3D09" w:rsidRPr="002A677E" w:rsidRDefault="00FB3D09" w:rsidP="00FB3D09">
      <w:pPr>
        <w:pStyle w:val="InstructionsText2"/>
        <w:numPr>
          <w:ilvl w:val="0"/>
          <w:numId w:val="0"/>
        </w:numPr>
        <w:ind w:left="993"/>
      </w:pPr>
      <w:r>
        <w:t xml:space="preserve">ii.</w:t>
      </w:r>
      <w:r>
        <w:tab/>
      </w:r>
      <w:r>
        <w:t xml:space="preserve">sekuritizované pozice, které se vykazují v podrobných šablonách CR SEC a/nebo CR SEC;</w:t>
      </w:r>
    </w:p>
    <w:p w14:paraId="486C870A" w14:textId="77777777" w:rsidR="00FB3D09" w:rsidRPr="002A677E" w:rsidRDefault="00FB3D09" w:rsidP="00FB3D09">
      <w:pPr>
        <w:pStyle w:val="InstructionsText2"/>
        <w:numPr>
          <w:ilvl w:val="0"/>
          <w:numId w:val="0"/>
        </w:numPr>
        <w:ind w:left="993"/>
      </w:pPr>
      <w:r>
        <w:t xml:space="preserve">iii.</w:t>
      </w:r>
      <w:r>
        <w:tab/>
      </w:r>
      <w:r>
        <w:t xml:space="preserve"> </w:t>
      </w:r>
      <w:r>
        <w:t xml:space="preserve">„Jiná aktiva nemající povahu úvěrového závazku“ ve smyslu čl. 147 odst. 2 písm. g) nařízení (EU) č. 575/2013.</w:t>
      </w:r>
      <w:r>
        <w:t xml:space="preserve"> </w:t>
      </w:r>
      <w:r>
        <w:t xml:space="preserve">V souladu s článkem 156 nařízení (EU) č. 575/2013 musí být riziková váha pro tuto kategorii expozic vždy stanovena na 100 % s výjimkou pokladní hotovosti, obdobných hotovostních položek a expozic, které jsou zbytkovou hodnotou pronajatých aktiv.</w:t>
      </w:r>
      <w:r>
        <w:t xml:space="preserve"> </w:t>
      </w:r>
      <w:r>
        <w:t xml:space="preserve">Objemy rizikově vážených expozic se pro tuto kategorii expozic vykazují přímo v šabloně CA;</w:t>
      </w:r>
    </w:p>
    <w:p w14:paraId="06855F02" w14:textId="77777777" w:rsidR="00FB3D09" w:rsidRPr="002A677E" w:rsidRDefault="00FB3D09" w:rsidP="00FB3D09">
      <w:pPr>
        <w:pStyle w:val="InstructionsText2"/>
        <w:numPr>
          <w:ilvl w:val="0"/>
          <w:numId w:val="0"/>
        </w:numPr>
        <w:ind w:left="993"/>
      </w:pPr>
      <w:r>
        <w:t xml:space="preserve">iv.</w:t>
      </w:r>
      <w:r>
        <w:tab/>
      </w:r>
      <w:r>
        <w:t xml:space="preserve">riziko úvěrových úprav v ocenění, které se vykazuje v šabloně CVA zaměřené na toto riziko.</w:t>
      </w:r>
    </w:p>
    <w:p w14:paraId="459A7112" w14:textId="77777777" w:rsidR="00FB3D09" w:rsidRPr="002A677E" w:rsidRDefault="00FB3D09" w:rsidP="00FB3D09">
      <w:pPr>
        <w:pStyle w:val="InstructionsText2"/>
        <w:numPr>
          <w:ilvl w:val="0"/>
          <w:numId w:val="0"/>
        </w:numPr>
        <w:ind w:left="993"/>
      </w:pPr>
      <w:r>
        <w:t xml:space="preserve">Šablona CR IRB nevyžaduje zeměpisné rozčlenění expozic v rámci přístupu IRB podle toho, kde sídlí protistrana.</w:t>
      </w:r>
      <w:r>
        <w:t xml:space="preserve"> </w:t>
      </w:r>
      <w:r>
        <w:t xml:space="preserve">Toto rozčlenění se vykazuje v šabloně CR GB.</w:t>
      </w:r>
      <w:r>
        <w:t xml:space="preserve"> </w:t>
      </w:r>
    </w:p>
    <w:p w14:paraId="50F092DC" w14:textId="77777777" w:rsidR="00FB3D09" w:rsidRPr="002A677E" w:rsidRDefault="00FB3D09" w:rsidP="00FB3D09">
      <w:pPr>
        <w:autoSpaceDE w:val="0"/>
        <w:autoSpaceDN w:val="0"/>
        <w:adjustRightInd w:val="0"/>
        <w:spacing w:before="0" w:after="240"/>
        <w:ind w:left="1418"/>
        <w:jc w:val="left"/>
        <w:rPr>
          <w:sz w:val="24"/>
          <w:rFonts w:ascii="Times New Roman" w:hAnsi="Times New Roman"/>
        </w:rPr>
      </w:pPr>
      <w:r>
        <w:rPr>
          <w:sz w:val="24"/>
          <w:rFonts w:ascii="Times New Roman" w:hAnsi="Times New Roman"/>
        </w:rPr>
        <w:t xml:space="preserve">Položky i) a iii) se nevztahují na šablonu CR IRB 7.</w:t>
      </w:r>
    </w:p>
    <w:p w14:paraId="383EDB2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75</w:t>
      </w:r>
      <w:r>
        <w:fldChar w:fldCharType="end"/>
      </w:r>
      <w:r>
        <w:t xml:space="preserve">.</w:t>
      </w:r>
      <w:r>
        <w:tab/>
      </w:r>
      <w:r>
        <w:t xml:space="preserve">S cílem objasnit, zda instituce používá vlastní odhady LGD a/nebo konverzní faktory k úvěrovému riziku, se u každé vykazované kategorie expozic uvádí tyto informace:</w:t>
      </w:r>
    </w:p>
    <w:p w14:paraId="5E6A9A8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„NE“ se uvede v případě, že se používají regulatorní odhady LGD a konverzních faktorů k úvěrovému riziku (základní přístup IRB).</w:t>
      </w:r>
    </w:p>
    <w:p w14:paraId="3AB7C0D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„ANO“ se uvede v případě, že se používají vlastní odhady LGD a/nebo konverzních faktorů k úvěrovému riziku (pokročilý přístup IRB).</w:t>
      </w:r>
      <w:r>
        <w:rPr>
          <w:sz w:val="24"/>
          <w:rFonts w:ascii="Times New Roman" w:hAnsi="Times New Roman"/>
        </w:rPr>
        <w:t xml:space="preserve"> </w:t>
      </w:r>
      <w:r>
        <w:rPr>
          <w:sz w:val="24"/>
          <w:rFonts w:ascii="Times New Roman" w:hAnsi="Times New Roman"/>
        </w:rPr>
        <w:t xml:space="preserve">To zahrnuje všechna retailová portfolia.</w:t>
      </w:r>
    </w:p>
    <w:p w14:paraId="366E5CCA"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V případě, že instituce používá vlastní odhady LGD pro výpočet </w:t>
      </w:r>
      <w:r>
        <w:rPr>
          <w:sz w:val="24"/>
          <w:rStyle w:val="InstructionsTabelleText"/>
          <w:rFonts w:ascii="Times New Roman" w:hAnsi="Times New Roman"/>
        </w:rPr>
        <w:t xml:space="preserve">objemů rizikově vážených expozic</w:t>
      </w:r>
      <w:r>
        <w:rPr>
          <w:sz w:val="24"/>
          <w:rFonts w:ascii="Times New Roman" w:hAnsi="Times New Roman"/>
        </w:rPr>
        <w:t xml:space="preserve"> u jedné části svých expozic v rámci přístupu IRB a také regulatorní odhady LGD pro výpočet </w:t>
      </w:r>
      <w:r>
        <w:rPr>
          <w:sz w:val="24"/>
          <w:rStyle w:val="InstructionsTabelleText"/>
          <w:rFonts w:ascii="Times New Roman" w:hAnsi="Times New Roman"/>
        </w:rPr>
        <w:t xml:space="preserve">objemů rizikově vážených expozic</w:t>
      </w:r>
      <w:r>
        <w:rPr>
          <w:sz w:val="24"/>
          <w:rFonts w:ascii="Times New Roman" w:hAnsi="Times New Roman"/>
        </w:rPr>
        <w:t xml:space="preserve"> u druhé části svých expozic v rámci přístupu IRB, musí být v šabloně CR IRB vykázána celková hodnota pozic v rámci základního přístupu IRB a celková hodnota pozic v rámci pokročilého přístupu IRB.</w:t>
      </w:r>
    </w:p>
    <w:p w14:paraId="42EA72F2" w14:textId="77777777" w:rsidR="00FB3D09" w:rsidRPr="002A677E" w:rsidRDefault="00FB3D09" w:rsidP="00FB3D09">
      <w:pPr>
        <w:pStyle w:val="Instructionsberschrift2"/>
        <w:numPr>
          <w:ilvl w:val="0"/>
          <w:numId w:val="0"/>
        </w:numPr>
        <w:rPr>
          <w:sz w:val="24"/>
          <w:rFonts w:ascii="Times New Roman" w:hAnsi="Times New Roman" w:cs="Times New Roman"/>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sz w:val="24"/>
          <w:u w:val="none"/>
          <w:rFonts w:ascii="Times New Roman" w:hAnsi="Times New Roman"/>
        </w:rPr>
        <w:t xml:space="preserve">3.3.2</w:t>
      </w:r>
      <w:r>
        <w:tab/>
      </w:r>
      <w:r>
        <w:rPr>
          <w:sz w:val="24"/>
          <w:rFonts w:ascii="Times New Roman" w:hAnsi="Times New Roman"/>
        </w:rPr>
        <w:t xml:space="preserve">Struktura šablony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dirty="true"/>
      </w:r>
      <w:r>
        <w:instrText>seq paragraphs</w:instrText>
      </w:r>
      <w:r>
        <w:fldChar w:fldCharType="separate"/>
      </w:r>
      <w:r>
        <w:t xml:space="preserve">76</w:t>
      </w:r>
      <w:r>
        <w:fldChar w:fldCharType="end"/>
      </w:r>
      <w:r>
        <w:t xml:space="preserve">.</w:t>
      </w:r>
      <w:r>
        <w:tab/>
      </w:r>
      <w:r>
        <w:t xml:space="preserve">Šablona CR IRB sestává ze sedmi dílčích šablon.</w:t>
      </w:r>
      <w:r>
        <w:t xml:space="preserve"> </w:t>
      </w:r>
      <w:r>
        <w:t xml:space="preserve">Šablona CR IRB 1 poskytuje obecný přehled expozic v rámci přístupu IRB a představuje různé metody výpočtu objemů rizikově vážených expozic a rozčlenění celkových expozic podle druhů expozic.</w:t>
      </w:r>
      <w:r>
        <w:t xml:space="preserve"> </w:t>
      </w:r>
      <w:r>
        <w:t xml:space="preserve">Šablona CR IRB 2 obsahuje rozčlenění celkových expozic zařazených do stupňů či seskupení dlužníků (expozice vykázané v řádku 0070 CR IRB 1).</w:t>
      </w:r>
      <w:r>
        <w:t xml:space="preserve"> </w:t>
      </w:r>
      <w:r>
        <w:t xml:space="preserve">Šablona CR IRB 3 uvádí všechny relevantní parametry používané pro výpočet kapitálových požadavků k úvěrovému riziku pro modely IRB.</w:t>
      </w:r>
      <w:r>
        <w:t xml:space="preserve"> </w:t>
      </w:r>
      <w:r>
        <w:t xml:space="preserve">Šablona CR IRB 4 obsahuje přehled toků vysvětlující změny objemů rizikově vážených expozic určených podle přístupu IRB pro úvěrové riziko.</w:t>
      </w:r>
      <w:r>
        <w:t xml:space="preserve"> </w:t>
      </w:r>
      <w:r>
        <w:t xml:space="preserve">CR IRB 5 poskytuje informace o výsledcích zpětného testování PD u vykazovaných modelů.</w:t>
      </w:r>
      <w:r>
        <w:t xml:space="preserve"> </w:t>
      </w:r>
      <w:r>
        <w:t xml:space="preserve">Šablona CR IRB 6 uvádí všechny relevantní parametry používané pro výpočet kapitálových požadavků k úvěrovému riziku podle rozřazovacích kritérií specializovaného úvěrování.</w:t>
      </w:r>
      <w:r>
        <w:t xml:space="preserve"> </w:t>
      </w:r>
      <w:r>
        <w:t xml:space="preserve">Šablona CR IRB 7 poskytuje přehled procentního podílu hodnoty expozice, na který se vztahují přístupy standardizovaného přístupu nebo přístupu IRB pro každou příslušnou kategorii expozic.</w:t>
      </w:r>
      <w:r>
        <w:t xml:space="preserve"> </w:t>
      </w:r>
      <w:r>
        <w:t xml:space="preserve">Šablony CR IRB 1, CR IRB 2, CR IRB 3 a CR IRB 5 se vykazují samostatně pro následující kategorie a podkategorie expozic („doplňková položka“ se vykazuje samostatně jako podkategorie expozice, ale není spojena se šablonou C 02.00 a není součástí šablony Celkem):</w:t>
      </w:r>
    </w:p>
    <w:p w14:paraId="23A3F056" w14:textId="64EA1880" w:rsidR="00FD1A9F" w:rsidRPr="00126E51" w:rsidRDefault="006B0F8A" w:rsidP="00126E51">
      <w:pPr>
        <w:autoSpaceDE w:val="0"/>
        <w:autoSpaceDN w:val="0"/>
        <w:adjustRightInd w:val="0"/>
        <w:spacing w:before="0" w:after="0"/>
        <w:ind w:left="708"/>
        <w:jc w:val="left"/>
        <w:rPr>
          <w:u w:val="single"/>
        </w:rPr>
      </w:pPr>
      <w:r>
        <w:rPr>
          <w:sz w:val="24"/>
          <w:u w:val="single"/>
          <w:rFonts w:ascii="Times New Roman" w:hAnsi="Times New Roman"/>
        </w:rPr>
        <w:t xml:space="preserve">A) Přístupy založené na interním ratingu, pokud se nepoužívají vlastní odhady LGD ani konverzní faktory (základní přístup IRB)</w:t>
      </w:r>
    </w:p>
    <w:p w14:paraId="742DED0D" w14:textId="60DC622C" w:rsidR="00FB3D09" w:rsidRPr="00126E51" w:rsidRDefault="006B0F8A" w:rsidP="006B0F8A">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A.1)</w:t>
      </w:r>
      <w:r>
        <w:rPr>
          <w:sz w:val="24"/>
          <w:rFonts w:ascii="Times New Roman" w:hAnsi="Times New Roman"/>
        </w:rPr>
        <w:t xml:space="preserve"> </w:t>
      </w:r>
      <w:r>
        <w:tab/>
      </w:r>
      <w:r>
        <w:rPr>
          <w:sz w:val="24"/>
          <w:rFonts w:ascii="Times New Roman" w:hAnsi="Times New Roman"/>
        </w:rPr>
        <w:t xml:space="preserve">Celkem</w:t>
      </w:r>
    </w:p>
    <w:p w14:paraId="17E353AE" w14:textId="4D7B9170"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A.2)</w:t>
      </w:r>
      <w:r>
        <w:tab/>
      </w:r>
      <w:r>
        <w:rPr>
          <w:sz w:val="24"/>
          <w:rFonts w:ascii="Times New Roman" w:hAnsi="Times New Roman"/>
        </w:rPr>
        <w:t xml:space="preserve">Centrální banky a ústřední vlády</w:t>
      </w:r>
      <w:r>
        <w:rPr>
          <w:sz w:val="24"/>
          <w:rFonts w:ascii="Times New Roman" w:hAnsi="Times New Roman"/>
        </w:rPr>
        <w:t xml:space="preserve"> </w:t>
      </w:r>
    </w:p>
    <w:p w14:paraId="070E0717"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a) nařízení (EU) č. 575/2013)</w:t>
      </w:r>
    </w:p>
    <w:p w14:paraId="4032BEC5" w14:textId="47D8D1A7"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A.3)</w:t>
      </w:r>
      <w:r>
        <w:tab/>
      </w:r>
      <w:r>
        <w:rPr>
          <w:sz w:val="24"/>
          <w:rFonts w:ascii="Times New Roman" w:hAnsi="Times New Roman"/>
        </w:rPr>
        <w:t xml:space="preserve">Regionální vlády nebo místní orgány</w:t>
      </w:r>
      <w:r>
        <w:rPr>
          <w:sz w:val="24"/>
          <w:rFonts w:ascii="Times New Roman" w:hAnsi="Times New Roman"/>
        </w:rPr>
        <w:t xml:space="preserve"> </w:t>
      </w:r>
    </w:p>
    <w:p w14:paraId="75CD54FE" w14:textId="4B4A74E8"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aa) bodu i) nařízení (EU) č. 575/2013)</w:t>
      </w:r>
    </w:p>
    <w:p w14:paraId="614294C6" w14:textId="682C38BE"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A.4)</w:t>
      </w:r>
      <w:r>
        <w:tab/>
      </w:r>
      <w:r>
        <w:rPr>
          <w:sz w:val="24"/>
          <w:rFonts w:ascii="Times New Roman" w:hAnsi="Times New Roman"/>
        </w:rPr>
        <w:t xml:space="preserve">Subjekty veřejného sektoru</w:t>
      </w:r>
      <w:r>
        <w:rPr>
          <w:sz w:val="24"/>
          <w:rFonts w:ascii="Times New Roman" w:hAnsi="Times New Roman"/>
        </w:rPr>
        <w:t xml:space="preserve">  </w:t>
      </w:r>
    </w:p>
    <w:p w14:paraId="52525D8D" w14:textId="056FDE6F"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a) bodu ii) nařízení (EU) č. 575/2013)</w:t>
      </w:r>
    </w:p>
    <w:p w14:paraId="3CDBBA19" w14:textId="3B656C48" w:rsidR="00FB3D09" w:rsidRPr="002A677E" w:rsidRDefault="006B0F8A" w:rsidP="00FB3D09">
      <w:pPr>
        <w:autoSpaceDE w:val="0"/>
        <w:autoSpaceDN w:val="0"/>
        <w:adjustRightInd w:val="0"/>
        <w:spacing w:before="0" w:after="0"/>
        <w:ind w:left="708"/>
        <w:rPr>
          <w:sz w:val="24"/>
          <w:rFonts w:ascii="Times New Roman" w:hAnsi="Times New Roman"/>
        </w:rPr>
      </w:pPr>
      <w:r>
        <w:rPr>
          <w:sz w:val="24"/>
          <w:rFonts w:ascii="Times New Roman" w:hAnsi="Times New Roman"/>
        </w:rPr>
        <w:t xml:space="preserve">A.5)</w:t>
      </w:r>
      <w:r>
        <w:tab/>
      </w:r>
      <w:r>
        <w:rPr>
          <w:sz w:val="24"/>
          <w:rFonts w:ascii="Times New Roman" w:hAnsi="Times New Roman"/>
        </w:rPr>
        <w:t xml:space="preserve">Instituce</w:t>
      </w:r>
    </w:p>
    <w:p w14:paraId="5A2EE4F2" w14:textId="3CF7CB17" w:rsidR="00FB3D09" w:rsidRDefault="00FB3D09" w:rsidP="00E13BD0">
      <w:pPr>
        <w:autoSpaceDE w:val="0"/>
        <w:autoSpaceDN w:val="0"/>
        <w:adjustRightInd w:val="0"/>
        <w:spacing w:before="0" w:after="0"/>
        <w:ind w:left="1416" w:firstLine="12"/>
        <w:jc w:val="left"/>
        <w:rPr>
          <w:sz w:val="24"/>
          <w:rFonts w:ascii="Times New Roman" w:hAnsi="Times New Roman"/>
        </w:rPr>
      </w:pPr>
      <w:r>
        <w:rPr>
          <w:sz w:val="24"/>
          <w:rFonts w:ascii="Times New Roman" w:hAnsi="Times New Roman"/>
        </w:rPr>
        <w:t xml:space="preserve">(ustanovení čl. 147 odst. 2 písm. b) nařízení (EU) č. 575/2013)</w:t>
      </w:r>
    </w:p>
    <w:p w14:paraId="5411EBAF" w14:textId="1E5C1A05"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A.6.1)</w:t>
      </w:r>
      <w:r>
        <w:tab/>
      </w:r>
      <w:r>
        <w:rPr>
          <w:sz w:val="24"/>
          <w:rFonts w:ascii="Times New Roman" w:hAnsi="Times New Roman"/>
        </w:rPr>
        <w:t xml:space="preserve">Podniky – specializované úvěry</w:t>
      </w:r>
    </w:p>
    <w:p w14:paraId="4E8B7543" w14:textId="4E5EF733"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c) bodu ii) nařízení (EU) č. 575/2013)</w:t>
      </w:r>
    </w:p>
    <w:p w14:paraId="571E5944" w14:textId="28012B61"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A.6.2) Podniky – pohledávky nabyté za úplatu</w:t>
      </w:r>
    </w:p>
    <w:p w14:paraId="1A7D2649" w14:textId="4FE9E262" w:rsidR="00E13BD0" w:rsidRDefault="00FB3D09" w:rsidP="00EF2302">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ustanovení čl. 147 odst. 2 písm. c) bodu iii) nařízení (EU) č. 575/2013).</w:t>
      </w:r>
    </w:p>
    <w:p w14:paraId="77FF0C8B" w14:textId="0F260419" w:rsidR="00FB3D09" w:rsidRPr="002A677E" w:rsidRDefault="006B0F8A" w:rsidP="00E13BD0">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A.6.3)</w:t>
      </w:r>
      <w:r>
        <w:tab/>
      </w:r>
      <w:r>
        <w:rPr>
          <w:sz w:val="24"/>
          <w:rFonts w:ascii="Times New Roman" w:hAnsi="Times New Roman"/>
        </w:rPr>
        <w:t xml:space="preserve">Podniky – ostatní</w:t>
      </w:r>
      <w:r>
        <w:rPr>
          <w:sz w:val="24"/>
          <w:rFonts w:ascii="Times New Roman" w:hAnsi="Times New Roman"/>
        </w:rPr>
        <w:t xml:space="preserve"> </w:t>
      </w:r>
    </w:p>
    <w:p w14:paraId="0E912CCE" w14:textId="24911A15"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c) bodu i) nařízení (EU) č. 575/2013)</w:t>
      </w:r>
    </w:p>
    <w:p w14:paraId="486BF9E6" w14:textId="1FC1D76C"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A.6.4) Doplňková položka:</w:t>
      </w:r>
      <w:r>
        <w:rPr>
          <w:sz w:val="24"/>
          <w:rFonts w:ascii="Times New Roman" w:hAnsi="Times New Roman"/>
        </w:rPr>
        <w:t xml:space="preserve"> </w:t>
      </w:r>
      <w:r>
        <w:rPr>
          <w:sz w:val="24"/>
          <w:rFonts w:ascii="Times New Roman" w:hAnsi="Times New Roman"/>
        </w:rPr>
        <w:t xml:space="preserve">Podniky – velké podniky</w:t>
      </w:r>
    </w:p>
    <w:p w14:paraId="715EBD40" w14:textId="150CC2BB" w:rsidR="0029349B" w:rsidRDefault="0029349B" w:rsidP="0029349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(ustanovení čl. 147 odst. 2 písm. c) nařízení (EU) 575/2013, čl. 142 odst. 1 ve spojení s bodem 5a nařízení (EU) č. 575/2013)</w:t>
      </w:r>
    </w:p>
    <w:p w14:paraId="5A8F3224" w14:textId="4866743F"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A.6.5) Doplňková položka:</w:t>
      </w:r>
      <w:r>
        <w:rPr>
          <w:sz w:val="24"/>
          <w:rFonts w:ascii="Times New Roman" w:hAnsi="Times New Roman"/>
        </w:rPr>
        <w:t xml:space="preserve"> </w:t>
      </w:r>
      <w:r>
        <w:rPr>
          <w:sz w:val="24"/>
          <w:rFonts w:ascii="Times New Roman" w:hAnsi="Times New Roman"/>
        </w:rPr>
        <w:t xml:space="preserve">Podniky – malé a střední podniky</w:t>
      </w:r>
    </w:p>
    <w:p w14:paraId="42836C84" w14:textId="124ED090" w:rsidR="0029349B" w:rsidRPr="00EF2302" w:rsidRDefault="0029349B" w:rsidP="00126E51">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(ustanovení čl. 147 odst. 2 bodu I nařízení (EU) č. 575/2013 ve spojení s čl. 5 odst. 8 nařízení (EU) č.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sz w:val="24"/>
          <w:u w:val="single"/>
          <w:rFonts w:ascii="Times New Roman" w:hAnsi="Times New Roman"/>
        </w:rPr>
      </w:pPr>
      <w:r>
        <w:rPr>
          <w:sz w:val="24"/>
          <w:u w:val="single"/>
          <w:rFonts w:ascii="Times New Roman" w:hAnsi="Times New Roman"/>
        </w:rPr>
        <w:t xml:space="preserve">B) Přístupy IRB, při nichž se používají vlastní odhady LGD a/nebo konverzní faktory</w:t>
      </w:r>
    </w:p>
    <w:p w14:paraId="31E1DC0E" w14:textId="5BBBD0A6" w:rsidR="006013AC" w:rsidRPr="00CF47EA"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B.1)</w:t>
      </w:r>
      <w:r>
        <w:rPr>
          <w:sz w:val="24"/>
          <w:rFonts w:ascii="Times New Roman" w:hAnsi="Times New Roman"/>
        </w:rPr>
        <w:t xml:space="preserve"> </w:t>
      </w:r>
      <w:r>
        <w:tab/>
      </w:r>
      <w:r>
        <w:rPr>
          <w:sz w:val="24"/>
          <w:rFonts w:ascii="Times New Roman" w:hAnsi="Times New Roman"/>
        </w:rPr>
        <w:t xml:space="preserve">Celkem</w:t>
      </w:r>
    </w:p>
    <w:p w14:paraId="2607EE3C" w14:textId="4BBA570A"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B.2)</w:t>
      </w:r>
      <w:r>
        <w:tab/>
      </w:r>
      <w:r>
        <w:rPr>
          <w:sz w:val="24"/>
          <w:rFonts w:ascii="Times New Roman" w:hAnsi="Times New Roman"/>
        </w:rPr>
        <w:t xml:space="preserve">Centrální banky a ústřední vlády</w:t>
      </w:r>
      <w:r>
        <w:rPr>
          <w:sz w:val="24"/>
          <w:rFonts w:ascii="Times New Roman" w:hAnsi="Times New Roman"/>
        </w:rPr>
        <w:t xml:space="preserve"> </w:t>
      </w:r>
    </w:p>
    <w:p w14:paraId="194B4B2A" w14:textId="77777777"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a) nařízení (EU) č. 575/2013)</w:t>
      </w:r>
    </w:p>
    <w:p w14:paraId="788F5C27" w14:textId="060EA0B3"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B.3)</w:t>
      </w:r>
      <w:r>
        <w:tab/>
      </w:r>
      <w:r>
        <w:rPr>
          <w:sz w:val="24"/>
          <w:rFonts w:ascii="Times New Roman" w:hAnsi="Times New Roman"/>
        </w:rPr>
        <w:t xml:space="preserve">Regionální vlády nebo místní orgány</w:t>
      </w:r>
      <w:r>
        <w:rPr>
          <w:sz w:val="24"/>
          <w:rFonts w:ascii="Times New Roman" w:hAnsi="Times New Roman"/>
        </w:rPr>
        <w:t xml:space="preserve"> </w:t>
      </w:r>
    </w:p>
    <w:p w14:paraId="2ECF3277"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aa) bodu i) nařízení (EU) č. 575/2013)</w:t>
      </w:r>
    </w:p>
    <w:p w14:paraId="5DCFC117" w14:textId="01557B68"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B.4)</w:t>
      </w:r>
      <w:r>
        <w:tab/>
      </w:r>
      <w:r>
        <w:rPr>
          <w:sz w:val="24"/>
          <w:rFonts w:ascii="Times New Roman" w:hAnsi="Times New Roman"/>
        </w:rPr>
        <w:t xml:space="preserve">Subjekty veřejného sektoru</w:t>
      </w:r>
      <w:r>
        <w:rPr>
          <w:sz w:val="24"/>
          <w:rFonts w:ascii="Times New Roman" w:hAnsi="Times New Roman"/>
        </w:rPr>
        <w:t xml:space="preserve">  </w:t>
      </w:r>
    </w:p>
    <w:p w14:paraId="062F8299"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písm. a) bodu ii) nařízení (EU) č. 575/2013)</w:t>
      </w:r>
    </w:p>
    <w:p w14:paraId="698D8E50" w14:textId="3BD81666"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B.5.1)</w:t>
      </w:r>
      <w:r>
        <w:tab/>
      </w:r>
      <w:r>
        <w:rPr>
          <w:sz w:val="24"/>
          <w:rFonts w:ascii="Times New Roman" w:hAnsi="Times New Roman"/>
        </w:rPr>
        <w:t xml:space="preserve">Podniky – specializované úvěry</w:t>
      </w:r>
    </w:p>
    <w:p w14:paraId="7699809B" w14:textId="4B162F04"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bodu I podbodu ii) nařízení (EU) č. 575/2013)</w:t>
      </w:r>
    </w:p>
    <w:p w14:paraId="79E7A993" w14:textId="0A3A70E1"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B.5.2) Podniky – pohledávky nabyté za úplatu</w:t>
      </w:r>
    </w:p>
    <w:p w14:paraId="47616290" w14:textId="5372C532" w:rsidR="006013AC" w:rsidRDefault="006013AC" w:rsidP="006013AC">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(ustanovení čl. 147 odst. 2 bodu I podbodu iii) nařízení (EU) č. 575/2013)</w:t>
      </w:r>
    </w:p>
    <w:p w14:paraId="7E0F1962" w14:textId="1EC228E7" w:rsidR="006013AC" w:rsidRPr="002A677E" w:rsidRDefault="009D125A" w:rsidP="006013AC">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B.5.3)</w:t>
      </w:r>
      <w:r>
        <w:tab/>
      </w:r>
      <w:r>
        <w:rPr>
          <w:sz w:val="24"/>
          <w:rFonts w:ascii="Times New Roman" w:hAnsi="Times New Roman"/>
        </w:rPr>
        <w:t xml:space="preserve">Podniky – ostatní</w:t>
      </w:r>
      <w:r>
        <w:rPr>
          <w:sz w:val="24"/>
          <w:rFonts w:ascii="Times New Roman" w:hAnsi="Times New Roman"/>
        </w:rPr>
        <w:t xml:space="preserve"> </w:t>
      </w:r>
    </w:p>
    <w:p w14:paraId="7C24044A" w14:textId="31456617" w:rsidR="00CD1BFF" w:rsidRDefault="006013AC" w:rsidP="009D125A">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(ustanovení čl. 147 odst. 2 bodu I podbodu i) nařízení (EU) č. 575/2013)</w:t>
      </w:r>
    </w:p>
    <w:p w14:paraId="0D9A4B56" w14:textId="3B70C431"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B.5.4) Doplňková položka:</w:t>
      </w:r>
      <w:r>
        <w:rPr>
          <w:sz w:val="24"/>
          <w:rFonts w:ascii="Times New Roman" w:hAnsi="Times New Roman"/>
        </w:rPr>
        <w:t xml:space="preserve"> </w:t>
      </w:r>
      <w:r>
        <w:rPr>
          <w:sz w:val="24"/>
          <w:rFonts w:ascii="Times New Roman" w:hAnsi="Times New Roman"/>
        </w:rPr>
        <w:t xml:space="preserve">Podniky – velké podniky</w:t>
      </w:r>
    </w:p>
    <w:p w14:paraId="7348E5D3" w14:textId="77777777" w:rsidR="008A3C6B" w:rsidRDefault="008A3C6B" w:rsidP="008A3C6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(ustanovení čl. 147 odst. 2 písm. c) nařízení (EU) 575/2013, čl. 142 odst. 1 ve spojení s bodem 5a nařízení (EU) č. 575/2013)</w:t>
      </w:r>
    </w:p>
    <w:p w14:paraId="4EA5C9B6" w14:textId="568BE150"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B.5.6) Doplňková položka:</w:t>
      </w:r>
      <w:r>
        <w:rPr>
          <w:sz w:val="24"/>
          <w:rFonts w:ascii="Times New Roman" w:hAnsi="Times New Roman"/>
        </w:rPr>
        <w:t xml:space="preserve"> </w:t>
      </w:r>
      <w:r>
        <w:rPr>
          <w:sz w:val="24"/>
          <w:rFonts w:ascii="Times New Roman" w:hAnsi="Times New Roman"/>
        </w:rPr>
        <w:t xml:space="preserve">Podniky – malé a střední podniky</w:t>
      </w:r>
    </w:p>
    <w:p w14:paraId="327F10F1" w14:textId="086997C1" w:rsidR="008A3C6B" w:rsidRDefault="008A3C6B" w:rsidP="008A3C6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(ustanovení čl. 147 odst. 2 písm. c) nařízení (EU) 575/2013 ve spojení s čl. 5 odst.8 nařízení (EU) č. 575/2013)</w:t>
      </w:r>
    </w:p>
    <w:p w14:paraId="72709B7F" w14:textId="0A3CA0B0"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B.6.1)</w:t>
      </w:r>
      <w:r>
        <w:tab/>
      </w:r>
      <w:r>
        <w:rPr>
          <w:sz w:val="24"/>
          <w:rFonts w:ascii="Times New Roman" w:hAnsi="Times New Roman"/>
        </w:rPr>
        <w:t xml:space="preserve">Retailové expozice – zajištěné obytnými nemovitostmi</w:t>
      </w:r>
      <w:r>
        <w:rPr>
          <w:sz w:val="24"/>
          <w:rFonts w:ascii="Times New Roman" w:hAnsi="Times New Roman"/>
        </w:rPr>
        <w:t xml:space="preserve"> </w:t>
      </w:r>
    </w:p>
    <w:p w14:paraId="650A4DF9" w14:textId="69386974"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(retailové expozice ve smyslu čl. 147 odst. 2 písm. d) bodu ii) nařízení (EU) č. 575/2013</w:t>
      </w:r>
    </w:p>
    <w:p w14:paraId="2ECC4965" w14:textId="776EA69B" w:rsidR="00A54B9F" w:rsidRDefault="000C3D68" w:rsidP="00E13BD0">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Do této kategorie.</w:t>
      </w:r>
    </w:p>
    <w:p w14:paraId="4F591501" w14:textId="3C2A575C"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B.6.2)</w:t>
      </w:r>
      <w:r>
        <w:tab/>
      </w:r>
      <w:r>
        <w:rPr>
          <w:sz w:val="24"/>
          <w:rFonts w:ascii="Times New Roman" w:hAnsi="Times New Roman"/>
        </w:rPr>
        <w:t xml:space="preserve">Retailová oblast – kvalifikované revolvingové expozice</w:t>
      </w:r>
    </w:p>
    <w:p w14:paraId="2787B7FB"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(retailové expozice ve smyslu čl. 147 odst. 2 písm. d) bodu i) nařízení (EU) č. 575/2013 ve spojení s čl. 154 odst. 4 uvedeného nařízení).</w:t>
      </w:r>
      <w:r>
        <w:rPr>
          <w:sz w:val="24"/>
          <w:rFonts w:ascii="Times New Roman" w:hAnsi="Times New Roman"/>
        </w:rPr>
        <w:t xml:space="preserve"> </w:t>
      </w:r>
    </w:p>
    <w:p w14:paraId="1CA9F240" w14:textId="4E5B99F0"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B6.3)</w:t>
      </w:r>
      <w:r>
        <w:tab/>
      </w:r>
      <w:r>
        <w:rPr>
          <w:sz w:val="24"/>
          <w:rFonts w:ascii="Times New Roman" w:hAnsi="Times New Roman"/>
        </w:rPr>
        <w:t xml:space="preserve">Retailová oblast – pohledávky nabyté za úplatu</w:t>
      </w:r>
    </w:p>
    <w:p w14:paraId="3EBF4177" w14:textId="77777777"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(retailové expozice ve smyslu čl. 147 odst. 2 písm. d) bodě iii) nařízení (EU) č. 575/2013).</w:t>
      </w:r>
      <w:r>
        <w:rPr>
          <w:sz w:val="24"/>
          <w:rFonts w:ascii="Times New Roman" w:hAnsi="Times New Roman"/>
        </w:rPr>
        <w:t xml:space="preserve"> </w:t>
      </w:r>
    </w:p>
    <w:p w14:paraId="776A9653" w14:textId="274FCDDB"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B.6.4)</w:t>
      </w:r>
      <w:r>
        <w:tab/>
      </w:r>
      <w:r>
        <w:rPr>
          <w:sz w:val="24"/>
          <w:rFonts w:ascii="Times New Roman" w:hAnsi="Times New Roman"/>
        </w:rPr>
        <w:t xml:space="preserve">Retailové expozice – ostatní</w:t>
      </w:r>
      <w:r>
        <w:rPr>
          <w:sz w:val="24"/>
          <w:rFonts w:ascii="Times New Roman" w:hAnsi="Times New Roman"/>
        </w:rPr>
        <w:t xml:space="preserve"> </w:t>
      </w:r>
    </w:p>
    <w:p w14:paraId="1CBC5EF4" w14:textId="450212A6" w:rsidR="00F61AEB" w:rsidRDefault="00FB3D09" w:rsidP="00A54B9F">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(retailové expozice ve smyslu čl. 147 odst. 2 písm. d) bodu iv) nařízení (EU) č. 575/2013).</w:t>
      </w:r>
    </w:p>
    <w:p w14:paraId="0C697B9E" w14:textId="3DDAB287"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B.6.5) Doplňková položka:</w:t>
      </w:r>
      <w:r>
        <w:rPr>
          <w:sz w:val="24"/>
          <w:rFonts w:ascii="Times New Roman" w:hAnsi="Times New Roman"/>
        </w:rPr>
        <w:t xml:space="preserve"> </w:t>
      </w:r>
      <w:r>
        <w:rPr>
          <w:sz w:val="24"/>
          <w:rFonts w:ascii="Times New Roman" w:hAnsi="Times New Roman"/>
        </w:rPr>
        <w:t xml:space="preserve">Retailová oblast – malé a střední podniky se zajištěním nemovitostmi</w:t>
      </w:r>
    </w:p>
    <w:p w14:paraId="45B80CE1" w14:textId="6E9AC07A"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(retailové expozice ve smyslu čl. 147 odst. 2 písm. d) nařízení (EU) č. 575/2013 vykázané v položkách B.6.1 až B.6.4, které jsou zajištěny nemovitostmi ve smyslu čl. 4 odst. 1 bodu 75f písm. d) nařízení (EU) č. 575/2013, ve spojení s čl. 5 odst. 8 nařízení (EU) č. 575/2013)</w:t>
      </w:r>
    </w:p>
    <w:p w14:paraId="40D2DB38" w14:textId="4857D4AC"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B.6.6) Doplňková položka:</w:t>
      </w:r>
      <w:r>
        <w:rPr>
          <w:sz w:val="24"/>
          <w:rFonts w:ascii="Times New Roman" w:hAnsi="Times New Roman"/>
        </w:rPr>
        <w:t xml:space="preserve"> </w:t>
      </w:r>
      <w:r>
        <w:rPr>
          <w:sz w:val="24"/>
          <w:rFonts w:ascii="Times New Roman" w:hAnsi="Times New Roman"/>
        </w:rPr>
        <w:t xml:space="preserve">Retailová oblast – ostatní podniky (jiné než malé a střední) se zajištěním nemovitostmi</w:t>
      </w:r>
    </w:p>
    <w:p w14:paraId="7430D81F" w14:textId="3488EF28"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(retailové expozice ve smyslu čl. 147 odst. 2 písm. d) nařízení (EU) č. 575/2013 vykázané v položkách B.6.1 až B.6.4, které jsou zajištěny nemovitostmi ve smyslu čl. 4 odst. 1 bodu 75f písm. d) nařízení (EU) č. 575/2013, nikoli ve spojení s čl. 5 odst. 8 nařízení (EU) č. 575/2013)</w:t>
      </w:r>
    </w:p>
    <w:p w14:paraId="0EB53292" w14:textId="6168F897"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B.6.7) Doplňková položka:</w:t>
      </w:r>
      <w:r>
        <w:rPr>
          <w:sz w:val="24"/>
          <w:rFonts w:ascii="Times New Roman" w:hAnsi="Times New Roman"/>
        </w:rPr>
        <w:t xml:space="preserve"> </w:t>
      </w:r>
      <w:r>
        <w:rPr>
          <w:sz w:val="24"/>
          <w:rFonts w:ascii="Times New Roman" w:hAnsi="Times New Roman"/>
        </w:rPr>
        <w:t xml:space="preserve">Retailová oblast – ostatní malé a střední podniky</w:t>
      </w:r>
    </w:p>
    <w:p w14:paraId="5861C1A9" w14:textId="50C55B82" w:rsidR="00F37042"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(retailové expozice ve smyslu čl. 147 odst. 2 písm. d) bodu iv) nařízení (EU) č. 575/2013, nevykázané podle B.6.5 a B.6.6, ve spojení s čl. 5 odst. 8 nařízení (EU) č. 575/2013).</w:t>
      </w:r>
    </w:p>
    <w:p w14:paraId="394F5A32" w14:textId="4E70921A"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B.6.8) Doplňková položka:</w:t>
      </w:r>
      <w:r>
        <w:rPr>
          <w:sz w:val="24"/>
          <w:rFonts w:ascii="Times New Roman" w:hAnsi="Times New Roman"/>
        </w:rPr>
        <w:t xml:space="preserve"> </w:t>
      </w:r>
      <w:r>
        <w:rPr>
          <w:sz w:val="24"/>
          <w:rFonts w:ascii="Times New Roman" w:hAnsi="Times New Roman"/>
        </w:rPr>
        <w:t xml:space="preserve">Retailová oblast – ostatní jiné než malé a střední podniky</w:t>
      </w:r>
    </w:p>
    <w:p w14:paraId="75B56F15" w14:textId="6EAC1815" w:rsidR="00F37042" w:rsidRPr="00126E51"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(retailové expozice ve smyslu čl. 147 odst. 2 písm. d) bodu iv) nařízení (EU) č. 575/2013, nevykázané podle B.6.5 a B.6.6, nikoli ve spojení s čl. 5 odst. 8 nařízení (EU) č.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sz w:val="24"/>
          <w:rFonts w:ascii="Times New Roman" w:hAnsi="Times New Roman"/>
        </w:rPr>
      </w:pPr>
      <w:r>
        <w:rPr>
          <w:sz w:val="24"/>
          <w:rFonts w:ascii="Times New Roman" w:hAnsi="Times New Roman"/>
        </w:rPr>
        <w:t xml:space="preserve">B.7)</w:t>
      </w:r>
      <w:r>
        <w:tab/>
      </w:r>
      <w:r>
        <w:rPr>
          <w:sz w:val="24"/>
          <w:rFonts w:ascii="Times New Roman" w:hAnsi="Times New Roman"/>
        </w:rPr>
        <w:t xml:space="preserve">Subjekty kolektivního investování („CIU“)</w:t>
      </w:r>
    </w:p>
    <w:p w14:paraId="46A3FB56" w14:textId="38464F9F" w:rsidR="00FB3D09" w:rsidDel="00C72B5D" w:rsidRDefault="00FB3D09" w:rsidP="00126E51">
      <w:pPr>
        <w:autoSpaceDE w:val="0"/>
        <w:autoSpaceDN w:val="0"/>
        <w:adjustRightInd w:val="0"/>
        <w:spacing w:before="0" w:after="0"/>
        <w:ind w:left="1416"/>
        <w:jc w:val="left"/>
        <w:rPr>
          <w:sz w:val="24"/>
          <w:rFonts w:ascii="Times New Roman" w:hAnsi="Times New Roman"/>
        </w:rPr>
      </w:pPr>
      <w:r>
        <w:rPr>
          <w:sz w:val="24"/>
          <w:rFonts w:ascii="Times New Roman" w:hAnsi="Times New Roman"/>
        </w:rPr>
        <w:t xml:space="preserve">Expozice ve formě podílových jednotek nebo akcií v subjektech kolektivního investování („CIU“ podle čl. 147 odst. 2 písm. ea) nařízení (EU) č.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sz w:val="24"/>
          <w:rFonts w:ascii="Times New Roman" w:hAnsi="Times New Roman"/>
        </w:rPr>
      </w:pPr>
      <w:r>
        <w:rPr>
          <w:sz w:val="24"/>
          <w:rFonts w:ascii="Times New Roman" w:hAnsi="Times New Roman"/>
        </w:rPr>
        <w:t xml:space="preserve">„3.3.2a.</w:t>
      </w:r>
      <w:r>
        <w:rPr>
          <w:sz w:val="24"/>
          <w:rFonts w:ascii="Times New Roman" w:hAnsi="Times New Roman"/>
        </w:rPr>
        <w:t xml:space="preserve"> </w:t>
      </w:r>
      <w:r>
        <w:rPr>
          <w:sz w:val="24"/>
          <w:rFonts w:ascii="Times New Roman" w:hAnsi="Times New Roman"/>
        </w:rPr>
        <w:t xml:space="preserve">Vyjasnění rozsahu některých zvláštních kategorií expozic uvedených v článku 147 nařízení (EU) č. 575/2013</w:t>
      </w:r>
      <w:r>
        <w:rPr>
          <w:sz w:val="24"/>
          <w:rFonts w:ascii="Times New Roman" w:hAnsi="Times New Roman"/>
        </w:rPr>
        <w:t xml:space="preserve"> </w:t>
      </w:r>
    </w:p>
    <w:p w14:paraId="314E3D92" w14:textId="4C97F668" w:rsidR="00FB3D09" w:rsidRDefault="00FB3D09" w:rsidP="00FB3D09">
      <w:pPr>
        <w:spacing w:before="0" w:after="240"/>
        <w:jc w:val="left"/>
        <w:rPr>
          <w:sz w:val="24"/>
          <w:rFonts w:ascii="Times New Roman" w:hAnsi="Times New Roman"/>
        </w:rPr>
      </w:pPr>
      <w:r>
        <w:rPr>
          <w:sz w:val="24"/>
          <w:rFonts w:ascii="Times New Roman" w:hAnsi="Times New Roman"/>
        </w:rPr>
        <w:t xml:space="preserve">3.3.2a.1 Kategorie expozic „subjekty kolektivního investování“</w:t>
      </w:r>
    </w:p>
    <w:p w14:paraId="219CEA19" w14:textId="7C695821" w:rsidR="00FB3D09" w:rsidRDefault="00FB3D09" w:rsidP="00126E51">
      <w:pPr>
        <w:spacing w:before="0" w:after="240"/>
        <w:rPr>
          <w:sz w:val="24"/>
          <w:rFonts w:ascii="Times New Roman" w:hAnsi="Times New Roman"/>
        </w:rPr>
      </w:pPr>
      <w:r>
        <w:rPr>
          <w:sz w:val="24"/>
          <w:rFonts w:ascii="Times New Roman" w:hAnsi="Times New Roman"/>
        </w:rPr>
        <w:t xml:space="preserve">„76a.</w:t>
      </w:r>
      <w:r>
        <w:rPr>
          <w:sz w:val="24"/>
          <w:rFonts w:ascii="Times New Roman" w:hAnsi="Times New Roman"/>
        </w:rPr>
        <w:t xml:space="preserve"> </w:t>
      </w:r>
      <w:r>
        <w:rPr>
          <w:sz w:val="24"/>
          <w:rFonts w:ascii="Times New Roman" w:hAnsi="Times New Roman"/>
        </w:rPr>
        <w:t xml:space="preserve">Všechny jednotlivé expozice ve formě podílových jednotek nebo akcií v subjektech kolektivního investování, u nichž se uplatňuje průhledový přístup nebo přístup založený na pověření (čl. 152 odst. 1 a 5 nařízení (EU) č. 575/2013), jakož i expozice v rámci záložního přístupu se zařadí do kategorie expozice ve formě podílových jednotek nebo akcií v subjektech kolektivního investování a vykazují se v oddíle ROZČLENĚNÍ CELKOVÝCH EXPOZIC PODLE DRUHU PŘÍSTUPU (CIU).</w:t>
      </w:r>
    </w:p>
    <w:p w14:paraId="1BCD95AE" w14:textId="76EFAF4A" w:rsidR="00FB3D09" w:rsidRDefault="00FC2C95" w:rsidP="00126E51">
      <w:pPr>
        <w:spacing w:before="0" w:after="240"/>
        <w:rPr>
          <w:sz w:val="24"/>
          <w:rFonts w:ascii="Times New Roman" w:hAnsi="Times New Roman"/>
        </w:rPr>
      </w:pPr>
      <w:r>
        <w:rPr>
          <w:sz w:val="24"/>
          <w:rFonts w:ascii="Times New Roman" w:hAnsi="Times New Roman"/>
        </w:rPr>
        <w:t xml:space="preserve">76b.</w:t>
      </w:r>
      <w:r>
        <w:rPr>
          <w:sz w:val="24"/>
          <w:rFonts w:ascii="Times New Roman" w:hAnsi="Times New Roman"/>
        </w:rPr>
        <w:t xml:space="preserve"> </w:t>
      </w:r>
      <w:r>
        <w:rPr>
          <w:sz w:val="24"/>
          <w:rFonts w:ascii="Times New Roman" w:hAnsi="Times New Roman"/>
        </w:rPr>
        <w:t xml:space="preserve">V případě, že se použije průhledový přístup  (čl. 152 bod 1 nařízení (EU) č. 575/2013), zařadí se jednotlivé podkladové expozice (kromě výše uvedené klasifikace jako „CIU“) do odpovídající kategorie expozic a vykazují se jako doplňková položka v řádku 0190 šablony C 08.01 s odkazem na průhledový přístup (pro tuto kategorii expozic). V případě průhledového přístupu není jednotlivá podkladová expozice jako taková součástí celkových expozic odpovídající kategorie expozic, ale je zohledněna v celkových expozicích kategorie expozic subjektů kolektivního investování.</w:t>
      </w:r>
      <w:r>
        <w:rPr>
          <w:sz w:val="24"/>
          <w:rFonts w:ascii="Times New Roman" w:hAnsi="Times New Roman"/>
        </w:rPr>
        <w:t xml:space="preserve"> </w:t>
      </w:r>
      <w:r>
        <w:rPr>
          <w:sz w:val="24"/>
          <w:rFonts w:ascii="Times New Roman" w:hAnsi="Times New Roman"/>
        </w:rPr>
        <w:t xml:space="preserve">Pokud se na některé podkladové expozice nakonec použije standardizovaný přístup (SA), měly by být tyto expozice vykázány v šabloně CR SA (C 07.00) v kategorii expozic „Subjekty kolektivního investování“.</w:t>
      </w:r>
      <w:r>
        <w:rPr>
          <w:sz w:val="24"/>
          <w:rFonts w:ascii="Times New Roman" w:hAnsi="Times New Roman"/>
        </w:rPr>
        <w:t xml:space="preserve"> </w:t>
      </w:r>
      <w:r>
        <w:rPr>
          <w:sz w:val="24"/>
          <w:rFonts w:ascii="Times New Roman" w:hAnsi="Times New Roman"/>
        </w:rPr>
        <w:t xml:space="preserve">V této šabloně se vykazují pouze podkladové expozice, u nichž byla pro výpočet kapitálových požadavků použita metoda interních ratingů (IRB).</w:t>
      </w:r>
      <w:r>
        <w:rPr>
          <w:sz w:val="24"/>
          <w:rFonts w:ascii="Times New Roman" w:hAnsi="Times New Roman"/>
        </w:rPr>
        <w:t xml:space="preserve"> </w:t>
      </w:r>
      <w:r>
        <w:rPr>
          <w:sz w:val="24"/>
          <w:rFonts w:ascii="Times New Roman" w:hAnsi="Times New Roman"/>
        </w:rPr>
        <w:t xml:space="preserve">V šablonách CR IRB se však nevykazují tyto podkladové expozice:</w:t>
      </w:r>
    </w:p>
    <w:p w14:paraId="38F3EA76" w14:textId="77777777" w:rsidR="00FB3D09" w:rsidRDefault="00FB3D09" w:rsidP="00FB3D09">
      <w:pPr>
        <w:pStyle w:val="InstructionsText2"/>
        <w:numPr>
          <w:ilvl w:val="0"/>
          <w:numId w:val="0"/>
        </w:numPr>
        <w:ind w:left="993"/>
      </w:pPr>
      <w:r>
        <w:t xml:space="preserve">i.</w:t>
      </w:r>
      <w:r>
        <w:tab/>
      </w:r>
      <w:r>
        <w:t xml:space="preserve">akciové expozice, které se vykazují v šabloně CR EQU IRB;</w:t>
      </w:r>
      <w:r>
        <w:t xml:space="preserve"> </w:t>
      </w:r>
    </w:p>
    <w:p w14:paraId="007677D4" w14:textId="77777777" w:rsidR="00FB3D09" w:rsidRDefault="00FB3D09" w:rsidP="00FB3D09">
      <w:pPr>
        <w:pStyle w:val="InstructionsText2"/>
        <w:numPr>
          <w:ilvl w:val="0"/>
          <w:numId w:val="0"/>
        </w:numPr>
        <w:ind w:left="993"/>
      </w:pPr>
      <w:r>
        <w:t xml:space="preserve">ii.</w:t>
      </w:r>
      <w:r>
        <w:tab/>
      </w:r>
      <w:r>
        <w:t xml:space="preserve">sekuritizované pozice, které se vykazují v podrobných šablonách CR SEC a/nebo CR SEC;</w:t>
      </w:r>
    </w:p>
    <w:p w14:paraId="3868B76C" w14:textId="77777777" w:rsidR="00FB3D09" w:rsidRPr="002A677E" w:rsidRDefault="00FB3D09" w:rsidP="00FB3D09">
      <w:pPr>
        <w:spacing w:before="0" w:after="240"/>
        <w:jc w:val="left"/>
        <w:rPr>
          <w:sz w:val="24"/>
          <w:rFonts w:ascii="Times New Roman" w:hAnsi="Times New Roman"/>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sz w:val="24"/>
          <w:rFonts w:ascii="Times New Roman" w:hAnsi="Times New Roman"/>
        </w:rPr>
        <w:t xml:space="preserve">3.3.3.</w:t>
      </w:r>
      <w:r>
        <w:tab/>
      </w:r>
      <w:r>
        <w:rPr>
          <w:sz w:val="24"/>
          <w:rFonts w:ascii="Times New Roman" w:hAnsi="Times New Roman"/>
        </w:rPr>
        <w:t xml:space="preserve">C 08.01 – Úvěrové riziko a úvěrové riziko protistrany a volné dodávky:</w:t>
      </w:r>
      <w:r>
        <w:rPr>
          <w:sz w:val="24"/>
          <w:rFonts w:ascii="Times New Roman" w:hAnsi="Times New Roman"/>
        </w:rPr>
        <w:t xml:space="preserve"> </w:t>
      </w:r>
      <w:r>
        <w:rPr>
          <w:sz w:val="24"/>
          <w:rFonts w:ascii="Times New Roman" w:hAnsi="Times New Roman"/>
        </w:rPr>
        <w:t xml:space="preserve">přístup IRB ke kapitálovým požadavkům (CR IRB 1)</w:t>
      </w:r>
      <w:bookmarkEnd w:id="11"/>
    </w:p>
    <w:p w14:paraId="24516C06" w14:textId="77777777" w:rsidR="00FB3D09" w:rsidRPr="002A677E" w:rsidRDefault="00FB3D09" w:rsidP="00FB3D09">
      <w:pPr>
        <w:pStyle w:val="Instructionsberschrift2"/>
        <w:numPr>
          <w:ilvl w:val="0"/>
          <w:numId w:val="0"/>
        </w:numPr>
        <w:ind w:left="709" w:hanging="720"/>
        <w:rPr>
          <w:sz w:val="24"/>
          <w:rFonts w:ascii="Times New Roman" w:hAnsi="Times New Roman" w:cs="Times New Roman"/>
        </w:rPr>
      </w:pPr>
      <w:bookmarkStart w:id="19" w:name="_Toc473560910"/>
      <w:bookmarkStart w:id="20" w:name="_Toc151714397"/>
      <w:r>
        <w:rPr>
          <w:sz w:val="24"/>
          <w:u w:val="none"/>
          <w:rFonts w:ascii="Times New Roman" w:hAnsi="Times New Roman"/>
        </w:rPr>
        <w:t xml:space="preserve">3.3.3.1</w:t>
      </w:r>
      <w:r>
        <w:tab/>
      </w:r>
      <w:r>
        <w:rPr>
          <w:sz w:val="24"/>
          <w:rFonts w:ascii="Times New Roman" w:hAnsi="Times New Roman"/>
        </w:rPr>
        <w:t xml:space="preserve">Pokyny pro konkrétní pozice</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sz w:val="24"/>
                <w:rFonts w:ascii="Times New Roman" w:hAnsi="Times New Roman"/>
              </w:rPr>
            </w:pPr>
            <w:r>
              <w:rPr>
                <w:sz w:val="24"/>
                <w:rFonts w:ascii="Times New Roman" w:hAnsi="Times New Roman"/>
              </w:rPr>
              <w:t xml:space="preserve">Sloupce</w:t>
            </w:r>
          </w:p>
        </w:tc>
        <w:tc>
          <w:tcPr>
            <w:tcW w:w="8843" w:type="dxa"/>
            <w:shd w:val="clear" w:color="auto" w:fill="CCCCCC"/>
          </w:tcPr>
          <w:p w14:paraId="2B397FE4"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6D2D58B3" w14:textId="77777777" w:rsidTr="00822842">
        <w:tc>
          <w:tcPr>
            <w:tcW w:w="1188" w:type="dxa"/>
          </w:tcPr>
          <w:p w14:paraId="1736B9C4"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Pr>
          <w:p w14:paraId="298149A1"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STUPNICE INTERNÍCH RATINGŮ / PRAVDĚPODOBNOST SELHÁNÍ (PD) PŘIŘAZENÁ STUPNI NEBO SESKUPENÍ DLUŽNÍKŮ (%)</w:t>
            </w:r>
          </w:p>
          <w:p w14:paraId="5FF26C85" w14:textId="77777777" w:rsidR="00FB3D09" w:rsidRPr="002A677E" w:rsidRDefault="00FB3D09" w:rsidP="00822842">
            <w:pPr>
              <w:rPr>
                <w:sz w:val="24"/>
                <w:rFonts w:ascii="Times New Roman" w:hAnsi="Times New Roman"/>
              </w:rPr>
            </w:pPr>
            <w:r>
              <w:rPr>
                <w:sz w:val="24"/>
                <w:rStyle w:val="InstructionsTabelleText"/>
                <w:rFonts w:ascii="Times New Roman" w:hAnsi="Times New Roman"/>
              </w:rPr>
              <w:t xml:space="preserve">PD přiřazená stupni nebo seskupení dlužníků, která má být vykázána, vychází z ustanovení článku 180 </w:t>
            </w:r>
            <w:r>
              <w:rPr>
                <w:sz w:val="24"/>
                <w:rFonts w:ascii="Times New Roman" w:hAnsi="Times New Roman"/>
              </w:rPr>
              <w:t xml:space="preserve">nařízení (EU) č.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U každého jednotlivého stupně nebo seskupení se vykáže PD přiřazená ke konkrétnímu stupni nebo seskupení dlužníků.</w:t>
            </w:r>
            <w:r>
              <w:rPr>
                <w:sz w:val="24"/>
                <w:rStyle w:val="InstructionsTabelleText"/>
                <w:rFonts w:ascii="Times New Roman" w:hAnsi="Times New Roman"/>
              </w:rPr>
              <w:t xml:space="preserve"> </w:t>
            </w:r>
            <w:r>
              <w:rPr>
                <w:sz w:val="24"/>
                <w:rStyle w:val="InstructionsTabelleText"/>
                <w:rFonts w:ascii="Times New Roman" w:hAnsi="Times New Roman"/>
              </w:rPr>
              <w:t xml:space="preserve">Pokud jde o číselné údaje odpovídající souhrnné hodnotě ratingových stupňů nebo seskupení dlužníků (např. celkové expozice), uvedou se expozicí vážené průměrné hodnoty pravděpodobností selhání přiřazených stupňům nebo seskupením dlužníků, které jsou do souhrnné hodnoty zahrnuty.</w:t>
            </w:r>
            <w:r>
              <w:rPr>
                <w:sz w:val="24"/>
                <w:rStyle w:val="InstructionsTabelleText"/>
                <w:rFonts w:ascii="Times New Roman" w:hAnsi="Times New Roman"/>
              </w:rPr>
              <w:t xml:space="preserve"> </w:t>
            </w:r>
            <w:r>
              <w:rPr>
                <w:sz w:val="24"/>
                <w:rStyle w:val="InstructionsTabelleText"/>
                <w:rFonts w:ascii="Times New Roman" w:hAnsi="Times New Roman"/>
              </w:rPr>
              <w:t xml:space="preserve">Pro výpočet expozicí vážené průměrné hodnoty PD se použije hodnota expozice (sloupec 0110)</w:t>
            </w:r>
            <w:r>
              <w:rPr>
                <w:sz w:val="24"/>
                <w:rFonts w:ascii="Times New Roman" w:hAnsi="Times New Roman"/>
              </w:rPr>
              <w:t xml:space="preserve">.</w:t>
            </w:r>
          </w:p>
          <w:p w14:paraId="723A0BA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U každého jednotlivého stupně nebo seskupení se vykáže PD přiřazená ke konkrétnímu stupni nebo seskupení dlužníků.</w:t>
            </w:r>
            <w:r>
              <w:rPr>
                <w:rStyle w:val="InstructionsTabelleText"/>
                <w:sz w:val="24"/>
                <w:rFonts w:ascii="Times New Roman" w:hAnsi="Times New Roman"/>
              </w:rPr>
              <w:t xml:space="preserve"> </w:t>
            </w:r>
            <w:r>
              <w:rPr>
                <w:rStyle w:val="InstructionsTabelleText"/>
                <w:sz w:val="24"/>
                <w:rFonts w:ascii="Times New Roman" w:hAnsi="Times New Roman"/>
              </w:rPr>
              <w:t xml:space="preserve">Všechny vykazované rizikové parametry se odvozují na základě rizikových parametrů používaných v interní ratingové stupnici, která je schválena příslušným orgánem.</w:t>
            </w:r>
          </w:p>
          <w:p w14:paraId="37DDB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Není nutné ani žádoucí používat dohledovou rámcovou stupnici.</w:t>
            </w:r>
            <w:r>
              <w:rPr>
                <w:rStyle w:val="InstructionsTabelleText"/>
                <w:sz w:val="24"/>
                <w:rFonts w:ascii="Times New Roman" w:hAnsi="Times New Roman"/>
              </w:rPr>
              <w:t xml:space="preserve"> </w:t>
            </w:r>
            <w:r>
              <w:rPr>
                <w:rStyle w:val="InstructionsTabelleText"/>
                <w:sz w:val="24"/>
                <w:rFonts w:ascii="Times New Roman" w:hAnsi="Times New Roman"/>
              </w:rPr>
              <w:t xml:space="preserve">Pokud vykazující instituce používá jedinečnou ratingovou stupnici nebo má možnost provádět vykazování na základě interní rámcové stupnice, použije tuto stupnici.</w:t>
            </w:r>
            <w:r>
              <w:rPr>
                <w:rStyle w:val="InstructionsTabelleText"/>
                <w:sz w:val="24"/>
                <w:rFonts w:ascii="Times New Roman" w:hAnsi="Times New Roman"/>
              </w:rPr>
              <w:t xml:space="preserve"> </w:t>
            </w:r>
          </w:p>
          <w:p w14:paraId="4FCCB57F"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V jiných případech se provede sloučení a seřazení různých ratingových stupnic podle následujících kritérií:</w:t>
            </w:r>
            <w:r>
              <w:rPr>
                <w:rStyle w:val="InstructionsTabelleText"/>
                <w:sz w:val="24"/>
                <w:rFonts w:ascii="Times New Roman" w:hAnsi="Times New Roman"/>
              </w:rPr>
              <w:t xml:space="preserve"> </w:t>
            </w:r>
            <w:r>
              <w:rPr>
                <w:rStyle w:val="InstructionsTabelleText"/>
                <w:sz w:val="24"/>
                <w:rFonts w:ascii="Times New Roman" w:hAnsi="Times New Roman"/>
              </w:rPr>
              <w:t xml:space="preserve">Stupně dlužníka různých ratingových stupnic se seskupí a seřadí od nižší PD přiřazené každému stupni dlužníka po vyšší.</w:t>
            </w:r>
            <w:r>
              <w:rPr>
                <w:rStyle w:val="InstructionsTabelleText"/>
                <w:sz w:val="24"/>
                <w:rFonts w:ascii="Times New Roman" w:hAnsi="Times New Roman"/>
              </w:rPr>
              <w:t xml:space="preserve"> </w:t>
            </w:r>
            <w:r>
              <w:rPr>
                <w:rStyle w:val="InstructionsTabelleText"/>
                <w:sz w:val="24"/>
                <w:rFonts w:ascii="Times New Roman" w:hAnsi="Times New Roman"/>
              </w:rPr>
              <w:t xml:space="preserve">Jestliže instituce používá mnoho stupňů nebo seskupení, příslušné orgány mohou povolit vykazování menšího počtu stupňů nebo seskupení.</w:t>
            </w:r>
            <w:r>
              <w:rPr>
                <w:rStyle w:val="InstructionsTabelleText"/>
                <w:sz w:val="24"/>
                <w:rFonts w:ascii="Times New Roman" w:hAnsi="Times New Roman"/>
              </w:rPr>
              <w:t xml:space="preserve"> </w:t>
            </w:r>
            <w:r>
              <w:rPr>
                <w:rStyle w:val="InstructionsTabelleText"/>
                <w:sz w:val="24"/>
                <w:rFonts w:ascii="Times New Roman" w:hAnsi="Times New Roman"/>
              </w:rPr>
              <w:t xml:space="preserve">Totéž platí pro kontinuální ratingové stupnice:</w:t>
            </w:r>
            <w:r>
              <w:rPr>
                <w:rStyle w:val="InstructionsTabelleText"/>
                <w:sz w:val="24"/>
                <w:rFonts w:ascii="Times New Roman" w:hAnsi="Times New Roman"/>
              </w:rPr>
              <w:t xml:space="preserve"> </w:t>
            </w:r>
            <w:r>
              <w:rPr>
                <w:rStyle w:val="InstructionsTabelleText"/>
                <w:sz w:val="24"/>
                <w:rFonts w:ascii="Times New Roman" w:hAnsi="Times New Roman"/>
              </w:rPr>
              <w:t xml:space="preserve">s příslušnými orgány se dohodne snížený počet stupňů, které mají být vykázány.</w:t>
            </w:r>
          </w:p>
          <w:p w14:paraId="7B5BA46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Přejí-li si instituce vykazovat odlišný počet stupňů v porovnání s interním počtem stupňů, musí se v předstihu obrátit na příslušný orgán.</w:t>
            </w:r>
          </w:p>
          <w:p w14:paraId="05BEC00A"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Poslední ratingový stupeň nebo stupně jsou vyhrazeny pro expozice v selhání s hodnotou PD ve výši 100</w:t>
            </w:r>
            <w:r>
              <w:t xml:space="preserve"> </w:t>
            </w:r>
            <w:r>
              <w:rPr>
                <w:rStyle w:val="InstructionsTabelleText"/>
                <w:sz w:val="24"/>
                <w:rFonts w:ascii="Times New Roman" w:hAnsi="Times New Roman"/>
              </w:rPr>
              <w:t xml:space="preserve">%.</w:t>
            </w:r>
          </w:p>
          <w:p w14:paraId="21058E35" w14:textId="53D6092E"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Pro účely vážení průměrné hodnoty PD se použije hodnota expozice vykázaná ve sloupci 110.</w:t>
            </w:r>
            <w:r>
              <w:rPr>
                <w:rStyle w:val="InstructionsTabelleText"/>
                <w:sz w:val="24"/>
                <w:rFonts w:ascii="Times New Roman" w:hAnsi="Times New Roman"/>
              </w:rPr>
              <w:t xml:space="preserve"> </w:t>
            </w:r>
            <w:r>
              <w:rPr>
                <w:rStyle w:val="InstructionsTabelleText"/>
                <w:sz w:val="24"/>
                <w:rFonts w:ascii="Times New Roman" w:hAnsi="Times New Roman"/>
              </w:rPr>
              <w:t xml:space="preserve">Expozicí vážená průměrná hodnota PD se vypočítá s přihlédnutím ke všem expozicím vykázaným v daném řádku.</w:t>
            </w:r>
            <w:r>
              <w:rPr>
                <w:rStyle w:val="InstructionsTabelleText"/>
                <w:sz w:val="24"/>
                <w:rFonts w:ascii="Times New Roman" w:hAnsi="Times New Roman"/>
              </w:rPr>
              <w:t xml:space="preserve"> </w:t>
            </w:r>
            <w:r>
              <w:rPr>
                <w:rStyle w:val="InstructionsTabelleText"/>
                <w:sz w:val="24"/>
                <w:rFonts w:ascii="Times New Roman" w:hAnsi="Times New Roman"/>
              </w:rPr>
              <w:t xml:space="preserve">V řádku, kde se vykazují pouze expozice v selhání, činí průměrná PD 100 %.</w:t>
            </w:r>
          </w:p>
        </w:tc>
      </w:tr>
      <w:tr w:rsidR="00FB3D09" w:rsidRPr="002A677E" w14:paraId="45B04E8D" w14:textId="77777777" w:rsidTr="00822842">
        <w:tc>
          <w:tcPr>
            <w:tcW w:w="1188" w:type="dxa"/>
          </w:tcPr>
          <w:p w14:paraId="7FB0CCE0"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Pr>
          <w:p w14:paraId="3CB0A55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PŮVODNÍ EXPOZICE PŘED VYNÁSOBENÍM KONVERZNÍMI FAKTORY</w:t>
            </w:r>
          </w:p>
          <w:p w14:paraId="5FC3A6BD" w14:textId="77777777" w:rsidR="00FB3D09" w:rsidRPr="002A677E" w:rsidRDefault="00FB3D09" w:rsidP="00822842">
            <w:pPr>
              <w:rPr>
                <w:sz w:val="24"/>
                <w:rFonts w:ascii="Times New Roman" w:hAnsi="Times New Roman"/>
              </w:rPr>
            </w:pPr>
            <w:r>
              <w:rPr>
                <w:sz w:val="24"/>
                <w:rFonts w:ascii="Times New Roman" w:hAnsi="Times New Roman"/>
              </w:rPr>
              <w:t xml:space="preserve">Instituce vykazují hodnotu expozice před zohledněním jakýchkoli úprav ocenění, rezerv, dopadů technik snižování úvěrového rizika nebo úvěrových konverzních faktorů.</w:t>
            </w:r>
            <w:r>
              <w:rPr>
                <w:sz w:val="24"/>
                <w:rFonts w:ascii="Times New Roman" w:hAnsi="Times New Roman"/>
              </w:rPr>
              <w:t xml:space="preserve"> </w:t>
            </w:r>
          </w:p>
          <w:p w14:paraId="6FE079F9" w14:textId="77777777" w:rsidR="00FB3D09" w:rsidRPr="002A677E" w:rsidRDefault="00FB3D09" w:rsidP="00822842">
            <w:pPr>
              <w:rPr>
                <w:sz w:val="24"/>
                <w:rFonts w:ascii="Times New Roman" w:hAnsi="Times New Roman"/>
              </w:rPr>
            </w:pPr>
            <w:r>
              <w:rPr>
                <w:sz w:val="24"/>
                <w:rFonts w:ascii="Times New Roman" w:hAnsi="Times New Roman"/>
              </w:rPr>
              <w:t xml:space="preserve">Hodnota původní expozice se vykazuje v souladu s článkem 24 a čl. 166 odst. 1, 2, 4, 5, 6 a 7 nařízení (EU) č. 575/2013.</w:t>
            </w:r>
          </w:p>
          <w:p w14:paraId="11B43315" w14:textId="77777777" w:rsidR="00FB3D09" w:rsidRPr="002A677E" w:rsidRDefault="00FB3D09" w:rsidP="00822842">
            <w:pPr>
              <w:rPr>
                <w:sz w:val="24"/>
                <w:rFonts w:ascii="Times New Roman" w:hAnsi="Times New Roman"/>
              </w:rPr>
            </w:pPr>
            <w:r>
              <w:rPr>
                <w:sz w:val="24"/>
                <w:rFonts w:ascii="Times New Roman" w:hAnsi="Times New Roman"/>
              </w:rPr>
              <w:t xml:space="preserve">Dopad vyplývající z čl. 166 odst. 3 nařízení (EU) č. 575/2013 (dopad rozvahového započtení úvěrů a vkladů) se vykazuje samostatně jako majetkové zajištění úvěrového rizika, a tudíž nesnižuje výši původní expozice.</w:t>
            </w:r>
            <w:r>
              <w:rPr>
                <w:sz w:val="24"/>
                <w:rFonts w:ascii="Times New Roman" w:hAnsi="Times New Roman"/>
              </w:rPr>
              <w:t xml:space="preserve"> </w:t>
            </w:r>
          </w:p>
          <w:p w14:paraId="49185637" w14:textId="77777777" w:rsidR="00FB3D09" w:rsidRPr="002A677E" w:rsidRDefault="00FB3D09" w:rsidP="00822842">
            <w:pPr>
              <w:rPr>
                <w:sz w:val="24"/>
                <w:rFonts w:ascii="Times New Roman" w:hAnsi="Times New Roman"/>
              </w:rPr>
            </w:pPr>
            <w:r>
              <w:rPr>
                <w:sz w:val="24"/>
                <w:rFonts w:ascii="Times New Roman" w:hAnsi="Times New Roman"/>
              </w:rPr>
              <w:t xml:space="preserve">V případě derivátových nástrojů, repo obchodů, půjček či výpůjček cenných papírů nebo komodit, transakcí s delší dobou vypořádání a maržových obchodů podléhajících úvěrovému riziku protistrany (část třetí hlava II kapitola 4 nebo kapitola 6 nařízení (EU) č. 575/2013) odpovídá původní expozice hodnotě expozice vyplývající z úvěrového rizika protistrany (viz pokyny ke sloupci 0130).</w:t>
            </w:r>
          </w:p>
        </w:tc>
      </w:tr>
      <w:tr w:rsidR="00FB3D09" w:rsidRPr="002A677E" w14:paraId="4820425A" w14:textId="77777777" w:rsidTr="00822842">
        <w:tc>
          <w:tcPr>
            <w:tcW w:w="1188" w:type="dxa"/>
          </w:tcPr>
          <w:p w14:paraId="17C2578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Pr>
          <w:p w14:paraId="15A3D9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 TOHO:</w:t>
            </w:r>
            <w:r>
              <w:rPr>
                <w:b/>
                <w:sz w:val="24"/>
                <w:u w:val="single"/>
                <w:rFonts w:ascii="Times New Roman" w:hAnsi="Times New Roman"/>
              </w:rPr>
              <w:t xml:space="preserve"> </w:t>
            </w:r>
            <w:r>
              <w:rPr>
                <w:b/>
                <w:sz w:val="24"/>
                <w:u w:val="single"/>
                <w:rFonts w:ascii="Times New Roman" w:hAnsi="Times New Roman"/>
              </w:rPr>
              <w:t xml:space="preserve">VELKÉ SUBJEKTY FINANČNÍHO SEKTORU A NEREGULOVANÉ FINANČNÍ SUBJEKTY</w:t>
            </w:r>
          </w:p>
          <w:p w14:paraId="49D6950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Rozklad původní expozice před vynásobením konverzním faktorem u všech expozic subjektů uvedených v čl. 142 odst. 1 bodech 4 a 5 nařízení (EU) č. 575/2013, které podléhají vyššímu koeficientu korelace podle čl. 153 odst. 2 uvedeného nařízení.</w:t>
            </w:r>
          </w:p>
        </w:tc>
      </w:tr>
      <w:tr w:rsidR="00FB3D09" w:rsidRPr="002A677E" w14:paraId="216A721A" w14:textId="77777777" w:rsidTr="00822842">
        <w:tc>
          <w:tcPr>
            <w:tcW w:w="1188" w:type="dxa"/>
          </w:tcPr>
          <w:p w14:paraId="189E467F" w14:textId="77777777" w:rsidR="00FB3D09" w:rsidRPr="002A677E" w:rsidRDefault="00FB3D09" w:rsidP="00822842">
            <w:pPr>
              <w:rPr>
                <w:sz w:val="24"/>
                <w:rFonts w:ascii="Times New Roman" w:hAnsi="Times New Roman"/>
              </w:rPr>
            </w:pPr>
            <w:r>
              <w:rPr>
                <w:sz w:val="24"/>
                <w:rFonts w:ascii="Times New Roman" w:hAnsi="Times New Roman"/>
              </w:rPr>
              <w:t xml:space="preserve">0040–0080</w:t>
            </w:r>
          </w:p>
        </w:tc>
        <w:tc>
          <w:tcPr>
            <w:tcW w:w="8843" w:type="dxa"/>
          </w:tcPr>
          <w:p w14:paraId="0B033A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TECHNIKY SNIŽOVÁNÍ ÚVĚROVÉHO RIZIKA SE SUBSTITUČNÍMI ÚČINKY NA EXPOZICI</w:t>
            </w:r>
          </w:p>
          <w:p w14:paraId="15F28018" w14:textId="77777777" w:rsidR="00FB3D09" w:rsidRPr="002A677E" w:rsidRDefault="00FB3D09" w:rsidP="00822842">
            <w:pPr>
              <w:rPr>
                <w:sz w:val="24"/>
                <w:rFonts w:ascii="Times New Roman" w:hAnsi="Times New Roman"/>
              </w:rPr>
            </w:pPr>
            <w:r>
              <w:rPr>
                <w:sz w:val="24"/>
                <w:rFonts w:ascii="Times New Roman" w:hAnsi="Times New Roman"/>
              </w:rPr>
              <w:t xml:space="preserve">Snižování úvěrového rizika definovaného v čl. 4 odst. 1 bodě 57 nařízení (EU) č. 575/2013, které snižují úvěrové riziko expozice nebo expozic prostřednictvím substituce expozic, jak je definováno níže v položce „SUBSTITUCE EXPOZICE V DŮSLEDKU SNIŽOVÁNÍ ÚVĚROVÉHO RIZIKA“.</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sz w:val="24"/>
                <w:rFonts w:ascii="Times New Roman" w:hAnsi="Times New Roman"/>
              </w:rPr>
            </w:pPr>
            <w:r>
              <w:rPr>
                <w:sz w:val="24"/>
                <w:rFonts w:ascii="Times New Roman" w:hAnsi="Times New Roman"/>
              </w:rPr>
              <w:t xml:space="preserve">0040–0050</w:t>
            </w:r>
          </w:p>
        </w:tc>
        <w:tc>
          <w:tcPr>
            <w:tcW w:w="8843" w:type="dxa"/>
          </w:tcPr>
          <w:p w14:paraId="4B08A0E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OSOBNÍ ZAJIŠTĚNÍ ÚVĚROVÉHO RIZIKA</w:t>
            </w:r>
          </w:p>
          <w:p w14:paraId="25128BF3" w14:textId="77777777" w:rsidR="00FB3D09" w:rsidRPr="002A677E" w:rsidRDefault="00FB3D09" w:rsidP="00822842">
            <w:pPr>
              <w:rPr>
                <w:rStyle w:val="InstructionsTabelleText"/>
                <w:sz w:val="24"/>
                <w:rFonts w:ascii="Times New Roman" w:hAnsi="Times New Roman"/>
              </w:rPr>
            </w:pPr>
            <w:r>
              <w:rPr>
                <w:sz w:val="24"/>
                <w:rStyle w:val="InstructionsTabelleText"/>
                <w:rFonts w:ascii="Times New Roman" w:hAnsi="Times New Roman"/>
              </w:rPr>
              <w:t xml:space="preserve">Osobní zajištění úvěrového rizika ve smyslu čl. 4 odst. 1 bodu 59 </w:t>
            </w:r>
            <w:r>
              <w:rPr>
                <w:sz w:val="24"/>
                <w:rFonts w:ascii="Times New Roman" w:hAnsi="Times New Roman"/>
              </w:rPr>
              <w:t xml:space="preserve">nařízení (EU) č. 575/2013</w:t>
            </w:r>
            <w:r>
              <w:rPr>
                <w:sz w:val="24"/>
                <w:rStyle w:val="InstructionsTabelleText"/>
                <w:rFonts w:ascii="Times New Roman" w:hAnsi="Times New Roman"/>
              </w:rPr>
              <w:t xml:space="preserve">.</w:t>
            </w:r>
          </w:p>
          <w:p w14:paraId="538FB9AD" w14:textId="77777777" w:rsidR="00FB3D09" w:rsidRPr="002A677E" w:rsidRDefault="00FB3D09" w:rsidP="00822842">
            <w:pPr>
              <w:rPr>
                <w:sz w:val="24"/>
                <w:rFonts w:ascii="Times New Roman" w:hAnsi="Times New Roman"/>
              </w:rPr>
            </w:pPr>
            <w:r>
              <w:rPr>
                <w:sz w:val="24"/>
                <w:rFonts w:ascii="Times New Roman" w:hAnsi="Times New Roman"/>
              </w:rPr>
              <w:t xml:space="preserve">Má-li použití osobního zajištění úvěrového rizika dopad na expozici (např. pokud je používáno při technikách snižování úvěrového rizika se substitučními účinky na expozici), jeho výše je omezena hodnotou expozice.</w:t>
            </w:r>
          </w:p>
        </w:tc>
      </w:tr>
      <w:tr w:rsidR="00FB3D09" w:rsidRPr="002A677E" w14:paraId="4279348F" w14:textId="77777777" w:rsidTr="00822842">
        <w:tc>
          <w:tcPr>
            <w:tcW w:w="1188" w:type="dxa"/>
          </w:tcPr>
          <w:p w14:paraId="777BC73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Pr>
          <w:p w14:paraId="629601A3" w14:textId="77777777" w:rsidR="00FB3D09" w:rsidRPr="002A677E" w:rsidRDefault="00FB3D09" w:rsidP="00822842">
            <w:pPr>
              <w:jc w:val="left"/>
              <w:rPr>
                <w:rStyle w:val="InstructionsTabelleberschrift"/>
                <w:sz w:val="24"/>
                <w:rFonts w:ascii="Times New Roman" w:hAnsi="Times New Roman"/>
              </w:rPr>
            </w:pPr>
            <w:r>
              <w:rPr>
                <w:rStyle w:val="InstructionsTabelleberschrift"/>
                <w:sz w:val="24"/>
                <w:rFonts w:ascii="Times New Roman" w:hAnsi="Times New Roman"/>
              </w:rPr>
              <w:t xml:space="preserve">ZÁRUKY:</w:t>
            </w:r>
          </w:p>
          <w:p w14:paraId="2FC9ABD9" w14:textId="7C572507" w:rsidR="00FB3D09" w:rsidRPr="00E01F19" w:rsidRDefault="00FB3D09" w:rsidP="00822842">
            <w:pPr>
              <w:jc w:val="left"/>
              <w:rPr>
                <w:sz w:val="24"/>
                <w:rFonts w:ascii="Times New Roman" w:hAnsi="Times New Roman"/>
              </w:rPr>
            </w:pPr>
            <w:r>
              <w:rPr>
                <w:sz w:val="24"/>
                <w:rFonts w:ascii="Times New Roman" w:hAnsi="Times New Roman"/>
              </w:rPr>
              <w:t xml:space="preserve">Pokud se objemy rizikově vážených expozic vypočítávají podle substitučního přístupu v souladu s kapitolou 4 nařízení (EU) č. 575/2013 (čl. 108 odst. 2a druhá věta, čl. 183 odst. 1a první věta druhá možnost, články 235a, 236, 236a), uvede se upravená hodnota (GA) ve smyslu čl. 235a odst. 1 nařízení (EU) č. 575/2013.</w:t>
            </w:r>
          </w:p>
          <w:p w14:paraId="66D2714E" w14:textId="77777777" w:rsidR="00FB3D09" w:rsidRPr="00E01F19" w:rsidRDefault="00FB3D09" w:rsidP="00822842">
            <w:pPr>
              <w:jc w:val="left"/>
              <w:rPr>
                <w:sz w:val="24"/>
                <w:rFonts w:ascii="Times New Roman" w:hAnsi="Times New Roman"/>
              </w:rPr>
            </w:pPr>
            <w:r>
              <w:rPr>
                <w:sz w:val="24"/>
                <w:rFonts w:ascii="Times New Roman" w:hAnsi="Times New Roman"/>
              </w:rPr>
              <w:t xml:space="preserve">Pokud jsou používány vlastní odhady LGD v souladu s článkem 183 nařízení (EU) č. 575/2013 (s výjimkou odstavce 3), vykazuje se relevantní hodnota použitá v interním modelu.</w:t>
            </w:r>
            <w:r>
              <w:rPr>
                <w:sz w:val="24"/>
                <w:rFonts w:ascii="Times New Roman" w:hAnsi="Times New Roman"/>
              </w:rPr>
              <w:t xml:space="preserve"> </w:t>
            </w:r>
          </w:p>
          <w:p w14:paraId="0F837DAE" w14:textId="6FB660DD" w:rsidR="00FB3D09" w:rsidRPr="002A677E" w:rsidRDefault="00FB3D09" w:rsidP="00822842">
            <w:pPr>
              <w:jc w:val="left"/>
              <w:rPr>
                <w:sz w:val="24"/>
                <w:rFonts w:ascii="Times New Roman" w:hAnsi="Times New Roman"/>
              </w:rPr>
            </w:pPr>
            <w:r>
              <w:rPr>
                <w:sz w:val="24"/>
                <w:rFonts w:ascii="Times New Roman" w:hAnsi="Times New Roman"/>
              </w:rPr>
              <w:t xml:space="preserve">Pokud se použije přístup využívající modelování úpravy PD/LGD v souladu s čl. 108 odst. 2a první větou a čl. 183 odst. 1a a provede se úprava LGD, částka záruky se vykáže ve sloupci 0150.</w:t>
            </w:r>
          </w:p>
        </w:tc>
      </w:tr>
      <w:tr w:rsidR="00FB3D09" w:rsidRPr="002A677E" w14:paraId="10449AF9" w14:textId="77777777" w:rsidTr="00822842">
        <w:tc>
          <w:tcPr>
            <w:tcW w:w="1188" w:type="dxa"/>
          </w:tcPr>
          <w:p w14:paraId="3EE21C34"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Pr>
          <w:p w14:paraId="0360D0F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ÚVĚROVÉ DERIVÁTY</w:t>
            </w:r>
          </w:p>
          <w:p w14:paraId="244ABC5F" w14:textId="381DD996" w:rsidR="00FB3D09" w:rsidRPr="002A677E" w:rsidRDefault="00FB3D09" w:rsidP="00822842">
            <w:pPr>
              <w:jc w:val="left"/>
              <w:rPr>
                <w:sz w:val="24"/>
                <w:rFonts w:ascii="Times New Roman" w:hAnsi="Times New Roman"/>
              </w:rPr>
            </w:pPr>
            <w:r>
              <w:rPr>
                <w:sz w:val="24"/>
                <w:rFonts w:ascii="Times New Roman" w:hAnsi="Times New Roman"/>
              </w:rPr>
              <w:t xml:space="preserve">Pokud se objemy rizikově vážených expozic vypočítávají podle substitučního přístupu (čl. 108 odst. 2a druhá věta, čl. 183 odst. 1a první věta druhá možnost, články 235a, 236 a 236a nařízení (EU) č. 575/2013), uvede se upravená hodnota (GA) ve smyslu čl. 235a odst. 1 nařízení (EU) č. 575/2013.</w:t>
            </w:r>
          </w:p>
          <w:p w14:paraId="4A934ED8" w14:textId="104690E2" w:rsidR="00FB3D09" w:rsidRPr="002A677E" w:rsidRDefault="00FB3D09" w:rsidP="00822842">
            <w:pPr>
              <w:rPr>
                <w:sz w:val="24"/>
                <w:rFonts w:ascii="Times New Roman" w:hAnsi="Times New Roman"/>
              </w:rPr>
            </w:pPr>
            <w:r>
              <w:rPr>
                <w:sz w:val="24"/>
                <w:rFonts w:ascii="Times New Roman" w:hAnsi="Times New Roman"/>
              </w:rPr>
              <w:t xml:space="preserve">Pokud se použije přístup využívající modelování úpravy PD/LGD v souladu s čl. 108 odst. 2a první větou, čl. 183 odst. 1a větou 1 první možností a čl. 183 odst. 3 nařízení (EU) č. 575/2013 a provede se úprava LGD, vykazuje se částka úvěrových derivátů ve sloupci 0160.</w:t>
            </w:r>
            <w:r>
              <w:rPr>
                <w:sz w:val="24"/>
                <w:color w:val="008080"/>
                <w:u w:val="single"/>
                <w:rFonts w:ascii="Times New Roman" w:hAnsi="Times New Roman"/>
              </w:rPr>
              <w:t xml:space="preserve"> </w:t>
            </w:r>
            <w:r>
              <w:rPr>
                <w:sz w:val="24"/>
                <w:rFonts w:ascii="Times New Roman" w:hAnsi="Times New Roman"/>
              </w:rPr>
              <w:t xml:space="preserve">Vykazuje se relevantní hodnota použitá v interním modelu.</w:t>
            </w:r>
          </w:p>
        </w:tc>
      </w:tr>
      <w:tr w:rsidR="00FB3D09" w:rsidRPr="002A677E" w14:paraId="62414089" w14:textId="77777777" w:rsidTr="00822842">
        <w:tc>
          <w:tcPr>
            <w:tcW w:w="1188" w:type="dxa"/>
          </w:tcPr>
          <w:p w14:paraId="32FA0884"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Pr>
          <w:p w14:paraId="3D25836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JINÉ MAJETKOVÉ ZAJIŠTĚNÍ ÚVĚROVÉHO RIZIKA</w:t>
            </w:r>
          </w:p>
          <w:p w14:paraId="632FAD69" w14:textId="77777777" w:rsidR="00FB3D09" w:rsidRPr="000059B8" w:rsidRDefault="00FB3D09" w:rsidP="00822842">
            <w:pPr>
              <w:rPr>
                <w:sz w:val="24"/>
                <w:rFonts w:ascii="Times New Roman" w:hAnsi="Times New Roman"/>
              </w:rPr>
            </w:pPr>
            <w:r>
              <w:rPr>
                <w:sz w:val="24"/>
                <w:rFonts w:ascii="Times New Roman" w:hAnsi="Times New Roman"/>
              </w:rPr>
              <w:t xml:space="preserve">Pokud nejsou používány vlastní odhady LGD, použije se čl. 232 odst. 1 nařízení (EU) č. 575/2013.</w:t>
            </w:r>
          </w:p>
          <w:p w14:paraId="371C738E" w14:textId="77777777" w:rsidR="00FB3D09" w:rsidRPr="000059B8" w:rsidRDefault="00FB3D09" w:rsidP="00822842">
            <w:pPr>
              <w:jc w:val="left"/>
              <w:rPr>
                <w:sz w:val="24"/>
                <w:rFonts w:ascii="Times New Roman" w:hAnsi="Times New Roman"/>
              </w:rPr>
            </w:pPr>
            <w:r>
              <w:rPr>
                <w:sz w:val="24"/>
                <w:rFonts w:ascii="Times New Roman" w:hAnsi="Times New Roman"/>
              </w:rPr>
              <w:t xml:space="preserve">Pokud se objemy rizikově vážených expozic vypočítávají podle substitučního přístupu (čl. 108 odst. 2a druhá věta, čl. 183 odst. 1a věta 1 druhá možnost, články 235a, 236 nařízení (EU) č. 575/2013), uvede se upravená hodnota (GA) ve smyslu čl. 235a odst. 1 nařízení (EU) č. 575/2013.</w:t>
            </w:r>
          </w:p>
          <w:p w14:paraId="5989E354" w14:textId="7E30FA86" w:rsidR="00FB3D09" w:rsidRPr="000059B8" w:rsidRDefault="00FB3D09" w:rsidP="00822842">
            <w:pPr>
              <w:rPr>
                <w:sz w:val="24"/>
                <w:rFonts w:ascii="Times New Roman" w:hAnsi="Times New Roman"/>
              </w:rPr>
            </w:pPr>
            <w:r>
              <w:rPr>
                <w:sz w:val="24"/>
                <w:rFonts w:ascii="Times New Roman" w:hAnsi="Times New Roman"/>
              </w:rPr>
              <w:t xml:space="preserve">Expozice je omezena hodnotou původní expozice před vynásobením konverzními faktory.</w:t>
            </w:r>
          </w:p>
          <w:p w14:paraId="74A46846" w14:textId="29D167DC"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Pokud je provedena úprava LGD podle článku 181 nařízení (EU) č. 575/2013, vykáže se tato částka ve sloupci 0170.</w:t>
            </w:r>
            <w:r>
              <w:rPr>
                <w:sz w:val="24"/>
                <w:rFonts w:ascii="Times New Roman" w:hAnsi="Times New Roman"/>
              </w:rPr>
              <w:t xml:space="preserve"> </w:t>
            </w:r>
          </w:p>
        </w:tc>
      </w:tr>
      <w:tr w:rsidR="00FB3D09" w:rsidRPr="002A677E" w14:paraId="6C40B204" w14:textId="77777777" w:rsidTr="00822842">
        <w:tc>
          <w:tcPr>
            <w:tcW w:w="1188" w:type="dxa"/>
          </w:tcPr>
          <w:p w14:paraId="7C55B264" w14:textId="77777777" w:rsidR="00FB3D09" w:rsidRPr="002A677E" w:rsidRDefault="00FB3D09" w:rsidP="00822842">
            <w:pPr>
              <w:rPr>
                <w:sz w:val="24"/>
                <w:rFonts w:ascii="Times New Roman" w:hAnsi="Times New Roman"/>
              </w:rPr>
            </w:pPr>
            <w:r>
              <w:rPr>
                <w:sz w:val="24"/>
                <w:rFonts w:ascii="Times New Roman" w:hAnsi="Times New Roman"/>
              </w:rPr>
              <w:t xml:space="preserve">0070–0080</w:t>
            </w:r>
          </w:p>
        </w:tc>
        <w:tc>
          <w:tcPr>
            <w:tcW w:w="8843" w:type="dxa"/>
          </w:tcPr>
          <w:p w14:paraId="7EA9925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SUBSTITUCE EXPOZICE V DŮSLEDKU SNIŽOVÁNÍ ÚVĚROVÉHO RIZIKA</w:t>
            </w:r>
          </w:p>
          <w:p w14:paraId="4A614404" w14:textId="0D3BCE2F" w:rsidR="00FB3D09" w:rsidRPr="000059B8" w:rsidRDefault="00FB3D09" w:rsidP="00822842">
            <w:pPr>
              <w:rPr>
                <w:sz w:val="24"/>
                <w:rFonts w:ascii="Times New Roman" w:hAnsi="Times New Roman"/>
              </w:rPr>
            </w:pPr>
            <w:r>
              <w:rPr>
                <w:sz w:val="24"/>
                <w:rFonts w:ascii="Times New Roman" w:hAnsi="Times New Roman"/>
              </w:rPr>
              <w:t xml:space="preserve">Odtoky odpovídají kryté části původní expozice před vynásobením konverzními faktory, která se odečítá od kategorie expozic dlužníka, popřípadě od stupně nebo seskupení dlužníků, a následně se zařazuje do kategorie expozic poskytovatele zajištění, v příslušných případech do stupně nebo seskupení dlužníků.</w:t>
            </w:r>
            <w:r>
              <w:rPr>
                <w:sz w:val="24"/>
                <w:rFonts w:ascii="Times New Roman" w:hAnsi="Times New Roman"/>
              </w:rPr>
              <w:t xml:space="preserve"> </w:t>
            </w:r>
            <w:r>
              <w:rPr>
                <w:sz w:val="24"/>
                <w:rFonts w:ascii="Times New Roman" w:hAnsi="Times New Roman"/>
              </w:rPr>
              <w:t xml:space="preserve">Tato částka se považuje za přítok do kategorie expozic poskytovatele zajištění a v příslušných případech do stupňů nebo seskupení dlužníků.</w:t>
            </w:r>
          </w:p>
          <w:p w14:paraId="107B30E3" w14:textId="77777777" w:rsidR="00FB3D09" w:rsidRPr="000059B8" w:rsidRDefault="00FB3D09" w:rsidP="00822842">
            <w:pPr>
              <w:rPr>
                <w:sz w:val="24"/>
                <w:rFonts w:ascii="Times New Roman" w:hAnsi="Times New Roman"/>
              </w:rPr>
            </w:pPr>
            <w:r>
              <w:rPr>
                <w:sz w:val="24"/>
                <w:rFonts w:ascii="Times New Roman" w:hAnsi="Times New Roman"/>
              </w:rPr>
              <w:t xml:space="preserve">Zohledňují se rovněž přítoky a odtoky v rámci stejných kategorií expozic a v příslušných případech stupňů nebo seskupení dlužníků.</w:t>
            </w:r>
          </w:p>
          <w:p w14:paraId="610F295D" w14:textId="77777777" w:rsidR="00FB3D09" w:rsidRPr="000059B8" w:rsidRDefault="00FB3D09" w:rsidP="00822842">
            <w:pPr>
              <w:rPr>
                <w:sz w:val="24"/>
                <w:rFonts w:ascii="Times New Roman" w:hAnsi="Times New Roman"/>
              </w:rPr>
            </w:pPr>
            <w:r>
              <w:rPr>
                <w:sz w:val="24"/>
                <w:rFonts w:ascii="Times New Roman" w:hAnsi="Times New Roman"/>
              </w:rPr>
              <w:t xml:space="preserve">Zohledňují se expozice vyplývající z možných přítoků do a odtoků z jiných šablon.</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sz w:val="24"/>
                <w:rFonts w:ascii="Times New Roman" w:hAnsi="Times New Roman"/>
              </w:rPr>
            </w:pPr>
            <w:r>
              <w:rPr>
                <w:sz w:val="24"/>
                <w:rFonts w:ascii="Times New Roman" w:hAnsi="Times New Roman"/>
              </w:rPr>
              <w:t xml:space="preserve">0090</w:t>
            </w:r>
            <w:r>
              <w:rPr>
                <w:sz w:val="24"/>
                <w:rFonts w:ascii="Times New Roman" w:hAnsi="Times New Roman"/>
              </w:rPr>
              <w:t xml:space="preserve"> </w:t>
            </w:r>
          </w:p>
          <w:p w14:paraId="0355DD8B" w14:textId="77777777" w:rsidR="00FB3D09" w:rsidRPr="002A677E" w:rsidRDefault="00FB3D09" w:rsidP="00822842">
            <w:r>
              <w:t xml:space="preserve"> </w:t>
            </w:r>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EXPOZICE PO ZOHLEDNĚNÍ SUBSTITUČNÍCH ÚČINKŮ SNIŽOVÁNÍ ÚVĚROVÉHO RIZIKA PŘED VYNÁSOBENÍM KONVERZNÍMI FAKTORY</w:t>
            </w:r>
          </w:p>
          <w:p w14:paraId="2477F8EB" w14:textId="77777777" w:rsidR="00FB3D09" w:rsidRPr="002A677E" w:rsidRDefault="00FB3D09" w:rsidP="00822842">
            <w:pPr>
              <w:rPr>
                <w:sz w:val="24"/>
                <w:rFonts w:ascii="Times New Roman" w:hAnsi="Times New Roman"/>
              </w:rPr>
            </w:pPr>
            <w:r>
              <w:rPr>
                <w:sz w:val="24"/>
                <w:rFonts w:ascii="Times New Roman" w:hAnsi="Times New Roman"/>
              </w:rPr>
              <w:t xml:space="preserve">Expozice zařazená do odpovídajícího stupně nebo seskupení dlužníků a kategorie expozic po zohlednění odtoků a přítoků v důsledku technik snižování úvěrového rizika se substitučními účinky na expozici.</w:t>
            </w:r>
          </w:p>
        </w:tc>
      </w:tr>
      <w:tr w:rsidR="00FB3D09" w:rsidRPr="002A677E" w14:paraId="678E16FA" w14:textId="77777777" w:rsidTr="00822842">
        <w:tc>
          <w:tcPr>
            <w:tcW w:w="1188" w:type="dxa"/>
          </w:tcPr>
          <w:p w14:paraId="590D5D4A" w14:textId="77777777" w:rsidR="00FB3D09" w:rsidRPr="002A677E" w:rsidRDefault="00FB3D09" w:rsidP="00822842">
            <w:pPr>
              <w:rPr>
                <w:sz w:val="24"/>
                <w:rFonts w:ascii="Times New Roman" w:hAnsi="Times New Roman"/>
              </w:rPr>
            </w:pPr>
            <w:r>
              <w:rPr>
                <w:sz w:val="24"/>
                <w:rFonts w:ascii="Times New Roman" w:hAnsi="Times New Roman"/>
              </w:rPr>
              <w:t xml:space="preserve">0100, 0120</w:t>
            </w:r>
          </w:p>
        </w:tc>
        <w:tc>
          <w:tcPr>
            <w:tcW w:w="8843" w:type="dxa"/>
          </w:tcPr>
          <w:p w14:paraId="70C0CAF4"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podrozvahové položky</w:t>
            </w:r>
            <w:r>
              <w:rPr>
                <w:rStyle w:val="InstructionsTabelleberschrift"/>
                <w:sz w:val="24"/>
                <w:rFonts w:ascii="Times New Roman" w:hAnsi="Times New Roman"/>
              </w:rPr>
              <w:t xml:space="preserve"> </w:t>
            </w:r>
          </w:p>
          <w:p w14:paraId="2F36E223" w14:textId="77777777" w:rsidR="00FB3D09" w:rsidRPr="002A677E" w:rsidRDefault="00FB3D09" w:rsidP="00822842">
            <w:pPr>
              <w:rPr>
                <w:sz w:val="24"/>
                <w:rFonts w:ascii="Times New Roman" w:hAnsi="Times New Roman"/>
              </w:rPr>
            </w:pPr>
            <w:r>
              <w:rPr>
                <w:sz w:val="24"/>
                <w:rFonts w:ascii="Times New Roman" w:hAnsi="Times New Roman"/>
              </w:rPr>
              <w:t xml:space="preserve">Viz pokyny k šabloně CR SA.</w:t>
            </w:r>
          </w:p>
        </w:tc>
      </w:tr>
      <w:tr w:rsidR="00FB3D09" w:rsidRPr="002A677E" w14:paraId="00A4DCE6" w14:textId="77777777" w:rsidTr="00822842">
        <w:tc>
          <w:tcPr>
            <w:tcW w:w="1188" w:type="dxa"/>
          </w:tcPr>
          <w:p w14:paraId="511472D9" w14:textId="77777777" w:rsidR="00FB3D09" w:rsidRPr="002A677E" w:rsidRDefault="00FB3D09" w:rsidP="00822842">
            <w:pPr>
              <w:rPr>
                <w:sz w:val="24"/>
                <w:rFonts w:ascii="Times New Roman" w:hAnsi="Times New Roman"/>
              </w:rPr>
            </w:pPr>
            <w:r>
              <w:rPr>
                <w:sz w:val="24"/>
                <w:rFonts w:ascii="Times New Roman" w:hAnsi="Times New Roman"/>
              </w:rPr>
              <w:t xml:space="preserve">0101–0107</w:t>
            </w:r>
          </w:p>
        </w:tc>
        <w:tc>
          <w:tcPr>
            <w:tcW w:w="8843" w:type="dxa"/>
          </w:tcPr>
          <w:p w14:paraId="1886DC9B"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STRUKTURA PLNĚ UPRAVENÉ HODNOTY EXPOZICE PODROZVAHOVÝCH POLOŽEK PODLE KONVERZNÍCH FAKTORŮ</w:t>
            </w:r>
          </w:p>
          <w:p w14:paraId="08C9DDC2" w14:textId="77777777" w:rsidR="00FB3D09" w:rsidRPr="002A677E" w:rsidRDefault="00FB3D09" w:rsidP="00822842">
            <w:pPr>
              <w:pStyle w:val="InstructionsText"/>
            </w:pPr>
            <w:r>
              <w:t xml:space="preserve">Ustanovení čl. 166 odst. 8 v souladu s čl. 151 odst. 8  odst. 8a a 8b nařízení (EU) č. 575/2013.</w:t>
            </w:r>
          </w:p>
          <w:p w14:paraId="434D1ED6" w14:textId="77777777" w:rsidR="00FB3D09" w:rsidRPr="00E438EB" w:rsidRDefault="00FB3D09" w:rsidP="00822842">
            <w:pPr>
              <w:rPr>
                <w:rStyle w:val="InstructionsTabelleberschrift"/>
                <w:sz w:val="24"/>
                <w:rFonts w:ascii="Times New Roman" w:hAnsi="Times New Roman"/>
              </w:rPr>
            </w:pPr>
            <w:r>
              <w:rPr>
                <w:sz w:val="24"/>
                <w:rFonts w:ascii="Times New Roman" w:hAnsi="Times New Roman"/>
              </w:rPr>
              <w:t xml:space="preserve">U vykazovaných údajů se musí jednat o plně upravené hodnoty expozic před uplatněním konverzních faktorů.</w:t>
            </w:r>
          </w:p>
        </w:tc>
      </w:tr>
      <w:tr w:rsidR="00FB3D09" w:rsidRPr="002A677E" w14:paraId="56ED3146" w14:textId="77777777" w:rsidTr="00822842">
        <w:tc>
          <w:tcPr>
            <w:tcW w:w="1188" w:type="dxa"/>
          </w:tcPr>
          <w:p w14:paraId="4FBB1F46" w14:textId="77777777" w:rsidR="00FB3D09" w:rsidRDefault="00FB3D09" w:rsidP="00822842">
            <w:pPr>
              <w:rPr>
                <w:sz w:val="24"/>
                <w:rFonts w:ascii="Times New Roman" w:hAnsi="Times New Roman"/>
              </w:rPr>
            </w:pPr>
            <w:r>
              <w:rPr>
                <w:sz w:val="24"/>
                <w:rFonts w:ascii="Times New Roman" w:hAnsi="Times New Roman"/>
              </w:rPr>
              <w:t xml:space="preserve">0101</w:t>
            </w:r>
          </w:p>
        </w:tc>
        <w:tc>
          <w:tcPr>
            <w:tcW w:w="8843" w:type="dxa"/>
          </w:tcPr>
          <w:p w14:paraId="58AB915A"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MODELOVANÉ KONVERZNÍ FAKTORY</w:t>
            </w:r>
          </w:p>
          <w:p w14:paraId="48F41598" w14:textId="77777777" w:rsidR="00FB3D09" w:rsidRPr="00E438EB" w:rsidRDefault="00FB3D09" w:rsidP="00822842">
            <w:pPr>
              <w:pStyle w:val="InstructionsText"/>
              <w:rPr>
                <w:rStyle w:val="InstructionsTabelleberschrift"/>
                <w:b w:val="0"/>
                <w:sz w:val="24"/>
                <w:u w:val="none"/>
                <w:rFonts w:ascii="Times New Roman" w:hAnsi="Times New Roman"/>
              </w:rPr>
            </w:pPr>
            <w:r>
              <w:t xml:space="preserve">Ustanovení čl. 166 odst. 8b a 8c a článek 182 nařízení (EU) č. 575/2013.</w:t>
            </w:r>
          </w:p>
        </w:tc>
      </w:tr>
      <w:tr w:rsidR="00FB3D09" w:rsidRPr="002A677E" w14:paraId="723ED349" w14:textId="77777777" w:rsidTr="00822842">
        <w:tc>
          <w:tcPr>
            <w:tcW w:w="1188" w:type="dxa"/>
          </w:tcPr>
          <w:p w14:paraId="64882817" w14:textId="77777777" w:rsidR="00FB3D09" w:rsidRDefault="00FB3D09" w:rsidP="00822842">
            <w:pPr>
              <w:rPr>
                <w:sz w:val="24"/>
                <w:rFonts w:ascii="Times New Roman" w:hAnsi="Times New Roman"/>
              </w:rPr>
            </w:pPr>
            <w:r>
              <w:rPr>
                <w:sz w:val="24"/>
                <w:rFonts w:ascii="Times New Roman" w:hAnsi="Times New Roman"/>
              </w:rPr>
              <w:t xml:space="preserve">0102–0107</w:t>
            </w:r>
          </w:p>
        </w:tc>
        <w:tc>
          <w:tcPr>
            <w:tcW w:w="8843" w:type="dxa"/>
          </w:tcPr>
          <w:p w14:paraId="5676D624"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STANDARDNÍ KONVERZNÍ FAKTORY</w:t>
            </w:r>
          </w:p>
          <w:p w14:paraId="2802107A" w14:textId="77777777" w:rsidR="00FB3D09" w:rsidRPr="00433E67" w:rsidRDefault="00FB3D09" w:rsidP="00822842">
            <w:pPr>
              <w:rPr>
                <w:rStyle w:val="InstructionsTabelleberschrift"/>
                <w:sz w:val="24"/>
                <w:rFonts w:ascii="Times New Roman" w:hAnsi="Times New Roman"/>
              </w:rPr>
            </w:pPr>
            <w:r>
              <w:rPr>
                <w:sz w:val="24"/>
                <w:rFonts w:ascii="Times New Roman" w:hAnsi="Times New Roman"/>
              </w:rPr>
              <w:t xml:space="preserve">Ustanovení čl. 166 odst. 8a nařízení (EU) č. 575/2013.</w:t>
            </w:r>
          </w:p>
        </w:tc>
      </w:tr>
      <w:tr w:rsidR="00FB3D09" w:rsidRPr="002A677E" w14:paraId="72A515B8" w14:textId="77777777" w:rsidTr="00822842">
        <w:tc>
          <w:tcPr>
            <w:tcW w:w="1188" w:type="dxa"/>
          </w:tcPr>
          <w:p w14:paraId="6F3C95D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Pr>
          <w:p w14:paraId="024D894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HODNOTA EXPOZICE</w:t>
            </w:r>
          </w:p>
          <w:p w14:paraId="7397AAAD" w14:textId="77777777" w:rsidR="00FB3D09" w:rsidRPr="002A677E" w:rsidRDefault="00FB3D09" w:rsidP="00822842">
            <w:pPr>
              <w:rPr>
                <w:sz w:val="24"/>
                <w:rFonts w:ascii="Times New Roman" w:hAnsi="Times New Roman"/>
              </w:rPr>
            </w:pPr>
            <w:r>
              <w:rPr>
                <w:sz w:val="24"/>
                <w:rFonts w:ascii="Times New Roman" w:hAnsi="Times New Roman"/>
              </w:rPr>
              <w:t xml:space="preserve">Vykazují se hodnoty expozice určené v souladu s článkem 166 nařízení (EU) č. 575/2013 a čl. 230 odst. 1 druhou větou uvedeného nařízení.</w:t>
            </w:r>
          </w:p>
          <w:p w14:paraId="1C7B98CD" w14:textId="775FF974" w:rsidR="00FB3D09" w:rsidRPr="002A677E" w:rsidRDefault="00FB3D09" w:rsidP="00822842">
            <w:pPr>
              <w:rPr>
                <w:sz w:val="24"/>
                <w:rFonts w:ascii="Times New Roman" w:hAnsi="Times New Roman"/>
              </w:rPr>
            </w:pPr>
            <w:r>
              <w:rPr>
                <w:sz w:val="24"/>
                <w:rFonts w:ascii="Times New Roman" w:hAnsi="Times New Roman"/>
              </w:rPr>
              <w:t xml:space="preserve">V případě nástrojů uvedených v příloze I se použijí úvěrové konverzní faktory a procentní podíly v souladu s čl. 166 odst. 8 a 9 nařízení (EU) č. 575/2013 bez ohledu na přístup, který si instituce zvolila.</w:t>
            </w:r>
          </w:p>
          <w:p w14:paraId="4CA1B4E2" w14:textId="77777777" w:rsidR="00FB3D09" w:rsidRPr="002A677E" w:rsidRDefault="00FB3D09" w:rsidP="00822842">
            <w:pPr>
              <w:rPr>
                <w:sz w:val="24"/>
                <w:rFonts w:ascii="Times New Roman" w:hAnsi="Times New Roman"/>
              </w:rPr>
            </w:pPr>
            <w:r>
              <w:rPr>
                <w:sz w:val="24"/>
                <w:rFonts w:ascii="Times New Roman" w:hAnsi="Times New Roman"/>
              </w:rPr>
              <w:t xml:space="preserve">Hodnoty expozic vyplývajících z CCR jsou stejné jako hodnoty vykazované ve sloupci 0130.</w:t>
            </w:r>
          </w:p>
        </w:tc>
      </w:tr>
      <w:tr w:rsidR="00FB3D09" w:rsidRPr="002A677E" w14:paraId="7E1EABB6" w14:textId="77777777" w:rsidTr="00822842">
        <w:tc>
          <w:tcPr>
            <w:tcW w:w="1188" w:type="dxa"/>
          </w:tcPr>
          <w:p w14:paraId="423F28F5" w14:textId="77777777" w:rsidR="00FB3D09" w:rsidRPr="002A677E" w:rsidRDefault="00FB3D09" w:rsidP="00822842">
            <w:pPr>
              <w:rPr>
                <w:sz w:val="24"/>
                <w:rFonts w:ascii="Times New Roman" w:hAnsi="Times New Roman"/>
              </w:rPr>
            </w:pPr>
            <w:r>
              <w:rPr>
                <w:sz w:val="24"/>
                <w:rFonts w:ascii="Times New Roman" w:hAnsi="Times New Roman"/>
              </w:rPr>
              <w:t xml:space="preserve">0130</w:t>
            </w:r>
          </w:p>
        </w:tc>
        <w:tc>
          <w:tcPr>
            <w:tcW w:w="8843" w:type="dxa"/>
          </w:tcPr>
          <w:p w14:paraId="0C13154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hodnota expozice vyplývající z úvěrového rizika protistrany</w:t>
            </w:r>
            <w:r>
              <w:rPr>
                <w:rStyle w:val="InstructionsTabelleberschrift"/>
                <w:sz w:val="24"/>
                <w:rFonts w:ascii="Times New Roman" w:hAnsi="Times New Roman"/>
              </w:rPr>
              <w:t xml:space="preserve"> </w:t>
            </w:r>
          </w:p>
          <w:p w14:paraId="5322EE59" w14:textId="77777777" w:rsidR="00FB3D09" w:rsidRPr="002A677E" w:rsidRDefault="00FB3D09" w:rsidP="00822842">
            <w:pPr>
              <w:rPr>
                <w:sz w:val="24"/>
                <w:rFonts w:ascii="Times New Roman" w:hAnsi="Times New Roman"/>
              </w:rPr>
            </w:pPr>
            <w:r>
              <w:rPr>
                <w:sz w:val="24"/>
                <w:rFonts w:ascii="Times New Roman" w:hAnsi="Times New Roman"/>
              </w:rPr>
              <w:t xml:space="preserve">Viz odpovídající pokyny CR SA ve sloupci 0210.</w:t>
            </w:r>
            <w:r>
              <w:rPr>
                <w:sz w:val="24"/>
                <w:rStyle w:val="InstructionsTabelleText"/>
                <w:rFonts w:ascii="Times New Roman" w:hAnsi="Times New Roman"/>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sz w:val="24"/>
                <w:rFonts w:ascii="Times New Roman" w:hAnsi="Times New Roman"/>
              </w:rPr>
            </w:pPr>
            <w:r>
              <w:rPr>
                <w:sz w:val="24"/>
                <w:rFonts w:ascii="Times New Roman" w:hAnsi="Times New Roman"/>
              </w:rPr>
              <w:t xml:space="preserve">0140</w:t>
            </w:r>
          </w:p>
        </w:tc>
        <w:tc>
          <w:tcPr>
            <w:tcW w:w="8843" w:type="dxa"/>
          </w:tcPr>
          <w:p w14:paraId="33C21D5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 TOHO:</w:t>
            </w:r>
            <w:r>
              <w:rPr>
                <w:b/>
                <w:sz w:val="24"/>
                <w:u w:val="single"/>
                <w:rFonts w:ascii="Times New Roman" w:hAnsi="Times New Roman"/>
              </w:rPr>
              <w:t xml:space="preserve"> </w:t>
            </w:r>
            <w:r>
              <w:rPr>
                <w:b/>
                <w:sz w:val="24"/>
                <w:u w:val="single"/>
                <w:rFonts w:ascii="Times New Roman" w:hAnsi="Times New Roman"/>
              </w:rPr>
              <w:t xml:space="preserve">VELKÉ SUBJEKTY FINANČNÍHO SEKTORU A NEREGULOVANÉ FINANČNÍ SUBJEKTY</w:t>
            </w:r>
          </w:p>
          <w:p w14:paraId="38EC098A"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Rozklad hodnoty expozice u všech expozic subjektů uvedených v čl. 142 odst. 1 bodech 4 a 5 nařízení (EU) č. 575/2013, které podléhají vyššímu koeficientu korelace podle čl. 153 odst. 2 uvedeného nařízení.</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0150–0210</w:t>
            </w:r>
          </w:p>
        </w:tc>
        <w:tc>
          <w:tcPr>
            <w:tcW w:w="8843" w:type="dxa"/>
          </w:tcPr>
          <w:p w14:paraId="5FFCDE2C" w14:textId="37F1BD92"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TECHNIKY SNIŽOVÁNÍ ÚVĚROVÉHO RIZIKA ZOHLEDŇOVANÉ V ODHADECH LGD</w:t>
            </w:r>
            <w:r>
              <w:rPr>
                <w:b/>
                <w:sz w:val="24"/>
                <w:u w:val="single"/>
                <w:rFonts w:ascii="Times New Roman" w:hAnsi="Times New Roman"/>
              </w:rPr>
              <w:t xml:space="preserve"> </w:t>
            </w:r>
          </w:p>
          <w:p w14:paraId="02E436B3" w14:textId="77777777" w:rsidR="00FB3D09" w:rsidRDefault="00FB3D09" w:rsidP="00822842">
            <w:pPr>
              <w:rPr>
                <w:sz w:val="24"/>
                <w:rFonts w:ascii="Times New Roman" w:hAnsi="Times New Roman"/>
              </w:rPr>
            </w:pPr>
            <w:r>
              <w:rPr>
                <w:sz w:val="24"/>
                <w:rFonts w:ascii="Times New Roman" w:hAnsi="Times New Roman"/>
              </w:rPr>
              <w:t xml:space="preserve">Techniky snižování úvěrového rizika, jež mají dopad na odhady LGD v důsledku zohlednění substitučních účinků technik snižování úvěrového rizika, se do těchto sloupců nezapočítávají.</w:t>
            </w:r>
          </w:p>
          <w:p w14:paraId="0813160C" w14:textId="77777777" w:rsidR="00FB3D09" w:rsidRPr="002A677E" w:rsidRDefault="00FB3D09" w:rsidP="00822842">
            <w:pPr>
              <w:rPr>
                <w:sz w:val="24"/>
                <w:rFonts w:ascii="Times New Roman" w:hAnsi="Times New Roman"/>
              </w:rPr>
            </w:pPr>
            <w:r>
              <w:rPr>
                <w:sz w:val="24"/>
                <w:rFonts w:ascii="Times New Roman" w:hAnsi="Times New Roman"/>
              </w:rPr>
              <w:t xml:space="preserve">Hodnoty vykázaného kolaterálu jsou omezeny na hodnotu expozic.</w:t>
            </w:r>
          </w:p>
          <w:p w14:paraId="5F41737F" w14:textId="02BF2E74" w:rsidR="00FB3D09" w:rsidRPr="002A677E" w:rsidRDefault="00FB3D09" w:rsidP="00822842">
            <w:pPr>
              <w:rPr>
                <w:sz w:val="24"/>
                <w:rFonts w:ascii="Times New Roman" w:hAnsi="Times New Roman"/>
              </w:rPr>
            </w:pPr>
            <w:r>
              <w:rPr>
                <w:sz w:val="24"/>
                <w:rFonts w:ascii="Times New Roman" w:hAnsi="Times New Roman"/>
              </w:rPr>
              <w:t xml:space="preserve">Pokud se nepoužijí vlastní odhady LGD, zohlední se ustanovení čl. 230 bodů 1, 2 a 4 a článku 231 nařízení (EU) č. 575/2013.</w:t>
            </w:r>
          </w:p>
          <w:p w14:paraId="6CF8B541" w14:textId="77777777" w:rsidR="00FB3D09" w:rsidRPr="002A677E" w:rsidRDefault="00FB3D09" w:rsidP="00822842">
            <w:pPr>
              <w:rPr>
                <w:sz w:val="24"/>
                <w:rFonts w:ascii="Times New Roman" w:hAnsi="Times New Roman"/>
              </w:rPr>
            </w:pPr>
            <w:r>
              <w:rPr>
                <w:sz w:val="24"/>
                <w:rFonts w:ascii="Times New Roman" w:hAnsi="Times New Roman"/>
              </w:rPr>
              <w:t xml:space="preserve">Pokud jsou používány vlastní odhady LGD:</w:t>
            </w:r>
            <w:r>
              <w:rPr>
                <w:sz w:val="24"/>
                <w:rFonts w:ascii="Times New Roman" w:hAnsi="Times New Roman"/>
              </w:rPr>
              <w:t xml:space="preserve"> </w:t>
            </w:r>
          </w:p>
          <w:p w14:paraId="1C4E5F46" w14:textId="77777777" w:rsidR="00FB3D09" w:rsidRPr="002A677E" w:rsidRDefault="00FB3D09" w:rsidP="00822842">
            <w:pPr>
              <w:rPr>
                <w:sz w:val="24"/>
                <w:rFonts w:ascii="Times New Roman" w:hAnsi="Times New Roman"/>
              </w:rPr>
            </w:pPr>
            <w:r>
              <w:rPr>
                <w:sz w:val="24"/>
                <w:rFonts w:ascii="Times New Roman" w:hAnsi="Times New Roman"/>
              </w:rPr>
              <w:t xml:space="preserve">– Co se týče osobního zajištění úvěrového rizika, u expozic vůči ústředním vládám, centrálním bankám, institucím a podnikům se zohlední ustanovení čl. 161 odst. 3 nařízení (EU) č. 575/2013.</w:t>
            </w:r>
            <w:r>
              <w:rPr>
                <w:sz w:val="24"/>
                <w:rFonts w:ascii="Times New Roman" w:hAnsi="Times New Roman"/>
              </w:rPr>
              <w:t xml:space="preserve"> </w:t>
            </w:r>
            <w:r>
              <w:rPr>
                <w:sz w:val="24"/>
                <w:rFonts w:ascii="Times New Roman" w:hAnsi="Times New Roman"/>
              </w:rPr>
              <w:t xml:space="preserve">U retailových expozic se zohlední ustanovení čl. 164 odst. 2 nařízení (EU) č. 575/2013.</w:t>
            </w:r>
          </w:p>
          <w:p w14:paraId="05A9C03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 Co se týče majetkového zajištění úvěrového rizika, jedná se o kolaterál zohledňovaný v odhadech LGD podle čl. 181 odst. 1 písm. e) a f) nařízení (EU) č.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sz w:val="24"/>
                <w:rFonts w:ascii="Times New Roman" w:hAnsi="Times New Roman"/>
              </w:rPr>
            </w:pPr>
            <w:r>
              <w:rPr>
                <w:sz w:val="24"/>
                <w:rFonts w:ascii="Times New Roman" w:hAnsi="Times New Roman"/>
              </w:rPr>
              <w:t xml:space="preserve">0150</w:t>
            </w:r>
          </w:p>
        </w:tc>
        <w:tc>
          <w:tcPr>
            <w:tcW w:w="8843" w:type="dxa"/>
          </w:tcPr>
          <w:p w14:paraId="4C26606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ZÁRUKY</w:t>
            </w:r>
            <w:r>
              <w:rPr>
                <w:b/>
                <w:sz w:val="24"/>
                <w:u w:val="single"/>
                <w:rFonts w:ascii="Times New Roman" w:hAnsi="Times New Roman"/>
              </w:rPr>
              <w:t xml:space="preserve"> </w:t>
            </w:r>
          </w:p>
          <w:p w14:paraId="774C7F9E" w14:textId="77777777" w:rsidR="00FB3D09" w:rsidRPr="002A677E" w:rsidRDefault="00FB3D09" w:rsidP="00822842">
            <w:pPr>
              <w:jc w:val="left"/>
              <w:rPr>
                <w:b/>
                <w:sz w:val="24"/>
                <w:u w:val="single"/>
                <w:rFonts w:ascii="Times New Roman" w:hAnsi="Times New Roman"/>
              </w:rPr>
            </w:pPr>
            <w:r>
              <w:rPr>
                <w:sz w:val="24"/>
                <w:rFonts w:ascii="Times New Roman" w:hAnsi="Times New Roman"/>
              </w:rPr>
              <w:t xml:space="preserve">Viz pokyny ke sloupci 0040.</w:t>
            </w:r>
          </w:p>
        </w:tc>
      </w:tr>
      <w:tr w:rsidR="00FB3D09" w:rsidRPr="002A677E" w14:paraId="052C8B55" w14:textId="77777777" w:rsidTr="00822842">
        <w:tc>
          <w:tcPr>
            <w:tcW w:w="1188" w:type="dxa"/>
          </w:tcPr>
          <w:p w14:paraId="4C653362"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843" w:type="dxa"/>
          </w:tcPr>
          <w:p w14:paraId="61710E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ÚVĚROVÉ DERIVÁTY</w:t>
            </w:r>
            <w:r>
              <w:rPr>
                <w:b/>
                <w:sz w:val="24"/>
                <w:u w:val="single"/>
                <w:rFonts w:ascii="Times New Roman" w:hAnsi="Times New Roman"/>
              </w:rPr>
              <w:t xml:space="preserve"> </w:t>
            </w:r>
          </w:p>
          <w:p w14:paraId="4948B3F5" w14:textId="77777777" w:rsidR="00FB3D09" w:rsidRPr="002A677E" w:rsidRDefault="00FB3D09" w:rsidP="00822842">
            <w:pPr>
              <w:rPr>
                <w:sz w:val="24"/>
                <w:rFonts w:ascii="Times New Roman" w:hAnsi="Times New Roman"/>
              </w:rPr>
            </w:pPr>
            <w:r>
              <w:rPr>
                <w:sz w:val="24"/>
                <w:rFonts w:ascii="Times New Roman" w:hAnsi="Times New Roman"/>
              </w:rPr>
              <w:t xml:space="preserve">Viz pokyny ke sloupci 0050.</w:t>
            </w:r>
          </w:p>
        </w:tc>
      </w:tr>
      <w:tr w:rsidR="00FB3D09" w14:paraId="66ECA0F4" w14:textId="77777777" w:rsidTr="00822842">
        <w:trPr>
          <w:trHeight w:val="300"/>
        </w:trPr>
        <w:tc>
          <w:tcPr>
            <w:tcW w:w="1188" w:type="dxa"/>
          </w:tcPr>
          <w:p w14:paraId="18EA00BE" w14:textId="77777777" w:rsidR="00FB3D09" w:rsidRDefault="00FB3D09" w:rsidP="00822842">
            <w:pPr>
              <w:rPr>
                <w:sz w:val="24"/>
                <w:rFonts w:ascii="Times New Roman" w:hAnsi="Times New Roman"/>
              </w:rPr>
            </w:pPr>
            <w:r>
              <w:rPr>
                <w:sz w:val="24"/>
                <w:rFonts w:ascii="Times New Roman" w:hAnsi="Times New Roman"/>
              </w:rPr>
              <w:t xml:space="preserve">0170–0210</w:t>
            </w:r>
          </w:p>
        </w:tc>
        <w:tc>
          <w:tcPr>
            <w:tcW w:w="8843" w:type="dxa"/>
          </w:tcPr>
          <w:p w14:paraId="642B29BA" w14:textId="77777777" w:rsidR="00FB3D09" w:rsidRDefault="00FB3D09" w:rsidP="00822842">
            <w:pPr>
              <w:rPr>
                <w:b/>
                <w:bCs/>
                <w:sz w:val="24"/>
                <w:u w:val="single"/>
                <w:rFonts w:ascii="Times New Roman" w:hAnsi="Times New Roman"/>
              </w:rPr>
            </w:pPr>
            <w:r>
              <w:rPr>
                <w:b/>
                <w:sz w:val="24"/>
                <w:u w:val="single"/>
                <w:rFonts w:ascii="Times New Roman" w:hAnsi="Times New Roman"/>
              </w:rPr>
              <w:t xml:space="preserve">MAJETKOVÉ ZAJIŠTĚNÍ ÚVĚROVÉHO RIZIKA</w:t>
            </w:r>
          </w:p>
        </w:tc>
      </w:tr>
      <w:tr w:rsidR="00FB3D09" w:rsidRPr="002A677E" w14:paraId="4AF255C0" w14:textId="77777777" w:rsidTr="00822842">
        <w:tc>
          <w:tcPr>
            <w:tcW w:w="1188" w:type="dxa"/>
          </w:tcPr>
          <w:p w14:paraId="1EE7AF6C" w14:textId="77777777" w:rsidR="00FB3D09" w:rsidRPr="002A677E" w:rsidRDefault="00FB3D09" w:rsidP="00822842">
            <w:pPr>
              <w:rPr>
                <w:sz w:val="24"/>
                <w:rFonts w:ascii="Times New Roman" w:hAnsi="Times New Roman"/>
              </w:rPr>
            </w:pPr>
            <w:r>
              <w:rPr>
                <w:sz w:val="24"/>
                <w:rFonts w:ascii="Times New Roman" w:hAnsi="Times New Roman"/>
              </w:rPr>
              <w:t xml:space="preserve">0170–0173</w:t>
            </w:r>
          </w:p>
        </w:tc>
        <w:tc>
          <w:tcPr>
            <w:tcW w:w="8843" w:type="dxa"/>
          </w:tcPr>
          <w:p w14:paraId="3941829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 PŘÍPADĚ, ŽE SE POUŽÍVAJÍ VLASTNÍ ODHADY LGD:</w:t>
            </w:r>
            <w:r>
              <w:rPr>
                <w:b/>
                <w:sz w:val="24"/>
                <w:u w:val="single"/>
                <w:rFonts w:ascii="Times New Roman" w:hAnsi="Times New Roman"/>
              </w:rPr>
              <w:t xml:space="preserve"> </w:t>
            </w:r>
            <w:r>
              <w:rPr>
                <w:b/>
                <w:sz w:val="24"/>
                <w:u w:val="single"/>
                <w:rFonts w:ascii="Times New Roman" w:hAnsi="Times New Roman"/>
              </w:rPr>
              <w:t xml:space="preserve">JINÉ MAJETKOVÉ ZAJIŠTĚNÍ ÚVĚROVÉHO RIZIKA</w:t>
            </w:r>
            <w:r>
              <w:rPr>
                <w:b/>
                <w:sz w:val="24"/>
                <w:u w:val="single"/>
                <w:rFonts w:ascii="Times New Roman" w:hAnsi="Times New Roman"/>
              </w:rPr>
              <w:t xml:space="preserve"> </w:t>
            </w:r>
          </w:p>
          <w:p w14:paraId="213C028C" w14:textId="77777777" w:rsidR="00FB3D09" w:rsidRPr="000059B8"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Ustanovení čl. 181 písm. e) a f) nařízení (EU) č. 575/2013;</w:t>
            </w:r>
          </w:p>
          <w:p w14:paraId="163A7BF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Relevantní hodnota, kterou instituce použila při interním modelování.</w:t>
            </w:r>
          </w:p>
          <w:p w14:paraId="5CB29B07" w14:textId="77777777" w:rsidR="00FB3D09" w:rsidRPr="002A677E" w:rsidRDefault="00FB3D09" w:rsidP="00822842">
            <w:pPr>
              <w:rPr>
                <w:sz w:val="24"/>
                <w:rFonts w:ascii="Times New Roman" w:hAnsi="Times New Roman"/>
              </w:rPr>
            </w:pPr>
            <w:r>
              <w:rPr>
                <w:sz w:val="24"/>
                <w:rFonts w:ascii="Times New Roman" w:hAnsi="Times New Roman"/>
              </w:rPr>
              <w:t xml:space="preserve">Zmírnění úvěrového rizika, která splňují kritéria uvedená v článku 212 nařízení (EU) č. 575/2013.</w:t>
            </w:r>
            <w:r>
              <w:rPr>
                <w:sz w:val="24"/>
                <w:rFonts w:ascii="Times New Roman" w:hAnsi="Times New Roman"/>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sz w:val="24"/>
                <w:rFonts w:ascii="Times New Roman" w:hAnsi="Times New Roman"/>
              </w:rPr>
            </w:pPr>
            <w:r>
              <w:rPr>
                <w:sz w:val="24"/>
                <w:rFonts w:ascii="Times New Roman" w:hAnsi="Times New Roman"/>
              </w:rPr>
              <w:t xml:space="preserve">0171</w:t>
            </w:r>
          </w:p>
        </w:tc>
        <w:tc>
          <w:tcPr>
            <w:tcW w:w="8843" w:type="dxa"/>
          </w:tcPr>
          <w:p w14:paraId="545A819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HOTOVOST NA VKLADECH</w:t>
            </w:r>
          </w:p>
          <w:p w14:paraId="2F2A2E1C" w14:textId="77777777" w:rsidR="00FB3D09" w:rsidRPr="002A677E" w:rsidRDefault="00FB3D09" w:rsidP="00822842">
            <w:pPr>
              <w:rPr>
                <w:sz w:val="24"/>
                <w:rFonts w:ascii="Times New Roman" w:hAnsi="Times New Roman"/>
              </w:rPr>
            </w:pPr>
            <w:r>
              <w:rPr>
                <w:sz w:val="24"/>
                <w:rFonts w:ascii="Times New Roman" w:hAnsi="Times New Roman"/>
              </w:rPr>
              <w:t xml:space="preserve">Ustanovení čl. 200 písm. a) nařízení (EU) č. 575/2013</w:t>
            </w:r>
            <w:r>
              <w:rPr>
                <w:sz w:val="24"/>
                <w:rFonts w:ascii="Times New Roman" w:hAnsi="Times New Roman"/>
              </w:rPr>
              <w:t xml:space="preserve"> </w:t>
            </w:r>
          </w:p>
          <w:p w14:paraId="0037C11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Hotovost na vkladech nebo hotovostní nástroje v držení třetí strany, která je institucí, jestliže tato hotovost nebo hotovostní nástroje nejsou ve správě třetí strany a jsou zastavené ve prospěch instituce poskytující úvěr.</w:t>
            </w:r>
            <w:r>
              <w:rPr>
                <w:sz w:val="24"/>
                <w:rFonts w:ascii="Times New Roman" w:hAnsi="Times New Roman"/>
              </w:rPr>
              <w:t xml:space="preserve"> </w:t>
            </w:r>
            <w:r>
              <w:rPr>
                <w:sz w:val="24"/>
                <w:rFonts w:ascii="Times New Roman" w:hAnsi="Times New Roman"/>
              </w:rPr>
              <w:t xml:space="preserve">Hodnota vykázaného kolaterálu je omezena na hodnotu expozice na úrovni jednotlivé expozice.</w:t>
            </w:r>
          </w:p>
        </w:tc>
      </w:tr>
      <w:tr w:rsidR="00FB3D09" w:rsidRPr="002A677E" w14:paraId="6605DFE4" w14:textId="77777777" w:rsidTr="00822842">
        <w:tc>
          <w:tcPr>
            <w:tcW w:w="1188" w:type="dxa"/>
          </w:tcPr>
          <w:p w14:paraId="4FC8218B" w14:textId="77777777" w:rsidR="00FB3D09" w:rsidRPr="002A677E" w:rsidRDefault="00FB3D09" w:rsidP="00822842">
            <w:pPr>
              <w:rPr>
                <w:sz w:val="24"/>
                <w:rFonts w:ascii="Times New Roman" w:hAnsi="Times New Roman"/>
              </w:rPr>
            </w:pPr>
            <w:r>
              <w:rPr>
                <w:sz w:val="24"/>
                <w:rFonts w:ascii="Times New Roman" w:hAnsi="Times New Roman"/>
              </w:rPr>
              <w:t xml:space="preserve">0172</w:t>
            </w:r>
          </w:p>
        </w:tc>
        <w:tc>
          <w:tcPr>
            <w:tcW w:w="8843" w:type="dxa"/>
          </w:tcPr>
          <w:p w14:paraId="4BBBA9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ŽIVOTNÍ POJISTKY</w:t>
            </w:r>
          </w:p>
          <w:p w14:paraId="796996C2" w14:textId="77777777" w:rsidR="00FB3D09" w:rsidRPr="002A677E" w:rsidRDefault="00FB3D09" w:rsidP="00822842">
            <w:pPr>
              <w:rPr>
                <w:sz w:val="24"/>
                <w:rFonts w:ascii="Times New Roman" w:hAnsi="Times New Roman"/>
              </w:rPr>
            </w:pPr>
            <w:r>
              <w:rPr>
                <w:sz w:val="24"/>
                <w:rFonts w:ascii="Times New Roman" w:hAnsi="Times New Roman"/>
              </w:rPr>
              <w:t xml:space="preserve">Ustanovení čl. 200 písm. b) nařízení (EU) č. 575/2013</w:t>
            </w:r>
            <w:r>
              <w:rPr>
                <w:sz w:val="24"/>
                <w:rFonts w:ascii="Times New Roman" w:hAnsi="Times New Roman"/>
              </w:rPr>
              <w:t xml:space="preserve"> </w:t>
            </w:r>
          </w:p>
          <w:p w14:paraId="62C977C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Hodnota vykázaného kolaterálu je omezena na hodnotu expozice na úrovni jednotlivé expozice.</w:t>
            </w:r>
          </w:p>
        </w:tc>
      </w:tr>
      <w:tr w:rsidR="00FB3D09" w:rsidRPr="002A677E" w14:paraId="12F298DE" w14:textId="77777777" w:rsidTr="00822842">
        <w:tc>
          <w:tcPr>
            <w:tcW w:w="1188" w:type="dxa"/>
          </w:tcPr>
          <w:p w14:paraId="0A6B27AA" w14:textId="77777777" w:rsidR="00FB3D09" w:rsidRPr="002A677E" w:rsidRDefault="00FB3D09" w:rsidP="00822842">
            <w:pPr>
              <w:rPr>
                <w:sz w:val="24"/>
                <w:rFonts w:ascii="Times New Roman" w:hAnsi="Times New Roman"/>
              </w:rPr>
            </w:pPr>
            <w:r>
              <w:rPr>
                <w:sz w:val="24"/>
                <w:rFonts w:ascii="Times New Roman" w:hAnsi="Times New Roman"/>
              </w:rPr>
              <w:t xml:space="preserve">0173</w:t>
            </w:r>
          </w:p>
        </w:tc>
        <w:tc>
          <w:tcPr>
            <w:tcW w:w="8843" w:type="dxa"/>
          </w:tcPr>
          <w:p w14:paraId="4BDD659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NÁSTROJE V DRŽENÍ TŘETÍ STRANY</w:t>
            </w:r>
          </w:p>
          <w:p w14:paraId="078E7074" w14:textId="77777777" w:rsidR="00FB3D09" w:rsidRPr="002A677E" w:rsidRDefault="00FB3D09" w:rsidP="00822842">
            <w:pPr>
              <w:rPr>
                <w:sz w:val="24"/>
                <w:rFonts w:ascii="Times New Roman" w:hAnsi="Times New Roman"/>
              </w:rPr>
            </w:pPr>
            <w:r>
              <w:rPr>
                <w:sz w:val="24"/>
                <w:rFonts w:ascii="Times New Roman" w:hAnsi="Times New Roman"/>
              </w:rPr>
              <w:t xml:space="preserve">Ustanovení čl. 200 písm. c) nařízení (EU) č. 575/2013</w:t>
            </w:r>
            <w:r>
              <w:rPr>
                <w:sz w:val="24"/>
                <w:rFonts w:ascii="Times New Roman" w:hAnsi="Times New Roman"/>
              </w:rPr>
              <w:t xml:space="preserve"> </w:t>
            </w:r>
          </w:p>
          <w:p w14:paraId="7E7CC085"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Patří sem nástroje vydané třetí stranou, která je institucí, jež budou na požádání touto institucí zpětně odkoupeny.</w:t>
            </w:r>
            <w:r>
              <w:rPr>
                <w:sz w:val="24"/>
                <w:rFonts w:ascii="Times New Roman" w:hAnsi="Times New Roman"/>
              </w:rPr>
              <w:t xml:space="preserve"> </w:t>
            </w:r>
            <w:r>
              <w:rPr>
                <w:sz w:val="24"/>
                <w:rFonts w:ascii="Times New Roman" w:hAnsi="Times New Roman"/>
              </w:rPr>
              <w:t xml:space="preserve">Hodnota vykázaného kolaterálu je omezena na hodnotu expozice na úrovni jednotlivé expozice.</w:t>
            </w:r>
            <w:r>
              <w:rPr>
                <w:sz w:val="24"/>
                <w:rFonts w:ascii="Times New Roman" w:hAnsi="Times New Roman"/>
              </w:rPr>
              <w:t xml:space="preserve"> </w:t>
            </w:r>
            <w:r>
              <w:rPr>
                <w:sz w:val="24"/>
                <w:rFonts w:ascii="Times New Roman" w:hAnsi="Times New Roman"/>
              </w:rPr>
              <w:t xml:space="preserve">Tento sloupec nezahrnuje expozice kryté nástroji v držení třetí strany, pokud instituce v souladu s čl. 232 odst. 4 nařízení (EU) č. 575/2013 nakládá s nástroji, které budou na požádání zpětně odkoupeny a které jsou způsobilé podle čl. 200 písm. c) uvedeného nařízení, jako se zárukou emitující instituce.</w:t>
            </w:r>
          </w:p>
        </w:tc>
      </w:tr>
      <w:tr w:rsidR="00FB3D09" w:rsidRPr="002A677E" w14:paraId="7F635CD0" w14:textId="77777777" w:rsidTr="00822842">
        <w:tc>
          <w:tcPr>
            <w:tcW w:w="1188" w:type="dxa"/>
          </w:tcPr>
          <w:p w14:paraId="7FDF3B8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843" w:type="dxa"/>
          </w:tcPr>
          <w:p w14:paraId="31FAF9A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ZPŮSOBILÝ FINANČNÍ KOLATERÁL</w:t>
            </w:r>
          </w:p>
          <w:p w14:paraId="0447D589" w14:textId="77777777" w:rsidR="00FB3D09" w:rsidRPr="002A677E" w:rsidRDefault="00FB3D09" w:rsidP="00822842">
            <w:pPr>
              <w:rPr>
                <w:sz w:val="24"/>
                <w:rFonts w:ascii="Times New Roman" w:hAnsi="Times New Roman"/>
              </w:rPr>
            </w:pPr>
            <w:r>
              <w:rPr>
                <w:sz w:val="24"/>
                <w:rFonts w:ascii="Times New Roman" w:hAnsi="Times New Roman"/>
              </w:rPr>
              <w:t xml:space="preserve">V případě operací v obchodním portfoliu jsou zahrnuty finanční nástroje a komodity způsobilé pro expozice obchodního portfolia v souladu s čl. 299 odst. 2 písm. c) až f) nařízení (EU) č. 575/2013.</w:t>
            </w:r>
            <w:r>
              <w:rPr>
                <w:sz w:val="24"/>
                <w:rFonts w:ascii="Times New Roman" w:hAnsi="Times New Roman"/>
              </w:rPr>
              <w:t xml:space="preserve"> </w:t>
            </w:r>
            <w:r>
              <w:rPr>
                <w:sz w:val="24"/>
                <w:rFonts w:ascii="Times New Roman" w:hAnsi="Times New Roman"/>
              </w:rPr>
              <w:t xml:space="preserve">S úvěrovými dluhovými cennými papíry a rozvahovým započtením v souladu s částí třetí hlavou II kapitolou 4 oddílem 4 nařízení (EU) č. 575/2013 se zachází jako s hotovostním kolaterálem.</w:t>
            </w:r>
          </w:p>
          <w:p w14:paraId="52D78AC9" w14:textId="77777777" w:rsidR="00FB3D09" w:rsidRPr="002A677E" w:rsidRDefault="00FB3D09" w:rsidP="00822842">
            <w:pPr>
              <w:rPr>
                <w:sz w:val="24"/>
                <w:rFonts w:ascii="Times New Roman" w:hAnsi="Times New Roman"/>
              </w:rPr>
            </w:pPr>
            <w:r>
              <w:rPr>
                <w:sz w:val="24"/>
                <w:rFonts w:ascii="Times New Roman" w:hAnsi="Times New Roman"/>
              </w:rPr>
              <w:t xml:space="preserve">Pokud nejsou používány vlastní odhady LGD, vykazuje se pro způsobilý finanční kolaterál v souladu s článkem 197 nařízení (EU) č. 575/2013 upravená hodnota (Cvam) podle čl. 223 odst. 2 uvedeného nařízení.</w:t>
            </w:r>
          </w:p>
          <w:p w14:paraId="31F42CB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Pokud jsou používány vlastní odhady LGD, zohledňuje se finanční kolaterál v odhadech LGD podle čl. 181 odst. 1 písm. e) a f) nařízení (EU) č. 575/2013.</w:t>
            </w:r>
            <w:r>
              <w:rPr>
                <w:sz w:val="24"/>
                <w:rFonts w:ascii="Times New Roman" w:hAnsi="Times New Roman"/>
              </w:rPr>
              <w:t xml:space="preserve"> </w:t>
            </w:r>
            <w:r>
              <w:rPr>
                <w:sz w:val="24"/>
                <w:rFonts w:ascii="Times New Roman" w:hAnsi="Times New Roman"/>
              </w:rPr>
              <w:t xml:space="preserve">Výše, která má být vykázána, odpovídá odhadované tržní hodnotě kolaterálu.</w:t>
            </w:r>
          </w:p>
        </w:tc>
      </w:tr>
      <w:tr w:rsidR="00FB3D09" w:rsidRPr="002A677E" w14:paraId="175F5CB2" w14:textId="77777777" w:rsidTr="00822842">
        <w:tc>
          <w:tcPr>
            <w:tcW w:w="1188" w:type="dxa"/>
          </w:tcPr>
          <w:p w14:paraId="21EC8197"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0190–0210</w:t>
            </w:r>
          </w:p>
        </w:tc>
        <w:tc>
          <w:tcPr>
            <w:tcW w:w="8843" w:type="dxa"/>
          </w:tcPr>
          <w:p w14:paraId="093432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JINÝ ZPŮSOBILÝ KOLATERÁL</w:t>
            </w:r>
          </w:p>
          <w:p w14:paraId="3277DA00" w14:textId="77777777" w:rsidR="00FB3D09" w:rsidRPr="002A677E" w:rsidRDefault="00FB3D09" w:rsidP="00822842">
            <w:pPr>
              <w:rPr>
                <w:sz w:val="24"/>
                <w:rFonts w:ascii="Times New Roman" w:hAnsi="Times New Roman"/>
              </w:rPr>
            </w:pPr>
            <w:r>
              <w:rPr>
                <w:sz w:val="24"/>
                <w:rFonts w:ascii="Times New Roman" w:hAnsi="Times New Roman"/>
              </w:rPr>
              <w:t xml:space="preserve">Pokud nejsou používány vlastní odhady LGD, určí se hodnoty v souladu s čl. 199 odst. 1 až 8 a článkem 229 nařízení (EU) č. 575/2013.</w:t>
            </w:r>
          </w:p>
          <w:p w14:paraId="3AF3004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Pokud jsou používány vlastní odhady LGD, zohledňuje se jiný kolaterál v odhadech LGD podle čl. 181 odst. 1 písm. e) a f) nařízení (EU) č.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0190</w:t>
            </w:r>
          </w:p>
        </w:tc>
        <w:tc>
          <w:tcPr>
            <w:tcW w:w="8843" w:type="dxa"/>
          </w:tcPr>
          <w:p w14:paraId="38792F93" w14:textId="77777777" w:rsidR="00FB3D09" w:rsidRPr="002A677E" w:rsidRDefault="00FB3D09" w:rsidP="00822842">
            <w:pPr>
              <w:spacing w:line="240" w:lineRule="exact"/>
              <w:rPr>
                <w:sz w:val="24"/>
                <w:rFonts w:ascii="Times New Roman" w:hAnsi="Times New Roman"/>
              </w:rPr>
            </w:pPr>
            <w:r>
              <w:rPr>
                <w:b/>
                <w:sz w:val="24"/>
                <w:u w:val="single"/>
                <w:rFonts w:ascii="Times New Roman" w:hAnsi="Times New Roman"/>
              </w:rPr>
              <w:t xml:space="preserve">NEMOVITOSTI</w:t>
            </w:r>
          </w:p>
          <w:p w14:paraId="1C22EB67" w14:textId="7B65D474"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Pokud nejsou používány vlastní odhady LGD, určí se hodnoty v souladu s čl. 199 odst. 2 až 4a nařízení (EU) č. 575/2013 a vykazují se v tomto sloupci.</w:t>
            </w:r>
            <w:r>
              <w:rPr>
                <w:sz w:val="24"/>
                <w:rFonts w:ascii="Times New Roman" w:hAnsi="Times New Roman"/>
              </w:rPr>
              <w:t xml:space="preserve"> </w:t>
            </w:r>
            <w:r>
              <w:rPr>
                <w:sz w:val="24"/>
                <w:rFonts w:ascii="Times New Roman" w:hAnsi="Times New Roman"/>
              </w:rPr>
              <w:t xml:space="preserve">Zohledňuje se zde i pronájem nemovitostí (viz čl. 199 odst. 7 nařízení (EU) č. 575/2013).</w:t>
            </w:r>
            <w:r>
              <w:rPr>
                <w:sz w:val="24"/>
                <w:rFonts w:ascii="Times New Roman" w:hAnsi="Times New Roman"/>
              </w:rPr>
              <w:t xml:space="preserve"> </w:t>
            </w:r>
            <w:r>
              <w:rPr>
                <w:sz w:val="24"/>
                <w:rFonts w:ascii="Times New Roman" w:hAnsi="Times New Roman"/>
              </w:rPr>
              <w:t xml:space="preserve">Viz rovněž článek 229 nařízení (EU) č. 575/2013.</w:t>
            </w:r>
          </w:p>
          <w:p w14:paraId="02AD8F76"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Pokud jsou používány vlastní odhady LGD, vykazuje se odhadovaná tržní hodnota.</w:t>
            </w:r>
          </w:p>
        </w:tc>
      </w:tr>
      <w:tr w:rsidR="00FB3D09" w:rsidRPr="002A677E" w14:paraId="5A77D1F7" w14:textId="77777777" w:rsidTr="00822842">
        <w:tc>
          <w:tcPr>
            <w:tcW w:w="1188" w:type="dxa"/>
          </w:tcPr>
          <w:p w14:paraId="639978E3" w14:textId="77777777" w:rsidR="00FB3D09" w:rsidRPr="002A677E" w:rsidRDefault="00FB3D09" w:rsidP="00822842">
            <w:pPr>
              <w:rPr>
                <w:sz w:val="24"/>
                <w:rFonts w:ascii="Times New Roman" w:hAnsi="Times New Roman"/>
              </w:rPr>
            </w:pPr>
            <w:r>
              <w:rPr>
                <w:sz w:val="24"/>
                <w:rFonts w:ascii="Times New Roman" w:hAnsi="Times New Roman"/>
              </w:rPr>
              <w:t xml:space="preserve">0200</w:t>
            </w:r>
          </w:p>
        </w:tc>
        <w:tc>
          <w:tcPr>
            <w:tcW w:w="8843" w:type="dxa"/>
          </w:tcPr>
          <w:p w14:paraId="11BF78C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OSTATNÍ HMOTNÝ KOLATERÁL</w:t>
            </w:r>
          </w:p>
          <w:p w14:paraId="79893BBD" w14:textId="77777777" w:rsidR="00FB3D09" w:rsidRPr="002A677E" w:rsidRDefault="00FB3D09" w:rsidP="00822842">
            <w:pPr>
              <w:rPr>
                <w:sz w:val="24"/>
                <w:rFonts w:ascii="Times New Roman" w:hAnsi="Times New Roman"/>
              </w:rPr>
            </w:pPr>
            <w:r>
              <w:rPr>
                <w:sz w:val="24"/>
                <w:rFonts w:ascii="Times New Roman" w:hAnsi="Times New Roman"/>
              </w:rPr>
              <w:t xml:space="preserve">Pokud nejsou používány vlastní odhady LGD, určí se hodnoty v souladu s čl. 199 odst. 6 a 8 nařízení (EU) č. 575/2013 a vykazují se v tomto sloupci.</w:t>
            </w:r>
            <w:r>
              <w:rPr>
                <w:sz w:val="24"/>
                <w:rFonts w:ascii="Times New Roman" w:hAnsi="Times New Roman"/>
              </w:rPr>
              <w:t xml:space="preserve"> </w:t>
            </w:r>
            <w:r>
              <w:rPr>
                <w:sz w:val="24"/>
                <w:rFonts w:ascii="Times New Roman" w:hAnsi="Times New Roman"/>
              </w:rPr>
              <w:t xml:space="preserve">Zohledňuje se zde i pronájem jiného majetku než nemovitostí (viz čl. 199 odst. 7 nařízení (EU) č. 575/2013).</w:t>
            </w:r>
            <w:r>
              <w:rPr>
                <w:sz w:val="24"/>
                <w:rFonts w:ascii="Times New Roman" w:hAnsi="Times New Roman"/>
              </w:rPr>
              <w:t xml:space="preserve"> </w:t>
            </w:r>
            <w:r>
              <w:rPr>
                <w:sz w:val="24"/>
                <w:rFonts w:ascii="Times New Roman" w:hAnsi="Times New Roman"/>
              </w:rPr>
              <w:t xml:space="preserve">Viz také čl. 229 odst. 3 nařízení (EU) č. 575/2013.</w:t>
            </w:r>
            <w:r>
              <w:rPr>
                <w:sz w:val="24"/>
                <w:rFonts w:ascii="Times New Roman" w:hAnsi="Times New Roman"/>
              </w:rPr>
              <w:t xml:space="preserve"> </w:t>
            </w:r>
          </w:p>
          <w:p w14:paraId="20C5AC8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Pokud jsou používány vlastní odhady LGD, vykazuje se odhadovaná tržní hodnota kolaterálu.</w:t>
            </w:r>
          </w:p>
        </w:tc>
      </w:tr>
      <w:tr w:rsidR="00FB3D09" w:rsidRPr="002A677E" w14:paraId="6B2A20B1" w14:textId="77777777" w:rsidTr="00822842">
        <w:tc>
          <w:tcPr>
            <w:tcW w:w="1188" w:type="dxa"/>
          </w:tcPr>
          <w:p w14:paraId="41BEC94C" w14:textId="77777777" w:rsidR="00FB3D09" w:rsidRPr="002A677E" w:rsidRDefault="00FB3D09" w:rsidP="00822842">
            <w:pPr>
              <w:rPr>
                <w:sz w:val="24"/>
                <w:rFonts w:ascii="Times New Roman" w:hAnsi="Times New Roman"/>
              </w:rPr>
            </w:pPr>
            <w:r>
              <w:rPr>
                <w:sz w:val="24"/>
                <w:rFonts w:ascii="Times New Roman" w:hAnsi="Times New Roman"/>
              </w:rPr>
              <w:t xml:space="preserve">0210</w:t>
            </w:r>
          </w:p>
        </w:tc>
        <w:tc>
          <w:tcPr>
            <w:tcW w:w="8843" w:type="dxa"/>
          </w:tcPr>
          <w:p w14:paraId="4F3D36E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POHLEDÁVKY</w:t>
            </w:r>
          </w:p>
          <w:p w14:paraId="7A705B5D" w14:textId="77777777" w:rsidR="00FB3D09" w:rsidRPr="002A677E" w:rsidRDefault="00FB3D09" w:rsidP="00822842">
            <w:pPr>
              <w:rPr>
                <w:sz w:val="24"/>
                <w:rFonts w:ascii="Times New Roman" w:hAnsi="Times New Roman"/>
              </w:rPr>
            </w:pPr>
            <w:r>
              <w:rPr>
                <w:sz w:val="24"/>
                <w:rFonts w:ascii="Times New Roman" w:hAnsi="Times New Roman"/>
              </w:rPr>
              <w:t xml:space="preserve">Pokud nejsou používány vlastní odhady LGD, určí se hodnoty v souladu s čl. 199 odst. 5 a čl. 229 odst. 2 nařízení (EU) č. 575/2013 a vykazují se v tomto sloupci.</w:t>
            </w:r>
          </w:p>
          <w:p w14:paraId="436DED0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Pokud jsou používány vlastní odhady LGD, vykazuje se odhadovaná tržní hodnota kolaterálu.</w:t>
            </w:r>
          </w:p>
        </w:tc>
      </w:tr>
      <w:tr w:rsidR="00FB3D09" w:rsidRPr="002A677E" w14:paraId="60E8AC07" w14:textId="77777777" w:rsidTr="00822842">
        <w:tc>
          <w:tcPr>
            <w:tcW w:w="1188" w:type="dxa"/>
          </w:tcPr>
          <w:p w14:paraId="5D57504A" w14:textId="77777777" w:rsidR="00FB3D09" w:rsidRPr="002A677E" w:rsidRDefault="00FB3D09" w:rsidP="00822842">
            <w:pPr>
              <w:rPr>
                <w:sz w:val="24"/>
                <w:rFonts w:ascii="Times New Roman" w:hAnsi="Times New Roman"/>
              </w:rPr>
            </w:pPr>
            <w:r>
              <w:rPr>
                <w:sz w:val="24"/>
                <w:rFonts w:ascii="Times New Roman" w:hAnsi="Times New Roman"/>
              </w:rPr>
              <w:t xml:space="preserve">0230</w:t>
            </w:r>
          </w:p>
        </w:tc>
        <w:tc>
          <w:tcPr>
            <w:tcW w:w="8843" w:type="dxa"/>
          </w:tcPr>
          <w:p w14:paraId="79AFFD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EXPOZICÍ VÁŽENÁ PRŮMĚRNÁ HODNOTA LGD (%)</w:t>
            </w:r>
          </w:p>
          <w:p w14:paraId="6F9170F4" w14:textId="5D916447" w:rsidR="00FB3D09" w:rsidRPr="002A677E" w:rsidRDefault="00FB3D09" w:rsidP="00822842">
            <w:pPr>
              <w:rPr>
                <w:sz w:val="24"/>
                <w:rFonts w:ascii="Times New Roman" w:hAnsi="Times New Roman"/>
              </w:rPr>
            </w:pPr>
            <w:r>
              <w:rPr>
                <w:sz w:val="24"/>
                <w:rFonts w:ascii="Times New Roman" w:hAnsi="Times New Roman"/>
              </w:rPr>
              <w:t xml:space="preserve">Zohledňuje se celkový dopad technik snižování úvěrového rizika na hodnoty LGD, jak je uvedeno v části třetí hlavě II kapitolách 3 a 4 nařízení (EU) č. 575/2013.</w:t>
            </w:r>
            <w:r>
              <w:rPr>
                <w:sz w:val="24"/>
                <w:rFonts w:ascii="Times New Roman" w:hAnsi="Times New Roman"/>
              </w:rPr>
              <w:t xml:space="preserve"> </w:t>
            </w:r>
          </w:p>
          <w:p w14:paraId="39A74258" w14:textId="77777777" w:rsidR="00FB3D09" w:rsidRPr="002A677E" w:rsidRDefault="00FB3D09" w:rsidP="00822842">
            <w:pPr>
              <w:rPr>
                <w:sz w:val="24"/>
                <w:rFonts w:ascii="Times New Roman" w:hAnsi="Times New Roman"/>
              </w:rPr>
            </w:pPr>
            <w:r>
              <w:rPr>
                <w:sz w:val="24"/>
                <w:rFonts w:ascii="Times New Roman" w:hAnsi="Times New Roman"/>
              </w:rPr>
              <w:t xml:space="preserve">U expozic v selhání se zohlední ustanovení čl. 181 odst. 1 písm. h) nařízení (EU) č. 575/2013.</w:t>
            </w:r>
          </w:p>
          <w:p w14:paraId="60A8EDA1" w14:textId="77777777" w:rsidR="00FB3D09" w:rsidRPr="002A677E" w:rsidRDefault="00FB3D09" w:rsidP="00822842">
            <w:pPr>
              <w:rPr>
                <w:sz w:val="24"/>
                <w:rFonts w:ascii="Times New Roman" w:hAnsi="Times New Roman"/>
              </w:rPr>
            </w:pPr>
            <w:r>
              <w:rPr>
                <w:sz w:val="24"/>
                <w:rFonts w:ascii="Times New Roman" w:hAnsi="Times New Roman"/>
              </w:rPr>
              <w:t xml:space="preserve">Pro výpočet expozicí vážených průměrných hodnot se použije hodnota expozice uvedená ve sloupci 0110.</w:t>
            </w:r>
          </w:p>
          <w:p w14:paraId="4BB11427" w14:textId="77777777" w:rsidR="00FB3D09" w:rsidRPr="002A677E" w:rsidRDefault="00FB3D09" w:rsidP="00822842">
            <w:pPr>
              <w:rPr>
                <w:sz w:val="24"/>
                <w:rFonts w:ascii="Times New Roman" w:hAnsi="Times New Roman"/>
              </w:rPr>
            </w:pPr>
            <w:r>
              <w:rPr>
                <w:sz w:val="24"/>
                <w:rFonts w:ascii="Times New Roman" w:hAnsi="Times New Roman"/>
              </w:rPr>
              <w:t xml:space="preserve">Zohlední se všechny dopady (do vykazování se zahrnou účinky prahu použitelného na expozice zajištěné nemovitostmi v souladu s čl. 164 odst. 4 nařízení (EU) č. 575/2013).</w:t>
            </w:r>
          </w:p>
          <w:p w14:paraId="635EEDC3" w14:textId="2DC0DF92" w:rsidR="00FB3D09" w:rsidRPr="002A677E" w:rsidRDefault="00FB3D09" w:rsidP="00822842">
            <w:pPr>
              <w:rPr>
                <w:sz w:val="24"/>
                <w:rFonts w:ascii="Times New Roman" w:hAnsi="Times New Roman"/>
              </w:rPr>
            </w:pPr>
            <w:r>
              <w:rPr>
                <w:sz w:val="24"/>
                <w:rFonts w:ascii="Times New Roman" w:hAnsi="Times New Roman"/>
              </w:rPr>
              <w:t xml:space="preserve">U institucí, které uplatňují přístup IRB, ale nepoužívají vlastní odhady LGD, se dopady finančního kolaterálu na snižování rizika odráží v E*, tedy plně upravené hodnotě expozice, a následně se odráží v LGD* uvedené v článku 230 nařízení (EU) č. 575/2013.</w:t>
            </w:r>
          </w:p>
          <w:p w14:paraId="4BD44AA0" w14:textId="77777777" w:rsidR="00FB3D09" w:rsidRPr="002A677E" w:rsidRDefault="00FB3D09" w:rsidP="00822842">
            <w:pPr>
              <w:rPr>
                <w:sz w:val="24"/>
                <w:rFonts w:ascii="Times New Roman" w:hAnsi="Times New Roman"/>
              </w:rPr>
            </w:pPr>
            <w:r>
              <w:rPr>
                <w:sz w:val="24"/>
                <w:rFonts w:ascii="Times New Roman" w:hAnsi="Times New Roman"/>
              </w:rPr>
              <w:t xml:space="preserve">Expozicí vážená průměrná hodnota LGD přiřazená ke každé hodnotě PD pro „stupeň nebo seskupení dlužníků“ vyplývá z průměru obezřetnostních hodnot LGD přidělených expozicím, na něž se vztahuje daná hodnota PD pro stupeň/seskupení vážená příslušnou hodnotou expozice uvedenou ve sloupci 0110.</w:t>
            </w:r>
          </w:p>
          <w:p w14:paraId="2A3FAE79" w14:textId="77777777" w:rsidR="00FB3D09" w:rsidRPr="002A677E" w:rsidRDefault="00FB3D09" w:rsidP="00822842">
            <w:pPr>
              <w:rPr>
                <w:sz w:val="24"/>
                <w:rFonts w:ascii="Times New Roman" w:hAnsi="Times New Roman"/>
              </w:rPr>
            </w:pPr>
            <w:r>
              <w:rPr>
                <w:sz w:val="24"/>
                <w:rFonts w:ascii="Times New Roman" w:hAnsi="Times New Roman"/>
              </w:rPr>
              <w:t xml:space="preserve">Pokud se použijí vlastní odhady LGD, zohlední se ustanovení článku 175 a čl. 181 odst. 1 a 2 nařízení (EU) č. 575/2013.</w:t>
            </w:r>
          </w:p>
          <w:p w14:paraId="0DF969BF" w14:textId="77777777" w:rsidR="00FB3D09" w:rsidRPr="002A677E" w:rsidRDefault="00FB3D09" w:rsidP="00822842">
            <w:pPr>
              <w:rPr>
                <w:sz w:val="24"/>
                <w:rFonts w:ascii="Times New Roman" w:hAnsi="Times New Roman"/>
              </w:rPr>
            </w:pPr>
            <w:r>
              <w:rPr>
                <w:sz w:val="24"/>
                <w:rFonts w:ascii="Times New Roman" w:hAnsi="Times New Roman"/>
              </w:rPr>
              <w:t xml:space="preserve">Výpočet expozicí vážené průměrné hodnoty LGD se odvozuje na základě rizikových parametrů, které se skutečně používají v interních ratingových stupnicích schválených příslušným orgánem.</w:t>
            </w:r>
          </w:p>
          <w:p w14:paraId="345A6D26" w14:textId="77777777" w:rsidR="00FB3D09" w:rsidRPr="002A677E" w:rsidRDefault="00FB3D09" w:rsidP="00822842">
            <w:pPr>
              <w:rPr>
                <w:sz w:val="24"/>
                <w:rFonts w:ascii="Times New Roman" w:hAnsi="Times New Roman"/>
              </w:rPr>
            </w:pPr>
            <w:r>
              <w:rPr>
                <w:sz w:val="24"/>
                <w:rFonts w:ascii="Times New Roman" w:hAnsi="Times New Roman"/>
              </w:rPr>
              <w:t xml:space="preserve">Údaje se nevykazují v případě specializovaných úvěrových expozic uvedených v čl. 153 odst. 5 nařízení (EU) č. 575/2013.</w:t>
            </w:r>
            <w:r>
              <w:rPr>
                <w:sz w:val="24"/>
                <w:rFonts w:ascii="Times New Roman" w:hAnsi="Times New Roman"/>
              </w:rPr>
              <w:t xml:space="preserve"> </w:t>
            </w:r>
            <w:r>
              <w:rPr>
                <w:sz w:val="24"/>
                <w:rFonts w:ascii="Times New Roman" w:hAnsi="Times New Roman"/>
              </w:rPr>
              <w:t xml:space="preserve">Odhaduje-li se hodnota PD pro specializované úvěrové expozice, vykazují se údaje na základě vlastních odhadů LGD nebo regulatorní LGD.</w:t>
            </w:r>
          </w:p>
          <w:p w14:paraId="0C1A1D74" w14:textId="77777777" w:rsidR="00FB3D09" w:rsidRPr="002A677E" w:rsidRDefault="00FB3D09" w:rsidP="00822842">
            <w:pPr>
              <w:rPr>
                <w:sz w:val="24"/>
                <w:rFonts w:ascii="Times New Roman" w:hAnsi="Times New Roman"/>
              </w:rPr>
            </w:pPr>
            <w:r>
              <w:rPr>
                <w:sz w:val="24"/>
                <w:rFonts w:ascii="Times New Roman" w:hAnsi="Times New Roman"/>
              </w:rPr>
              <w:t xml:space="preserve">Do výpočtu hodnoty vykazované ve sloupci 0230 se nezahrnují expozice a příslušné hodnoty LGD související s velkými regulovanými subjekty finančního sektoru a neregulovanými finančními subjekty; tyto údaje se však zohledňují pouze ve výpočtu hodnoty uváděné ve sloupci 0240.</w:t>
            </w:r>
            <w:r>
              <w:rPr>
                <w:sz w:val="24"/>
                <w:rFonts w:ascii="Times New Roman" w:hAnsi="Times New Roman"/>
              </w:rPr>
              <w:t xml:space="preserve"> </w:t>
            </w:r>
          </w:p>
        </w:tc>
      </w:tr>
      <w:tr w:rsidR="00FB3D09" w:rsidRPr="002A677E" w14:paraId="6B45F6BD" w14:textId="77777777" w:rsidTr="00822842">
        <w:tc>
          <w:tcPr>
            <w:tcW w:w="1188" w:type="dxa"/>
          </w:tcPr>
          <w:p w14:paraId="591C6DEB" w14:textId="77777777" w:rsidR="00FB3D09" w:rsidRPr="002A677E" w:rsidRDefault="00FB3D09" w:rsidP="00822842">
            <w:pPr>
              <w:rPr>
                <w:sz w:val="24"/>
                <w:rFonts w:ascii="Times New Roman" w:hAnsi="Times New Roman"/>
              </w:rPr>
            </w:pPr>
            <w:r>
              <w:rPr>
                <w:sz w:val="24"/>
                <w:rFonts w:ascii="Times New Roman" w:hAnsi="Times New Roman"/>
              </w:rPr>
              <w:t xml:space="preserve">0240</w:t>
            </w:r>
          </w:p>
        </w:tc>
        <w:tc>
          <w:tcPr>
            <w:tcW w:w="8843" w:type="dxa"/>
          </w:tcPr>
          <w:p w14:paraId="32B1C75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EXPOZICÍ VÁŽENÁ PRŮMĚRNÁ HODNOTA LGD (%) PRO VELKÉ SUBJEKTY FINANČNÍHO SEKTORU A NEREGULOVANÉ FINANČNÍ SUBJEKTY</w:t>
            </w:r>
          </w:p>
          <w:p w14:paraId="6939D8FB" w14:textId="77777777" w:rsidR="00FB3D09" w:rsidRPr="002A677E" w:rsidRDefault="00FB3D09" w:rsidP="00822842">
            <w:pPr>
              <w:rPr>
                <w:sz w:val="24"/>
                <w:rFonts w:ascii="Times New Roman" w:hAnsi="Times New Roman"/>
              </w:rPr>
            </w:pPr>
            <w:r>
              <w:rPr>
                <w:sz w:val="24"/>
                <w:rFonts w:ascii="Times New Roman" w:hAnsi="Times New Roman"/>
              </w:rPr>
              <w:t xml:space="preserve">Expozicí vážená průměrná hodnota LGD (%) u všech expozic vůči velkým subjektům finančního sektoru ve smyslu čl. 142 odst. 1 bodu 4 nařízení (EU) č. 575/2013 a vůči neregulovaným subjektům finančního sektoru ve smyslu čl. 142 odst. 1 bodu 5 nařízení (EU) č. 575/2013 podléhajícím vyššímu koeficientu korelace určenému v souladu s čl. 153 odst. 2 nařízení (EU) č. 575/2013</w:t>
            </w:r>
          </w:p>
        </w:tc>
      </w:tr>
      <w:tr w:rsidR="00FB3D09" w:rsidRPr="002A677E" w14:paraId="176E6206" w14:textId="77777777" w:rsidTr="00822842">
        <w:tc>
          <w:tcPr>
            <w:tcW w:w="1188" w:type="dxa"/>
          </w:tcPr>
          <w:p w14:paraId="76179D87" w14:textId="77777777" w:rsidR="00FB3D09" w:rsidRPr="002A677E" w:rsidRDefault="00FB3D09" w:rsidP="00822842">
            <w:pPr>
              <w:rPr>
                <w:sz w:val="24"/>
                <w:rFonts w:ascii="Times New Roman" w:hAnsi="Times New Roman"/>
              </w:rPr>
            </w:pPr>
            <w:r>
              <w:rPr>
                <w:sz w:val="24"/>
                <w:rFonts w:ascii="Times New Roman" w:hAnsi="Times New Roman"/>
              </w:rPr>
              <w:t xml:space="preserve">0250</w:t>
            </w:r>
          </w:p>
        </w:tc>
        <w:tc>
          <w:tcPr>
            <w:tcW w:w="8843" w:type="dxa"/>
          </w:tcPr>
          <w:p w14:paraId="0303416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EXPOZICÍ VÁŽENÁ PRŮMĚRNÁ SPLATNOST (POČET DNŮ)</w:t>
            </w:r>
          </w:p>
          <w:p w14:paraId="2EF0BB8D" w14:textId="77777777" w:rsidR="00FB3D09" w:rsidRPr="002A677E" w:rsidRDefault="00FB3D09" w:rsidP="00822842">
            <w:pPr>
              <w:rPr>
                <w:sz w:val="24"/>
                <w:rFonts w:ascii="Times New Roman" w:hAnsi="Times New Roman"/>
              </w:rPr>
            </w:pPr>
            <w:r>
              <w:rPr>
                <w:sz w:val="24"/>
                <w:rFonts w:ascii="Times New Roman" w:hAnsi="Times New Roman"/>
              </w:rPr>
              <w:t xml:space="preserve">Vykazovaná hodnota se určí v souladu s článkem 162 nařízení (EU) č. 575/2013.</w:t>
            </w:r>
            <w:r>
              <w:rPr>
                <w:sz w:val="24"/>
                <w:rFonts w:ascii="Times New Roman" w:hAnsi="Times New Roman"/>
              </w:rPr>
              <w:t xml:space="preserve"> </w:t>
            </w:r>
            <w:r>
              <w:rPr>
                <w:sz w:val="24"/>
                <w:rFonts w:ascii="Times New Roman" w:hAnsi="Times New Roman"/>
              </w:rPr>
              <w:t xml:space="preserve">Pro výpočet expozicí vážených průměrných hodnot se použije hodnota expozice (sloupec 0110).</w:t>
            </w:r>
            <w:r>
              <w:rPr>
                <w:sz w:val="24"/>
                <w:rFonts w:ascii="Times New Roman" w:hAnsi="Times New Roman"/>
              </w:rPr>
              <w:t xml:space="preserve"> </w:t>
            </w:r>
            <w:r>
              <w:rPr>
                <w:sz w:val="24"/>
                <w:rFonts w:ascii="Times New Roman" w:hAnsi="Times New Roman"/>
              </w:rPr>
              <w:t xml:space="preserve">Průměrná splatnost se vykazuje ve dnech.</w:t>
            </w:r>
          </w:p>
          <w:p w14:paraId="6457CD5D" w14:textId="77777777" w:rsidR="00FB3D09" w:rsidRPr="002A677E" w:rsidRDefault="00FB3D09" w:rsidP="00822842">
            <w:pPr>
              <w:rPr>
                <w:sz w:val="24"/>
                <w:rFonts w:ascii="Times New Roman" w:hAnsi="Times New Roman"/>
              </w:rPr>
            </w:pPr>
            <w:r>
              <w:rPr>
                <w:sz w:val="24"/>
                <w:rFonts w:ascii="Times New Roman" w:hAnsi="Times New Roman"/>
              </w:rPr>
              <w:t xml:space="preserve">Tento údaj se nevykazuje u hodnot expozice, v jejichž případě splatnost není součástí výpočtu </w:t>
            </w:r>
            <w:r>
              <w:rPr>
                <w:sz w:val="24"/>
                <w:rStyle w:val="InstructionsTabelleText"/>
                <w:rFonts w:ascii="Times New Roman" w:hAnsi="Times New Roman"/>
              </w:rPr>
              <w:t xml:space="preserve">objemů rizikově vážených expozic</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Znamená to, že tento sloupec se nevyplňuje pro kategorii „retailové expozice“.</w:t>
            </w:r>
          </w:p>
        </w:tc>
      </w:tr>
      <w:tr w:rsidR="00FB3D09" w:rsidRPr="002A677E" w14:paraId="713A30E1" w14:textId="77777777" w:rsidTr="00822842">
        <w:tc>
          <w:tcPr>
            <w:tcW w:w="1188" w:type="dxa"/>
          </w:tcPr>
          <w:p w14:paraId="00B32F9D" w14:textId="77777777" w:rsidR="00FB3D09" w:rsidRPr="002A677E" w:rsidRDefault="00FB3D09" w:rsidP="00822842">
            <w:pPr>
              <w:rPr>
                <w:sz w:val="24"/>
                <w:rFonts w:ascii="Times New Roman" w:hAnsi="Times New Roman"/>
              </w:rPr>
            </w:pPr>
            <w:r>
              <w:rPr>
                <w:sz w:val="24"/>
                <w:rFonts w:ascii="Times New Roman" w:hAnsi="Times New Roman"/>
              </w:rPr>
              <w:t xml:space="preserve">0255</w:t>
            </w:r>
          </w:p>
        </w:tc>
        <w:tc>
          <w:tcPr>
            <w:tcW w:w="8843" w:type="dxa"/>
          </w:tcPr>
          <w:p w14:paraId="75364C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OBJEM RIZIKOVĚ VÁŽENÝCH EXPOZIC PŘED UPLATNĚNÍM PODPŮRNÝCH KOEFICIENTŮ</w:t>
            </w:r>
          </w:p>
          <w:p w14:paraId="3F28CDB0" w14:textId="77777777" w:rsidR="00FB3D09" w:rsidRPr="002A677E" w:rsidRDefault="00FB3D09" w:rsidP="00822842">
            <w:pPr>
              <w:rPr>
                <w:sz w:val="24"/>
                <w:rFonts w:ascii="Times New Roman" w:hAnsi="Times New Roman"/>
              </w:rPr>
            </w:pPr>
            <w:r>
              <w:rPr>
                <w:sz w:val="24"/>
                <w:rFonts w:ascii="Times New Roman" w:hAnsi="Times New Roman"/>
              </w:rPr>
              <w:t xml:space="preserve">Pro ústřední vlády a centrální banky, podniky a instituce viz čl. 153 odst. 1, 2, 3 a 4 nařízení (EU) č. 575/2013.</w:t>
            </w:r>
            <w:r>
              <w:rPr>
                <w:sz w:val="24"/>
                <w:rFonts w:ascii="Times New Roman" w:hAnsi="Times New Roman"/>
              </w:rPr>
              <w:t xml:space="preserve"> </w:t>
            </w:r>
            <w:r>
              <w:rPr>
                <w:sz w:val="24"/>
                <w:rFonts w:ascii="Times New Roman" w:hAnsi="Times New Roman"/>
              </w:rPr>
              <w:t xml:space="preserve">Pro retailovou oblast viz čl. 154 odst. 1 nařízení (EU) č. 575/2013.</w:t>
            </w:r>
            <w:r>
              <w:rPr>
                <w:sz w:val="24"/>
                <w:rFonts w:ascii="Times New Roman" w:hAnsi="Times New Roman"/>
              </w:rPr>
              <w:t xml:space="preserve"> </w:t>
            </w:r>
          </w:p>
          <w:p w14:paraId="1B679E8C"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Nezohledňuje se podpůrný koeficient pro malé a střední podniky a infrastrukturu podle článků 501 a 501a nařízení (EU) č. 575/2013.</w:t>
            </w:r>
          </w:p>
        </w:tc>
      </w:tr>
      <w:tr w:rsidR="00FB3D09" w:rsidRPr="002A677E" w14:paraId="00547464" w14:textId="77777777" w:rsidTr="00822842">
        <w:tc>
          <w:tcPr>
            <w:tcW w:w="1188" w:type="dxa"/>
          </w:tcPr>
          <w:p w14:paraId="607227A4" w14:textId="77777777" w:rsidR="00FB3D09" w:rsidRPr="002A677E" w:rsidRDefault="00FB3D09" w:rsidP="00822842">
            <w:pPr>
              <w:rPr>
                <w:sz w:val="24"/>
                <w:rFonts w:ascii="Times New Roman" w:hAnsi="Times New Roman"/>
              </w:rPr>
            </w:pPr>
            <w:r>
              <w:rPr>
                <w:sz w:val="24"/>
                <w:rFonts w:ascii="Times New Roman" w:hAnsi="Times New Roman"/>
              </w:rPr>
              <w:t xml:space="preserve">0256</w:t>
            </w:r>
          </w:p>
        </w:tc>
        <w:tc>
          <w:tcPr>
            <w:tcW w:w="8843" w:type="dxa"/>
          </w:tcPr>
          <w:p w14:paraId="16679AD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ÚPRAVA OBJEMU RIZIKOVĚ VÁŽENÉ EXPOZICE V DŮSLEDKU PODPŮRNÉHO KOEFICIENTU PRO MALÉ A STŘEDNÍ PODNIKY</w:t>
            </w:r>
          </w:p>
          <w:p w14:paraId="1FAB0E6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Odečtení rozdílu mezi objemy rizikově vážených expozic u expozic vůči malému nebo střednímu podniku, u nichž nedošlo k selhání (RWEA), které se v příslušných případech vypočítají v souladu s částí třetí hlavou II kapitolou 3 nařízení (EU) č. 575/2013, a RWEA* v souladu s článkem 501 uvedeného nařízení.</w:t>
            </w:r>
          </w:p>
        </w:tc>
      </w:tr>
      <w:tr w:rsidR="00FB3D09" w:rsidRPr="002A677E" w14:paraId="601EC6CE" w14:textId="77777777" w:rsidTr="00822842">
        <w:tc>
          <w:tcPr>
            <w:tcW w:w="1188" w:type="dxa"/>
          </w:tcPr>
          <w:p w14:paraId="4301D42E" w14:textId="77777777" w:rsidR="00FB3D09" w:rsidRPr="002A677E" w:rsidRDefault="00FB3D09" w:rsidP="00822842">
            <w:pPr>
              <w:rPr>
                <w:sz w:val="24"/>
                <w:rFonts w:ascii="Times New Roman" w:hAnsi="Times New Roman"/>
              </w:rPr>
            </w:pPr>
            <w:r>
              <w:rPr>
                <w:sz w:val="24"/>
                <w:rFonts w:ascii="Times New Roman" w:hAnsi="Times New Roman"/>
              </w:rPr>
              <w:t xml:space="preserve">0257</w:t>
            </w:r>
          </w:p>
        </w:tc>
        <w:tc>
          <w:tcPr>
            <w:tcW w:w="8843" w:type="dxa"/>
          </w:tcPr>
          <w:p w14:paraId="3835B6D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ÚPRAVA OBJEMU RIZIKOVĚ VÁŽENÉ EXPOZICE V DŮSLEDKU PODPŮRNÉHO KOEFICIENTU PRO INFRASTRUKTURU</w:t>
            </w:r>
          </w:p>
          <w:p w14:paraId="7FB50F74"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Odečtení rozdílu mezi objemy rizikově vážené expozice vypočítanými v souladu s částí třetí hlavou II nařízení (EU) č. 575/2013 a upravenými RWEA pro úvěrové riziko u expozic vůči subjektům, které provozují nebo financují fyzické struktury nebo zařízení, systémy a sítě, které poskytují nebo podporují základní veřejné služby v souladu s článkem 501a uvedeného nařízení.</w:t>
            </w:r>
            <w:r>
              <w:rPr>
                <w:sz w:val="24"/>
                <w:rFonts w:ascii="Times New Roman" w:hAnsi="Times New Roman"/>
              </w:rPr>
              <w:t xml:space="preserve">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sz w:val="24"/>
                <w:rFonts w:ascii="Times New Roman" w:hAnsi="Times New Roman"/>
              </w:rPr>
            </w:pPr>
            <w:r>
              <w:rPr>
                <w:sz w:val="24"/>
                <w:rFonts w:ascii="Times New Roman" w:hAnsi="Times New Roman"/>
              </w:rPr>
              <w:t xml:space="preserve">0260</w:t>
            </w:r>
          </w:p>
        </w:tc>
        <w:tc>
          <w:tcPr>
            <w:tcW w:w="8843" w:type="dxa"/>
            <w:shd w:val="clear" w:color="auto" w:fill="auto"/>
          </w:tcPr>
          <w:p w14:paraId="64DAA80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OBJEM RIZIKOVĚ VÁŽENÝCH EXPOZIC PO UPLATNĚNÍ PODPŮRNÝCH KOEFICIENTŮ</w:t>
            </w:r>
          </w:p>
          <w:p w14:paraId="336DC8E0" w14:textId="77777777" w:rsidR="00FB3D09" w:rsidRPr="002A677E" w:rsidRDefault="00FB3D09" w:rsidP="00822842">
            <w:pPr>
              <w:rPr>
                <w:sz w:val="24"/>
                <w:rFonts w:ascii="Times New Roman" w:hAnsi="Times New Roman"/>
              </w:rPr>
            </w:pPr>
            <w:r>
              <w:rPr>
                <w:sz w:val="24"/>
                <w:rFonts w:ascii="Times New Roman" w:hAnsi="Times New Roman"/>
              </w:rPr>
              <w:t xml:space="preserve">Pro ústřední vlády a centrální banky, podniky a instituce viz čl. 153 odst. 1, 2, 3 a 4 nařízení (EU) č. 575/2013.</w:t>
            </w:r>
            <w:r>
              <w:rPr>
                <w:sz w:val="24"/>
                <w:rFonts w:ascii="Times New Roman" w:hAnsi="Times New Roman"/>
              </w:rPr>
              <w:t xml:space="preserve"> </w:t>
            </w:r>
            <w:r>
              <w:rPr>
                <w:sz w:val="24"/>
                <w:rFonts w:ascii="Times New Roman" w:hAnsi="Times New Roman"/>
              </w:rPr>
              <w:t xml:space="preserve">Pro retailovou oblast viz čl. 154 odst. 1 nařízení (EU) č. 575/2013.</w:t>
            </w:r>
          </w:p>
          <w:p w14:paraId="15BFFE29"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Zohledňuje se podpůrný koeficient pro malé a střední podniky a infrastrukturu podle článků 501 a 501a nařízení (EU) č. 575/2013.</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sz w:val="24"/>
                <w:rFonts w:ascii="Times New Roman" w:hAnsi="Times New Roman"/>
              </w:rPr>
            </w:pPr>
            <w:r>
              <w:rPr>
                <w:sz w:val="24"/>
                <w:rFonts w:ascii="Times New Roman" w:hAnsi="Times New Roman"/>
              </w:rPr>
              <w:t xml:space="preserve">0270</w:t>
            </w:r>
          </w:p>
        </w:tc>
        <w:tc>
          <w:tcPr>
            <w:tcW w:w="8843" w:type="dxa"/>
            <w:shd w:val="clear" w:color="auto" w:fill="auto"/>
          </w:tcPr>
          <w:p w14:paraId="1D818AB3"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 TOHO:</w:t>
            </w:r>
            <w:r>
              <w:rPr>
                <w:b/>
                <w:sz w:val="24"/>
                <w:u w:val="single"/>
                <w:rFonts w:ascii="Times New Roman" w:hAnsi="Times New Roman"/>
              </w:rPr>
              <w:t xml:space="preserve"> </w:t>
            </w:r>
            <w:r>
              <w:rPr>
                <w:b/>
                <w:sz w:val="24"/>
                <w:u w:val="single"/>
                <w:rFonts w:ascii="Times New Roman" w:hAnsi="Times New Roman"/>
              </w:rPr>
              <w:t xml:space="preserve">VELKÉ SUBJEKTY FINANČNÍHO SEKTORU A NEREGULOVANÉ FINANČNÍ SUBJEKTY</w:t>
            </w:r>
          </w:p>
          <w:p w14:paraId="0DB2C46B" w14:textId="77777777" w:rsidR="00FB3D09" w:rsidRPr="002A677E" w:rsidDel="005A2363" w:rsidRDefault="00FB3D09" w:rsidP="00822842">
            <w:pPr>
              <w:rPr>
                <w:sz w:val="24"/>
                <w:rFonts w:ascii="Times New Roman" w:hAnsi="Times New Roman"/>
              </w:rPr>
            </w:pPr>
            <w:r>
              <w:rPr>
                <w:sz w:val="24"/>
                <w:rFonts w:ascii="Times New Roman" w:hAnsi="Times New Roman"/>
              </w:rPr>
              <w:t xml:space="preserve">Rozklad objemu rizikově vážených expozic po uplatnění podpůrného koeficientu pro malé a střední podniky u všech expozic vůči velkým subjektům finančního sektoru ve smyslu čl. 142 odst. 1 bodu 4 nařízení (EU) č. 575/2013 a vůči neregulovaným subjektům finančního sektoru ve smyslu čl. 142 odst. 1 bodu 5 uvedeného nařízení podléhajícím vyššímu koeficientu korelace určenému v souladu s čl. 153 odst. 2 uvedeného nařízení.</w:t>
            </w:r>
          </w:p>
        </w:tc>
      </w:tr>
      <w:tr w:rsidR="00FB3D09" w:rsidRPr="002A677E" w14:paraId="60FB0B14" w14:textId="77777777" w:rsidTr="00822842">
        <w:tc>
          <w:tcPr>
            <w:tcW w:w="1188" w:type="dxa"/>
          </w:tcPr>
          <w:p w14:paraId="30362B6F" w14:textId="77777777" w:rsidR="00FB3D09" w:rsidRPr="002A677E" w:rsidRDefault="00FB3D09" w:rsidP="00822842">
            <w:pPr>
              <w:rPr>
                <w:sz w:val="24"/>
                <w:rFonts w:ascii="Times New Roman" w:hAnsi="Times New Roman"/>
              </w:rPr>
            </w:pPr>
            <w:r>
              <w:rPr>
                <w:sz w:val="24"/>
                <w:rFonts w:ascii="Times New Roman" w:hAnsi="Times New Roman"/>
              </w:rPr>
              <w:t xml:space="preserve">0280</w:t>
            </w:r>
          </w:p>
        </w:tc>
        <w:tc>
          <w:tcPr>
            <w:tcW w:w="8843" w:type="dxa"/>
          </w:tcPr>
          <w:p w14:paraId="292D01A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VÝŠE OČEKÁVANÉ ZTRÁTY</w:t>
            </w:r>
          </w:p>
          <w:p w14:paraId="3EA527F7" w14:textId="77777777" w:rsidR="00FB3D09" w:rsidRPr="002A677E" w:rsidRDefault="00FB3D09" w:rsidP="00822842">
            <w:pPr>
              <w:jc w:val="left"/>
              <w:rPr>
                <w:sz w:val="24"/>
                <w:rFonts w:ascii="Times New Roman" w:hAnsi="Times New Roman"/>
              </w:rPr>
            </w:pPr>
            <w:r>
              <w:rPr>
                <w:sz w:val="24"/>
                <w:rFonts w:ascii="Times New Roman" w:hAnsi="Times New Roman"/>
              </w:rPr>
              <w:t xml:space="preserve">Pro definici očekávaných ztrát viz čl. 5 odst. 3 nařízení (EU) č. 575/2013 a pro výpočet výše očekávaných ztrát viz článek 158 uvedeného nařízení.</w:t>
            </w:r>
            <w:r>
              <w:rPr>
                <w:sz w:val="24"/>
                <w:rFonts w:ascii="Times New Roman" w:hAnsi="Times New Roman"/>
              </w:rPr>
              <w:t xml:space="preserve"> </w:t>
            </w:r>
            <w:r>
              <w:rPr>
                <w:sz w:val="24"/>
                <w:rFonts w:ascii="Times New Roman" w:hAnsi="Times New Roman"/>
              </w:rPr>
              <w:t xml:space="preserve">Pro expozice v selhání viz čl. 181 odst. 1 písm. h) nařízení (EU) č. 575/2013.</w:t>
            </w:r>
            <w:r>
              <w:rPr>
                <w:sz w:val="24"/>
                <w:rFonts w:ascii="Times New Roman" w:hAnsi="Times New Roman"/>
              </w:rPr>
              <w:t xml:space="preserve"> </w:t>
            </w:r>
            <w:r>
              <w:rPr>
                <w:sz w:val="24"/>
                <w:rFonts w:ascii="Times New Roman" w:hAnsi="Times New Roman"/>
              </w:rPr>
              <w:t xml:space="preserve">Výše očekávaných ztrát, která má být vykázána, vychází z rizikových parametrů, které se skutečně používají v interních ratingových stupnicích schválených příslušným orgánem.</w:t>
            </w:r>
          </w:p>
        </w:tc>
      </w:tr>
      <w:tr w:rsidR="00FB3D09" w:rsidRPr="002A677E" w14:paraId="78AB62DA" w14:textId="77777777" w:rsidTr="00822842">
        <w:tc>
          <w:tcPr>
            <w:tcW w:w="1188" w:type="dxa"/>
          </w:tcPr>
          <w:p w14:paraId="19E4E66B" w14:textId="77777777" w:rsidR="00FB3D09" w:rsidRPr="002A677E" w:rsidRDefault="00FB3D09" w:rsidP="00822842">
            <w:pPr>
              <w:rPr>
                <w:sz w:val="24"/>
                <w:rFonts w:ascii="Times New Roman" w:hAnsi="Times New Roman"/>
              </w:rPr>
            </w:pPr>
            <w:r>
              <w:rPr>
                <w:sz w:val="24"/>
                <w:rFonts w:ascii="Times New Roman" w:hAnsi="Times New Roman"/>
              </w:rPr>
              <w:t xml:space="preserve">0290</w:t>
            </w:r>
          </w:p>
        </w:tc>
        <w:tc>
          <w:tcPr>
            <w:tcW w:w="8843" w:type="dxa"/>
          </w:tcPr>
          <w:p w14:paraId="7D685CC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ÚPRAVY OCENĚNÍ A REZERVY</w:t>
            </w:r>
          </w:p>
          <w:p w14:paraId="27BC2A31" w14:textId="77777777" w:rsidR="00FB3D09" w:rsidRPr="002A677E" w:rsidRDefault="00FB3D09" w:rsidP="00822842">
            <w:pPr>
              <w:rPr>
                <w:sz w:val="24"/>
                <w:rFonts w:ascii="Times New Roman" w:hAnsi="Times New Roman"/>
              </w:rPr>
            </w:pPr>
            <w:r>
              <w:rPr>
                <w:sz w:val="24"/>
                <w:rFonts w:ascii="Times New Roman" w:hAnsi="Times New Roman"/>
              </w:rPr>
              <w:t xml:space="preserve">Vykazují se úpravy ocenění a také specifické a obecné úpravy o úvěrové riziko podle článku 159 nařízení (EU) č. 575/2013.</w:t>
            </w:r>
            <w:r>
              <w:rPr>
                <w:sz w:val="24"/>
                <w:rFonts w:ascii="Times New Roman" w:hAnsi="Times New Roman"/>
              </w:rPr>
              <w:t xml:space="preserve"> </w:t>
            </w:r>
            <w:r>
              <w:rPr>
                <w:sz w:val="24"/>
                <w:rFonts w:ascii="Times New Roman" w:hAnsi="Times New Roman"/>
              </w:rPr>
              <w:t xml:space="preserve">Obecné</w:t>
            </w:r>
            <w:r>
              <w:rPr>
                <w:sz w:val="24"/>
                <w:b/>
                <w:i/>
                <w:rFonts w:ascii="Times New Roman" w:hAnsi="Times New Roman"/>
              </w:rPr>
              <w:t xml:space="preserve"> </w:t>
            </w:r>
            <w:r>
              <w:rPr>
                <w:sz w:val="24"/>
                <w:rFonts w:ascii="Times New Roman" w:hAnsi="Times New Roman"/>
              </w:rPr>
              <w:t xml:space="preserve">úpravy o úvěrové riziko se vykazují přiřazením poměrné hodnoty na základě očekávané výše ztrát u různých stupňů dlužníka.</w:t>
            </w:r>
          </w:p>
        </w:tc>
      </w:tr>
      <w:tr w:rsidR="00FB3D09" w:rsidRPr="002A677E" w14:paraId="21C57CE6" w14:textId="77777777" w:rsidTr="00822842">
        <w:tc>
          <w:tcPr>
            <w:tcW w:w="1188" w:type="dxa"/>
          </w:tcPr>
          <w:p w14:paraId="61FC4938"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0300</w:t>
            </w:r>
          </w:p>
        </w:tc>
        <w:tc>
          <w:tcPr>
            <w:tcW w:w="8843" w:type="dxa"/>
          </w:tcPr>
          <w:p w14:paraId="2691C548"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POČET DLUŽNÍKŮ</w:t>
            </w:r>
          </w:p>
          <w:p w14:paraId="414A3020" w14:textId="77777777" w:rsidR="00FB3D09" w:rsidRPr="002A677E" w:rsidRDefault="00FB3D09" w:rsidP="00822842">
            <w:pPr>
              <w:rPr>
                <w:sz w:val="24"/>
                <w:rFonts w:ascii="Times New Roman" w:hAnsi="Times New Roman"/>
              </w:rPr>
            </w:pPr>
            <w:r>
              <w:rPr>
                <w:sz w:val="24"/>
                <w:rFonts w:ascii="Times New Roman" w:hAnsi="Times New Roman"/>
              </w:rPr>
              <w:t xml:space="preserve">Ustanovení čl. 172 odst. 1 a 2 nařízení (EU) č. 575/2013.</w:t>
            </w:r>
          </w:p>
          <w:p w14:paraId="562514B7" w14:textId="77777777" w:rsidR="00FB3D09" w:rsidRPr="002A677E" w:rsidRDefault="00FB3D09" w:rsidP="00822842">
            <w:pPr>
              <w:rPr>
                <w:sz w:val="24"/>
                <w:rFonts w:ascii="Times New Roman" w:hAnsi="Times New Roman"/>
              </w:rPr>
            </w:pPr>
            <w:r>
              <w:rPr>
                <w:sz w:val="24"/>
                <w:rFonts w:ascii="Times New Roman" w:hAnsi="Times New Roman"/>
              </w:rPr>
              <w:t xml:space="preserve">U všech kategorií expozic s výjimkou kategorie retailových expozic a případů uvedených v čl. 172 odst. 1 písm. e) druhé větě nařízení (EU) č. 575/2013 instituce vykazují počet právních subjektů / dlužníků, kteří byli vyhodnoceni samostatně, a to bez ohledu na počet různých poskytnutých úvěrů nebo expozic.</w:t>
            </w:r>
            <w:r>
              <w:rPr>
                <w:sz w:val="24"/>
                <w:rFonts w:ascii="Times New Roman" w:hAnsi="Times New Roman"/>
              </w:rPr>
              <w:t xml:space="preserve"> </w:t>
            </w:r>
          </w:p>
          <w:p w14:paraId="67988932" w14:textId="77777777" w:rsidR="00FB3D09" w:rsidRPr="002A677E" w:rsidRDefault="00FB3D09" w:rsidP="00822842">
            <w:pPr>
              <w:rPr>
                <w:sz w:val="24"/>
                <w:rFonts w:ascii="Times New Roman" w:hAnsi="Times New Roman"/>
              </w:rPr>
            </w:pPr>
            <w:r>
              <w:rPr>
                <w:sz w:val="24"/>
                <w:rFonts w:ascii="Times New Roman" w:hAnsi="Times New Roman"/>
              </w:rPr>
              <w:t xml:space="preserve">V rámci kategorie retailových expozic nebo pokud samostatné expozice vůči stejnému dlužníkovi jsou v jiných kategoriích expozic přiřazeny k odlišným ratingovým stupňům dlužníka v souladu s čl. 172 odst. 1 písm. e) druhou větou nařízení (EU) č. 575/2013, instituce vykazují počet expozic, které byly samostatně přiřazeny k určitému ratingovému stupni nebo seskupení.</w:t>
            </w:r>
            <w:r>
              <w:rPr>
                <w:sz w:val="24"/>
                <w:rFonts w:ascii="Times New Roman" w:hAnsi="Times New Roman"/>
              </w:rPr>
              <w:t xml:space="preserve"> </w:t>
            </w:r>
            <w:r>
              <w:rPr>
                <w:sz w:val="24"/>
                <w:rFonts w:ascii="Times New Roman" w:hAnsi="Times New Roman"/>
              </w:rPr>
              <w:t xml:space="preserve">Použije-li se ustanovení čl. 172 odst. 2 nařízení (EU) č. 575/2013, dlužník může být zařazen do více než jednoho stupně.</w:t>
            </w:r>
          </w:p>
          <w:p w14:paraId="61D41F66"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Vzhledem k tomu, že se tento sloupec zaměřuje na prvek struktury ratingových stupnic, souvisí s původními expozicemi před vynásobením konverzním faktorem přiřazenými ke každému stupni nebo seskupení dlužníků, aniž by se braly v úvahu dopady technik snižování úvěrového rizika (zejména dopady přerozdělení).</w:t>
            </w:r>
          </w:p>
        </w:tc>
      </w:tr>
      <w:tr w:rsidR="00FB3D09" w:rsidRPr="002A677E" w14:paraId="387DE7F0" w14:textId="77777777" w:rsidTr="00822842">
        <w:tc>
          <w:tcPr>
            <w:tcW w:w="1188" w:type="dxa"/>
          </w:tcPr>
          <w:p w14:paraId="30554C29"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0310</w:t>
            </w:r>
          </w:p>
        </w:tc>
        <w:tc>
          <w:tcPr>
            <w:tcW w:w="8843" w:type="dxa"/>
          </w:tcPr>
          <w:p w14:paraId="53579B1B"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OBJEM RIZIKOVĚ VÁŽENÉ EXPOZICE PŘED POUŽITÍM ÚVĚROVÝCH DERIVÁTŮ</w:t>
            </w:r>
          </w:p>
          <w:p w14:paraId="62E64F52" w14:textId="77777777" w:rsidR="00FB3D09" w:rsidRPr="002A677E" w:rsidRDefault="00FB3D09" w:rsidP="00822842">
            <w:pPr>
              <w:ind w:right="6"/>
              <w:rPr>
                <w:b/>
                <w:sz w:val="24"/>
                <w:u w:val="single"/>
                <w:rFonts w:ascii="Times New Roman" w:hAnsi="Times New Roman"/>
              </w:rPr>
            </w:pPr>
            <w:r>
              <w:rPr>
                <w:sz w:val="24"/>
                <w:rStyle w:val="InstructionsTabelleText"/>
                <w:rFonts w:ascii="Times New Roman" w:hAnsi="Times New Roman"/>
              </w:rPr>
              <w:t xml:space="preserve">Instituce vykazují hypotetický objem rizikově vážených expozic vypočítaný jako RWEA bez uznání způsobilého úvěrového derivátu jako techniky snižování úvěrového rizika podle článku 204 </w:t>
            </w:r>
            <w:r>
              <w:rPr>
                <w:sz w:val="24"/>
                <w:rFonts w:ascii="Times New Roman" w:hAnsi="Times New Roman"/>
              </w:rPr>
              <w:t xml:space="preserve">nařízení (EU) č.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Částky se uvádějí v kategoriích expozic relevantních pro expozice vůči původnímu dlužníkovi.</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sz w:val="24"/>
                <w:rFonts w:ascii="Times New Roman" w:hAnsi="Times New Roman"/>
              </w:rPr>
            </w:pPr>
            <w:r>
              <w:rPr>
                <w:sz w:val="24"/>
                <w:rFonts w:ascii="Times New Roman" w:hAnsi="Times New Roman"/>
              </w:rPr>
              <w:t xml:space="preserve">Řádky</w:t>
            </w:r>
          </w:p>
        </w:tc>
        <w:tc>
          <w:tcPr>
            <w:tcW w:w="8789" w:type="dxa"/>
            <w:shd w:val="clear" w:color="auto" w:fill="CCCCCC"/>
          </w:tcPr>
          <w:p w14:paraId="2CDF9396" w14:textId="77777777" w:rsidR="00FB3D09" w:rsidRPr="002A677E" w:rsidRDefault="00FB3D09" w:rsidP="00822842">
            <w:pPr>
              <w:ind w:left="72"/>
              <w:rPr>
                <w:sz w:val="24"/>
                <w:rFonts w:ascii="Times New Roman" w:hAnsi="Times New Roman"/>
              </w:rPr>
            </w:pPr>
            <w:r>
              <w:rPr>
                <w:sz w:val="24"/>
                <w:rFonts w:ascii="Times New Roman" w:hAnsi="Times New Roman"/>
              </w:rPr>
              <w:t xml:space="preserve">Pokyny</w:t>
            </w:r>
          </w:p>
        </w:tc>
      </w:tr>
      <w:tr w:rsidR="00FB3D09" w:rsidRPr="002A677E" w14:paraId="262380DA" w14:textId="77777777" w:rsidTr="00822842">
        <w:tc>
          <w:tcPr>
            <w:tcW w:w="1242" w:type="dxa"/>
          </w:tcPr>
          <w:p w14:paraId="2A2E437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789" w:type="dxa"/>
          </w:tcPr>
          <w:p w14:paraId="4BDE31A6"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CELKOVÉ EXPOZICE</w:t>
            </w:r>
          </w:p>
        </w:tc>
      </w:tr>
      <w:tr w:rsidR="00FB3D09" w:rsidRPr="002A677E" w14:paraId="510EDBE9" w14:textId="77777777" w:rsidTr="00822842">
        <w:tc>
          <w:tcPr>
            <w:tcW w:w="1242" w:type="dxa"/>
          </w:tcPr>
          <w:p w14:paraId="3B12F2FA" w14:textId="77777777" w:rsidR="00FB3D09" w:rsidRPr="002A677E" w:rsidRDefault="00FB3D09" w:rsidP="00822842">
            <w:pPr>
              <w:rPr>
                <w:sz w:val="24"/>
                <w:rFonts w:ascii="Times New Roman" w:hAnsi="Times New Roman"/>
              </w:rPr>
            </w:pPr>
            <w:r>
              <w:rPr>
                <w:sz w:val="24"/>
                <w:rFonts w:ascii="Times New Roman" w:hAnsi="Times New Roman"/>
              </w:rPr>
              <w:t xml:space="preserve">0015</w:t>
            </w:r>
          </w:p>
        </w:tc>
        <w:tc>
          <w:tcPr>
            <w:tcW w:w="8789" w:type="dxa"/>
          </w:tcPr>
          <w:p w14:paraId="61003B1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 toho:</w:t>
            </w:r>
            <w:r>
              <w:rPr>
                <w:b/>
                <w:sz w:val="24"/>
                <w:u w:val="single"/>
                <w:rFonts w:ascii="Times New Roman" w:hAnsi="Times New Roman"/>
              </w:rPr>
              <w:t xml:space="preserve"> </w:t>
            </w:r>
            <w:r>
              <w:rPr>
                <w:b/>
                <w:sz w:val="24"/>
                <w:u w:val="single"/>
                <w:rFonts w:ascii="Times New Roman" w:hAnsi="Times New Roman"/>
              </w:rPr>
              <w:t xml:space="preserve">expozice, na něž se použije podpůrný koeficient pro malé a střední podniky</w:t>
            </w:r>
          </w:p>
          <w:p w14:paraId="60E8764A" w14:textId="77777777" w:rsidR="00FB3D09" w:rsidRPr="002A677E" w:rsidRDefault="00FB3D09" w:rsidP="00822842">
            <w:pPr>
              <w:rPr>
                <w:sz w:val="24"/>
                <w:rFonts w:ascii="Times New Roman" w:hAnsi="Times New Roman"/>
              </w:rPr>
            </w:pPr>
            <w:r>
              <w:rPr>
                <w:sz w:val="24"/>
                <w:rFonts w:ascii="Times New Roman" w:hAnsi="Times New Roman"/>
              </w:rPr>
              <w:t xml:space="preserve">Vykazují se zde pouze expozice splňující požadavky článku 501 nařízení (EU) č. 575/2013.</w:t>
            </w:r>
          </w:p>
        </w:tc>
      </w:tr>
      <w:tr w:rsidR="00FB3D09" w:rsidRPr="002A677E" w14:paraId="5CCB93AD" w14:textId="77777777" w:rsidTr="00822842">
        <w:tc>
          <w:tcPr>
            <w:tcW w:w="1242" w:type="dxa"/>
          </w:tcPr>
          <w:p w14:paraId="42174A1E" w14:textId="77777777" w:rsidR="00FB3D09" w:rsidRPr="002A677E" w:rsidRDefault="00FB3D09" w:rsidP="00822842">
            <w:pPr>
              <w:rPr>
                <w:sz w:val="24"/>
                <w:rFonts w:ascii="Times New Roman" w:hAnsi="Times New Roman"/>
              </w:rPr>
            </w:pPr>
            <w:r>
              <w:rPr>
                <w:sz w:val="24"/>
                <w:rFonts w:ascii="Times New Roman" w:hAnsi="Times New Roman"/>
              </w:rPr>
              <w:t xml:space="preserve">0016</w:t>
            </w:r>
          </w:p>
        </w:tc>
        <w:tc>
          <w:tcPr>
            <w:tcW w:w="8789" w:type="dxa"/>
          </w:tcPr>
          <w:p w14:paraId="12833DE3" w14:textId="77777777" w:rsidR="00FB3D09" w:rsidRPr="00891B34" w:rsidRDefault="00FB3D09" w:rsidP="00822842">
            <w:pPr>
              <w:rPr>
                <w:b/>
                <w:sz w:val="24"/>
                <w:u w:val="single"/>
                <w:rFonts w:ascii="Times New Roman" w:hAnsi="Times New Roman"/>
              </w:rPr>
            </w:pPr>
            <w:r>
              <w:rPr>
                <w:b/>
                <w:sz w:val="24"/>
                <w:u w:val="single"/>
                <w:rFonts w:ascii="Times New Roman" w:hAnsi="Times New Roman"/>
              </w:rPr>
              <w:t xml:space="preserve">Z toho:</w:t>
            </w:r>
            <w:r>
              <w:rPr>
                <w:b/>
                <w:sz w:val="24"/>
                <w:u w:val="single"/>
                <w:rFonts w:ascii="Times New Roman" w:hAnsi="Times New Roman"/>
              </w:rPr>
              <w:t xml:space="preserve"> </w:t>
            </w:r>
            <w:r>
              <w:rPr>
                <w:b/>
                <w:sz w:val="24"/>
                <w:u w:val="single"/>
                <w:rFonts w:ascii="Times New Roman" w:hAnsi="Times New Roman"/>
              </w:rPr>
              <w:t xml:space="preserve">expozice, na něž se použije podpůrný koeficient pro infrastrukturu</w:t>
            </w:r>
          </w:p>
          <w:p w14:paraId="4FE9F0E6" w14:textId="77777777" w:rsidR="00FB3D09" w:rsidRPr="00B7761D" w:rsidRDefault="00FB3D09" w:rsidP="00822842">
            <w:pPr>
              <w:rPr>
                <w:bCs/>
                <w:sz w:val="24"/>
                <w:u w:val="single"/>
                <w:rFonts w:ascii="Times New Roman" w:hAnsi="Times New Roman"/>
              </w:rPr>
            </w:pPr>
            <w:r>
              <w:rPr>
                <w:sz w:val="24"/>
                <w:rFonts w:ascii="Times New Roman" w:hAnsi="Times New Roman"/>
              </w:rPr>
              <w:t xml:space="preserve">Vykazují se zde pouze expozice splňující požadavky článku 501a nařízení (EU) č. 575/2013.</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expozice zajištěné hypotékami na obytné nemovitosti – jiné než IPRE</w:t>
            </w:r>
            <w:r>
              <w:rPr>
                <w:rStyle w:val="InstructionsTabelleberschrift"/>
                <w:sz w:val="24"/>
                <w:rFonts w:ascii="Times New Roman" w:hAnsi="Times New Roman"/>
              </w:rPr>
              <w:t xml:space="preserve"> </w:t>
            </w:r>
          </w:p>
          <w:p w14:paraId="78370D9A" w14:textId="6DCA960A"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Expozice zajištěné obytnými nemovitostmi ve smyslu čl. 4 odst. 1 bodu 75d nařízení (EU) č. 575/2013 a které také splňují definici v čl. 4 odst. 1 bodě 75c nařízení (EU) č.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expozice zajištěné hypotékami na obytné nemovitosti – IPRE</w:t>
            </w:r>
          </w:p>
          <w:p w14:paraId="0DF45C4E" w14:textId="0F60BC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Expozice zajištěné obytnými nemovitostmi ve smyslu čl. 4 odst. 1 bodu 75d nařízení (EU) č. 575/2013 a které také splňují definici v čl. 4 odst. 1 bodě 75b nařízení (EU) č. 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expozice zajištěné hypotékami na obchodní nemovitosti – jiné než IPRE</w:t>
            </w:r>
            <w:r>
              <w:rPr>
                <w:rStyle w:val="InstructionsTabelleberschrift"/>
                <w:sz w:val="24"/>
                <w:rFonts w:ascii="Times New Roman" w:hAnsi="Times New Roman"/>
              </w:rPr>
              <w:t xml:space="preserve"> </w:t>
            </w:r>
          </w:p>
          <w:p w14:paraId="46FFC8D0" w14:textId="777777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Expozice zajištěné obchodními nemovitostmi ve smyslu čl. 4 odst. 1 bodu 75e nařízení (EU) č. 575/2013 a které také splňují definici v čl. 4 odst. 1 bodě 75c nařízení (EU) č.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zajištěné hypotékami na obchodní nemovitosti – IPRE</w:t>
            </w:r>
          </w:p>
          <w:p w14:paraId="71978D1D" w14:textId="0B94616B"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Expozice zajištěné obchodními nemovitostmi ve smyslu čl. 4 odst. 1 bodu 75e nařízení (EU) č. 575/2013 a které také splňují definici v čl. 4 odst. 1 bodě 75b nařízení (EU) č. 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expozice z pořízení pozemku, přípravy a výstavby (ADC)</w:t>
            </w:r>
          </w:p>
          <w:p w14:paraId="35087895" w14:textId="03A7A920"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Expozice z pořízení pozemku, přípravy a výstavby („expozice ADC“) ve smyslu čl. 4 odst. 1 bodu 78a nařízení (EU) č. 575/2013.</w:t>
            </w:r>
          </w:p>
        </w:tc>
      </w:tr>
      <w:tr w:rsidR="00FB3D09" w:rsidRPr="002A677E" w14:paraId="14B5922C" w14:textId="77777777" w:rsidTr="00822842">
        <w:tc>
          <w:tcPr>
            <w:tcW w:w="1242" w:type="dxa"/>
          </w:tcPr>
          <w:p w14:paraId="50BD9484" w14:textId="77777777" w:rsidR="00FB3D09" w:rsidRPr="002A677E" w:rsidRDefault="00FB3D09" w:rsidP="00822842">
            <w:pPr>
              <w:rPr>
                <w:sz w:val="24"/>
                <w:rFonts w:ascii="Times New Roman" w:hAnsi="Times New Roman"/>
              </w:rPr>
            </w:pPr>
            <w:r>
              <w:rPr>
                <w:sz w:val="24"/>
                <w:rFonts w:ascii="Times New Roman" w:hAnsi="Times New Roman"/>
              </w:rPr>
              <w:t xml:space="preserve">0020–0060</w:t>
            </w:r>
          </w:p>
        </w:tc>
        <w:tc>
          <w:tcPr>
            <w:tcW w:w="8789" w:type="dxa"/>
          </w:tcPr>
          <w:p w14:paraId="13F7639F" w14:textId="77777777" w:rsidR="00FB3D09" w:rsidRPr="00B7761D" w:rsidRDefault="00FB3D09" w:rsidP="00822842">
            <w:pPr>
              <w:rPr>
                <w:b/>
                <w:sz w:val="24"/>
                <w:u w:val="single"/>
                <w:rFonts w:ascii="Times New Roman" w:hAnsi="Times New Roman"/>
              </w:rPr>
            </w:pPr>
            <w:r>
              <w:rPr>
                <w:b/>
                <w:sz w:val="24"/>
                <w:u w:val="single"/>
                <w:rFonts w:ascii="Times New Roman" w:hAnsi="Times New Roman"/>
              </w:rPr>
              <w:t xml:space="preserve">ROZČLENĚNÍ CELKOVÝCH EXPOZIC PODLE DRUHŮ EXPOZIC:</w:t>
            </w:r>
          </w:p>
        </w:tc>
      </w:tr>
      <w:tr w:rsidR="00FB3D09" w:rsidRPr="002A677E" w14:paraId="709208F4" w14:textId="77777777" w:rsidTr="00822842">
        <w:tc>
          <w:tcPr>
            <w:tcW w:w="1242" w:type="dxa"/>
          </w:tcPr>
          <w:p w14:paraId="14B5596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789" w:type="dxa"/>
          </w:tcPr>
          <w:p w14:paraId="0C34BA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Rozvahové položky podléhající úvěrovému riziku</w:t>
            </w:r>
            <w:r>
              <w:rPr>
                <w:b/>
                <w:sz w:val="24"/>
                <w:u w:val="single"/>
                <w:rFonts w:ascii="Times New Roman" w:hAnsi="Times New Roman"/>
              </w:rPr>
              <w:t xml:space="preserve"> </w:t>
            </w:r>
          </w:p>
          <w:p w14:paraId="5DEAB0BA" w14:textId="77777777" w:rsidR="00FB3D09" w:rsidRPr="002A677E" w:rsidRDefault="00FB3D09" w:rsidP="00822842">
            <w:pPr>
              <w:rPr>
                <w:rStyle w:val="InstructionsTabelleText"/>
                <w:sz w:val="24"/>
                <w:rFonts w:ascii="Times New Roman" w:hAnsi="Times New Roman"/>
              </w:rPr>
            </w:pPr>
            <w:r>
              <w:rPr>
                <w:sz w:val="24"/>
                <w:rStyle w:val="InstructionsTabelleText"/>
                <w:rFonts w:ascii="Times New Roman" w:hAnsi="Times New Roman"/>
              </w:rPr>
              <w:t xml:space="preserve">Aktiva uvedená v článku 24 </w:t>
            </w:r>
            <w:r>
              <w:rPr>
                <w:sz w:val="24"/>
                <w:rFonts w:ascii="Times New Roman" w:hAnsi="Times New Roman"/>
              </w:rPr>
              <w:t xml:space="preserve">nařízení (EU) č. 575/2013</w:t>
            </w:r>
            <w:r>
              <w:rPr>
                <w:sz w:val="24"/>
                <w:rStyle w:val="InstructionsTabelleText"/>
                <w:rFonts w:ascii="Times New Roman" w:hAnsi="Times New Roman"/>
              </w:rPr>
              <w:t xml:space="preserve"> se nezahrnují do žádné jiné kategorie.</w:t>
            </w:r>
          </w:p>
          <w:p w14:paraId="0F8AB1A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Expozice, které jsou vystaveny úvěrovému riziku protistrany, se vykazují v řádcích 0040–0060, a proto se nevykazují v tomto řádku.</w:t>
            </w:r>
          </w:p>
          <w:p w14:paraId="3D5E954A" w14:textId="180041B5" w:rsidR="00FB3D09" w:rsidRPr="002A677E" w:rsidRDefault="00FB3D09" w:rsidP="00822842">
            <w:pPr>
              <w:rPr>
                <w:sz w:val="24"/>
                <w:rFonts w:ascii="Times New Roman" w:hAnsi="Times New Roman"/>
              </w:rPr>
            </w:pPr>
            <w:r>
              <w:rPr>
                <w:sz w:val="24"/>
                <w:rStyle w:val="InstructionsTabelleText"/>
                <w:rFonts w:ascii="Times New Roman" w:hAnsi="Times New Roman"/>
              </w:rPr>
              <w:t xml:space="preserve">Volné dodávky podle čl. 379 odst. 1 </w:t>
            </w:r>
            <w:r>
              <w:rPr>
                <w:sz w:val="24"/>
                <w:rFonts w:ascii="Times New Roman" w:hAnsi="Times New Roman"/>
              </w:rPr>
              <w:t xml:space="preserve">nařízení (EU) č. 575/2013</w:t>
            </w:r>
            <w:r>
              <w:rPr>
                <w:sz w:val="24"/>
                <w:rStyle w:val="InstructionsTabelleText"/>
                <w:rFonts w:ascii="Times New Roman" w:hAnsi="Times New Roman"/>
              </w:rPr>
              <w:t xml:space="preserve"> (nejsou-li odečteny) nejsou rozvahovou položkou, avšak vykazují se v tomto řádku.</w:t>
            </w:r>
          </w:p>
        </w:tc>
      </w:tr>
      <w:tr w:rsidR="00FB3D09" w:rsidRPr="002A677E" w14:paraId="3FC1F87B" w14:textId="77777777" w:rsidTr="00822842">
        <w:tc>
          <w:tcPr>
            <w:tcW w:w="1242" w:type="dxa"/>
          </w:tcPr>
          <w:p w14:paraId="2D6E6703"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789" w:type="dxa"/>
          </w:tcPr>
          <w:p w14:paraId="7F72A6F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Podrozvahové položky podléhající úvěrovému riziku</w:t>
            </w:r>
          </w:p>
          <w:p w14:paraId="6C7D545C" w14:textId="77777777" w:rsidR="00FB3D09" w:rsidRPr="002A677E" w:rsidRDefault="00FB3D09" w:rsidP="00822842">
            <w:pPr>
              <w:rPr>
                <w:rStyle w:val="InstructionsTabelleText"/>
                <w:sz w:val="24"/>
                <w:rFonts w:ascii="Times New Roman" w:hAnsi="Times New Roman"/>
              </w:rPr>
            </w:pPr>
            <w:r>
              <w:rPr>
                <w:sz w:val="24"/>
                <w:rStyle w:val="InstructionsTabelleText"/>
                <w:rFonts w:ascii="Times New Roman" w:hAnsi="Times New Roman"/>
              </w:rPr>
              <w:t xml:space="preserve">Podrozvahové položky zahrnují položky v souladu s čl. 166 odst. 8 </w:t>
            </w:r>
            <w:r>
              <w:rPr>
                <w:sz w:val="24"/>
                <w:rFonts w:ascii="Times New Roman" w:hAnsi="Times New Roman"/>
              </w:rPr>
              <w:t xml:space="preserve">nařízení (EU) č. 575/2013</w:t>
            </w:r>
            <w:r>
              <w:rPr>
                <w:sz w:val="24"/>
                <w:rStyle w:val="InstructionsTabelleText"/>
                <w:rFonts w:ascii="Times New Roman" w:hAnsi="Times New Roman"/>
              </w:rPr>
              <w:t xml:space="preserve">, jakož i položky uvedené v příloze I </w:t>
            </w:r>
            <w:r>
              <w:rPr>
                <w:sz w:val="24"/>
                <w:rFonts w:ascii="Times New Roman" w:hAnsi="Times New Roman"/>
              </w:rPr>
              <w:t xml:space="preserve">zmíněného nařízení</w:t>
            </w:r>
            <w:r>
              <w:rPr>
                <w:sz w:val="24"/>
                <w:rStyle w:val="InstructionsTabelleText"/>
                <w:rFonts w:ascii="Times New Roman" w:hAnsi="Times New Roman"/>
              </w:rPr>
              <w:t xml:space="preserve">.</w:t>
            </w:r>
          </w:p>
          <w:p w14:paraId="4AE7F57F" w14:textId="266D9AC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Expozice, které jsou vystaveny úvěrovému riziku protistrany, se vykazují v řádcích 0040–0060, a proto se nevykazují v tomto řádku.</w:t>
            </w:r>
          </w:p>
        </w:tc>
      </w:tr>
      <w:tr w:rsidR="00FB3D09" w:rsidRPr="002A677E" w14:paraId="6A82A5B3" w14:textId="77777777" w:rsidTr="00822842">
        <w:tc>
          <w:tcPr>
            <w:tcW w:w="1242" w:type="dxa"/>
          </w:tcPr>
          <w:p w14:paraId="0F665D61"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0040–0060</w:t>
            </w:r>
          </w:p>
        </w:tc>
        <w:tc>
          <w:tcPr>
            <w:tcW w:w="8789" w:type="dxa"/>
          </w:tcPr>
          <w:p w14:paraId="65190BC8"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Expozice/transakce podléhající úvěrovému riziku protistrany</w:t>
            </w:r>
          </w:p>
          <w:p w14:paraId="0CE5E4A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Viz odpovídající pokyny k šabloně CR SA ve sloupcích 0090–0130.</w:t>
            </w:r>
          </w:p>
        </w:tc>
      </w:tr>
      <w:tr w:rsidR="00FB3D09" w:rsidRPr="002A677E" w14:paraId="4836D530" w14:textId="77777777" w:rsidTr="00822842">
        <w:tc>
          <w:tcPr>
            <w:tcW w:w="1242" w:type="dxa"/>
          </w:tcPr>
          <w:p w14:paraId="311BB09A"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789" w:type="dxa"/>
          </w:tcPr>
          <w:p w14:paraId="0E52BEFE"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Skupiny transakcí se započtením transakcí s financováním cenných papírů</w:t>
            </w:r>
          </w:p>
          <w:p w14:paraId="1D8D13A1" w14:textId="4C7B9569" w:rsidR="00FB3D09" w:rsidRPr="002A677E" w:rsidRDefault="00FB3D09" w:rsidP="00822842">
            <w:pPr>
              <w:rPr>
                <w:sz w:val="24"/>
                <w:rFonts w:ascii="Times New Roman" w:hAnsi="Times New Roman"/>
              </w:rPr>
            </w:pPr>
            <w:r>
              <w:rPr>
                <w:sz w:val="24"/>
                <w:rFonts w:ascii="Times New Roman" w:hAnsi="Times New Roman"/>
              </w:rPr>
              <w:t xml:space="preserve">Viz odpovídající pokyny k šabloně CR SA ve sloupci 0090.</w:t>
            </w:r>
          </w:p>
        </w:tc>
      </w:tr>
      <w:tr w:rsidR="00FB3D09" w:rsidRPr="002A677E" w14:paraId="1E4C52D2" w14:textId="77777777" w:rsidTr="00822842">
        <w:tc>
          <w:tcPr>
            <w:tcW w:w="1242" w:type="dxa"/>
          </w:tcPr>
          <w:p w14:paraId="7A9D7A2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789" w:type="dxa"/>
          </w:tcPr>
          <w:p w14:paraId="0663798B" w14:textId="77777777" w:rsidR="00FB3D09" w:rsidRPr="002A677E" w:rsidRDefault="00FB3D09" w:rsidP="00822842">
            <w:pPr>
              <w:rPr>
                <w:b/>
                <w:sz w:val="24"/>
                <w:u w:val="single"/>
                <w:rFonts w:ascii="Times New Roman" w:hAnsi="Times New Roman"/>
              </w:rPr>
            </w:pPr>
            <w:r>
              <w:rPr>
                <w:sz w:val="24"/>
                <w:rStyle w:val="InstructionsTabelleberschrift"/>
                <w:rFonts w:ascii="Times New Roman" w:hAnsi="Times New Roman"/>
              </w:rPr>
              <w:t xml:space="preserve">Skupiny transakcí se započtením zahrnující deriváty a transakce s delší dobou vypořádání</w:t>
            </w:r>
          </w:p>
          <w:p w14:paraId="2C85A65F" w14:textId="5742CCE7" w:rsidR="00FB3D09" w:rsidRPr="002A677E" w:rsidRDefault="00FB3D09" w:rsidP="00822842">
            <w:pPr>
              <w:rPr>
                <w:sz w:val="24"/>
                <w:rFonts w:ascii="Times New Roman" w:hAnsi="Times New Roman"/>
              </w:rPr>
            </w:pPr>
            <w:r>
              <w:rPr>
                <w:sz w:val="24"/>
                <w:rFonts w:ascii="Times New Roman" w:hAnsi="Times New Roman"/>
              </w:rPr>
              <w:t xml:space="preserve">Viz odpovídající pokyny k šabloně CR SA ve sloupci 0110.</w:t>
            </w:r>
          </w:p>
        </w:tc>
      </w:tr>
      <w:tr w:rsidR="00FB3D09" w:rsidRPr="002A677E" w14:paraId="325075B4" w14:textId="77777777" w:rsidTr="00822842">
        <w:tc>
          <w:tcPr>
            <w:tcW w:w="1242" w:type="dxa"/>
          </w:tcPr>
          <w:p w14:paraId="711200A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789" w:type="dxa"/>
          </w:tcPr>
          <w:p w14:paraId="5AAEFF1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 křížového započtení na základě smlouvy</w:t>
            </w:r>
          </w:p>
          <w:p w14:paraId="067E31FD" w14:textId="77777777" w:rsidR="00FB3D09" w:rsidRPr="002A677E" w:rsidRDefault="00FB3D09" w:rsidP="00822842">
            <w:pPr>
              <w:rPr>
                <w:sz w:val="24"/>
                <w:rFonts w:ascii="Times New Roman" w:hAnsi="Times New Roman"/>
              </w:rPr>
            </w:pPr>
            <w:r>
              <w:rPr>
                <w:sz w:val="24"/>
                <w:rFonts w:ascii="Times New Roman" w:hAnsi="Times New Roman"/>
              </w:rPr>
              <w:t xml:space="preserve">Viz odpovídající pokyny k šabloně CR SA ve sloupci 0130.</w:t>
            </w:r>
          </w:p>
        </w:tc>
      </w:tr>
      <w:tr w:rsidR="00FB3D09" w:rsidRPr="002A677E" w14:paraId="4497C028" w14:textId="77777777" w:rsidTr="00822842">
        <w:tc>
          <w:tcPr>
            <w:tcW w:w="1242" w:type="dxa"/>
          </w:tcPr>
          <w:p w14:paraId="53C0361C"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789" w:type="dxa"/>
          </w:tcPr>
          <w:p w14:paraId="0FE8A11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EXPOZICE ZAŘAZENÉ DO STUPŇŮ NEBO SESKUPENÍ DLUŽNÍKŮ:</w:t>
            </w:r>
            <w:r>
              <w:rPr>
                <w:b/>
                <w:sz w:val="24"/>
                <w:u w:val="single"/>
                <w:rFonts w:ascii="Times New Roman" w:hAnsi="Times New Roman"/>
              </w:rPr>
              <w:t xml:space="preserve"> </w:t>
            </w:r>
            <w:r>
              <w:rPr>
                <w:b/>
                <w:sz w:val="24"/>
                <w:u w:val="single"/>
                <w:rFonts w:ascii="Times New Roman" w:hAnsi="Times New Roman"/>
              </w:rPr>
              <w:t xml:space="preserve">CELKEM</w:t>
            </w:r>
          </w:p>
          <w:p w14:paraId="6A78F626" w14:textId="77777777" w:rsidR="00FB3D09" w:rsidRPr="002A677E" w:rsidRDefault="00FB3D09" w:rsidP="00822842">
            <w:pPr>
              <w:rPr>
                <w:sz w:val="24"/>
                <w:rFonts w:ascii="Times New Roman" w:hAnsi="Times New Roman"/>
              </w:rPr>
            </w:pPr>
            <w:r>
              <w:rPr>
                <w:sz w:val="24"/>
                <w:rFonts w:ascii="Times New Roman" w:hAnsi="Times New Roman"/>
              </w:rPr>
              <w:t xml:space="preserve">Pro expozice vůči podnikům, institucím a ústředním vládám a centrálním bankám viz čl. 142 odst. 1 bod 6 a čl. 170 odst. 1 písm. c) nařízení (EU) č. 575/2013.</w:t>
            </w:r>
            <w:r>
              <w:rPr>
                <w:sz w:val="24"/>
                <w:rFonts w:ascii="Times New Roman" w:hAnsi="Times New Roman"/>
              </w:rPr>
              <w:t xml:space="preserve"> </w:t>
            </w:r>
          </w:p>
          <w:p w14:paraId="3D88073E" w14:textId="77777777" w:rsidR="00FB3D09" w:rsidRPr="002A677E" w:rsidRDefault="00FB3D09" w:rsidP="00822842">
            <w:pPr>
              <w:rPr>
                <w:sz w:val="24"/>
                <w:rFonts w:ascii="Times New Roman" w:hAnsi="Times New Roman"/>
              </w:rPr>
            </w:pPr>
            <w:r>
              <w:rPr>
                <w:sz w:val="24"/>
                <w:rFonts w:ascii="Times New Roman" w:hAnsi="Times New Roman"/>
              </w:rPr>
              <w:t xml:space="preserve">Pro retailové expozice viz čl. 170 odst. 3 písm. b) nařízení (EU) č. 575/2013.</w:t>
            </w:r>
            <w:r>
              <w:rPr>
                <w:sz w:val="24"/>
                <w:rFonts w:ascii="Times New Roman" w:hAnsi="Times New Roman"/>
              </w:rPr>
              <w:t xml:space="preserve"> </w:t>
            </w:r>
            <w:r>
              <w:rPr>
                <w:sz w:val="24"/>
                <w:rFonts w:ascii="Times New Roman" w:hAnsi="Times New Roman"/>
              </w:rPr>
              <w:t xml:space="preserve">Pro expozice vznikající z pohledávek nabytých za úplatu viz čl. 166 odst. 6 nařízení (EU) č. 575/2013.</w:t>
            </w:r>
            <w:r>
              <w:rPr>
                <w:sz w:val="24"/>
                <w:rFonts w:ascii="Times New Roman" w:hAnsi="Times New Roman"/>
              </w:rPr>
              <w:t xml:space="preserve"> </w:t>
            </w:r>
          </w:p>
          <w:p w14:paraId="268A9D88" w14:textId="77777777" w:rsidR="00FB3D09" w:rsidRPr="002A677E" w:rsidRDefault="00FB3D09" w:rsidP="00822842">
            <w:pPr>
              <w:rPr>
                <w:sz w:val="24"/>
                <w:rFonts w:ascii="Times New Roman" w:hAnsi="Times New Roman"/>
              </w:rPr>
            </w:pPr>
            <w:r>
              <w:rPr>
                <w:sz w:val="24"/>
                <w:rFonts w:ascii="Times New Roman" w:hAnsi="Times New Roman"/>
              </w:rPr>
              <w:t xml:space="preserve">Expozice pro riziko rozmělnění u pohledávek nabytých za úplatu se nevykazují podle stupňů nebo seskupení dlužníků a vykazují se v řádku 0180.</w:t>
            </w:r>
          </w:p>
          <w:p w14:paraId="2ECA333D" w14:textId="77777777" w:rsidR="00FB3D09" w:rsidRPr="002A677E" w:rsidRDefault="00FB3D09" w:rsidP="00822842">
            <w:pPr>
              <w:rPr>
                <w:sz w:val="24"/>
                <w:rFonts w:ascii="Times New Roman" w:hAnsi="Times New Roman"/>
              </w:rPr>
            </w:pPr>
            <w:r>
              <w:rPr>
                <w:sz w:val="24"/>
                <w:rFonts w:ascii="Times New Roman" w:hAnsi="Times New Roman"/>
              </w:rPr>
              <w:t xml:space="preserve">Jestliže instituce používá mnoho stupňů nebo seskupení, příslušné orgány mohou povolit vykazování menšího počtu stupňů nebo seskupení.</w:t>
            </w:r>
            <w:r>
              <w:rPr>
                <w:sz w:val="24"/>
                <w:rFonts w:ascii="Times New Roman" w:hAnsi="Times New Roman"/>
              </w:rPr>
              <w:t xml:space="preserve"> </w:t>
            </w:r>
          </w:p>
          <w:p w14:paraId="1E1C73EB" w14:textId="77777777" w:rsidR="00FB3D09" w:rsidRPr="002A677E" w:rsidRDefault="00FB3D09" w:rsidP="00822842">
            <w:pPr>
              <w:rPr>
                <w:sz w:val="24"/>
                <w:rFonts w:ascii="Times New Roman" w:hAnsi="Times New Roman"/>
              </w:rPr>
            </w:pPr>
            <w:r>
              <w:rPr>
                <w:sz w:val="24"/>
                <w:rFonts w:ascii="Times New Roman" w:hAnsi="Times New Roman"/>
              </w:rPr>
              <w:t xml:space="preserve">Nepoužívá se dohledová rámcová stupnice.</w:t>
            </w:r>
            <w:r>
              <w:rPr>
                <w:sz w:val="24"/>
                <w:rFonts w:ascii="Times New Roman" w:hAnsi="Times New Roman"/>
              </w:rPr>
              <w:t xml:space="preserve"> </w:t>
            </w:r>
            <w:r>
              <w:rPr>
                <w:sz w:val="24"/>
                <w:rFonts w:ascii="Times New Roman" w:hAnsi="Times New Roman"/>
              </w:rPr>
              <w:t xml:space="preserve">Instituce namísto toho samy stanoví stupnici, kterou použijí.</w:t>
            </w:r>
            <w:r>
              <w:rPr>
                <w:sz w:val="24"/>
                <w:rFonts w:ascii="Times New Roman" w:hAnsi="Times New Roman"/>
              </w:rPr>
              <w:t xml:space="preserve"> </w:t>
            </w:r>
          </w:p>
        </w:tc>
      </w:tr>
      <w:tr w:rsidR="00FB3D09" w:rsidRPr="002A677E" w14:paraId="1A5B7F57" w14:textId="77777777" w:rsidTr="00822842">
        <w:tc>
          <w:tcPr>
            <w:tcW w:w="1242" w:type="dxa"/>
          </w:tcPr>
          <w:p w14:paraId="0CB3AACE"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789" w:type="dxa"/>
          </w:tcPr>
          <w:p w14:paraId="63AC665E"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ROZŘAZOVACÍ POSTUP SPECIALIZOVANÉHO ÚVĚROVÁNÍ:</w:t>
            </w:r>
            <w:r>
              <w:rPr>
                <w:b/>
                <w:sz w:val="24"/>
                <w:u w:val="single"/>
                <w:rFonts w:ascii="Times New Roman" w:hAnsi="Times New Roman"/>
              </w:rPr>
              <w:t xml:space="preserve"> </w:t>
            </w:r>
            <w:r>
              <w:rPr>
                <w:b/>
                <w:sz w:val="24"/>
                <w:u w:val="single"/>
                <w:rFonts w:ascii="Times New Roman" w:hAnsi="Times New Roman"/>
              </w:rPr>
              <w:t xml:space="preserve">CELKEM</w:t>
            </w:r>
          </w:p>
          <w:p w14:paraId="67E01391" w14:textId="77777777" w:rsidR="00FB3D09" w:rsidRPr="002A677E" w:rsidRDefault="00FB3D09" w:rsidP="00822842">
            <w:pPr>
              <w:rPr>
                <w:sz w:val="24"/>
                <w:rFonts w:ascii="Times New Roman" w:hAnsi="Times New Roman"/>
              </w:rPr>
            </w:pPr>
            <w:r>
              <w:rPr>
                <w:sz w:val="24"/>
                <w:rFonts w:ascii="Times New Roman" w:hAnsi="Times New Roman"/>
              </w:rPr>
              <w:t xml:space="preserve">Ustanovení čl. 153 odst. 5 nařízení (EU) č. 575/2013.</w:t>
            </w:r>
            <w:r>
              <w:rPr>
                <w:sz w:val="24"/>
                <w:rFonts w:ascii="Times New Roman" w:hAnsi="Times New Roman"/>
              </w:rPr>
              <w:t xml:space="preserve"> </w:t>
            </w:r>
            <w:r>
              <w:rPr>
                <w:sz w:val="24"/>
                <w:rFonts w:ascii="Times New Roman" w:hAnsi="Times New Roman"/>
              </w:rPr>
              <w:t xml:space="preserve">Vztahuje se pouze na kategorii expozic vůči podnikům – specializované úvěrování.</w:t>
            </w:r>
            <w:r>
              <w:rPr>
                <w:sz w:val="24"/>
                <w:rFonts w:ascii="Times New Roman" w:hAnsi="Times New Roman"/>
              </w:rPr>
              <w:t xml:space="preserve"> </w:t>
            </w:r>
          </w:p>
        </w:tc>
      </w:tr>
      <w:tr w:rsidR="00FB3D09" w:rsidRPr="002A677E" w14:paraId="56D99296" w14:textId="77777777" w:rsidTr="00822842">
        <w:tc>
          <w:tcPr>
            <w:tcW w:w="1242" w:type="dxa"/>
          </w:tcPr>
          <w:p w14:paraId="4330E208"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789" w:type="dxa"/>
          </w:tcPr>
          <w:p w14:paraId="455C13F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ALTERNATIVNÍ ZACHÁZENÍ:</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EXPOZICE ZAJIŠTĚNÉ NEMOVITOSTMI</w:t>
            </w:r>
          </w:p>
          <w:p w14:paraId="7875BF84" w14:textId="77777777" w:rsidR="00FB3D09" w:rsidRPr="002A677E" w:rsidRDefault="00FB3D09" w:rsidP="00822842">
            <w:pPr>
              <w:rPr>
                <w:sz w:val="24"/>
                <w:rFonts w:ascii="Times New Roman" w:hAnsi="Times New Roman"/>
              </w:rPr>
            </w:pPr>
            <w:r>
              <w:rPr>
                <w:sz w:val="24"/>
                <w:rFonts w:ascii="Times New Roman" w:hAnsi="Times New Roman"/>
              </w:rPr>
              <w:t xml:space="preserve">Ustanovení čl. 193 odst. 1 a 2, čl. 194 odst. 1 až 7 a čl. 230 odst. 3 nařízení (EU) č. 575/2013.</w:t>
            </w:r>
          </w:p>
          <w:p w14:paraId="58412948" w14:textId="77777777" w:rsidR="00FB3D09" w:rsidRPr="002A677E" w:rsidRDefault="00FB3D09" w:rsidP="00822842">
            <w:pPr>
              <w:rPr>
                <w:sz w:val="24"/>
                <w:rFonts w:ascii="Times New Roman" w:hAnsi="Times New Roman"/>
              </w:rPr>
            </w:pPr>
            <w:r>
              <w:rPr>
                <w:sz w:val="24"/>
                <w:rFonts w:ascii="Times New Roman" w:hAnsi="Times New Roman"/>
              </w:rPr>
              <w:t xml:space="preserve">Tato alternativa je dostupná pouze pro instituce, které používají základní přístup IRB.</w:t>
            </w:r>
          </w:p>
        </w:tc>
      </w:tr>
      <w:tr w:rsidR="00FB3D09" w:rsidRPr="002A677E" w14:paraId="65DA4F0E" w14:textId="77777777" w:rsidTr="00822842">
        <w:tc>
          <w:tcPr>
            <w:tcW w:w="1242" w:type="dxa"/>
          </w:tcPr>
          <w:p w14:paraId="73D95FC1" w14:textId="77777777" w:rsidR="00FB3D09" w:rsidRPr="002A677E" w:rsidRDefault="00FB3D09" w:rsidP="00822842">
            <w:pPr>
              <w:rPr>
                <w:sz w:val="24"/>
                <w:rFonts w:ascii="Times New Roman" w:hAnsi="Times New Roman"/>
              </w:rPr>
            </w:pPr>
            <w:r>
              <w:rPr>
                <w:sz w:val="24"/>
                <w:rFonts w:ascii="Times New Roman" w:hAnsi="Times New Roman"/>
              </w:rPr>
              <w:t xml:space="preserve">0170</w:t>
            </w:r>
          </w:p>
        </w:tc>
        <w:tc>
          <w:tcPr>
            <w:tcW w:w="8789" w:type="dxa"/>
          </w:tcPr>
          <w:p w14:paraId="753B5217"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EXPOZICE Z VOLNÝCH DODÁVEK PŘI APLIKACI RIZIKOVÝCH VAH PODLE ALTERNATIVNÍHO ZACHÁZENÍ NEBO 100</w:t>
            </w:r>
            <w:r>
              <w:t xml:space="preserve"> </w:t>
            </w:r>
            <w:r>
              <w:rPr>
                <w:rStyle w:val="InstructionsTabelleberschrift"/>
                <w:sz w:val="24"/>
                <w:rFonts w:ascii="Times New Roman" w:hAnsi="Times New Roman"/>
              </w:rPr>
              <w:t xml:space="preserve">% A JINÉ EXPOZICE PODLÉHAJÍCÍ RIZIKOVÉMU VÁŽENÍ</w:t>
            </w:r>
          </w:p>
          <w:p w14:paraId="7FC93A9B" w14:textId="77777777" w:rsidR="00FB3D09" w:rsidRPr="002A677E" w:rsidRDefault="00FB3D09" w:rsidP="00822842">
            <w:pPr>
              <w:rPr>
                <w:sz w:val="24"/>
                <w:rFonts w:ascii="Times New Roman" w:hAnsi="Times New Roman"/>
              </w:rPr>
            </w:pPr>
            <w:r>
              <w:rPr>
                <w:sz w:val="24"/>
                <w:rFonts w:ascii="Times New Roman" w:hAnsi="Times New Roman"/>
              </w:rPr>
              <w:t xml:space="preserve">Expozice vyplývající z volných dodávek, na něž se použije alternativní zacházení podle čl. 379 odst. 2 prvního pododstavce poslední věty nařízení (EU) č. 575/2013 nebo na něž se použije 100% riziková váha podle čl. 379 odst. 2 posledního pododstavce nařízení (EU) č. 575/2013.</w:t>
            </w:r>
            <w:r>
              <w:rPr>
                <w:sz w:val="24"/>
                <w:rFonts w:ascii="Times New Roman" w:hAnsi="Times New Roman"/>
              </w:rPr>
              <w:t xml:space="preserve"> </w:t>
            </w:r>
            <w:r>
              <w:rPr>
                <w:sz w:val="24"/>
                <w:rFonts w:ascii="Times New Roman" w:hAnsi="Times New Roman"/>
              </w:rPr>
              <w:t xml:space="preserve">V tomto řádku se vykazují úvěrové deriváty n-tého selhání bez ratingu podle čl. 153 odst. 8 nařízení (EU) č. 575/2013 a jakékoli jiné expozice podléhající rizikovým vahám nezohledněné v jiných řádcích.</w:t>
            </w:r>
          </w:p>
        </w:tc>
      </w:tr>
      <w:tr w:rsidR="00FB3D09" w:rsidRPr="002A677E" w14:paraId="645730D7" w14:textId="77777777" w:rsidTr="00822842">
        <w:tc>
          <w:tcPr>
            <w:tcW w:w="1242" w:type="dxa"/>
          </w:tcPr>
          <w:p w14:paraId="0317CAF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789" w:type="dxa"/>
          </w:tcPr>
          <w:p w14:paraId="42D146E2"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RIZIKO ROZMĚLNĚNÍ:</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CELKOVÉ POHLEDÁVKY NABYTÉ ZA ÚPLATU</w:t>
            </w:r>
          </w:p>
          <w:p w14:paraId="1ADE7C67" w14:textId="5F3B1E00" w:rsidR="00FB3D09" w:rsidRPr="002A677E" w:rsidRDefault="00FB3D09" w:rsidP="00822842">
            <w:pPr>
              <w:rPr>
                <w:sz w:val="24"/>
                <w:rFonts w:ascii="Times New Roman" w:hAnsi="Times New Roman"/>
              </w:rPr>
            </w:pPr>
            <w:r>
              <w:rPr>
                <w:sz w:val="24"/>
                <w:rFonts w:ascii="Times New Roman" w:hAnsi="Times New Roman"/>
              </w:rPr>
              <w:t xml:space="preserve">Pro definici rizika rozmělnění viz čl. 4 odst. 1 bod 53 nařízení (EU) č. 575/2013.</w:t>
            </w:r>
            <w:r>
              <w:rPr>
                <w:sz w:val="24"/>
                <w:rFonts w:ascii="Times New Roman" w:hAnsi="Times New Roman"/>
              </w:rPr>
              <w:t xml:space="preserve"> </w:t>
            </w:r>
            <w:r>
              <w:rPr>
                <w:sz w:val="24"/>
                <w:rFonts w:ascii="Times New Roman" w:hAnsi="Times New Roman"/>
              </w:rPr>
              <w:t xml:space="preserve">Pro výpočet objemu rizikově vážené expozice pro riziko rozmělnění viz článek 157 nařízení (EU) č. 575/2013.</w:t>
            </w:r>
            <w:r>
              <w:rPr>
                <w:sz w:val="24"/>
                <w:rFonts w:ascii="Times New Roman" w:hAnsi="Times New Roman"/>
              </w:rPr>
              <w:t xml:space="preserve"> </w:t>
            </w:r>
            <w:r>
              <w:rPr>
                <w:sz w:val="24"/>
                <w:rFonts w:ascii="Times New Roman" w:hAnsi="Times New Roman"/>
              </w:rPr>
              <w:t xml:space="preserve">Riziko rozmělnění se vykazuje u pohledávek nabytých za úplatu za podniky a retailových pohledávek nabytých za úplatu.</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sz w:val="24"/>
                <w:rFonts w:ascii="Times New Roman" w:hAnsi="Times New Roman"/>
              </w:rPr>
            </w:pPr>
            <w:r>
              <w:rPr>
                <w:sz w:val="24"/>
                <w:rFonts w:ascii="Times New Roman" w:hAnsi="Times New Roman"/>
              </w:rPr>
              <w:t xml:space="preserve">0190–0210</w:t>
            </w:r>
          </w:p>
        </w:tc>
        <w:tc>
          <w:tcPr>
            <w:tcW w:w="8789" w:type="dxa"/>
          </w:tcPr>
          <w:p w14:paraId="24E930D5" w14:textId="57FAC10C" w:rsidR="00FB3D09" w:rsidRPr="00B75318" w:rsidRDefault="00FB3D09" w:rsidP="00822842">
            <w:pPr>
              <w:rPr>
                <w:b/>
                <w:bCs/>
                <w:sz w:val="24"/>
                <w:u w:val="single"/>
                <w:rFonts w:ascii="Times New Roman" w:hAnsi="Times New Roman"/>
              </w:rPr>
            </w:pPr>
            <w:r>
              <w:rPr>
                <w:b/>
                <w:sz w:val="24"/>
                <w:u w:val="single"/>
                <w:rFonts w:ascii="Times New Roman" w:hAnsi="Times New Roman"/>
              </w:rPr>
              <w:t xml:space="preserve">ROZČLENĚNÍ CELKOVÝCH EXPOZIC PODLE DRUHU PŘÍSTUPU (SUBJEKTY KOLEKTIVNÍHO INVESTOVÁNÍ):</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sz w:val="24"/>
                <w:rFonts w:ascii="Times New Roman" w:hAnsi="Times New Roman"/>
              </w:rPr>
            </w:pPr>
            <w:r>
              <w:rPr>
                <w:sz w:val="24"/>
                <w:rFonts w:ascii="Times New Roman" w:hAnsi="Times New Roman"/>
              </w:rPr>
              <w:t xml:space="preserve">0190</w:t>
            </w:r>
          </w:p>
        </w:tc>
        <w:tc>
          <w:tcPr>
            <w:tcW w:w="8789" w:type="dxa"/>
          </w:tcPr>
          <w:p w14:paraId="15D1C078" w14:textId="3090FC4B"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Průhledový přístup</w:t>
            </w:r>
          </w:p>
          <w:p w14:paraId="2AD180D4" w14:textId="3719286C" w:rsidR="00FB3D09" w:rsidRPr="00B75318" w:rsidRDefault="00FB3D09" w:rsidP="00822842">
            <w:pPr>
              <w:spacing w:after="160" w:line="257" w:lineRule="auto"/>
              <w:rPr>
                <w:color w:val="000000" w:themeColor="text1"/>
                <w:sz w:val="24"/>
                <w:rFonts w:ascii="Times New Roman" w:eastAsia="Calibri" w:hAnsi="Times New Roman"/>
              </w:rPr>
            </w:pPr>
            <w:r>
              <w:rPr>
                <w:sz w:val="24"/>
                <w:color w:val="000000" w:themeColor="text1"/>
                <w:rFonts w:ascii="Times New Roman" w:hAnsi="Times New Roman"/>
              </w:rPr>
              <w:t xml:space="preserve">Ustanovení čl. 152 odst. 1 nařízení (EU) č. 575/2013</w:t>
            </w:r>
          </w:p>
          <w:p w14:paraId="42481890" w14:textId="79FAD87D" w:rsidR="00FB3D09" w:rsidRPr="00B75318" w:rsidRDefault="00FB3D09" w:rsidP="00822842">
            <w:pPr>
              <w:rPr>
                <w:sz w:val="24"/>
                <w:rFonts w:ascii="Times New Roman" w:hAnsi="Times New Roman"/>
              </w:rPr>
            </w:pPr>
            <w:r>
              <w:rPr>
                <w:sz w:val="24"/>
                <w:rFonts w:ascii="Times New Roman" w:hAnsi="Times New Roman"/>
              </w:rPr>
              <w:t xml:space="preserve">Tento řádek se vykazuje pro kategorii expozic „Subjekty kolektivního investování (CIU)“ a v listu „Celkem“.</w:t>
            </w:r>
            <w:r>
              <w:rPr>
                <w:sz w:val="24"/>
                <w:rFonts w:ascii="Times New Roman" w:hAnsi="Times New Roman"/>
              </w:rPr>
              <w:t xml:space="preserve"> </w:t>
            </w:r>
            <w:r>
              <w:rPr>
                <w:sz w:val="24"/>
                <w:rFonts w:ascii="Times New Roman" w:hAnsi="Times New Roman"/>
              </w:rPr>
              <w:t xml:space="preserve">Kromě toho se vykazuje jako doplňková položka v ostatních kategoriích expozic podle přístupu IRB, neboť podkladové expozice se klasifikují podle jejich odpovídající kategorie expozic, je-li použita metoda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sz w:val="24"/>
                <w:rFonts w:ascii="Times New Roman" w:hAnsi="Times New Roman"/>
              </w:rPr>
            </w:pPr>
            <w:r>
              <w:rPr>
                <w:sz w:val="24"/>
                <w:rFonts w:ascii="Times New Roman" w:hAnsi="Times New Roman"/>
              </w:rPr>
              <w:t xml:space="preserve">0200</w:t>
            </w:r>
          </w:p>
        </w:tc>
        <w:tc>
          <w:tcPr>
            <w:tcW w:w="8789" w:type="dxa"/>
          </w:tcPr>
          <w:p w14:paraId="17279CD9" w14:textId="57707F46"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Přístup založený na pověření</w:t>
            </w:r>
          </w:p>
          <w:p w14:paraId="65B8F17E" w14:textId="77777777" w:rsidR="00FB3D09" w:rsidRPr="00B75318" w:rsidRDefault="00FB3D09" w:rsidP="00822842">
            <w:pPr>
              <w:spacing w:after="160" w:line="257" w:lineRule="auto"/>
              <w:rPr>
                <w:color w:val="000000" w:themeColor="text1"/>
                <w:sz w:val="24"/>
                <w:rFonts w:ascii="Times New Roman" w:eastAsia="Calibri" w:hAnsi="Times New Roman"/>
              </w:rPr>
            </w:pPr>
            <w:r>
              <w:rPr>
                <w:sz w:val="24"/>
                <w:color w:val="000000" w:themeColor="text1"/>
                <w:rFonts w:ascii="Times New Roman" w:hAnsi="Times New Roman"/>
              </w:rPr>
              <w:t xml:space="preserve">Ustanovení čl. 152 odst. 5 nařízení (EU) č. 575/2013</w:t>
            </w:r>
          </w:p>
          <w:p w14:paraId="0315659D" w14:textId="271145EC" w:rsidR="00FB3D09" w:rsidRPr="00B75318" w:rsidRDefault="00FB3D09" w:rsidP="00822842">
            <w:pPr>
              <w:rPr>
                <w:sz w:val="24"/>
                <w:rFonts w:ascii="Times New Roman" w:hAnsi="Times New Roman"/>
              </w:rPr>
            </w:pPr>
            <w:r>
              <w:rPr>
                <w:sz w:val="24"/>
                <w:rFonts w:ascii="Times New Roman" w:hAnsi="Times New Roman"/>
              </w:rPr>
              <w:t xml:space="preserve">Tento řádek se vykazuje pouze pro kategorii expozic „Subjekty kolektivního investování (CIU)“ a v listu „Celkem“.</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sz w:val="24"/>
                <w:rFonts w:ascii="Times New Roman" w:hAnsi="Times New Roman"/>
              </w:rPr>
            </w:pPr>
            <w:r>
              <w:rPr>
                <w:sz w:val="24"/>
                <w:rFonts w:ascii="Times New Roman" w:hAnsi="Times New Roman"/>
              </w:rPr>
              <w:t xml:space="preserve">0210</w:t>
            </w:r>
          </w:p>
        </w:tc>
        <w:tc>
          <w:tcPr>
            <w:tcW w:w="8789" w:type="dxa"/>
          </w:tcPr>
          <w:p w14:paraId="3816A424" w14:textId="13F62D85"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Záložní postup</w:t>
            </w:r>
          </w:p>
          <w:p w14:paraId="57A3CDF9" w14:textId="77777777" w:rsidR="00FB3D09" w:rsidRPr="00B75318" w:rsidRDefault="00FB3D09" w:rsidP="00822842">
            <w:pPr>
              <w:spacing w:after="160" w:line="257" w:lineRule="auto"/>
              <w:rPr>
                <w:color w:val="000000" w:themeColor="text1"/>
                <w:sz w:val="24"/>
                <w:rFonts w:ascii="Times New Roman" w:eastAsia="Calibri" w:hAnsi="Times New Roman"/>
              </w:rPr>
            </w:pPr>
            <w:r>
              <w:rPr>
                <w:color w:val="000000" w:themeColor="text1"/>
                <w:sz w:val="24"/>
                <w:rFonts w:ascii="Times New Roman" w:hAnsi="Times New Roman"/>
              </w:rPr>
              <w:t xml:space="preserve">Ustanovení čl. 152 odst. 6 nařízení (EU) č. 575/2013</w:t>
            </w:r>
          </w:p>
          <w:p w14:paraId="42219B94" w14:textId="77777777" w:rsidR="00FB3D09" w:rsidRPr="00B75318" w:rsidRDefault="00FB3D09" w:rsidP="00822842">
            <w:pPr>
              <w:rPr>
                <w:sz w:val="24"/>
                <w:rFonts w:ascii="Times New Roman" w:hAnsi="Times New Roman"/>
              </w:rPr>
            </w:pPr>
            <w:r>
              <w:rPr>
                <w:sz w:val="24"/>
                <w:rFonts w:ascii="Times New Roman" w:hAnsi="Times New Roman"/>
              </w:rPr>
              <w:t xml:space="preserve">Tento řádek se vykazuje pouze pro kategorii expozic „Subjekty kolektivního investování (CIU)“ a v listu „Celkem“.</w:t>
            </w:r>
          </w:p>
        </w:tc>
      </w:tr>
    </w:tbl>
    <w:p w14:paraId="0B2C44D0" w14:textId="77777777" w:rsidR="00FB3D09" w:rsidRPr="002A677E" w:rsidRDefault="00FB3D09" w:rsidP="00FB3D09">
      <w:pPr>
        <w:autoSpaceDE w:val="0"/>
        <w:autoSpaceDN w:val="0"/>
        <w:adjustRightInd w:val="0"/>
        <w:spacing w:before="0" w:after="0"/>
        <w:ind w:left="284"/>
        <w:jc w:val="left"/>
        <w:rPr>
          <w:sz w:val="24"/>
          <w:rFonts w:ascii="Times New Roman" w:hAnsi="Times New Roman"/>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101" w:name="_Toc473560911"/>
      <w:bookmarkStart w:id="102" w:name="_Toc151714398"/>
      <w:r>
        <w:rPr>
          <w:sz w:val="24"/>
          <w:u w:val="none"/>
          <w:rFonts w:ascii="Times New Roman" w:hAnsi="Times New Roman"/>
        </w:rPr>
        <w:t xml:space="preserve">3.3.4</w:t>
      </w:r>
      <w:r>
        <w:tab/>
      </w:r>
      <w:r>
        <w:rPr>
          <w:sz w:val="24"/>
          <w:rFonts w:ascii="Times New Roman" w:hAnsi="Times New Roman"/>
        </w:rPr>
        <w:t xml:space="preserve">C 08.02 – Úvěrové riziko a úvěrové riziko protistrany a volné dodávky:</w:t>
      </w:r>
      <w:r>
        <w:rPr>
          <w:sz w:val="24"/>
          <w:rFonts w:ascii="Times New Roman" w:hAnsi="Times New Roman"/>
        </w:rPr>
        <w:t xml:space="preserve"> </w:t>
      </w:r>
      <w:r>
        <w:rPr>
          <w:sz w:val="24"/>
          <w:rFonts w:ascii="Times New Roman" w:hAnsi="Times New Roman"/>
        </w:rPr>
        <w:t xml:space="preserve">Přístup ke kapitálovým požadavkům založený na interním ratingu (IRB):</w:t>
      </w:r>
      <w:r>
        <w:rPr>
          <w:sz w:val="24"/>
          <w:rFonts w:ascii="Times New Roman" w:hAnsi="Times New Roman"/>
        </w:rPr>
        <w:t xml:space="preserve"> </w:t>
      </w:r>
      <w:r>
        <w:rPr>
          <w:sz w:val="24"/>
          <w:rFonts w:ascii="Times New Roman" w:hAnsi="Times New Roman"/>
        </w:rPr>
        <w:t xml:space="preserve">rozčlenění podle stupňů nebo seskupení dlužníků (šablona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sz w:val="24"/>
                <w:rFonts w:ascii="Times New Roman" w:hAnsi="Times New Roman"/>
              </w:rPr>
            </w:pPr>
            <w:r>
              <w:rPr>
                <w:sz w:val="24"/>
                <w:rFonts w:ascii="Times New Roman" w:hAnsi="Times New Roman"/>
              </w:rPr>
              <w:t xml:space="preserve">Sloupec</w:t>
            </w:r>
          </w:p>
        </w:tc>
        <w:tc>
          <w:tcPr>
            <w:tcW w:w="7804" w:type="dxa"/>
            <w:shd w:val="clear" w:color="auto" w:fill="BFBFBF"/>
          </w:tcPr>
          <w:p w14:paraId="72EF06FF"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76358864" w14:textId="77777777" w:rsidTr="00822842">
        <w:tc>
          <w:tcPr>
            <w:tcW w:w="2024" w:type="dxa"/>
          </w:tcPr>
          <w:p w14:paraId="46C873B6"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7804" w:type="dxa"/>
          </w:tcPr>
          <w:p w14:paraId="130BE1C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Ratingový stupeň dlužníka (identifikátor řádku)</w:t>
            </w:r>
          </w:p>
          <w:p w14:paraId="49E1BF99" w14:textId="77777777" w:rsidR="00FB3D09" w:rsidRPr="002A677E" w:rsidRDefault="00FB3D09" w:rsidP="00822842">
            <w:pPr>
              <w:rPr>
                <w:sz w:val="24"/>
                <w:rFonts w:ascii="Times New Roman" w:hAnsi="Times New Roman"/>
              </w:rPr>
            </w:pPr>
            <w:r>
              <w:rPr>
                <w:sz w:val="24"/>
                <w:rFonts w:ascii="Times New Roman" w:hAnsi="Times New Roman"/>
              </w:rPr>
              <w:t xml:space="preserve">Tento kód je identifikátorem řádku a je pro každý řádek na daném listu šablony jedinečný.</w:t>
            </w:r>
            <w:r>
              <w:rPr>
                <w:sz w:val="24"/>
                <w:rFonts w:ascii="Times New Roman" w:hAnsi="Times New Roman"/>
              </w:rPr>
              <w:t xml:space="preserve"> </w:t>
            </w:r>
            <w:r>
              <w:rPr>
                <w:sz w:val="24"/>
                <w:rFonts w:ascii="Times New Roman" w:hAnsi="Times New Roman"/>
              </w:rPr>
              <w:t xml:space="preserve">Má pořadové číslo 1, 2, 3 atd.</w:t>
            </w:r>
          </w:p>
          <w:p w14:paraId="748039C7" w14:textId="77777777" w:rsidR="00FB3D09" w:rsidRPr="002A677E" w:rsidRDefault="00FB3D09" w:rsidP="00822842">
            <w:pPr>
              <w:rPr>
                <w:sz w:val="24"/>
                <w:rFonts w:ascii="Times New Roman" w:hAnsi="Times New Roman"/>
              </w:rPr>
            </w:pPr>
            <w:r>
              <w:rPr>
                <w:sz w:val="24"/>
                <w:rFonts w:ascii="Times New Roman" w:hAnsi="Times New Roman"/>
              </w:rPr>
              <w:t xml:space="preserve">Jako první se vykazuje nejlepší stupeň (seskupení), poté druhý nejlepší stupeň (seskupení) atd. Na posledním místě se vykazuje stupeň či stupně (nebo seskupení) expozic v selhání.</w:t>
            </w:r>
            <w:r>
              <w:rPr>
                <w:sz w:val="24"/>
                <w:rFonts w:ascii="Times New Roman" w:hAnsi="Times New Roman"/>
              </w:rPr>
              <w:t xml:space="preserve"> </w:t>
            </w:r>
          </w:p>
        </w:tc>
      </w:tr>
      <w:tr w:rsidR="00FB3D09" w:rsidRPr="002A677E" w14:paraId="2E9E255A" w14:textId="77777777" w:rsidTr="00822842">
        <w:tc>
          <w:tcPr>
            <w:tcW w:w="2024" w:type="dxa"/>
          </w:tcPr>
          <w:p w14:paraId="7EBE6354" w14:textId="77777777" w:rsidR="00FB3D09" w:rsidRPr="002A677E" w:rsidRDefault="00FB3D09" w:rsidP="00822842">
            <w:pPr>
              <w:rPr>
                <w:sz w:val="24"/>
                <w:rFonts w:ascii="Times New Roman" w:hAnsi="Times New Roman"/>
              </w:rPr>
            </w:pPr>
            <w:r>
              <w:rPr>
                <w:sz w:val="24"/>
                <w:rFonts w:ascii="Times New Roman" w:hAnsi="Times New Roman"/>
              </w:rPr>
              <w:t xml:space="preserve">0010–0300</w:t>
            </w:r>
          </w:p>
        </w:tc>
        <w:tc>
          <w:tcPr>
            <w:tcW w:w="7804" w:type="dxa"/>
          </w:tcPr>
          <w:p w14:paraId="68F58938" w14:textId="77777777" w:rsidR="00FB3D09" w:rsidRPr="002A677E" w:rsidRDefault="00FB3D09" w:rsidP="00822842">
            <w:pPr>
              <w:rPr>
                <w:sz w:val="24"/>
                <w:rFonts w:ascii="Times New Roman" w:hAnsi="Times New Roman"/>
              </w:rPr>
            </w:pPr>
            <w:r>
              <w:rPr>
                <w:sz w:val="24"/>
                <w:rFonts w:ascii="Times New Roman" w:hAnsi="Times New Roman"/>
              </w:rPr>
              <w:t xml:space="preserve">Pokyny pro každý z těchto sloupců se shodují s pokyny pro stejně očíslované sloupce v šabloně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sz w:val="24"/>
                <w:rFonts w:ascii="Times New Roman" w:hAnsi="Times New Roman"/>
              </w:rPr>
            </w:pPr>
            <w:r>
              <w:rPr>
                <w:sz w:val="24"/>
                <w:rFonts w:ascii="Times New Roman" w:hAnsi="Times New Roman"/>
              </w:rPr>
              <w:t xml:space="preserve">Řádek</w:t>
            </w:r>
          </w:p>
        </w:tc>
        <w:tc>
          <w:tcPr>
            <w:tcW w:w="7804" w:type="dxa"/>
            <w:shd w:val="pct25" w:color="auto" w:fill="auto"/>
          </w:tcPr>
          <w:p w14:paraId="656BDFFA"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4253B5F0" w14:textId="77777777" w:rsidTr="00822842">
        <w:tc>
          <w:tcPr>
            <w:tcW w:w="2024" w:type="dxa"/>
          </w:tcPr>
          <w:p w14:paraId="1F1498DB" w14:textId="77777777" w:rsidR="00FB3D09" w:rsidRPr="002A677E" w:rsidRDefault="00FB3D09" w:rsidP="00822842">
            <w:pPr>
              <w:rPr>
                <w:sz w:val="24"/>
                <w:rFonts w:ascii="Times New Roman" w:hAnsi="Times New Roman"/>
              </w:rPr>
            </w:pPr>
            <w:r>
              <w:rPr>
                <w:sz w:val="24"/>
                <w:rFonts w:ascii="Times New Roman" w:hAnsi="Times New Roman"/>
              </w:rPr>
              <w:t xml:space="preserve">0010–0001 – 0010-NNNN</w:t>
            </w:r>
          </w:p>
        </w:tc>
        <w:tc>
          <w:tcPr>
            <w:tcW w:w="7804" w:type="dxa"/>
          </w:tcPr>
          <w:p w14:paraId="7438CE6A" w14:textId="77777777" w:rsidR="00FB3D09" w:rsidRPr="002A677E" w:rsidRDefault="00FB3D09" w:rsidP="00822842">
            <w:pPr>
              <w:rPr>
                <w:sz w:val="24"/>
                <w:rFonts w:ascii="Times New Roman" w:hAnsi="Times New Roman"/>
              </w:rPr>
            </w:pPr>
            <w:r>
              <w:rPr>
                <w:sz w:val="24"/>
                <w:rFonts w:ascii="Times New Roman" w:hAnsi="Times New Roman"/>
              </w:rPr>
              <w:t xml:space="preserve">Hodnoty vykázané v těchto řádcích musí být seřazeny podle PD přiřazené ratingovému stupni nebo seskupení dlužníků.</w:t>
            </w:r>
            <w:r>
              <w:rPr>
                <w:sz w:val="24"/>
                <w:rFonts w:ascii="Times New Roman" w:hAnsi="Times New Roman"/>
              </w:rPr>
              <w:t xml:space="preserve"> </w:t>
            </w:r>
            <w:r>
              <w:rPr>
                <w:sz w:val="24"/>
                <w:rFonts w:ascii="Times New Roman" w:hAnsi="Times New Roman"/>
              </w:rPr>
              <w:t xml:space="preserve">PD dlužníků v selhání činí 100 %.</w:t>
            </w:r>
            <w:r>
              <w:rPr>
                <w:sz w:val="24"/>
                <w:rFonts w:ascii="Times New Roman" w:hAnsi="Times New Roman"/>
              </w:rPr>
              <w:t xml:space="preserve"> </w:t>
            </w:r>
            <w:r>
              <w:rPr>
                <w:sz w:val="24"/>
                <w:rFonts w:ascii="Times New Roman" w:hAnsi="Times New Roman"/>
              </w:rPr>
              <w:t xml:space="preserve">Expozice, na něž se vztahuje alternativní zacházení pro expozice zajištěné nemovitostmi (možné pouze tehdy, pokud nejsou používány vlastní odhady LGD), se nezařazují podle hodnoty PD dlužníka a nevykazují se v této šabloně.</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3" w:name="_Toc19715755"/>
      <w:bookmarkStart w:id="104" w:name="_Toc151714399"/>
      <w:r>
        <w:rPr>
          <w:sz w:val="24"/>
          <w:rFonts w:ascii="Times New Roman" w:hAnsi="Times New Roman"/>
        </w:rPr>
        <w:t xml:space="preserve">C 08.03 – Úvěrové riziko a volné dodávky:</w:t>
      </w:r>
      <w:r>
        <w:rPr>
          <w:sz w:val="24"/>
          <w:rFonts w:ascii="Times New Roman" w:hAnsi="Times New Roman"/>
        </w:rPr>
        <w:t xml:space="preserve"> </w:t>
      </w:r>
      <w:r>
        <w:rPr>
          <w:sz w:val="24"/>
          <w:rFonts w:ascii="Times New Roman" w:hAnsi="Times New Roman"/>
        </w:rPr>
        <w:t xml:space="preserve">přístup IRB ke kapitálovým požadavkům (rozčlenění podle rozmezí PD (CR IRB 3))</w:t>
      </w:r>
      <w:bookmarkEnd w:id="103"/>
      <w:bookmarkEnd w:id="104"/>
    </w:p>
    <w:p w14:paraId="32A5436F" w14:textId="77777777" w:rsidR="00FB3D09" w:rsidRPr="002A677E" w:rsidRDefault="00FB3D09" w:rsidP="008C13A4">
      <w:pPr>
        <w:pStyle w:val="Instructionsberschrift2"/>
        <w:numPr>
          <w:ilvl w:val="3"/>
          <w:numId w:val="21"/>
        </w:numPr>
        <w:rPr>
          <w:sz w:val="24"/>
          <w:rFonts w:ascii="Times New Roman" w:hAnsi="Times New Roman" w:cs="Times New Roman"/>
        </w:rPr>
      </w:pPr>
      <w:bookmarkStart w:id="105" w:name="_Toc19715756"/>
      <w:bookmarkStart w:id="106" w:name="_Toc151714400"/>
      <w:r>
        <w:rPr>
          <w:sz w:val="24"/>
          <w:rFonts w:ascii="Times New Roman" w:hAnsi="Times New Roman"/>
        </w:rPr>
        <w:t xml:space="preserve">Obecné poznámky</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77</w:t>
      </w:r>
      <w:r>
        <w:fldChar w:fldCharType="end"/>
      </w:r>
      <w:r>
        <w:t xml:space="preserve">.</w:t>
      </w:r>
      <w:r>
        <w:t xml:space="preserve"> </w:t>
      </w:r>
      <w:r>
        <w:t xml:space="preserve">Za účelem poskytnutí informací o hlavních parametrech použitých pro výpočet kapitálových požadavků pro přístup IRB vykazují instituce informace obsažené v této šabloně podle čl. 452 písm. g) bodů i) až v) nařízení (EU) č. 575/2013.</w:t>
      </w:r>
      <w:r>
        <w:t xml:space="preserve"> </w:t>
      </w:r>
      <w:r>
        <w:t xml:space="preserve">Informace vykazované v této šabloně nezahrnují údaje o specializovaných úvěrech uvedené v čl. 153 odst. 5 nařízení (EU) č. 575/2013, které jsou zahrnuty v šabloně C 08.06.</w:t>
      </w:r>
      <w:r>
        <w:t xml:space="preserve"> </w:t>
      </w:r>
      <w:r>
        <w:t xml:space="preserve">Tato šablona nezahrnuje expozice úvěrového rizika protistrany (část třetí hlava II kapitola 6 nařízení (EU) č. 575/2013).</w:t>
      </w:r>
    </w:p>
    <w:p w14:paraId="18B1A0B3"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07" w:name="_Toc19715757"/>
      <w:bookmarkStart w:id="108" w:name="_Toc151714401"/>
      <w:r>
        <w:rPr>
          <w:sz w:val="24"/>
          <w:rFonts w:ascii="Times New Roman" w:hAnsi="Times New Roman"/>
        </w:rPr>
        <w:t xml:space="preserve">Pokyny pro konkrétní pozice</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sz w:val="24"/>
                <w:rFonts w:ascii="Times New Roman" w:hAnsi="Times New Roman"/>
              </w:rPr>
            </w:pPr>
            <w:r>
              <w:rPr>
                <w:sz w:val="24"/>
                <w:rFonts w:ascii="Times New Roman" w:hAnsi="Times New Roman"/>
              </w:rPr>
              <w:t xml:space="preserve">Sloupce</w:t>
            </w:r>
          </w:p>
        </w:tc>
        <w:tc>
          <w:tcPr>
            <w:tcW w:w="8843" w:type="dxa"/>
            <w:shd w:val="clear" w:color="auto" w:fill="CCCCCC"/>
          </w:tcPr>
          <w:p w14:paraId="3EB4007D"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ROZVAHOVÉ EXPOZICE</w:t>
            </w:r>
          </w:p>
          <w:p w14:paraId="00204A28" w14:textId="77777777" w:rsidR="00FB3D09" w:rsidRPr="002A677E" w:rsidRDefault="00FB3D09" w:rsidP="00822842">
            <w:pPr>
              <w:rPr>
                <w:sz w:val="24"/>
                <w:rFonts w:ascii="Times New Roman" w:hAnsi="Times New Roman"/>
              </w:rPr>
            </w:pPr>
            <w:r>
              <w:rPr>
                <w:sz w:val="24"/>
                <w:rFonts w:ascii="Times New Roman" w:hAnsi="Times New Roman"/>
              </w:rPr>
              <w:t xml:space="preserve">Hodnota expozice vypočítaná v souladu s čl. </w:t>
            </w:r>
            <w:r>
              <w:rPr>
                <w:sz w:val="24"/>
                <w:sz w:val="24"/>
                <w:rFonts w:ascii="Times New Roman" w:hAnsi="Times New Roman"/>
              </w:rPr>
              <w:t xml:space="preserve">166 odst. 1 až 7</w:t>
            </w:r>
            <w:r>
              <w:rPr>
                <w:sz w:val="24"/>
                <w:rFonts w:ascii="Times New Roman" w:hAnsi="Times New Roman"/>
              </w:rPr>
              <w:t xml:space="preserve"> nařízení (EU) č. 575/2013 bez zohlednění jakýchkoli úprav o úvěrové riziko</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PODROZVAHOVÉ EXPOZICE PŘED VYNÁSOBENÍM KONVERZNÍMI FAKTORY</w:t>
            </w:r>
          </w:p>
          <w:p w14:paraId="55489989" w14:textId="483DFDC9" w:rsidR="00FB3D09" w:rsidRPr="002A677E" w:rsidRDefault="00FB3D09" w:rsidP="00822842">
            <w:pPr>
              <w:rPr>
                <w:sz w:val="24"/>
                <w:rFonts w:ascii="Times New Roman" w:hAnsi="Times New Roman"/>
              </w:rPr>
            </w:pPr>
            <w:r>
              <w:rPr>
                <w:sz w:val="24"/>
                <w:rFonts w:ascii="Times New Roman" w:hAnsi="Times New Roman"/>
              </w:rPr>
              <w:t xml:space="preserve">Hodnota expozice v souladu s čl. 166 odst. 1 až 7 nařízení (EU) č. 575/2013, bez zohlednění jakýchkoli úprav o úvěrové riziko a konverzních faktorů, vlastních odhadů ani konverzních faktorů uvedených v čl. 166 odst. 8 nařízení (EU) č. 575/2013.</w:t>
            </w:r>
          </w:p>
          <w:p w14:paraId="5D37048B" w14:textId="77777777" w:rsidR="00FB3D09" w:rsidRPr="002A677E" w:rsidRDefault="00FB3D09" w:rsidP="00822842">
            <w:pPr>
              <w:rPr>
                <w:sz w:val="24"/>
                <w:rFonts w:ascii="Times New Roman" w:hAnsi="Times New Roman"/>
              </w:rPr>
            </w:pPr>
            <w:r>
              <w:rPr>
                <w:sz w:val="24"/>
                <w:rFonts w:ascii="Times New Roman" w:hAnsi="Times New Roman"/>
              </w:rPr>
              <w:t xml:space="preserve">Podrozvahové expozice zahrnují všechny přislíbené, avšak nevyčerpané částky a všechny podrozvahové položky vyjmenované v příloze I nařízení (EU) č.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EXPOZICÍ VÁŽENÉ PRŮMĚRNÉ KONVERZNÍ FAKTORY</w:t>
            </w:r>
          </w:p>
          <w:p w14:paraId="69C8E2B0" w14:textId="77777777" w:rsidR="00FB3D09" w:rsidRPr="002A677E" w:rsidRDefault="00FB3D09" w:rsidP="00822842">
            <w:pPr>
              <w:rPr>
                <w:sz w:val="24"/>
                <w:rFonts w:ascii="Times New Roman" w:hAnsi="Times New Roman"/>
              </w:rPr>
            </w:pPr>
            <w:r>
              <w:rPr>
                <w:sz w:val="24"/>
                <w:rFonts w:ascii="Times New Roman" w:hAnsi="Times New Roman"/>
              </w:rPr>
              <w:t xml:space="preserve">U všech expozic v každém koši pevného rozmezí PD průměrný konverzní faktor, který instituce použily pro výpočet objemů rizikově vážených expozic, vážený podrozvahovou expozicí před vynásobením úvěrovým konverzním faktorem, jak je vykázán ve sloupci 0020</w:t>
            </w:r>
            <w:r>
              <w:rPr>
                <w:sz w:val="24"/>
                <w:rFonts w:ascii="Times New Roman" w:hAnsi="Times New Roman"/>
              </w:rPr>
              <w:t xml:space="preserve">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HODNOTA EXPOZICE PO VYNÁSOBENÍ KONVERZNÍMI FAKTORY A SNÍŽENÍ ÚVĚROVÉHO RIZIKA</w:t>
            </w:r>
          </w:p>
          <w:p w14:paraId="416A72EE" w14:textId="77777777" w:rsidR="00FB3D09" w:rsidRPr="002A677E" w:rsidRDefault="00FB3D09" w:rsidP="00822842">
            <w:pPr>
              <w:rPr>
                <w:sz w:val="24"/>
                <w:rFonts w:ascii="Times New Roman" w:hAnsi="Times New Roman"/>
              </w:rPr>
            </w:pPr>
            <w:r>
              <w:rPr>
                <w:sz w:val="24"/>
                <w:rFonts w:ascii="Times New Roman" w:hAnsi="Times New Roman"/>
              </w:rPr>
              <w:t xml:space="preserve">Hodnota expozice podle článku 166 nařízení (EU) č. 575/2013</w:t>
            </w:r>
          </w:p>
          <w:p w14:paraId="2BC7EF47" w14:textId="0D3DE562" w:rsidR="00FB3D09" w:rsidRPr="002A677E" w:rsidRDefault="00FB3D09" w:rsidP="00822842">
            <w:pPr>
              <w:rPr>
                <w:sz w:val="24"/>
                <w:rFonts w:ascii="Times New Roman" w:hAnsi="Times New Roman"/>
              </w:rPr>
            </w:pPr>
            <w:r>
              <w:rPr>
                <w:sz w:val="24"/>
                <w:rFonts w:ascii="Times New Roman" w:hAnsi="Times New Roman"/>
              </w:rPr>
              <w:t xml:space="preserve">V tomto sloupci se uvádí součet hodnoty expozice rozvahových a podrozvahových expozic po vynásobení konverzními faktory v souladu s čl. 166 odst. 8 a 9 nařízení (EU) č. 575/2013 a po použití technik pro snižování úvěrového rizika.</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EXPOZICÍ VÁŽENÁ PRŮMĚRNÁ HODNOTA PD (%)</w:t>
            </w:r>
          </w:p>
          <w:p w14:paraId="4DB9C65C" w14:textId="77777777" w:rsidR="00FB3D09" w:rsidRDefault="00FB3D09" w:rsidP="00822842">
            <w:pPr>
              <w:rPr>
                <w:sz w:val="24"/>
                <w:rFonts w:ascii="Times New Roman" w:hAnsi="Times New Roman"/>
              </w:rPr>
            </w:pPr>
            <w:r>
              <w:rPr>
                <w:sz w:val="24"/>
                <w:rFonts w:ascii="Times New Roman" w:hAnsi="Times New Roman"/>
              </w:rPr>
              <w:t xml:space="preserve">U všech expozic v každém koši pevného rozmezí PD průměrný odhad PD každého dlužníka vážený hodnotou expozice po vynásobení úvěrovým konverzním faktorem a snížení úvěrového rizika, jak je vykázán ve sloupci 0040.</w:t>
            </w:r>
          </w:p>
          <w:p w14:paraId="6AFB8412" w14:textId="77777777" w:rsidR="00FB3D09" w:rsidRPr="002A677E" w:rsidRDefault="00FB3D09" w:rsidP="00822842">
            <w:pPr>
              <w:rPr>
                <w:sz w:val="24"/>
                <w:rFonts w:ascii="Times New Roman" w:hAnsi="Times New Roman"/>
              </w:rPr>
            </w:pPr>
            <w:r>
              <w:rPr>
                <w:sz w:val="24"/>
                <w:rFonts w:ascii="Times New Roman" w:hAnsi="Times New Roman"/>
              </w:rPr>
              <w:t xml:space="preserve">Tento sloupec není nutno vyplnit pro všechny kategorie expozic.</w:t>
            </w:r>
            <w:r>
              <w:rPr>
                <w:sz w:val="24"/>
                <w:rFonts w:ascii="Times New Roman" w:hAnsi="Times New Roman"/>
              </w:rPr>
              <w:t xml:space="preserve">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POČET DLUŽNÍKŮ</w:t>
            </w:r>
          </w:p>
          <w:p w14:paraId="0F009E63" w14:textId="77777777" w:rsidR="00FB3D09" w:rsidRPr="002A677E" w:rsidRDefault="00FB3D09" w:rsidP="00822842">
            <w:pPr>
              <w:rPr>
                <w:sz w:val="24"/>
                <w:rFonts w:ascii="Times New Roman" w:hAnsi="Times New Roman"/>
              </w:rPr>
            </w:pPr>
            <w:r>
              <w:rPr>
                <w:sz w:val="24"/>
                <w:rFonts w:ascii="Times New Roman" w:hAnsi="Times New Roman"/>
              </w:rPr>
              <w:t xml:space="preserve">Počet právních subjektů nebo dlužníků přiřazených ke každému koši pevného rozmezí PD</w:t>
            </w:r>
            <w:r>
              <w:rPr>
                <w:sz w:val="24"/>
                <w:rFonts w:ascii="Times New Roman" w:hAnsi="Times New Roman"/>
              </w:rPr>
              <w:t xml:space="preserve"> </w:t>
            </w:r>
          </w:p>
          <w:p w14:paraId="25C904A6" w14:textId="77777777" w:rsidR="00FB3D09" w:rsidRPr="002A677E" w:rsidRDefault="00FB3D09" w:rsidP="00822842">
            <w:pPr>
              <w:rPr>
                <w:sz w:val="24"/>
                <w:rFonts w:ascii="Times New Roman" w:hAnsi="Times New Roman"/>
              </w:rPr>
            </w:pPr>
            <w:r>
              <w:rPr>
                <w:sz w:val="24"/>
                <w:rFonts w:ascii="Times New Roman" w:hAnsi="Times New Roman"/>
              </w:rPr>
              <w:t xml:space="preserve">Počet dlužníků se vypočítá v souladu s pokyny ve sloupci 0300 šablony C 08.01.</w:t>
            </w:r>
            <w:r>
              <w:rPr>
                <w:sz w:val="24"/>
                <w:rFonts w:ascii="Times New Roman" w:hAnsi="Times New Roman"/>
              </w:rPr>
              <w:t xml:space="preserve"> </w:t>
            </w:r>
            <w:r>
              <w:rPr>
                <w:sz w:val="24"/>
                <w:rFonts w:ascii="Times New Roman" w:hAnsi="Times New Roman"/>
              </w:rPr>
              <w:t xml:space="preserve">Se společnými dlužníky se zachází stejným způsobem jako pro účely kalibrace PD.</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EXPOZICÍ VÁŽENÁ PRŮMĚRNÁ HODNOTA LGD (%)</w:t>
            </w:r>
          </w:p>
          <w:p w14:paraId="64245660" w14:textId="77777777" w:rsidR="00FB3D09" w:rsidRPr="002A677E" w:rsidRDefault="00FB3D09" w:rsidP="00822842">
            <w:pPr>
              <w:rPr>
                <w:sz w:val="24"/>
                <w:rFonts w:ascii="Times New Roman" w:hAnsi="Times New Roman"/>
              </w:rPr>
            </w:pPr>
            <w:r>
              <w:rPr>
                <w:sz w:val="24"/>
                <w:rFonts w:ascii="Times New Roman" w:hAnsi="Times New Roman"/>
              </w:rPr>
              <w:t xml:space="preserve">U všech expozic v každém koši pevného rozmezí PD průměrný odhad LGD každé expozice vážený hodnotou expozice po vynásobení úvěrovým konverzním faktorem a snížení úvěrového rizika, jak je vykázán ve sloupci 0040</w:t>
            </w:r>
          </w:p>
          <w:p w14:paraId="61129324" w14:textId="77777777" w:rsidR="00FB3D09" w:rsidRPr="002A677E" w:rsidRDefault="00FB3D09" w:rsidP="00822842">
            <w:pPr>
              <w:rPr>
                <w:sz w:val="24"/>
                <w:rFonts w:ascii="Times New Roman" w:hAnsi="Times New Roman"/>
              </w:rPr>
            </w:pPr>
            <w:r>
              <w:rPr>
                <w:sz w:val="24"/>
                <w:rFonts w:ascii="Times New Roman" w:hAnsi="Times New Roman"/>
              </w:rPr>
              <w:t xml:space="preserve">Vykazovaná LGD odpovídá konečnému odhadu LGD použitému pro výpočet rizikově vážených částek získaných po zvážení případných dopadů snižování úvěrového rizika a podmínek hospodářského poklesu.</w:t>
            </w:r>
            <w:r>
              <w:rPr>
                <w:sz w:val="24"/>
                <w:rFonts w:ascii="Times New Roman" w:hAnsi="Times New Roman"/>
              </w:rPr>
              <w:t xml:space="preserve"> </w:t>
            </w:r>
            <w:r>
              <w:rPr>
                <w:sz w:val="24"/>
                <w:rFonts w:ascii="Times New Roman" w:hAnsi="Times New Roman"/>
              </w:rPr>
              <w:t xml:space="preserve">U retailových expozic zajištěných nemovitostmi zohlední vykazovaná hodnota LGD prahy uvedené v čl. 164 odst. 4 nařízení (EU) č. 575/2013.</w:t>
            </w:r>
          </w:p>
          <w:p w14:paraId="4123D9EA" w14:textId="77777777" w:rsidR="00FB3D09" w:rsidRDefault="00FB3D09" w:rsidP="00822842">
            <w:pPr>
              <w:rPr>
                <w:sz w:val="24"/>
                <w:rFonts w:ascii="Times New Roman" w:hAnsi="Times New Roman"/>
              </w:rPr>
            </w:pPr>
            <w:r>
              <w:rPr>
                <w:sz w:val="24"/>
                <w:rFonts w:ascii="Times New Roman" w:hAnsi="Times New Roman"/>
              </w:rPr>
              <w:t xml:space="preserve">V případě expozic, u nichž došlo k selhání podle přístupu A-IRB, se zohlední ustanovení čl. 181 odst. 1 písm. h) nařízení (EU) č. 575/2013.</w:t>
            </w:r>
            <w:r>
              <w:rPr>
                <w:sz w:val="24"/>
                <w:rFonts w:ascii="Times New Roman" w:hAnsi="Times New Roman"/>
              </w:rPr>
              <w:t xml:space="preserve"> </w:t>
            </w:r>
            <w:r>
              <w:rPr>
                <w:sz w:val="24"/>
                <w:rFonts w:ascii="Times New Roman" w:hAnsi="Times New Roman"/>
              </w:rPr>
              <w:t xml:space="preserve">Vykázaná hodnota LGD odpovídá odhadu LGD v selhání </w:t>
            </w:r>
            <w:r>
              <w:rPr>
                <w:sz w:val="24"/>
                <w:rStyle w:val="InstructionsTabelleText"/>
                <w:rFonts w:ascii="Times New Roman" w:hAnsi="Times New Roman"/>
              </w:rPr>
              <w:t xml:space="preserve">v souladu s</w:t>
            </w:r>
            <w:r>
              <w:rPr>
                <w:sz w:val="24"/>
                <w:rFonts w:ascii="Times New Roman" w:hAnsi="Times New Roman"/>
              </w:rPr>
              <w:t xml:space="preserve"> použitelnými metodikami odhadu.</w:t>
            </w:r>
          </w:p>
          <w:p w14:paraId="176BBB47" w14:textId="77777777" w:rsidR="00FB3D09" w:rsidRPr="002A677E" w:rsidRDefault="00FB3D09" w:rsidP="00822842">
            <w:pPr>
              <w:rPr>
                <w:sz w:val="24"/>
                <w:rFonts w:ascii="Times New Roman" w:hAnsi="Times New Roman"/>
              </w:rPr>
            </w:pPr>
            <w:r>
              <w:rPr>
                <w:sz w:val="24"/>
                <w:rFonts w:ascii="Times New Roman" w:hAnsi="Times New Roman"/>
              </w:rPr>
              <w:t xml:space="preserve">Tento sloupec není nutno vyplnit pro všechny kategorie expozic.</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EXPOZICÍ VÁŽENÁ PRŮMĚRNÁ SPLATNOST (ROKY)</w:t>
            </w:r>
          </w:p>
          <w:p w14:paraId="44C8EC59" w14:textId="77777777" w:rsidR="00FB3D09" w:rsidRPr="002A677E" w:rsidRDefault="00FB3D09" w:rsidP="00822842">
            <w:pPr>
              <w:rPr>
                <w:sz w:val="24"/>
                <w:rFonts w:ascii="Times New Roman" w:hAnsi="Times New Roman"/>
              </w:rPr>
            </w:pPr>
            <w:r>
              <w:rPr>
                <w:sz w:val="24"/>
                <w:rFonts w:ascii="Times New Roman" w:hAnsi="Times New Roman"/>
              </w:rPr>
              <w:t xml:space="preserve">U všech expozic v každém koši pevného rozmezí PD průměrná splatnost každé expozice vážená hodnotou expozice po vynásobení úvěrovým konverzním faktorem, jak je vykázána ve sloupci 0040</w:t>
            </w:r>
          </w:p>
          <w:p w14:paraId="6B1FFBC1" w14:textId="77777777" w:rsidR="00FB3D09" w:rsidRPr="002A677E" w:rsidRDefault="00FB3D09" w:rsidP="00822842">
            <w:pPr>
              <w:rPr>
                <w:sz w:val="24"/>
                <w:rFonts w:ascii="Times New Roman" w:hAnsi="Times New Roman"/>
              </w:rPr>
            </w:pPr>
            <w:r>
              <w:rPr>
                <w:sz w:val="24"/>
                <w:rFonts w:ascii="Times New Roman" w:hAnsi="Times New Roman"/>
              </w:rPr>
              <w:t xml:space="preserve">Vykazovaná splatnost se určí v souladu s článkem 162 nařízení (EU) č. 575/2013.</w:t>
            </w:r>
            <w:r>
              <w:rPr>
                <w:sz w:val="24"/>
                <w:rFonts w:ascii="Times New Roman" w:hAnsi="Times New Roman"/>
              </w:rPr>
              <w:t xml:space="preserve"> </w:t>
            </w:r>
          </w:p>
          <w:p w14:paraId="450A0AC2" w14:textId="77777777" w:rsidR="00FB3D09" w:rsidRPr="002A677E" w:rsidRDefault="00FB3D09" w:rsidP="00822842">
            <w:pPr>
              <w:rPr>
                <w:sz w:val="24"/>
                <w:rFonts w:ascii="Times New Roman" w:hAnsi="Times New Roman"/>
              </w:rPr>
            </w:pPr>
            <w:r>
              <w:rPr>
                <w:sz w:val="24"/>
                <w:rFonts w:ascii="Times New Roman" w:hAnsi="Times New Roman"/>
              </w:rPr>
              <w:t xml:space="preserve">Průměrná splatnost se vykazuje v letech.</w:t>
            </w:r>
          </w:p>
          <w:p w14:paraId="2D4B80D4" w14:textId="77777777" w:rsidR="00FB3D09" w:rsidRPr="002A677E" w:rsidRDefault="00FB3D09" w:rsidP="00822842">
            <w:pPr>
              <w:rPr>
                <w:sz w:val="24"/>
                <w:rFonts w:ascii="Times New Roman" w:hAnsi="Times New Roman"/>
              </w:rPr>
            </w:pPr>
            <w:r>
              <w:rPr>
                <w:sz w:val="24"/>
                <w:rFonts w:ascii="Times New Roman" w:hAnsi="Times New Roman"/>
              </w:rPr>
              <w:t xml:space="preserve">Tento údaj se nevykazuje u hodnot expozice, v jejichž případě splatnost není součástí výpočtu </w:t>
            </w:r>
            <w:r>
              <w:rPr>
                <w:sz w:val="24"/>
                <w:rStyle w:val="InstructionsTabelleText"/>
                <w:rFonts w:ascii="Times New Roman" w:hAnsi="Times New Roman"/>
              </w:rPr>
              <w:t xml:space="preserve">objemů rizikově vážených expozic </w:t>
            </w:r>
            <w:r>
              <w:rPr>
                <w:sz w:val="24"/>
                <w:rFonts w:ascii="Times New Roman" w:hAnsi="Times New Roman"/>
              </w:rPr>
              <w:t xml:space="preserve">v souladu s částí třetí hlavou II kapitolou 3 nařízení (EU) č. 575/2013.</w:t>
            </w:r>
            <w:r>
              <w:rPr>
                <w:sz w:val="24"/>
                <w:rFonts w:ascii="Times New Roman" w:hAnsi="Times New Roman"/>
              </w:rPr>
              <w:t xml:space="preserve"> </w:t>
            </w:r>
            <w:r>
              <w:rPr>
                <w:sz w:val="24"/>
                <w:rFonts w:ascii="Times New Roman" w:hAnsi="Times New Roman"/>
              </w:rPr>
              <w:t xml:space="preserve">Znamená to, že tento sloupec se nevyplňuje pro kategorii „retailové expozice“.</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OBJEM RIZIKOVĚ VÁŽENÝCH EXPOZIC PO UPLATNĚNÍ PODPŮRNÝCH KOEFICIENTŮ</w:t>
            </w:r>
          </w:p>
          <w:p w14:paraId="62CEA768" w14:textId="77777777" w:rsidR="00FB3D09" w:rsidRPr="002A677E" w:rsidRDefault="00FB3D09" w:rsidP="00822842">
            <w:pPr>
              <w:rPr>
                <w:sz w:val="24"/>
                <w:rFonts w:ascii="Times New Roman" w:hAnsi="Times New Roman"/>
              </w:rPr>
            </w:pPr>
            <w:r>
              <w:rPr>
                <w:sz w:val="24"/>
                <w:rFonts w:ascii="Times New Roman" w:hAnsi="Times New Roman"/>
              </w:rPr>
              <w:t xml:space="preserve">U expozic vůči ústředním vládám a centrálním bankám, institucím a podnikům objem rizikově vážené expozice vypočtený v souladu s čl. 153 odst. 1 až 4;</w:t>
            </w:r>
            <w:r>
              <w:rPr>
                <w:sz w:val="24"/>
                <w:rFonts w:ascii="Times New Roman" w:hAnsi="Times New Roman"/>
              </w:rPr>
              <w:t xml:space="preserve"> </w:t>
            </w:r>
            <w:r>
              <w:rPr>
                <w:sz w:val="24"/>
                <w:rFonts w:ascii="Times New Roman" w:hAnsi="Times New Roman"/>
              </w:rPr>
              <w:t xml:space="preserve">u retailových expozic objem rizikově vážené expozice vypočítaný v souladu s článkem 154 nařízení (EU) č. 575/2013.</w:t>
            </w:r>
          </w:p>
          <w:p w14:paraId="2CF926D6" w14:textId="77777777" w:rsidR="00FB3D09" w:rsidRPr="002A677E" w:rsidRDefault="00FB3D09" w:rsidP="00822842">
            <w:pPr>
              <w:rPr>
                <w:sz w:val="24"/>
                <w:rFonts w:ascii="Times New Roman" w:hAnsi="Times New Roman"/>
              </w:rPr>
            </w:pPr>
            <w:r>
              <w:rPr>
                <w:sz w:val="24"/>
                <w:rFonts w:ascii="Times New Roman" w:hAnsi="Times New Roman"/>
              </w:rPr>
              <w:t xml:space="preserve">Zohledňuje se podpůrný koeficient pro malé a střední podniky a infrastrukturu </w:t>
            </w:r>
            <w:r>
              <w:rPr>
                <w:sz w:val="24"/>
                <w:rStyle w:val="InstructionsTabelleText"/>
                <w:rFonts w:ascii="Times New Roman" w:hAnsi="Times New Roman"/>
              </w:rPr>
              <w:t xml:space="preserve">podle</w:t>
            </w:r>
            <w:r>
              <w:rPr>
                <w:sz w:val="24"/>
                <w:rFonts w:ascii="Times New Roman" w:hAnsi="Times New Roman"/>
              </w:rPr>
              <w:t xml:space="preserve"> článků 501 a 501a nařízení (EU) č. 575/2013.</w:t>
            </w:r>
            <w:r>
              <w:rPr>
                <w:sz w:val="24"/>
                <w:rFonts w:ascii="Times New Roman" w:hAnsi="Times New Roman"/>
              </w:rPr>
              <w:t xml:space="preserve">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VÝŠE OČEKÁVANÉ ZTRÁTY</w:t>
            </w:r>
          </w:p>
          <w:p w14:paraId="553224A7" w14:textId="77777777" w:rsidR="00FB3D09" w:rsidRPr="002A677E" w:rsidRDefault="00FB3D09" w:rsidP="00822842">
            <w:pPr>
              <w:rPr>
                <w:sz w:val="24"/>
                <w:rFonts w:ascii="Times New Roman" w:hAnsi="Times New Roman"/>
              </w:rPr>
            </w:pPr>
            <w:r>
              <w:rPr>
                <w:sz w:val="24"/>
                <w:rFonts w:ascii="Times New Roman" w:hAnsi="Times New Roman"/>
              </w:rPr>
              <w:t xml:space="preserve">Výše očekávané ztráty vypočítaná v souladu s článkem 158 nařízení (EU) č. 575/2013</w:t>
            </w:r>
          </w:p>
          <w:p w14:paraId="7FB4F7F3" w14:textId="77777777" w:rsidR="00FB3D09" w:rsidRPr="002A677E" w:rsidRDefault="00FB3D09" w:rsidP="00822842">
            <w:pPr>
              <w:rPr>
                <w:sz w:val="24"/>
                <w:rFonts w:ascii="Times New Roman" w:hAnsi="Times New Roman"/>
              </w:rPr>
            </w:pPr>
            <w:r>
              <w:rPr>
                <w:sz w:val="24"/>
                <w:rFonts w:ascii="Times New Roman" w:hAnsi="Times New Roman"/>
              </w:rPr>
              <w:t xml:space="preserve">Výše očekávané ztráty, která má být vykázána, vychází ze současných rizikových parametrů, které se používají v interních ratingových stupnicích schválených příslušným orgánem.</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ÚPRAVY OCENĚNÍ A REZERVY</w:t>
            </w:r>
          </w:p>
          <w:p w14:paraId="6396EDF4" w14:textId="77777777" w:rsidR="00FB3D09" w:rsidRPr="002A677E" w:rsidRDefault="00FB3D09" w:rsidP="00822842">
            <w:pPr>
              <w:rPr>
                <w:sz w:val="24"/>
                <w:rFonts w:ascii="Times New Roman" w:hAnsi="Times New Roman"/>
              </w:rPr>
            </w:pPr>
            <w:r>
              <w:rPr>
                <w:sz w:val="24"/>
                <w:rFonts w:ascii="Times New Roman" w:hAnsi="Times New Roman"/>
              </w:rPr>
              <w:t xml:space="preserve">Specifické a obecné úpravy o úvěrové riziko v souladu s nařízením Komise v přenesené pravomoci (EU) č. 183/2014, dodatečné úpravy ocenění v souladu s články 34 a 110 nařízení (EU) č. 575/2013, jakož i další snížení kapitálu související s expozicemi přiřazenými každému koši pevného rozmezí PD</w:t>
            </w:r>
            <w:r>
              <w:rPr>
                <w:sz w:val="24"/>
                <w:rFonts w:ascii="Times New Roman" w:hAnsi="Times New Roman"/>
              </w:rPr>
              <w:t xml:space="preserve"> </w:t>
            </w:r>
          </w:p>
          <w:p w14:paraId="30338ECC" w14:textId="77777777" w:rsidR="00FB3D09" w:rsidRPr="002A677E" w:rsidRDefault="00FB3D09" w:rsidP="00822842">
            <w:pPr>
              <w:rPr>
                <w:sz w:val="24"/>
                <w:rFonts w:ascii="Times New Roman" w:hAnsi="Times New Roman"/>
              </w:rPr>
            </w:pPr>
            <w:r>
              <w:rPr>
                <w:sz w:val="24"/>
                <w:rFonts w:ascii="Times New Roman" w:hAnsi="Times New Roman"/>
              </w:rPr>
              <w:t xml:space="preserve">Tyto úpravy ocenění a rezervy jsou brány v úvahu pro účely provádění článku 159 nařízení (EU) č. 575/2013.</w:t>
            </w:r>
          </w:p>
          <w:p w14:paraId="44F9E3D4" w14:textId="77777777" w:rsidR="00FB3D09" w:rsidRPr="002A677E" w:rsidRDefault="00FB3D09" w:rsidP="00822842">
            <w:pPr>
              <w:rPr>
                <w:sz w:val="24"/>
                <w:rFonts w:ascii="Times New Roman" w:hAnsi="Times New Roman"/>
              </w:rPr>
            </w:pPr>
            <w:r>
              <w:rPr>
                <w:sz w:val="24"/>
                <w:rFonts w:ascii="Times New Roman" w:hAnsi="Times New Roman"/>
              </w:rPr>
              <w:t xml:space="preserve">Obecné rezervy se vykazují přiřazením poměrné hodnoty – </w:t>
            </w:r>
            <w:r>
              <w:rPr>
                <w:sz w:val="24"/>
                <w:rStyle w:val="InstructionsTabelleText"/>
                <w:rFonts w:ascii="Times New Roman" w:hAnsi="Times New Roman"/>
              </w:rPr>
              <w:t xml:space="preserve">na základě</w:t>
            </w:r>
            <w:r>
              <w:rPr>
                <w:sz w:val="24"/>
                <w:rFonts w:ascii="Times New Roman" w:hAnsi="Times New Roman"/>
              </w:rPr>
              <w:t xml:space="preserve"> očekávané výše ztrát u různých stupňů dlužníka.</w:t>
            </w:r>
            <w:r>
              <w:rPr>
                <w:sz w:val="24"/>
                <w:rFonts w:ascii="Times New Roman" w:hAnsi="Times New Roman"/>
              </w:rPr>
              <w:t xml:space="preserve">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sz w:val="24"/>
                <w:rFonts w:ascii="Times New Roman" w:hAnsi="Times New Roman"/>
              </w:rPr>
            </w:pPr>
            <w:r>
              <w:rPr>
                <w:sz w:val="24"/>
                <w:rFonts w:ascii="Times New Roman" w:hAnsi="Times New Roman"/>
              </w:rPr>
              <w:t xml:space="preserve">Řádky</w:t>
            </w:r>
          </w:p>
        </w:tc>
        <w:tc>
          <w:tcPr>
            <w:tcW w:w="8557" w:type="dxa"/>
            <w:shd w:val="clear" w:color="auto" w:fill="auto"/>
          </w:tcPr>
          <w:p w14:paraId="1E8678C0"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45ADFC09" w14:textId="77777777" w:rsidTr="00822842">
        <w:tc>
          <w:tcPr>
            <w:tcW w:w="1271" w:type="dxa"/>
          </w:tcPr>
          <w:p w14:paraId="6A7BEAE2" w14:textId="77777777" w:rsidR="00FB3D09" w:rsidRPr="002A677E" w:rsidRDefault="00FB3D09" w:rsidP="00822842">
            <w:pPr>
              <w:rPr>
                <w:sz w:val="24"/>
                <w:rFonts w:ascii="Times New Roman" w:hAnsi="Times New Roman"/>
              </w:rPr>
            </w:pPr>
            <w:r>
              <w:rPr>
                <w:sz w:val="24"/>
                <w:rFonts w:ascii="Times New Roman" w:hAnsi="Times New Roman"/>
              </w:rPr>
              <w:t xml:space="preserve">ROZMEZÍ PD</w:t>
            </w:r>
          </w:p>
        </w:tc>
        <w:tc>
          <w:tcPr>
            <w:tcW w:w="8557" w:type="dxa"/>
          </w:tcPr>
          <w:p w14:paraId="2EEEC841" w14:textId="21B277A7" w:rsidR="00FB3D09" w:rsidRDefault="00FB3D09" w:rsidP="00822842">
            <w:pPr>
              <w:rPr>
                <w:sz w:val="24"/>
                <w:rFonts w:ascii="Times New Roman" w:hAnsi="Times New Roman"/>
              </w:rPr>
            </w:pPr>
            <w:r>
              <w:rPr>
                <w:sz w:val="24"/>
                <w:rFonts w:ascii="Times New Roman" w:hAnsi="Times New Roman"/>
              </w:rPr>
              <w:t xml:space="preserve">Expozice se přiřadí k vhodnému koši pevného rozmezí PD na základě PD odhadnuté pro každého dlužníka zařazeného do dané kategorie expozic (se zohledněním případných substitučních účinků v důsledku snižování úvěrového rizika).</w:t>
            </w:r>
            <w:r>
              <w:rPr>
                <w:sz w:val="24"/>
                <w:rFonts w:ascii="Times New Roman" w:hAnsi="Times New Roman"/>
              </w:rPr>
              <w:t xml:space="preserve"> </w:t>
            </w:r>
            <w:r>
              <w:rPr>
                <w:sz w:val="24"/>
                <w:rFonts w:ascii="Times New Roman" w:hAnsi="Times New Roman"/>
              </w:rPr>
              <w:t xml:space="preserve">Instituce přiřadí jednotlivé expozice k rozmezí PD uvedenému v šabloně s přihlédnutím ke kontinuálním stupnicím.</w:t>
            </w:r>
            <w:r>
              <w:rPr>
                <w:sz w:val="24"/>
                <w:rFonts w:ascii="Times New Roman" w:hAnsi="Times New Roman"/>
              </w:rPr>
              <w:t xml:space="preserve"> </w:t>
            </w:r>
            <w:r>
              <w:rPr>
                <w:sz w:val="24"/>
                <w:rFonts w:ascii="Times New Roman" w:hAnsi="Times New Roman"/>
              </w:rPr>
              <w:t xml:space="preserve">Všechny expozice, u nichž došlo k selhání, se zahrnují do koše PD o hodnotě 100 %.</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sz w:val="24"/>
                <w:rFonts w:ascii="Times New Roman" w:hAnsi="Times New Roman"/>
              </w:rPr>
            </w:pPr>
            <w:r>
              <w:rPr>
                <w:sz w:val="24"/>
                <w:rFonts w:ascii="Times New Roman" w:hAnsi="Times New Roman"/>
              </w:rPr>
              <w:t xml:space="preserve">Řádky {r0170, c0050} a {r0170, c0070} se vykazují pro každou kategorii expozic, nikoli však pro všechny kategorie expozic.</w:t>
            </w:r>
          </w:p>
        </w:tc>
      </w:tr>
    </w:tbl>
    <w:p w14:paraId="3EAAC2EE"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9" w:name="_Toc19715758"/>
      <w:bookmarkStart w:id="110" w:name="_Toc151714402"/>
      <w:r>
        <w:rPr>
          <w:sz w:val="24"/>
          <w:rFonts w:ascii="Times New Roman" w:hAnsi="Times New Roman"/>
        </w:rPr>
        <w:t xml:space="preserve">C 08.04 – Úvěrové riziko a volné dodávky:</w:t>
      </w:r>
      <w:r>
        <w:rPr>
          <w:sz w:val="24"/>
          <w:rFonts w:ascii="Times New Roman" w:hAnsi="Times New Roman"/>
        </w:rPr>
        <w:t xml:space="preserve"> </w:t>
      </w:r>
      <w:r>
        <w:rPr>
          <w:sz w:val="24"/>
          <w:rFonts w:ascii="Times New Roman" w:hAnsi="Times New Roman"/>
        </w:rPr>
        <w:t xml:space="preserve">přístup IRB ke kapitálovým požadavkům (výkazy toků RWEA (CR IRB 4))</w:t>
      </w:r>
      <w:bookmarkEnd w:id="109"/>
      <w:bookmarkEnd w:id="110"/>
    </w:p>
    <w:p w14:paraId="3805004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1" w:name="_Toc19715759"/>
      <w:bookmarkStart w:id="112" w:name="_Toc151714403"/>
      <w:r>
        <w:rPr>
          <w:sz w:val="24"/>
          <w:rFonts w:ascii="Times New Roman" w:hAnsi="Times New Roman"/>
        </w:rPr>
        <w:t xml:space="preserve">Obecné poznámky</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78</w:t>
      </w:r>
      <w:r>
        <w:fldChar w:fldCharType="end"/>
      </w:r>
      <w:r>
        <w:t xml:space="preserve">.</w:t>
      </w:r>
      <w:r>
        <w:t xml:space="preserve"> </w:t>
      </w:r>
      <w:r>
        <w:t xml:space="preserve">Instituce vykazují informace obsažené v této šabloně podle čl. 438 písm. h) nařízení (EU) č. 575/2013.</w:t>
      </w:r>
      <w:r>
        <w:t xml:space="preserve"> </w:t>
      </w:r>
      <w:r>
        <w:t xml:space="preserve">Tato šablona nezahrnuje expozice úvěrového rizika protistrany (část třetí hlava II kapitola 6 nařízení (EU) č. 575/2013).</w:t>
      </w:r>
    </w:p>
    <w:p w14:paraId="7118D17C"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 xml:space="preserve">79</w:t>
      </w:r>
      <w:r>
        <w:fldChar w:fldCharType="end"/>
      </w:r>
      <w:r>
        <w:t xml:space="preserve">.</w:t>
      </w:r>
      <w:r>
        <w:t xml:space="preserve"> </w:t>
      </w:r>
      <w:r>
        <w:t xml:space="preserve">Instituce vykazují toky RWEA jako změny mezi objemy rizikově vážených expozic k referenčnímu datu vykazování a objemy rizikově vážených expozic k předchozímu referenčnímu datu vykazování.</w:t>
      </w:r>
      <w:r>
        <w:t xml:space="preserve"> </w:t>
      </w:r>
      <w:r>
        <w:t xml:space="preserve">V případě čtvrtletního vykazování se vykazuje konec čtvrtletí před čtvrtletím referenčního data vykazování.</w:t>
      </w:r>
      <w:r>
        <w:t xml:space="preserve"> </w:t>
      </w:r>
    </w:p>
    <w:p w14:paraId="6029806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3" w:name="_Toc19715760"/>
      <w:bookmarkStart w:id="114" w:name="_Toc151714404"/>
      <w:r>
        <w:rPr>
          <w:sz w:val="24"/>
          <w:rFonts w:ascii="Times New Roman" w:hAnsi="Times New Roman"/>
        </w:rPr>
        <w:t xml:space="preserve">Pokyny pro konkrétní pozice</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sz w:val="24"/>
                <w:rFonts w:ascii="Times New Roman" w:hAnsi="Times New Roman"/>
              </w:rPr>
            </w:pPr>
            <w:r>
              <w:rPr>
                <w:sz w:val="24"/>
                <w:rFonts w:ascii="Times New Roman" w:hAnsi="Times New Roman"/>
              </w:rPr>
              <w:t xml:space="preserve">Sloupec</w:t>
            </w:r>
          </w:p>
        </w:tc>
        <w:tc>
          <w:tcPr>
            <w:tcW w:w="8843" w:type="dxa"/>
            <w:tcBorders>
              <w:bottom w:val="single" w:sz="4" w:space="0" w:color="auto"/>
            </w:tcBorders>
            <w:shd w:val="clear" w:color="auto" w:fill="CCCCCC"/>
          </w:tcPr>
          <w:p w14:paraId="247A799A"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OBJEM RIZIKOVĚ VÁŽENÝCH EXPOZIC</w:t>
            </w:r>
          </w:p>
          <w:p w14:paraId="0E2B39E4" w14:textId="77777777" w:rsidR="00FB3D09" w:rsidRPr="002A677E" w:rsidRDefault="00FB3D09" w:rsidP="00822842">
            <w:pPr>
              <w:rPr>
                <w:sz w:val="24"/>
                <w:rFonts w:ascii="Times New Roman" w:hAnsi="Times New Roman"/>
              </w:rPr>
            </w:pPr>
            <w:r>
              <w:rPr>
                <w:sz w:val="24"/>
                <w:rFonts w:ascii="Times New Roman" w:hAnsi="Times New Roman"/>
              </w:rPr>
              <w:t xml:space="preserve">Celkový objem rizikově vážené expozice pro úvěrové riziko vypočítaný podle přístupu IRB s přihlédnutím k podpůrným koeficientům v souladu s články 501 a 501a nařízení (EU) č.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sz w:val="24"/>
                <w:rFonts w:ascii="Times New Roman" w:hAnsi="Times New Roman"/>
              </w:rPr>
            </w:pPr>
            <w:r>
              <w:rPr>
                <w:sz w:val="24"/>
                <w:rFonts w:ascii="Times New Roman" w:hAnsi="Times New Roman"/>
              </w:rPr>
              <w:t xml:space="preserve">Řádky</w:t>
            </w:r>
          </w:p>
        </w:tc>
        <w:tc>
          <w:tcPr>
            <w:tcW w:w="8843" w:type="dxa"/>
            <w:shd w:val="clear" w:color="auto" w:fill="CCCCCC"/>
          </w:tcPr>
          <w:p w14:paraId="117CE12D"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OBJEM RIZIKOVĚ VÁŽENÉ EXPOZICE NA KONCI PŘEDCHOZÍHO VYKAZOVANÉHO OBDOBÍ</w:t>
            </w:r>
          </w:p>
          <w:p w14:paraId="1DA9C0B6" w14:textId="77777777" w:rsidR="00FB3D09" w:rsidRPr="002A677E" w:rsidRDefault="00FB3D09" w:rsidP="00822842">
            <w:pPr>
              <w:rPr>
                <w:sz w:val="24"/>
                <w:rFonts w:ascii="Times New Roman" w:hAnsi="Times New Roman"/>
              </w:rPr>
            </w:pPr>
            <w:r>
              <w:rPr>
                <w:sz w:val="24"/>
                <w:rFonts w:ascii="Times New Roman" w:hAnsi="Times New Roman"/>
              </w:rPr>
              <w:t xml:space="preserve">Objem rizikově vážené expozice na konci předchozího vykazovaného období po uplatnění podpůrných koeficientů pro malé a střední podniky a infrastrukturu stanovených v článcích 501 a 501a nařízení (EU) č.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VÝŠE AKTIV (+/−)</w:t>
            </w:r>
          </w:p>
          <w:p w14:paraId="1F51764D" w14:textId="77777777" w:rsidR="00FB3D09" w:rsidRPr="002A677E" w:rsidRDefault="00FB3D09" w:rsidP="00822842">
            <w:pPr>
              <w:rPr>
                <w:sz w:val="24"/>
                <w:rFonts w:ascii="Times New Roman" w:hAnsi="Times New Roman"/>
              </w:rPr>
            </w:pPr>
            <w:r>
              <w:rPr>
                <w:sz w:val="24"/>
                <w:rFonts w:ascii="Times New Roman" w:hAnsi="Times New Roman"/>
              </w:rPr>
              <w:t xml:space="preserve">Změna objemu rizikově vážené expozice mezi koncem předchozího vykazovaného období a koncem běžného vykazovaného období v důsledku změny výše aktiv, tj. běžné změny velikosti a složení portfolia (včetně vzniku nových podniků a splatných úvěrů), avšak s vyloučením změn ve velikosti portfolia v důsledku nabytí a pozbytí subjektů</w:t>
            </w:r>
          </w:p>
          <w:p w14:paraId="13341C33" w14:textId="77777777" w:rsidR="00FB3D09" w:rsidRPr="002A677E" w:rsidRDefault="00FB3D09" w:rsidP="00822842">
            <w:pPr>
              <w:rPr>
                <w:sz w:val="24"/>
                <w:rFonts w:ascii="Times New Roman" w:hAnsi="Times New Roman"/>
              </w:rPr>
            </w:pPr>
            <w:r>
              <w:rPr>
                <w:sz w:val="24"/>
                <w:rFonts w:ascii="Times New Roman" w:hAnsi="Times New Roman"/>
              </w:rPr>
              <w:t xml:space="preserve">Zvýšení objemu rizikově vážených expozic se vykazuje jako kladná hodnota a snížení objemu rizikově vážených expozic se vykazuje jako záporná hodnota.</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KVALITA AKTIV (+/−)</w:t>
            </w:r>
          </w:p>
          <w:p w14:paraId="77126645" w14:textId="77777777" w:rsidR="00FB3D09" w:rsidRPr="002A677E" w:rsidRDefault="00FB3D09" w:rsidP="00822842">
            <w:pPr>
              <w:rPr>
                <w:sz w:val="24"/>
                <w:rFonts w:ascii="Times New Roman" w:hAnsi="Times New Roman"/>
              </w:rPr>
            </w:pPr>
            <w:r>
              <w:rPr>
                <w:sz w:val="24"/>
                <w:rFonts w:ascii="Times New Roman" w:hAnsi="Times New Roman"/>
              </w:rPr>
              <w:t xml:space="preserve">Změna objemu rizikově vážené expozice mezi koncem předchozího vykazovaného období a koncem běžného vykazovaného období v důsledku změny kvality aktiv, tj. změn v odhadované kvalitě aktiv instituce z titulu změn dlužníkova rizika, jako je např. migrace ratingového stupně nebo podobné účinky</w:t>
            </w:r>
          </w:p>
          <w:p w14:paraId="17EA6F89" w14:textId="77777777" w:rsidR="00FB3D09" w:rsidRPr="002A677E" w:rsidRDefault="00FB3D09" w:rsidP="00822842">
            <w:pPr>
              <w:rPr>
                <w:sz w:val="24"/>
                <w:rFonts w:ascii="Times New Roman" w:hAnsi="Times New Roman"/>
              </w:rPr>
            </w:pPr>
            <w:r>
              <w:rPr>
                <w:sz w:val="24"/>
                <w:rFonts w:ascii="Times New Roman" w:hAnsi="Times New Roman"/>
              </w:rPr>
              <w:t xml:space="preserve">Zvýšení objemu rizikově vážených expozic se vykazuje jako kladná hodnota a snížení objemu rizikově vážených expozic se vykazuje jako záporná hodnota.</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AKTUALIZACE MODELŮ (+/−)</w:t>
            </w:r>
          </w:p>
          <w:p w14:paraId="44A30095" w14:textId="77777777" w:rsidR="00FB3D09" w:rsidRPr="002A677E" w:rsidRDefault="00FB3D09" w:rsidP="00822842">
            <w:pPr>
              <w:rPr>
                <w:sz w:val="24"/>
                <w:rFonts w:ascii="Times New Roman" w:hAnsi="Times New Roman"/>
              </w:rPr>
            </w:pPr>
            <w:r>
              <w:rPr>
                <w:sz w:val="24"/>
                <w:rFonts w:ascii="Times New Roman" w:hAnsi="Times New Roman"/>
              </w:rPr>
              <w:t xml:space="preserve">Změna objemu rizikově vážené expozice mezi koncem předchozího vykazovaného období a koncem běžného vykazovaného období v důsledku aktualizací modelů, tj. změn z titulu zavedení nových modelů, změn modelů, změn rozsahu modelů nebo jakýchkoli jiných změn týkajících se řešení slabých stránek modelů</w:t>
            </w:r>
          </w:p>
          <w:p w14:paraId="3C5A3011" w14:textId="77777777" w:rsidR="00FB3D09" w:rsidRPr="002A677E" w:rsidRDefault="00FB3D09" w:rsidP="00822842">
            <w:pPr>
              <w:rPr>
                <w:sz w:val="24"/>
                <w:rFonts w:ascii="Times New Roman" w:hAnsi="Times New Roman"/>
              </w:rPr>
            </w:pPr>
            <w:r>
              <w:rPr>
                <w:sz w:val="24"/>
                <w:rFonts w:ascii="Times New Roman" w:hAnsi="Times New Roman"/>
              </w:rPr>
              <w:t xml:space="preserve">Zvýšení objemu rizikově vážených expozic se vykazuje jako kladná hodnota a snížení objemu rizikově vážených expozic se vykazuje jako záporná hodnota.</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METODIKA A POLITIKA (+/−)</w:t>
            </w:r>
          </w:p>
          <w:p w14:paraId="630D0C5E" w14:textId="77777777" w:rsidR="00FB3D09" w:rsidRPr="002A677E" w:rsidRDefault="00FB3D09" w:rsidP="00822842">
            <w:pPr>
              <w:rPr>
                <w:sz w:val="24"/>
                <w:rFonts w:ascii="Times New Roman" w:hAnsi="Times New Roman"/>
              </w:rPr>
            </w:pPr>
            <w:r>
              <w:rPr>
                <w:sz w:val="24"/>
                <w:rFonts w:ascii="Times New Roman" w:hAnsi="Times New Roman"/>
              </w:rPr>
              <w:t xml:space="preserve">Změna objemu rizikově vážené expozice mezi koncem předchozího vykazovaného období a koncem běžného vykazovaného období v důsledku metodiky a politiky, tj. změn z titulu metodických změn ve výpočtech způsobených změnami regulační politiky, včetně revizí stávajících předpisů i nových předpisů, s výjimkou změn modelů, které jsou zahrnuty do řádku 0040</w:t>
            </w:r>
            <w:r>
              <w:rPr>
                <w:sz w:val="24"/>
                <w:rFonts w:ascii="Times New Roman" w:hAnsi="Times New Roman"/>
              </w:rPr>
              <w:t xml:space="preserve"> </w:t>
            </w:r>
          </w:p>
          <w:p w14:paraId="06A06D42" w14:textId="77777777" w:rsidR="00FB3D09" w:rsidRPr="002A677E" w:rsidRDefault="00FB3D09" w:rsidP="00822842">
            <w:pPr>
              <w:rPr>
                <w:sz w:val="24"/>
                <w:rFonts w:ascii="Times New Roman" w:hAnsi="Times New Roman"/>
              </w:rPr>
            </w:pPr>
            <w:r>
              <w:rPr>
                <w:sz w:val="24"/>
                <w:rFonts w:ascii="Times New Roman" w:hAnsi="Times New Roman"/>
              </w:rPr>
              <w:t xml:space="preserve">Zvýšení objemu rizikově vážených expozic se vykazuje jako kladná hodnota a snížení objemu rizikově vážených expozic se vykazuje jako záporná hodnota.</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NABYTÍ A POZBYTÍ (+/−)</w:t>
            </w:r>
          </w:p>
          <w:p w14:paraId="3CDAAB15" w14:textId="77777777" w:rsidR="00FB3D09" w:rsidRPr="002A677E" w:rsidRDefault="00FB3D09" w:rsidP="00822842">
            <w:pPr>
              <w:rPr>
                <w:sz w:val="24"/>
                <w:rFonts w:ascii="Times New Roman" w:hAnsi="Times New Roman"/>
              </w:rPr>
            </w:pPr>
            <w:r>
              <w:rPr>
                <w:sz w:val="24"/>
                <w:rFonts w:ascii="Times New Roman" w:hAnsi="Times New Roman"/>
              </w:rPr>
              <w:t xml:space="preserve">Změna objemu rizikově vážené expozice mezi koncem předchozího vykazovaného období a koncem běžného vykazovaného období, ke které došlo v důsledku nabytí a pozbytí, tj. změn velikosti portfolia v důsledku nabytí a pozbytí subjektů</w:t>
            </w:r>
          </w:p>
          <w:p w14:paraId="2BE224B0" w14:textId="77777777" w:rsidR="00FB3D09" w:rsidRPr="002A677E" w:rsidRDefault="00FB3D09" w:rsidP="00822842">
            <w:pPr>
              <w:rPr>
                <w:sz w:val="24"/>
                <w:rFonts w:ascii="Times New Roman" w:hAnsi="Times New Roman"/>
              </w:rPr>
            </w:pPr>
            <w:r>
              <w:rPr>
                <w:sz w:val="24"/>
                <w:rFonts w:ascii="Times New Roman" w:hAnsi="Times New Roman"/>
              </w:rPr>
              <w:t xml:space="preserve">Zvýšení objemu rizikově vážených expozic se vykazuje jako kladná hodnota a snížení objemu rizikově vážených expozic se vykazuje jako záporná hodnota.</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DEVIZOVÉ POHYBY (+/−)</w:t>
            </w:r>
          </w:p>
          <w:p w14:paraId="5F574A4B" w14:textId="77777777" w:rsidR="00FB3D09" w:rsidRPr="002A677E" w:rsidRDefault="00FB3D09" w:rsidP="00822842">
            <w:pPr>
              <w:rPr>
                <w:sz w:val="24"/>
                <w:rFonts w:ascii="Times New Roman" w:hAnsi="Times New Roman"/>
              </w:rPr>
            </w:pPr>
            <w:r>
              <w:rPr>
                <w:sz w:val="24"/>
                <w:rFonts w:ascii="Times New Roman" w:hAnsi="Times New Roman"/>
              </w:rPr>
              <w:t xml:space="preserve">Změna objemu rizikově vážené expozice mezi koncem předchozího vykazovaného období a koncem běžného vykazovaného období, ke které došlo v důsledku devizových pohybů, tj. změn způsobených pohyby převodů z cizích měn</w:t>
            </w:r>
          </w:p>
          <w:p w14:paraId="32C9FB56" w14:textId="77777777" w:rsidR="00FB3D09" w:rsidRPr="002A677E" w:rsidRDefault="00FB3D09" w:rsidP="00822842">
            <w:pPr>
              <w:rPr>
                <w:sz w:val="24"/>
                <w:rFonts w:ascii="Times New Roman" w:hAnsi="Times New Roman"/>
              </w:rPr>
            </w:pPr>
            <w:r>
              <w:rPr>
                <w:sz w:val="24"/>
                <w:rFonts w:ascii="Times New Roman" w:hAnsi="Times New Roman"/>
              </w:rPr>
              <w:t xml:space="preserve">Zvýšení objemu rizikově vážených expozic se vykazuje jako kladná hodnota a snížení objemu rizikově vážených expozic se vykazuje jako záporná hodnota.</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OSTATNÍ (+/–)</w:t>
            </w:r>
          </w:p>
          <w:p w14:paraId="5F09C0BA" w14:textId="77777777" w:rsidR="00FB3D09" w:rsidRPr="002A677E" w:rsidRDefault="00FB3D09" w:rsidP="00822842">
            <w:pPr>
              <w:rPr>
                <w:sz w:val="24"/>
                <w:rFonts w:ascii="Times New Roman" w:hAnsi="Times New Roman"/>
              </w:rPr>
            </w:pPr>
            <w:r>
              <w:rPr>
                <w:sz w:val="24"/>
                <w:rFonts w:ascii="Times New Roman" w:hAnsi="Times New Roman"/>
              </w:rPr>
              <w:t xml:space="preserve">Změna objemu rizikově vážené expozice mezi koncem předchozího vykazovaného období a koncem běžného vykazovaného období, ke které došlo z jiných důvodů</w:t>
            </w:r>
          </w:p>
          <w:p w14:paraId="14338D91" w14:textId="77777777" w:rsidR="00FB3D09" w:rsidRPr="002A677E" w:rsidRDefault="00FB3D09" w:rsidP="00822842">
            <w:pPr>
              <w:rPr>
                <w:sz w:val="24"/>
                <w:rFonts w:ascii="Times New Roman" w:hAnsi="Times New Roman"/>
              </w:rPr>
            </w:pPr>
            <w:r>
              <w:rPr>
                <w:sz w:val="24"/>
                <w:rFonts w:ascii="Times New Roman" w:hAnsi="Times New Roman"/>
              </w:rPr>
              <w:t xml:space="preserve">Tato kategorie se použije k zachycení změn, které nelze zařadit do žádné jiné kategorie.</w:t>
            </w:r>
            <w:r>
              <w:rPr>
                <w:sz w:val="24"/>
                <w:rFonts w:ascii="Times New Roman" w:hAnsi="Times New Roman"/>
              </w:rPr>
              <w:t xml:space="preserve"> </w:t>
            </w:r>
          </w:p>
          <w:p w14:paraId="18CAC008" w14:textId="77777777" w:rsidR="00FB3D09" w:rsidRPr="002A677E" w:rsidRDefault="00FB3D09" w:rsidP="00822842">
            <w:pPr>
              <w:rPr>
                <w:sz w:val="24"/>
                <w:rFonts w:ascii="Times New Roman" w:hAnsi="Times New Roman"/>
              </w:rPr>
            </w:pPr>
            <w:r>
              <w:rPr>
                <w:sz w:val="24"/>
                <w:rFonts w:ascii="Times New Roman" w:hAnsi="Times New Roman"/>
              </w:rPr>
              <w:t xml:space="preserve">Zvýšení objemu rizikově vážených expozic se vykazuje jako kladná hodnota a snížení objemu rizikově vážených expozic se vykazuje jako záporná hodnota.</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OBJEM RIZIKOVĚ VÁŽENÉ EXPOZICE NA KONCI VYKAZOVANÉHO OBDOBÍ</w:t>
            </w:r>
          </w:p>
          <w:p w14:paraId="1FFEC50C" w14:textId="77777777" w:rsidR="00FB3D09" w:rsidRPr="002A677E" w:rsidRDefault="00FB3D09" w:rsidP="00822842">
            <w:pPr>
              <w:pStyle w:val="CommentText"/>
            </w:pPr>
            <w:r>
              <w:rPr>
                <w:sz w:val="24"/>
                <w:rFonts w:ascii="Times New Roman" w:hAnsi="Times New Roman"/>
              </w:rPr>
              <w:t xml:space="preserve">Objem rizikově vážené expozice ve vykazovaném období po uplatnění podpůrných koeficientů pro malé a střední podniky a infrastrukturu stanovených v článcích 501 a 501a nařízení (EU) č. 575/2013</w:t>
            </w:r>
          </w:p>
        </w:tc>
      </w:tr>
    </w:tbl>
    <w:p w14:paraId="49993E55"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15" w:name="_Toc19715761"/>
      <w:bookmarkStart w:id="116" w:name="_Toc151714405"/>
      <w:r>
        <w:rPr>
          <w:sz w:val="24"/>
          <w:rFonts w:ascii="Times New Roman" w:hAnsi="Times New Roman"/>
        </w:rPr>
        <w:t xml:space="preserve">C 08.05 – Úvěrové riziko a volné dodávky:</w:t>
      </w:r>
      <w:r>
        <w:rPr>
          <w:sz w:val="24"/>
          <w:rFonts w:ascii="Times New Roman" w:hAnsi="Times New Roman"/>
        </w:rPr>
        <w:t xml:space="preserve"> </w:t>
      </w:r>
      <w:r>
        <w:rPr>
          <w:sz w:val="24"/>
          <w:rFonts w:ascii="Times New Roman" w:hAnsi="Times New Roman"/>
        </w:rPr>
        <w:t xml:space="preserve">přístup IRB ke kapitálovým požadavkům (zpětné testování PD (CR IRB 5))</w:t>
      </w:r>
      <w:bookmarkEnd w:id="115"/>
      <w:bookmarkEnd w:id="116"/>
    </w:p>
    <w:p w14:paraId="16F92F14"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7" w:name="_Toc19715762"/>
      <w:bookmarkStart w:id="118" w:name="_Toc151714406"/>
      <w:r>
        <w:rPr>
          <w:sz w:val="24"/>
          <w:rFonts w:ascii="Times New Roman" w:hAnsi="Times New Roman"/>
        </w:rPr>
        <w:t xml:space="preserve">Obecné poznámky</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80</w:t>
      </w:r>
      <w:r>
        <w:fldChar w:fldCharType="end"/>
      </w:r>
      <w:r>
        <w:t xml:space="preserve">.</w:t>
      </w:r>
      <w:r>
        <w:t xml:space="preserve"> </w:t>
      </w:r>
      <w:r>
        <w:t xml:space="preserve">Instituce vykazují informace obsažené v této šabloně podle čl. 452 písm. h) nařízení (EU) č. 575/2013.</w:t>
      </w:r>
      <w:r>
        <w:t xml:space="preserve"> </w:t>
      </w:r>
      <w:r>
        <w:t xml:space="preserve">Instituce zváží modely používané v každé kategorii expozic a vysvětlí procentní podíl objemu rizikově vážené expozice příslušné kategorie expozic, na kterou se vztahují modely a pro niž jsou zde uvedeny výsledky zpětného testování.</w:t>
      </w:r>
      <w:r>
        <w:t xml:space="preserve"> </w:t>
      </w:r>
      <w:r>
        <w:t xml:space="preserve">Tato šablona nezahrnuje expozice úvěrového rizika protistrany (část třetí hlava II kapitola 6 nařízení (EU) č. 575/2013).</w:t>
      </w:r>
    </w:p>
    <w:p w14:paraId="584B488E"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9" w:name="_Toc19715763"/>
      <w:bookmarkStart w:id="120" w:name="_Toc151714407"/>
      <w:r>
        <w:rPr>
          <w:sz w:val="24"/>
          <w:rFonts w:ascii="Times New Roman" w:hAnsi="Times New Roman"/>
        </w:rPr>
        <w:t xml:space="preserve">Pokyny pro konkrétní pozice</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sz w:val="24"/>
                <w:rFonts w:ascii="Times New Roman" w:hAnsi="Times New Roman"/>
              </w:rPr>
            </w:pPr>
            <w:r>
              <w:rPr>
                <w:sz w:val="24"/>
                <w:rFonts w:ascii="Times New Roman" w:hAnsi="Times New Roman"/>
              </w:rPr>
              <w:t xml:space="preserve">Sloupce</w:t>
            </w:r>
          </w:p>
        </w:tc>
        <w:tc>
          <w:tcPr>
            <w:tcW w:w="8843" w:type="dxa"/>
            <w:shd w:val="clear" w:color="auto" w:fill="CCCCCC"/>
          </w:tcPr>
          <w:p w14:paraId="2736A610"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ARITMETICKÝ PRŮMĚR PD (%)</w:t>
            </w:r>
          </w:p>
          <w:p w14:paraId="369D866D" w14:textId="77777777" w:rsidR="00FB3D09" w:rsidRPr="002A677E" w:rsidRDefault="00FB3D09" w:rsidP="00822842">
            <w:pPr>
              <w:rPr>
                <w:b/>
                <w:sz w:val="24"/>
                <w:rFonts w:ascii="Times New Roman" w:hAnsi="Times New Roman"/>
              </w:rPr>
            </w:pPr>
            <w:r>
              <w:rPr>
                <w:sz w:val="24"/>
                <w:rFonts w:ascii="Times New Roman" w:hAnsi="Times New Roman"/>
              </w:rPr>
              <w:t xml:space="preserve">Aritmetický průměr PD na začátku vykazovaného období u dlužníků, kteří spadají do koše pevného rozmezí PD vypočítaný ve sloupci 0020 (průměr vážený počtem dlužníků)</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POČET DLUŽNÍKŮ NA KONCI PŘEDCHOZÍHO ROKU</w:t>
            </w:r>
          </w:p>
          <w:p w14:paraId="1D7F3DCC" w14:textId="77777777" w:rsidR="00FB3D09" w:rsidRPr="002A677E" w:rsidRDefault="00FB3D09" w:rsidP="00822842">
            <w:pPr>
              <w:rPr>
                <w:sz w:val="24"/>
                <w:rFonts w:ascii="Times New Roman" w:hAnsi="Times New Roman"/>
              </w:rPr>
            </w:pPr>
            <w:r>
              <w:rPr>
                <w:sz w:val="24"/>
                <w:rFonts w:ascii="Times New Roman" w:hAnsi="Times New Roman"/>
              </w:rPr>
              <w:t xml:space="preserve">Počet dlužníků na konci předchozího vykazovaného roku</w:t>
            </w:r>
            <w:r>
              <w:rPr>
                <w:sz w:val="24"/>
                <w:rFonts w:ascii="Times New Roman" w:hAnsi="Times New Roman"/>
              </w:rPr>
              <w:t xml:space="preserve"> </w:t>
            </w:r>
          </w:p>
          <w:p w14:paraId="35726FB6" w14:textId="77777777" w:rsidR="00FB3D09" w:rsidRPr="002A677E" w:rsidRDefault="00FB3D09" w:rsidP="00822842">
            <w:pPr>
              <w:rPr>
                <w:sz w:val="24"/>
                <w:rFonts w:ascii="Times New Roman" w:hAnsi="Times New Roman"/>
              </w:rPr>
            </w:pPr>
            <w:r>
              <w:rPr>
                <w:sz w:val="24"/>
                <w:rFonts w:ascii="Times New Roman" w:hAnsi="Times New Roman"/>
              </w:rPr>
              <w:t xml:space="preserve">Uvedou se všichni dlužníci, kteří mají v příslušném okamžiku úvěrový závazek.</w:t>
            </w:r>
            <w:r>
              <w:rPr>
                <w:sz w:val="24"/>
                <w:rFonts w:ascii="Times New Roman" w:hAnsi="Times New Roman"/>
              </w:rPr>
              <w:t xml:space="preserve"> </w:t>
            </w:r>
          </w:p>
          <w:p w14:paraId="0234603A" w14:textId="77777777" w:rsidR="00FB3D09" w:rsidRPr="002A677E" w:rsidRDefault="00FB3D09" w:rsidP="00822842">
            <w:pPr>
              <w:rPr>
                <w:sz w:val="24"/>
                <w:rFonts w:ascii="Times New Roman" w:hAnsi="Times New Roman"/>
              </w:rPr>
            </w:pPr>
            <w:r>
              <w:rPr>
                <w:sz w:val="24"/>
                <w:rFonts w:ascii="Times New Roman" w:hAnsi="Times New Roman"/>
              </w:rPr>
              <w:t xml:space="preserve">Počet dlužníků se vypočítá v souladu s pokyny ve sloupci 0300 šablony C 08.01.</w:t>
            </w:r>
            <w:r>
              <w:rPr>
                <w:sz w:val="24"/>
                <w:rFonts w:ascii="Times New Roman" w:hAnsi="Times New Roman"/>
              </w:rPr>
              <w:t xml:space="preserve"> </w:t>
            </w:r>
            <w:r>
              <w:rPr>
                <w:sz w:val="24"/>
                <w:rFonts w:ascii="Times New Roman" w:hAnsi="Times New Roman"/>
              </w:rPr>
              <w:t xml:space="preserve">Se společnými dlužníky se zachází stejným způsobem jako pro účely kalibrace PD.</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 TOHO:</w:t>
            </w:r>
            <w:r>
              <w:rPr>
                <w:b/>
                <w:sz w:val="24"/>
                <w:u w:val="single"/>
                <w:rFonts w:ascii="Times New Roman" w:hAnsi="Times New Roman"/>
              </w:rPr>
              <w:t xml:space="preserve"> </w:t>
            </w:r>
            <w:r>
              <w:rPr>
                <w:b/>
                <w:sz w:val="24"/>
                <w:u w:val="single"/>
                <w:rFonts w:ascii="Times New Roman" w:hAnsi="Times New Roman"/>
              </w:rPr>
              <w:t xml:space="preserve">V SELHÁNÍ BĚHEM ROKU</w:t>
            </w:r>
          </w:p>
          <w:p w14:paraId="62E6E1C3"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Počet dlužníků, u nichž došlo k selhání během roku (tj. sledovaného období pro výpočet míry selhání)</w:t>
            </w:r>
            <w:r>
              <w:rPr>
                <w:sz w:val="24"/>
                <w:rFonts w:ascii="Times New Roman" w:hAnsi="Times New Roman"/>
              </w:rPr>
              <w:t xml:space="preserve"> </w:t>
            </w:r>
          </w:p>
          <w:p w14:paraId="4E6FF3A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Selhání se určí v souladu s článkem 178 nařízení (EU) č. 575/2013.</w:t>
            </w:r>
            <w:r>
              <w:rPr>
                <w:sz w:val="24"/>
                <w:rFonts w:ascii="Times New Roman" w:hAnsi="Times New Roman"/>
              </w:rPr>
              <w:t xml:space="preserve"> </w:t>
            </w:r>
          </w:p>
          <w:p w14:paraId="37E2D9CF"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Každý dlužník, u nějž došlo k selhání, se v čitateli a jmenovateli výpočtu jednoletého poměru selhání počítá pouze jednou, a to i v případě, že u dlužníka během příslušného jednoletého období došlo k selhání více než jednou.</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ZJIŠTĚNÝ PRŮMĚRNÝ PODÍL SELHÁNÍ (%)</w:t>
            </w:r>
          </w:p>
          <w:p w14:paraId="2D64742F"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Jednoletý poměr selhání podle čl. 4 odst. 1 bodu 78 nařízení (EU) č. 575/2013</w:t>
            </w:r>
          </w:p>
          <w:p w14:paraId="01C9FA62"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Instituce zajistí:</w:t>
            </w:r>
          </w:p>
          <w:p w14:paraId="3C9723C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a) aby se jmenovatel skládal z počtu dlužníků s jakýmkoli úvěrovým závazkem pozorovaným na začátku sledovaného jednoletého období (tj. na začátku roku předcházejícího referenčnímu datu vykazování), u nichž nedošlo k selhání;</w:t>
            </w:r>
            <w:r>
              <w:rPr>
                <w:sz w:val="24"/>
                <w:rFonts w:ascii="Times New Roman" w:hAnsi="Times New Roman"/>
              </w:rPr>
              <w:t xml:space="preserve"> </w:t>
            </w:r>
            <w:r>
              <w:rPr>
                <w:sz w:val="24"/>
                <w:rFonts w:ascii="Times New Roman" w:hAnsi="Times New Roman"/>
              </w:rPr>
              <w:t xml:space="preserve">v této souvislosti se úvěrovým závazkem rozumí:</w:t>
            </w:r>
            <w:r>
              <w:rPr>
                <w:sz w:val="24"/>
                <w:rFonts w:ascii="Times New Roman" w:hAnsi="Times New Roman"/>
              </w:rPr>
              <w:t xml:space="preserve"> </w:t>
            </w:r>
            <w:r>
              <w:rPr>
                <w:sz w:val="24"/>
                <w:rFonts w:ascii="Times New Roman" w:hAnsi="Times New Roman"/>
              </w:rPr>
              <w:t xml:space="preserve">i) jakákoli rozvahová položka, včetně jakékoli částky jistiny, úroků a poplatků;</w:t>
            </w:r>
            <w:r>
              <w:rPr>
                <w:sz w:val="24"/>
                <w:rFonts w:ascii="Times New Roman" w:hAnsi="Times New Roman"/>
              </w:rPr>
              <w:t xml:space="preserve"> </w:t>
            </w:r>
            <w:r>
              <w:rPr>
                <w:sz w:val="24"/>
                <w:rFonts w:ascii="Times New Roman" w:hAnsi="Times New Roman"/>
              </w:rPr>
              <w:t xml:space="preserve">ii) jakékoli podrozvahové položky, včetně záruk, které instituce vydala jako ručitel;</w:t>
            </w:r>
          </w:p>
          <w:p w14:paraId="0D440FD1" w14:textId="77777777" w:rsidR="00FB3D09" w:rsidRPr="002A677E" w:rsidRDefault="00FB3D09" w:rsidP="00822842">
            <w:pPr>
              <w:rPr>
                <w:sz w:val="24"/>
                <w:rFonts w:ascii="Times New Roman" w:hAnsi="Times New Roman"/>
              </w:rPr>
            </w:pPr>
            <w:r>
              <w:rPr>
                <w:sz w:val="24"/>
                <w:rFonts w:ascii="Times New Roman" w:hAnsi="Times New Roman"/>
              </w:rPr>
              <w:t xml:space="preserve">b) aby čitatel zahrnoval všechny dlužníky uvažované ve jmenovateli, u nichž během sledovaného jednoletého období (rok před referenčním datem vykazování) došlo alespoň k jednomu selhání.</w:t>
            </w:r>
          </w:p>
          <w:p w14:paraId="071F87D7" w14:textId="77777777" w:rsidR="00FB3D09" w:rsidRPr="002A677E" w:rsidRDefault="00FB3D09" w:rsidP="00822842">
            <w:pPr>
              <w:rPr>
                <w:sz w:val="24"/>
                <w:rFonts w:ascii="Times New Roman" w:hAnsi="Times New Roman"/>
              </w:rPr>
            </w:pPr>
            <w:r>
              <w:rPr>
                <w:sz w:val="24"/>
                <w:rFonts w:ascii="Times New Roman" w:hAnsi="Times New Roman"/>
              </w:rPr>
              <w:t xml:space="preserve">Postup stanovení počtu dlužníků je uveden ve sloupci 0300 šablony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sz w:val="24"/>
                <w:u w:val="single"/>
                <w:rFonts w:ascii="Times New Roman" w:hAnsi="Times New Roman"/>
              </w:rPr>
            </w:pPr>
            <w:r>
              <w:rPr>
                <w:b/>
                <w:sz w:val="24"/>
                <w:u w:val="single"/>
                <w:rFonts w:ascii="Times New Roman" w:hAnsi="Times New Roman"/>
              </w:rPr>
              <w:t xml:space="preserve">PRŮMĚRNÝ HISTORICKÝ ROČNÍ PODÍL SELHÁNÍ (%)</w:t>
            </w:r>
          </w:p>
          <w:p w14:paraId="584459CD" w14:textId="77777777" w:rsidR="00FB3D09" w:rsidRPr="002A677E" w:rsidRDefault="00FB3D09" w:rsidP="00822842">
            <w:pPr>
              <w:rPr>
                <w:sz w:val="24"/>
                <w:rFonts w:ascii="Times New Roman" w:hAnsi="Times New Roman"/>
              </w:rPr>
            </w:pPr>
            <w:r>
              <w:rPr>
                <w:sz w:val="24"/>
                <w:rFonts w:ascii="Times New Roman" w:hAnsi="Times New Roman"/>
              </w:rPr>
              <w:t xml:space="preserve">Minimem je aritmetický průměr ročních podílů selhání za posledních pět let (dlužníci na začátku každého roku, kteří jsou v průběhu daného roku v selhání / celkový počet dlužníků na začátku roku).</w:t>
            </w:r>
            <w:r>
              <w:rPr>
                <w:sz w:val="24"/>
                <w:rFonts w:ascii="Times New Roman" w:hAnsi="Times New Roman"/>
              </w:rPr>
              <w:t xml:space="preserve"> </w:t>
            </w:r>
            <w:r>
              <w:rPr>
                <w:sz w:val="24"/>
                <w:rFonts w:ascii="Times New Roman" w:hAnsi="Times New Roman"/>
              </w:rPr>
              <w:t xml:space="preserve">Instituce může použít delší historické období, které odpovídá jejím současným postupům řízení rizik.</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sz w:val="24"/>
                <w:rFonts w:ascii="Times New Roman" w:hAnsi="Times New Roman"/>
              </w:rPr>
            </w:pPr>
            <w:r>
              <w:rPr>
                <w:sz w:val="24"/>
                <w:rFonts w:ascii="Times New Roman" w:hAnsi="Times New Roman"/>
              </w:rPr>
              <w:t xml:space="preserve">Řádky</w:t>
            </w:r>
          </w:p>
        </w:tc>
        <w:tc>
          <w:tcPr>
            <w:tcW w:w="8557" w:type="dxa"/>
            <w:shd w:val="clear" w:color="auto" w:fill="auto"/>
          </w:tcPr>
          <w:p w14:paraId="65FC4F8D"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3C8ED033" w14:textId="77777777" w:rsidTr="00822842">
        <w:tc>
          <w:tcPr>
            <w:tcW w:w="1271" w:type="dxa"/>
          </w:tcPr>
          <w:p w14:paraId="514F1159" w14:textId="77777777" w:rsidR="00FB3D09" w:rsidRPr="002A677E" w:rsidRDefault="00FB3D09" w:rsidP="00822842">
            <w:pPr>
              <w:rPr>
                <w:sz w:val="24"/>
                <w:rFonts w:ascii="Times New Roman" w:hAnsi="Times New Roman"/>
              </w:rPr>
            </w:pPr>
            <w:r>
              <w:rPr>
                <w:sz w:val="24"/>
                <w:rFonts w:ascii="Times New Roman" w:hAnsi="Times New Roman"/>
              </w:rPr>
              <w:t xml:space="preserve">ROZMEZÍ PD</w:t>
            </w:r>
          </w:p>
        </w:tc>
        <w:tc>
          <w:tcPr>
            <w:tcW w:w="8557" w:type="dxa"/>
          </w:tcPr>
          <w:p w14:paraId="61595E98" w14:textId="56A50A6C" w:rsidR="00FB3D09" w:rsidRPr="002A677E" w:rsidRDefault="00FB3D09" w:rsidP="00822842">
            <w:pPr>
              <w:rPr>
                <w:sz w:val="24"/>
                <w:rFonts w:ascii="Times New Roman" w:hAnsi="Times New Roman"/>
              </w:rPr>
            </w:pPr>
            <w:r>
              <w:rPr>
                <w:sz w:val="24"/>
                <w:rFonts w:ascii="Times New Roman" w:hAnsi="Times New Roman"/>
              </w:rPr>
              <w:t xml:space="preserve">Expozice se přiřadí do vhodného koše pevného rozmezí PD na základě PD pro každého dlužníka zařazeného do dané kategorie expozic (se zohledněním případných substitučních účinků v důsledku snižování úvěrového rizika) odhadnuté na začátku vykazovaného období.</w:t>
            </w:r>
            <w:r>
              <w:rPr>
                <w:sz w:val="24"/>
                <w:rFonts w:ascii="Times New Roman" w:hAnsi="Times New Roman"/>
              </w:rPr>
              <w:t xml:space="preserve"> </w:t>
            </w:r>
            <w:r>
              <w:rPr>
                <w:sz w:val="24"/>
                <w:rFonts w:ascii="Times New Roman" w:hAnsi="Times New Roman"/>
              </w:rPr>
              <w:t xml:space="preserve">Instituce přiřadí jednotlivé expozice k rozmezí PD uvedenému v šabloně s přihlédnutím ke kontinuálním stupnicím.</w:t>
            </w:r>
            <w:r>
              <w:rPr>
                <w:sz w:val="24"/>
                <w:rFonts w:ascii="Times New Roman" w:hAnsi="Times New Roman"/>
              </w:rPr>
              <w:t xml:space="preserve"> </w:t>
            </w:r>
            <w:r>
              <w:rPr>
                <w:sz w:val="24"/>
                <w:rFonts w:ascii="Times New Roman" w:hAnsi="Times New Roman"/>
              </w:rPr>
              <w:t xml:space="preserve">Všechny expozice, u nichž došlo k selhání, se zahrnují do koše PD o hodnotě 100 %.</w:t>
            </w:r>
          </w:p>
        </w:tc>
      </w:tr>
    </w:tbl>
    <w:p w14:paraId="4DD60C58"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1" w:name="_Toc19715764"/>
      <w:bookmarkStart w:id="122" w:name="_Toc151714408"/>
      <w:r>
        <w:rPr>
          <w:sz w:val="24"/>
          <w:rFonts w:ascii="Times New Roman" w:hAnsi="Times New Roman"/>
        </w:rPr>
        <w:t xml:space="preserve">C 08.05.1 – Úvěrové riziko a volné dodávky:</w:t>
      </w:r>
      <w:r>
        <w:rPr>
          <w:sz w:val="24"/>
          <w:rFonts w:ascii="Times New Roman" w:hAnsi="Times New Roman"/>
        </w:rPr>
        <w:t xml:space="preserve"> </w:t>
      </w:r>
      <w:r>
        <w:rPr>
          <w:sz w:val="24"/>
          <w:rFonts w:ascii="Times New Roman" w:hAnsi="Times New Roman"/>
        </w:rPr>
        <w:t xml:space="preserve">Přístup ke kapitálovým požadavkům založený na interním ratingu (IRB):</w:t>
      </w:r>
      <w:r>
        <w:rPr>
          <w:sz w:val="24"/>
          <w:rFonts w:ascii="Times New Roman" w:hAnsi="Times New Roman"/>
        </w:rPr>
        <w:t xml:space="preserve"> </w:t>
      </w:r>
      <w:r>
        <w:rPr>
          <w:sz w:val="24"/>
          <w:rFonts w:ascii="Times New Roman" w:hAnsi="Times New Roman"/>
        </w:rPr>
        <w:t xml:space="preserve">Zpětné testování PD podle čl. 180 odst. 1 písm. f) nařízení (EU) č. 575/2013 (CR IRB 5B)</w:t>
      </w:r>
      <w:bookmarkEnd w:id="121"/>
      <w:bookmarkEnd w:id="122"/>
    </w:p>
    <w:p w14:paraId="27A4615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3" w:name="_Toc19715765"/>
      <w:bookmarkStart w:id="124" w:name="_Toc151714409"/>
      <w:r>
        <w:rPr>
          <w:sz w:val="24"/>
          <w:rFonts w:ascii="Times New Roman" w:hAnsi="Times New Roman"/>
        </w:rPr>
        <w:t xml:space="preserve">Pokyny pro konkrétní pozice</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81</w:t>
      </w:r>
      <w:r>
        <w:fldChar w:fldCharType="end"/>
      </w:r>
      <w:r>
        <w:t xml:space="preserve">.</w:t>
      </w:r>
      <w:r>
        <w:t xml:space="preserve"> </w:t>
      </w:r>
      <w:r>
        <w:t xml:space="preserve">Kromě šablony C 08.05 instituce vykazují informace obsažené v šabloně C 08.05.1 v případě, že pro odhad PD použijí čl. 180 odst. 1 písm. f) nařízení (EU) č. 575/2013, a pouze pro odhady PD v souladu s týmž článkem.</w:t>
      </w:r>
      <w:r>
        <w:t xml:space="preserve"> </w:t>
      </w:r>
      <w:r>
        <w:t xml:space="preserve">Pokyny jsou stejné jako pro šablonu C 08.05, s těmito výjimkami: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sz w:val="24"/>
                <w:rFonts w:ascii="Times New Roman" w:hAnsi="Times New Roman"/>
              </w:rPr>
            </w:pPr>
            <w:r>
              <w:rPr>
                <w:sz w:val="24"/>
                <w:rFonts w:ascii="Times New Roman" w:hAnsi="Times New Roman"/>
              </w:rPr>
              <w:t xml:space="preserve">Sloupce</w:t>
            </w:r>
          </w:p>
        </w:tc>
        <w:tc>
          <w:tcPr>
            <w:tcW w:w="8843" w:type="dxa"/>
            <w:shd w:val="clear" w:color="auto" w:fill="CCCCCC"/>
          </w:tcPr>
          <w:p w14:paraId="63A7247A"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8843" w:type="dxa"/>
            <w:shd w:val="clear" w:color="auto" w:fill="auto"/>
          </w:tcPr>
          <w:p w14:paraId="1D4720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ROZMEZÍ PD</w:t>
            </w:r>
          </w:p>
          <w:p w14:paraId="4CAAE100" w14:textId="77777777" w:rsidR="00FB3D09" w:rsidRPr="002A677E" w:rsidRDefault="00FB3D09" w:rsidP="00822842">
            <w:pPr>
              <w:rPr>
                <w:sz w:val="24"/>
                <w:rFonts w:ascii="Times New Roman" w:hAnsi="Times New Roman"/>
              </w:rPr>
            </w:pPr>
            <w:r>
              <w:rPr>
                <w:sz w:val="24"/>
                <w:rFonts w:ascii="Times New Roman" w:hAnsi="Times New Roman"/>
              </w:rPr>
              <w:t xml:space="preserve">Instituce namísto pevného externího rozsahu PD vykazují rozmezí PD </w:t>
            </w:r>
            <w:r>
              <w:rPr>
                <w:sz w:val="24"/>
                <w:rStyle w:val="InstructionsTabelleText"/>
                <w:rFonts w:ascii="Times New Roman" w:hAnsi="Times New Roman"/>
              </w:rPr>
              <w:t xml:space="preserve">v souladu se</w:t>
            </w:r>
            <w:r>
              <w:rPr>
                <w:sz w:val="24"/>
                <w:rFonts w:ascii="Times New Roman" w:hAnsi="Times New Roman"/>
              </w:rPr>
              <w:t xml:space="preserve"> svými interními stupni, které přiřazují ke stupnici používané externí ratingovou agenturou.</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sz w:val="24"/>
                <w:rFonts w:ascii="Times New Roman" w:hAnsi="Times New Roman"/>
              </w:rPr>
            </w:pPr>
            <w:r>
              <w:rPr>
                <w:sz w:val="24"/>
                <w:rFonts w:ascii="Times New Roman" w:hAnsi="Times New Roman"/>
              </w:rPr>
              <w:t xml:space="preserve">0006</w:t>
            </w:r>
          </w:p>
        </w:tc>
        <w:tc>
          <w:tcPr>
            <w:tcW w:w="8843" w:type="dxa"/>
            <w:shd w:val="clear" w:color="auto" w:fill="auto"/>
          </w:tcPr>
          <w:p w14:paraId="6793AD5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ODPOVÍDAJÍCÍ HODNOTA EXTERNÍHO RATINGU</w:t>
            </w:r>
          </w:p>
          <w:p w14:paraId="276EE83C" w14:textId="77777777" w:rsidR="00FB3D09" w:rsidRPr="002A677E" w:rsidRDefault="00FB3D09" w:rsidP="00822842">
            <w:pPr>
              <w:rPr>
                <w:sz w:val="24"/>
                <w:rFonts w:ascii="Times New Roman" w:hAnsi="Times New Roman"/>
              </w:rPr>
            </w:pPr>
            <w:r>
              <w:rPr>
                <w:sz w:val="24"/>
                <w:rFonts w:ascii="Times New Roman" w:hAnsi="Times New Roman"/>
              </w:rPr>
              <w:t xml:space="preserve">Instituce vyplňují jeden sloupec pro každou externí ratingovou agenturu, jež se zohlední podle čl. 180 odst. 1 písm. f) nařízení (EU) č. 575/2013.</w:t>
            </w:r>
            <w:r>
              <w:rPr>
                <w:sz w:val="24"/>
                <w:rFonts w:ascii="Times New Roman" w:hAnsi="Times New Roman"/>
              </w:rPr>
              <w:t xml:space="preserve"> </w:t>
            </w:r>
            <w:r>
              <w:rPr>
                <w:sz w:val="24"/>
                <w:rFonts w:ascii="Times New Roman" w:hAnsi="Times New Roman"/>
              </w:rPr>
              <w:t xml:space="preserve">Instituce v těchto sloupcích uvedou externí rating, k němuž jsou přiřazeny jejich interní rozsahy PD.</w:t>
            </w:r>
          </w:p>
        </w:tc>
      </w:tr>
    </w:tbl>
    <w:p w14:paraId="1CA8A0ED"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5" w:name="_Toc19715766"/>
      <w:bookmarkStart w:id="126" w:name="_Toc151714410"/>
      <w:r>
        <w:rPr>
          <w:sz w:val="24"/>
          <w:rFonts w:ascii="Times New Roman" w:hAnsi="Times New Roman"/>
        </w:rPr>
        <w:t xml:space="preserve">C 08.06 – Úvěrové riziko a volné dodávky:</w:t>
      </w:r>
      <w:r>
        <w:rPr>
          <w:sz w:val="24"/>
          <w:rFonts w:ascii="Times New Roman" w:hAnsi="Times New Roman"/>
        </w:rPr>
        <w:t xml:space="preserve"> </w:t>
      </w:r>
      <w:r>
        <w:rPr>
          <w:sz w:val="24"/>
          <w:rFonts w:ascii="Times New Roman" w:hAnsi="Times New Roman"/>
        </w:rPr>
        <w:t xml:space="preserve">přístup IRB ke kapitálovým požadavkům (postup rozřazování pro specializované úvěry (CR IRB 6))</w:t>
      </w:r>
      <w:bookmarkEnd w:id="125"/>
      <w:bookmarkEnd w:id="126"/>
    </w:p>
    <w:p w14:paraId="0C32751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7" w:name="_Toc19715767"/>
      <w:bookmarkStart w:id="128" w:name="_Toc151714411"/>
      <w:r>
        <w:rPr>
          <w:sz w:val="24"/>
          <w:rFonts w:ascii="Times New Roman" w:hAnsi="Times New Roman"/>
        </w:rPr>
        <w:t xml:space="preserve">Obecné poznámky</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82</w:t>
      </w:r>
      <w:r>
        <w:fldChar w:fldCharType="end"/>
      </w:r>
      <w:r>
        <w:t xml:space="preserve">.</w:t>
      </w:r>
      <w:r>
        <w:t xml:space="preserve"> </w:t>
      </w:r>
      <w:r>
        <w:t xml:space="preserve">Instituce vykazují informace obsažené v této šabloně podle čl. 438 písm. e) nařízení (EU) č. 575/2013.</w:t>
      </w:r>
      <w:r>
        <w:t xml:space="preserve"> </w:t>
      </w:r>
      <w:r>
        <w:t xml:space="preserve">Instituce vykazují informace o následujících druzích specializovaných úvěrových expozic uvedených v tabulce č. 1 v čl. 153 odst. 5:</w:t>
      </w:r>
    </w:p>
    <w:p w14:paraId="020ECF38" w14:textId="77777777" w:rsidR="00FB3D09" w:rsidRPr="002A677E" w:rsidRDefault="00FB3D09" w:rsidP="00FB3D09">
      <w:pPr>
        <w:pStyle w:val="InstructionsText2"/>
        <w:numPr>
          <w:ilvl w:val="0"/>
          <w:numId w:val="0"/>
        </w:numPr>
        <w:ind w:left="1080"/>
      </w:pPr>
      <w:r>
        <w:t xml:space="preserve">projektové financování;</w:t>
      </w:r>
    </w:p>
    <w:p w14:paraId="0D30395D" w14:textId="77777777" w:rsidR="00FB3D09" w:rsidRPr="002A677E" w:rsidRDefault="00FB3D09" w:rsidP="00FB3D09">
      <w:pPr>
        <w:pStyle w:val="InstructionsText2"/>
        <w:numPr>
          <w:ilvl w:val="0"/>
          <w:numId w:val="0"/>
        </w:numPr>
        <w:ind w:left="1080"/>
      </w:pPr>
      <w:r>
        <w:t xml:space="preserve">nemovitosti vytvářející příjem a vysoce volatilní komerční nemovitosti;</w:t>
      </w:r>
    </w:p>
    <w:p w14:paraId="0E156A19" w14:textId="77777777" w:rsidR="00FB3D09" w:rsidRPr="002A677E" w:rsidRDefault="00FB3D09" w:rsidP="00FB3D09">
      <w:pPr>
        <w:pStyle w:val="InstructionsText2"/>
        <w:numPr>
          <w:ilvl w:val="0"/>
          <w:numId w:val="0"/>
        </w:numPr>
        <w:ind w:left="1080"/>
      </w:pPr>
      <w:r>
        <w:t xml:space="preserve">financování hmotných aktiv;</w:t>
      </w:r>
    </w:p>
    <w:p w14:paraId="66940C39" w14:textId="77777777" w:rsidR="00FB3D09" w:rsidRPr="002A677E" w:rsidRDefault="00FB3D09" w:rsidP="00FB3D09">
      <w:pPr>
        <w:pStyle w:val="InstructionsText2"/>
        <w:numPr>
          <w:ilvl w:val="1"/>
          <w:numId w:val="15"/>
        </w:numPr>
      </w:pPr>
      <w:r>
        <w:t xml:space="preserve">komoditní financování.</w:t>
      </w:r>
    </w:p>
    <w:p w14:paraId="58A5DEC7"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9" w:name="_Toc19715768"/>
      <w:bookmarkStart w:id="130" w:name="_Toc151714412"/>
      <w:r>
        <w:rPr>
          <w:sz w:val="24"/>
          <w:rFonts w:ascii="Times New Roman" w:hAnsi="Times New Roman"/>
        </w:rPr>
        <w:t xml:space="preserve">Pokyny pro konkrétní pozice</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sz w:val="24"/>
                <w:rFonts w:ascii="Times New Roman" w:hAnsi="Times New Roman"/>
              </w:rPr>
            </w:pPr>
            <w:r>
              <w:rPr>
                <w:sz w:val="24"/>
                <w:rFonts w:ascii="Times New Roman" w:hAnsi="Times New Roman"/>
              </w:rPr>
              <w:t xml:space="preserve">Sloupce</w:t>
            </w:r>
          </w:p>
        </w:tc>
        <w:tc>
          <w:tcPr>
            <w:tcW w:w="8843" w:type="dxa"/>
            <w:shd w:val="clear" w:color="auto" w:fill="CCCCCC"/>
          </w:tcPr>
          <w:p w14:paraId="03916D9E"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PŮVODNÍ EXPOZICE PŘED VYNÁSOBENÍM KONVERZNÍMI FAKTORY</w:t>
            </w:r>
          </w:p>
          <w:p w14:paraId="3FEAA5A3" w14:textId="77777777" w:rsidR="00FB3D09" w:rsidRPr="002A677E" w:rsidRDefault="00FB3D09" w:rsidP="00822842">
            <w:pPr>
              <w:rPr>
                <w:sz w:val="24"/>
                <w:rFonts w:ascii="Times New Roman" w:hAnsi="Times New Roman"/>
              </w:rPr>
            </w:pPr>
            <w:r>
              <w:rPr>
                <w:sz w:val="24"/>
                <w:rFonts w:ascii="Times New Roman" w:hAnsi="Times New Roman"/>
              </w:rPr>
              <w:t xml:space="preserve">Viz pokyny k šabloně CR 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EXPOZICE PO ZOHLEDNĚNÍ SUBSTITUČNÍCH ÚČINKŮ SNIŽOVÁNÍ ÚVĚROVÉHO RIZIKA PŘED VYNÁSOBENÍM KONVERZNÍMI FAKTORY</w:t>
            </w:r>
          </w:p>
          <w:p w14:paraId="6CBD0B35" w14:textId="77777777" w:rsidR="00FB3D09" w:rsidRPr="002A677E" w:rsidRDefault="00FB3D09" w:rsidP="00822842">
            <w:pPr>
              <w:rPr>
                <w:sz w:val="24"/>
                <w:rFonts w:ascii="Times New Roman" w:hAnsi="Times New Roman"/>
              </w:rPr>
            </w:pPr>
            <w:r>
              <w:rPr>
                <w:sz w:val="24"/>
                <w:rFonts w:ascii="Times New Roman" w:hAnsi="Times New Roman"/>
              </w:rPr>
              <w:t xml:space="preserve">Viz pokyny k šabloně CR 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sz w:val="24"/>
                <w:rFonts w:ascii="Times New Roman" w:hAnsi="Times New Roman"/>
              </w:rPr>
            </w:pPr>
            <w:r>
              <w:rPr>
                <w:sz w:val="24"/>
                <w:rFonts w:ascii="Times New Roman" w:hAnsi="Times New Roman"/>
              </w:rPr>
              <w:t xml:space="preserve">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PODROZVAHOVÉ POLOŽKY</w:t>
            </w:r>
            <w:r>
              <w:rPr>
                <w:rStyle w:val="InstructionsTabelleberschrift"/>
                <w:sz w:val="24"/>
                <w:rFonts w:ascii="Times New Roman" w:hAnsi="Times New Roman"/>
              </w:rPr>
              <w:t xml:space="preserve"> </w:t>
            </w:r>
          </w:p>
          <w:p w14:paraId="34DD8D87" w14:textId="77777777" w:rsidR="00FB3D09" w:rsidRPr="002A677E" w:rsidRDefault="00FB3D09" w:rsidP="00822842">
            <w:pPr>
              <w:rPr>
                <w:sz w:val="24"/>
                <w:rFonts w:ascii="Times New Roman" w:hAnsi="Times New Roman"/>
              </w:rPr>
            </w:pPr>
            <w:r>
              <w:rPr>
                <w:sz w:val="24"/>
                <w:rFonts w:ascii="Times New Roman" w:hAnsi="Times New Roman"/>
              </w:rPr>
              <w:t xml:space="preserve">Viz pokyny k šabloně CR 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HODNOTA EXPOZICE</w:t>
            </w:r>
          </w:p>
          <w:p w14:paraId="4F68F714" w14:textId="77777777" w:rsidR="00FB3D09" w:rsidRPr="002A677E" w:rsidRDefault="00FB3D09" w:rsidP="00822842">
            <w:pPr>
              <w:rPr>
                <w:sz w:val="24"/>
                <w:rFonts w:ascii="Times New Roman" w:hAnsi="Times New Roman"/>
              </w:rPr>
            </w:pPr>
            <w:r>
              <w:rPr>
                <w:sz w:val="24"/>
                <w:rFonts w:ascii="Times New Roman" w:hAnsi="Times New Roman"/>
              </w:rPr>
              <w:t xml:space="preserve">Viz pokyny k šabloně CR 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Z TOHO: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VZNIKAJÍCÍ Z ÚVĚROVÉHO RIZIKA PROTISTRANY</w:t>
            </w:r>
            <w:r>
              <w:rPr>
                <w:rStyle w:val="InstructionsTabelleberschrift"/>
                <w:sz w:val="24"/>
                <w:rFonts w:ascii="Times New Roman" w:hAnsi="Times New Roman"/>
              </w:rPr>
              <w:t xml:space="preserve"> </w:t>
            </w:r>
          </w:p>
          <w:p w14:paraId="416635B7" w14:textId="77777777" w:rsidR="00FB3D09" w:rsidRPr="002A677E" w:rsidRDefault="00FB3D09" w:rsidP="00822842">
            <w:pPr>
              <w:rPr>
                <w:sz w:val="24"/>
                <w:rFonts w:ascii="Times New Roman" w:hAnsi="Times New Roman"/>
              </w:rPr>
            </w:pPr>
            <w:r>
              <w:rPr>
                <w:sz w:val="24"/>
                <w:rFonts w:ascii="Times New Roman" w:hAnsi="Times New Roman"/>
              </w:rPr>
              <w:t xml:space="preserve">Viz pokyny k šabloně CR SA.</w:t>
            </w:r>
            <w:r>
              <w:rPr>
                <w:sz w:val="24"/>
                <w:rStyle w:val="InstructionsTabelleText"/>
                <w:rFonts w:ascii="Times New Roman" w:hAnsi="Times New Roman"/>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RIZIKOVÁ VÁHA</w:t>
            </w:r>
          </w:p>
          <w:p w14:paraId="5C41EA78" w14:textId="77777777" w:rsidR="00FB3D09" w:rsidRPr="002A677E" w:rsidRDefault="00FB3D09" w:rsidP="00822842">
            <w:pPr>
              <w:rPr>
                <w:sz w:val="24"/>
                <w:rFonts w:ascii="Times New Roman" w:hAnsi="Times New Roman"/>
              </w:rPr>
            </w:pPr>
            <w:r>
              <w:rPr>
                <w:sz w:val="24"/>
                <w:rFonts w:ascii="Times New Roman" w:hAnsi="Times New Roman"/>
              </w:rPr>
              <w:t xml:space="preserve">Ustanovení čl. 153 odst. 5 nařízení (EU) č. 575/2013</w:t>
            </w:r>
          </w:p>
          <w:p w14:paraId="67CCD5DB" w14:textId="77777777" w:rsidR="00FB3D09" w:rsidRPr="002A677E" w:rsidRDefault="00FB3D09" w:rsidP="00822842">
            <w:pPr>
              <w:rPr>
                <w:sz w:val="24"/>
                <w:rFonts w:ascii="Times New Roman" w:hAnsi="Times New Roman"/>
              </w:rPr>
            </w:pPr>
            <w:r>
              <w:rPr>
                <w:sz w:val="24"/>
                <w:rFonts w:ascii="Times New Roman" w:hAnsi="Times New Roman"/>
              </w:rPr>
              <w:t xml:space="preserve">Jedná se o pevný sloupec pro informační účely.</w:t>
            </w:r>
            <w:r>
              <w:rPr>
                <w:sz w:val="24"/>
                <w:rFonts w:ascii="Times New Roman" w:hAnsi="Times New Roman"/>
              </w:rPr>
              <w:t xml:space="preserve"> </w:t>
            </w:r>
            <w:r>
              <w:rPr>
                <w:sz w:val="24"/>
                <w:rFonts w:ascii="Times New Roman" w:hAnsi="Times New Roman"/>
              </w:rPr>
              <w:t xml:space="preserve">Nesmí se měnit.</w:t>
            </w:r>
            <w:r>
              <w:rPr>
                <w:sz w:val="24"/>
                <w:rFonts w:ascii="Times New Roman" w:hAnsi="Times New Roman"/>
              </w:rPr>
              <w:t xml:space="preserve">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OBJEM RIZIKOVĚ VÁŽENÝCH EXPOZIC PO UPLATNĚNÍ PODPŮRNÝCH KOEFICIENTŮ</w:t>
            </w:r>
          </w:p>
          <w:p w14:paraId="4B6C2EA5" w14:textId="77777777" w:rsidR="00FB3D09" w:rsidRPr="002A677E" w:rsidRDefault="00FB3D09" w:rsidP="00822842">
            <w:pPr>
              <w:rPr>
                <w:b/>
                <w:sz w:val="24"/>
                <w:rFonts w:ascii="Times New Roman" w:hAnsi="Times New Roman"/>
              </w:rPr>
            </w:pPr>
            <w:r>
              <w:rPr>
                <w:sz w:val="24"/>
                <w:rFonts w:ascii="Times New Roman" w:hAnsi="Times New Roman"/>
              </w:rPr>
              <w:t xml:space="preserve">Viz pokyny k šabloně CR 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VÝŠE OČEKÁVANÉ ZTRÁTY</w:t>
            </w:r>
          </w:p>
          <w:p w14:paraId="693CE6D8" w14:textId="77777777" w:rsidR="00FB3D09" w:rsidRPr="002A677E" w:rsidRDefault="00FB3D09" w:rsidP="00822842">
            <w:pPr>
              <w:rPr>
                <w:b/>
                <w:sz w:val="24"/>
                <w:rFonts w:ascii="Times New Roman" w:hAnsi="Times New Roman"/>
              </w:rPr>
            </w:pPr>
            <w:r>
              <w:rPr>
                <w:sz w:val="24"/>
                <w:rFonts w:ascii="Times New Roman" w:hAnsi="Times New Roman"/>
              </w:rPr>
              <w:t xml:space="preserve">Viz pokyny k šabloně CR 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ÚPRAVY OCENĚNÍ A REZERVY</w:t>
            </w:r>
          </w:p>
          <w:p w14:paraId="43E4B618" w14:textId="77777777" w:rsidR="00FB3D09" w:rsidRPr="002A677E" w:rsidRDefault="00FB3D09" w:rsidP="00822842">
            <w:pPr>
              <w:rPr>
                <w:b/>
                <w:sz w:val="24"/>
                <w:rFonts w:ascii="Times New Roman" w:hAnsi="Times New Roman"/>
              </w:rPr>
            </w:pPr>
            <w:r>
              <w:rPr>
                <w:sz w:val="24"/>
                <w:rFonts w:ascii="Times New Roman" w:hAnsi="Times New Roman"/>
              </w:rPr>
              <w:t xml:space="preserve">Viz pokyny k šabloně CR 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sz w:val="24"/>
                <w:rFonts w:ascii="Times New Roman" w:hAnsi="Times New Roman"/>
              </w:rPr>
            </w:pPr>
            <w:r>
              <w:rPr>
                <w:sz w:val="24"/>
                <w:rFonts w:ascii="Times New Roman" w:hAnsi="Times New Roman"/>
              </w:rPr>
              <w:t xml:space="preserve">Řádky</w:t>
            </w:r>
          </w:p>
        </w:tc>
        <w:tc>
          <w:tcPr>
            <w:tcW w:w="8931" w:type="dxa"/>
            <w:shd w:val="pct25" w:color="auto" w:fill="auto"/>
          </w:tcPr>
          <w:p w14:paraId="74C4755C"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13ABD6A4" w14:textId="77777777" w:rsidTr="00822842">
        <w:tc>
          <w:tcPr>
            <w:tcW w:w="1129" w:type="dxa"/>
          </w:tcPr>
          <w:p w14:paraId="6D90D953" w14:textId="77777777" w:rsidR="00FB3D09" w:rsidRPr="002A677E" w:rsidRDefault="00FB3D09" w:rsidP="00822842">
            <w:pPr>
              <w:rPr>
                <w:sz w:val="24"/>
                <w:rFonts w:ascii="Times New Roman" w:hAnsi="Times New Roman"/>
              </w:rPr>
            </w:pPr>
            <w:r>
              <w:rPr>
                <w:sz w:val="24"/>
                <w:rFonts w:ascii="Times New Roman" w:hAnsi="Times New Roman"/>
              </w:rPr>
              <w:t xml:space="preserve">0010–0120</w:t>
            </w:r>
          </w:p>
        </w:tc>
        <w:tc>
          <w:tcPr>
            <w:tcW w:w="8931" w:type="dxa"/>
          </w:tcPr>
          <w:p w14:paraId="68EE291B" w14:textId="77777777" w:rsidR="00FB3D09" w:rsidRPr="002A677E" w:rsidRDefault="00FB3D09" w:rsidP="00822842">
            <w:pPr>
              <w:rPr>
                <w:sz w:val="24"/>
                <w:rFonts w:ascii="Times New Roman" w:hAnsi="Times New Roman"/>
              </w:rPr>
            </w:pPr>
            <w:r>
              <w:rPr>
                <w:sz w:val="24"/>
                <w:rFonts w:ascii="Times New Roman" w:hAnsi="Times New Roman"/>
              </w:rPr>
              <w:t xml:space="preserve">Expozice se zařadí do příslušné kategorie a splatnosti </w:t>
            </w:r>
            <w:r>
              <w:rPr>
                <w:sz w:val="24"/>
                <w:rStyle w:val="InstructionsTabelleText"/>
                <w:rFonts w:ascii="Times New Roman" w:hAnsi="Times New Roman"/>
              </w:rPr>
              <w:t xml:space="preserve">v souladu s</w:t>
            </w:r>
            <w:r>
              <w:rPr>
                <w:sz w:val="24"/>
                <w:rFonts w:ascii="Times New Roman" w:hAnsi="Times New Roman"/>
              </w:rPr>
              <w:t xml:space="preserve"> tabulkou 1 uvedenou v čl. 153 odst. 5 nařízení (EU) č.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32" w:name="_Toc151714413"/>
      <w:r>
        <w:rPr>
          <w:sz w:val="24"/>
          <w:rFonts w:ascii="Times New Roman" w:hAnsi="Times New Roman"/>
        </w:rPr>
        <w:t xml:space="preserve">C 08.07 – Úvěrové riziko a volné dodávky:</w:t>
      </w:r>
      <w:r>
        <w:rPr>
          <w:sz w:val="24"/>
          <w:rFonts w:ascii="Times New Roman" w:hAnsi="Times New Roman"/>
        </w:rPr>
        <w:t xml:space="preserve"> </w:t>
      </w:r>
      <w:r>
        <w:rPr>
          <w:sz w:val="24"/>
          <w:rFonts w:ascii="Times New Roman" w:hAnsi="Times New Roman"/>
        </w:rPr>
        <w:t xml:space="preserve">přístup IRB ke kapitálovým požadavkům (rozsah použití přístupu IRB a standardizovaného přístupu (CR IRB 7))</w:t>
      </w:r>
      <w:bookmarkEnd w:id="131"/>
      <w:bookmarkEnd w:id="132"/>
    </w:p>
    <w:p w14:paraId="4D5E014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3" w:name="_Toc19715770"/>
      <w:bookmarkStart w:id="134" w:name="_Toc151714414"/>
      <w:r>
        <w:rPr>
          <w:sz w:val="24"/>
          <w:rFonts w:ascii="Times New Roman" w:hAnsi="Times New Roman"/>
        </w:rPr>
        <w:t xml:space="preserve">Obecné poznámky</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83</w:t>
      </w:r>
      <w:r>
        <w:fldChar w:fldCharType="end"/>
      </w:r>
      <w:r>
        <w:t xml:space="preserve">.</w:t>
      </w:r>
      <w:r>
        <w:t xml:space="preserve"> </w:t>
      </w:r>
      <w:r>
        <w:t xml:space="preserve">Pro účely této šablony instituce, které počítají objemy rizikově vážených expozic podle přístupu IRB k úvěrovému riziku, přiřadí své expozice podle standardizovaného přístupu stanoveného v části třetí hlavě II kapitole 2 nařízení (EU) č. 575/2013 nebo přístupu IRB stanoveného v části třetí hlavě II kapitole 3 uvedeného nařízení, jakož i část každé kategorie expozic, na kterou se vztahuje plán zavedení.</w:t>
      </w:r>
      <w:r>
        <w:t xml:space="preserve"> </w:t>
      </w:r>
      <w:r>
        <w:t xml:space="preserve">Instituce v této šabloně uvedou informace podle kategorií expozic v souladu s rozčleněním kategorií expozic uvedených v řádcích šablony.</w:t>
      </w:r>
    </w:p>
    <w:p w14:paraId="5EF649B7"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 xml:space="preserve">84</w:t>
      </w:r>
      <w:r>
        <w:fldChar w:fldCharType="end"/>
      </w:r>
      <w:r>
        <w:t xml:space="preserve">.</w:t>
      </w:r>
      <w:r>
        <w:t xml:space="preserve"> </w:t>
      </w:r>
      <w:r>
        <w:t xml:space="preserve">Sloupce 0030 až 0050 by měly pokrývat celé spektrum expozic, takže součet každého řádku pro tyto tři sloupce by měl odpovídat 100 % všech kategorií expozic kromě sekuritizovaných a odečtených pozic.</w:t>
      </w:r>
    </w:p>
    <w:p w14:paraId="2976CB2C"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5" w:name="_Toc19715771"/>
      <w:bookmarkStart w:id="136" w:name="_Toc151714415"/>
      <w:r>
        <w:rPr>
          <w:sz w:val="24"/>
          <w:rFonts w:ascii="Times New Roman" w:hAnsi="Times New Roman"/>
        </w:rPr>
        <w:t xml:space="preserve">Pokyny pro konkrétní pozice</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sz w:val="24"/>
                <w:rFonts w:ascii="Times New Roman" w:hAnsi="Times New Roman"/>
              </w:rPr>
            </w:pPr>
            <w:r>
              <w:rPr>
                <w:sz w:val="24"/>
                <w:rFonts w:ascii="Times New Roman" w:hAnsi="Times New Roman"/>
              </w:rPr>
              <w:t xml:space="preserve">Sloupce</w:t>
            </w:r>
          </w:p>
        </w:tc>
        <w:tc>
          <w:tcPr>
            <w:tcW w:w="8843" w:type="dxa"/>
            <w:shd w:val="clear" w:color="auto" w:fill="CCCCCC"/>
          </w:tcPr>
          <w:p w14:paraId="07D6E67B"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CELKOVÁ HODNOTA EXPOZICE VE SMYSLU ČLÁNKU 166 NAŘÍZENÍ (EU) Č. 575/2013</w:t>
            </w:r>
          </w:p>
          <w:p w14:paraId="411002F2" w14:textId="77777777" w:rsidR="00FB3D09" w:rsidRPr="002A677E" w:rsidRDefault="00FB3D09" w:rsidP="00822842">
            <w:pPr>
              <w:rPr>
                <w:b/>
                <w:sz w:val="24"/>
                <w:rFonts w:ascii="Times New Roman" w:hAnsi="Times New Roman"/>
              </w:rPr>
            </w:pPr>
            <w:r>
              <w:rPr>
                <w:sz w:val="24"/>
                <w:rFonts w:ascii="Times New Roman" w:hAnsi="Times New Roman"/>
              </w:rPr>
              <w:t xml:space="preserve">Instituce použijí hodnotu expozice před snížením úvěrového rizika v souladu s článkem 166 nařízení (EU) č.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CELKOVÁ HODNOTA EXPOZICE PODLÉHAJÍCÍ STANDARDIZOVANÉMU PŘÍSTUPU A PŘÍSTUPU IRB</w:t>
            </w:r>
          </w:p>
          <w:p w14:paraId="2CF123A9" w14:textId="77777777" w:rsidR="00FB3D09" w:rsidRPr="002A677E" w:rsidRDefault="00FB3D09" w:rsidP="00822842">
            <w:pPr>
              <w:rPr>
                <w:sz w:val="24"/>
                <w:rFonts w:ascii="Times New Roman" w:hAnsi="Times New Roman"/>
              </w:rPr>
            </w:pPr>
            <w:r>
              <w:rPr>
                <w:sz w:val="24"/>
                <w:rFonts w:ascii="Times New Roman" w:hAnsi="Times New Roman"/>
              </w:rPr>
              <w:t xml:space="preserve">K vykázání celkové hodnoty expozice, včetně expozic podle standardizovaného přístupu a přístupu IRB, instituce použijí hodnotu expozice před snížením úvěrového rizika v souladu s čl. 429 odst. 4 nařízení (EU) č. 575/2013.</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PROCENTO CELKOVÉ HODNOTY EXPOZICE PODLÉHAJÍCÍ TRVALÉMU ČÁSTEČNÉMU POUŽITÍ STANDARDIZOVANÉHO PŘÍSTUPU (%)</w:t>
            </w:r>
          </w:p>
          <w:p w14:paraId="4E8BC7DA" w14:textId="77777777" w:rsidR="00FB3D09" w:rsidRPr="002A677E" w:rsidRDefault="00FB3D09" w:rsidP="00822842">
            <w:pPr>
              <w:rPr>
                <w:sz w:val="24"/>
                <w:rFonts w:ascii="Times New Roman" w:hAnsi="Times New Roman"/>
              </w:rPr>
            </w:pPr>
            <w:r>
              <w:rPr>
                <w:sz w:val="24"/>
                <w:rFonts w:ascii="Times New Roman" w:hAnsi="Times New Roman"/>
              </w:rPr>
              <w:t xml:space="preserve">Část expozice pro každou kategorii expozic podléhající standardizovanému přístupu (expozice podléhající standardizovanému přístupu před snížením úvěrového rizika vůči celkové expozici v dané kategorii expozic ve sloupci 0020), a to v souladu s rozsahem povolení k trvalému částečnému použití standardizovaného přístupu obdrženého od příslušného orgánu v souladu s článkem 150 nařízení (EU) č.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PROCENTO CELKOVÉ HODNOTY EXPOZICE PODLÉHAJÍCÍ PLÁNU ZAVEDENÍ (%)</w:t>
            </w:r>
          </w:p>
          <w:p w14:paraId="1384B1B7" w14:textId="77777777" w:rsidR="00FB3D09" w:rsidRPr="002A677E" w:rsidRDefault="00FB3D09" w:rsidP="00822842">
            <w:pPr>
              <w:rPr>
                <w:sz w:val="24"/>
                <w:rFonts w:ascii="Times New Roman" w:hAnsi="Times New Roman"/>
              </w:rPr>
            </w:pPr>
            <w:r>
              <w:rPr>
                <w:sz w:val="24"/>
                <w:rFonts w:ascii="Times New Roman" w:hAnsi="Times New Roman"/>
              </w:rPr>
              <w:t xml:space="preserve">Část expozice pro každou kategorii expozic, na kterou se vztahuje postupné zavádění přístupu IRB podle článku 148 nařízení (EU) č. 575/2013.</w:t>
            </w:r>
            <w:r>
              <w:rPr>
                <w:sz w:val="24"/>
                <w:rFonts w:ascii="Times New Roman" w:hAnsi="Times New Roman"/>
              </w:rPr>
              <w:t xml:space="preserve"> </w:t>
            </w:r>
            <w:r>
              <w:rPr>
                <w:sz w:val="24"/>
                <w:rFonts w:ascii="Times New Roman" w:hAnsi="Times New Roman"/>
              </w:rPr>
              <w:t xml:space="preserve">Patří sem:</w:t>
            </w:r>
            <w:r>
              <w:rPr>
                <w:sz w:val="24"/>
                <w:rFonts w:ascii="Times New Roman" w:hAnsi="Times New Roman"/>
              </w:rPr>
              <w:t xml:space="preserve"> </w:t>
            </w:r>
          </w:p>
          <w:p w14:paraId="64A26F0D"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expozice, u nichž instituce plánují použít přístup IRB s vlastním odhadem LGD a/nebo konverzních faktorů nebo bez něj (základní přístup IRB a pokročilý přístup IRB);</w:t>
            </w:r>
            <w:r>
              <w:rPr>
                <w:sz w:val="24"/>
                <w:rFonts w:ascii="Times New Roman" w:hAnsi="Times New Roman"/>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nevýznamné akciové expozice nezahrnuté ve sloupcích 0020 nebo 0040;</w:t>
            </w:r>
          </w:p>
          <w:p w14:paraId="674B8F2C"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expozice, na které se již vztahuje základní přístup IRB v případě, že instituce hodlá v budoucnu uplatňovat pokročilý přístup IRB;</w:t>
            </w:r>
            <w:r>
              <w:rPr>
                <w:sz w:val="24"/>
                <w:rFonts w:ascii="Times New Roman" w:hAnsi="Times New Roman"/>
              </w:rPr>
              <w:t xml:space="preserve"> </w:t>
            </w:r>
          </w:p>
          <w:p w14:paraId="58C08A10" w14:textId="148DB963"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specializované úvěrové expozice v rámci dohledového rozřazovacího přístupu neuvedené ve sloupci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PROCENTO CELKOVÉ HODNOTY EXPOZICE PODLÉHAJÍCÍ PŘÍSTUPU IRB (%)</w:t>
            </w:r>
          </w:p>
          <w:p w14:paraId="281F622B" w14:textId="77777777" w:rsidR="00FB3D09" w:rsidRPr="002A677E" w:rsidRDefault="00FB3D09" w:rsidP="00822842">
            <w:pPr>
              <w:rPr>
                <w:b/>
                <w:sz w:val="24"/>
                <w:rFonts w:ascii="Times New Roman" w:hAnsi="Times New Roman"/>
              </w:rPr>
            </w:pPr>
            <w:r>
              <w:rPr>
                <w:sz w:val="24"/>
                <w:rFonts w:ascii="Times New Roman" w:hAnsi="Times New Roman"/>
              </w:rPr>
              <w:t xml:space="preserve">Část expozice pro každou kategorii expozic, na kterou se vztahuje přístup IRB (expozice podléhající přístupu IRB před snížením úvěrového rizika ve vztahu k celkové expozici v dané kategorii expozic), a to v souladu s rozsahem povolení k použití přístupu IRB obdrženého od příslušného orgánu v souladu s článkem 143 nařízení (EU) č. 575/2013.</w:t>
            </w:r>
            <w:r>
              <w:rPr>
                <w:sz w:val="24"/>
                <w:rFonts w:ascii="Times New Roman" w:hAnsi="Times New Roman"/>
              </w:rPr>
              <w:t xml:space="preserve"> </w:t>
            </w:r>
            <w:r>
              <w:rPr>
                <w:sz w:val="24"/>
                <w:rFonts w:ascii="Times New Roman" w:hAnsi="Times New Roman"/>
              </w:rPr>
              <w:t xml:space="preserve">To zahrnuje jak expozice, u nichž instituce mají povolení používat vlastní odhad LGD a/nebo konverzní faktory, tak expozice, u nichž instituce dané povolení nemají (základní přístup IRB a pokročilý přístup IRB), včetně dohledového rozřazovacího přístupu pro specializované úvěrové expozice a akciové expozice v rámci metody zjednodušené rizikové váhy, jakož i expozice vykázané v řádku 0170 šablony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37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sz w:val="24"/>
                <w:rFonts w:ascii="Times New Roman" w:hAnsi="Times New Roman"/>
              </w:rPr>
            </w:pPr>
            <w:r>
              <w:rPr>
                <w:sz w:val="24"/>
                <w:rFonts w:ascii="Times New Roman" w:hAnsi="Times New Roman"/>
              </w:rPr>
              <w:t xml:space="preserve">Řádky</w:t>
            </w:r>
          </w:p>
        </w:tc>
        <w:tc>
          <w:tcPr>
            <w:tcW w:w="8557" w:type="dxa"/>
            <w:shd w:val="pct25" w:color="auto" w:fill="auto"/>
          </w:tcPr>
          <w:p w14:paraId="123EB3D4" w14:textId="77777777" w:rsidR="00FB3D09" w:rsidRPr="002A677E" w:rsidRDefault="00FB3D09" w:rsidP="00822842">
            <w:pPr>
              <w:rPr>
                <w:sz w:val="24"/>
                <w:rFonts w:ascii="Times New Roman" w:hAnsi="Times New Roman"/>
              </w:rPr>
            </w:pPr>
            <w:r>
              <w:rPr>
                <w:sz w:val="24"/>
                <w:rFonts w:ascii="Times New Roman" w:hAnsi="Times New Roman"/>
              </w:rPr>
              <w:t xml:space="preserve">Pokyny</w:t>
            </w:r>
          </w:p>
        </w:tc>
      </w:tr>
      <w:tr w:rsidR="00FB3D09" w:rsidRPr="002A677E" w14:paraId="39EFDE98" w14:textId="77777777" w:rsidTr="00822842">
        <w:tc>
          <w:tcPr>
            <w:tcW w:w="1271" w:type="dxa"/>
          </w:tcPr>
          <w:p w14:paraId="416FB44E" w14:textId="77777777" w:rsidR="00FB3D09" w:rsidRPr="002A677E" w:rsidRDefault="00FB3D09" w:rsidP="00822842">
            <w:pPr>
              <w:rPr>
                <w:sz w:val="24"/>
                <w:rFonts w:ascii="Times New Roman" w:hAnsi="Times New Roman"/>
              </w:rPr>
            </w:pPr>
            <w:r>
              <w:rPr>
                <w:sz w:val="24"/>
                <w:rFonts w:ascii="Times New Roman" w:hAnsi="Times New Roman"/>
              </w:rPr>
              <w:t xml:space="preserve">KATEGORIE EXPOZIC</w:t>
            </w:r>
          </w:p>
        </w:tc>
        <w:tc>
          <w:tcPr>
            <w:tcW w:w="8557" w:type="dxa"/>
          </w:tcPr>
          <w:p w14:paraId="7564DFF0" w14:textId="77777777" w:rsidR="00FB3D09" w:rsidRPr="002A677E" w:rsidRDefault="00FB3D09" w:rsidP="00822842">
            <w:pPr>
              <w:rPr>
                <w:sz w:val="24"/>
                <w:rFonts w:ascii="Times New Roman" w:eastAsiaTheme="minorHAnsi" w:hAnsi="Times New Roman"/>
              </w:rPr>
            </w:pPr>
            <w:r>
              <w:rPr>
                <w:sz w:val="24"/>
                <w:rFonts w:ascii="Times New Roman" w:hAnsi="Times New Roman"/>
              </w:rPr>
              <w:t xml:space="preserve">Instituce v této šabloně uvedou informace podle kategorií expozic v souladu s rozčleněním kategorií expozic uvedených v řádcích šablony.</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val="cs-CZ"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val="cs-CZ"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val="cs-CZ"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val="cs-CZ"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val="cs-CZ"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val="cs-CZ"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val="cs-CZ"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cs-CZ"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cs-CZ"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cs-CZ"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cs-CZ"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cs-CZ"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cs-CZ"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val="cs-CZ"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cs-CZ"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val="cs-CZ"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cs-CZ"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cs-CZ"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val="cs-CZ"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cs-CZ"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val="cs-CZ"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cs-CZ"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val="cs-CZ"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cs-CZ"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val="cs-CZ"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cs-CZ"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cs-CZ"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val="cs-CZ"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val="cs-CZ"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val="cs-CZ"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cs-CZ"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lang w:val="cs-CZ"/>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cs-CZ"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lang w:val="cs-CZ"/>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val="cs-CZ"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cs-CZ"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lang w:val="cs-CZ"/>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lang w:val="cs-CZ"/>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lang w:val="cs-CZ"/>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lang w:val="cs-CZ"/>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val="cs-CZ" w:eastAsia="en-GB"/>
    </w:rPr>
  </w:style>
  <w:style w:type="paragraph" w:customStyle="1" w:styleId="List1">
    <w:name w:val="List1"/>
    <w:autoRedefine/>
    <w:qFormat/>
    <w:rsid w:val="00FB3D09"/>
    <w:pPr>
      <w:numPr>
        <w:numId w:val="25"/>
      </w:numPr>
      <w:spacing w:after="0" w:line="240" w:lineRule="auto"/>
    </w:pPr>
    <w:rPr>
      <w:rFonts w:eastAsiaTheme="minorEastAsia"/>
      <w:kern w:val="0"/>
      <w:lang w:val="cs-CZ"/>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lang w:val="cs-CZ"/>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lang w:val="cs-CZ"/>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cs-CZ"/>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lang w:val="cs-CZ"/>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lang w:val="cs-CZ"/>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val="cs-CZ"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lang w:val="cs-CZ"/>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lang w:val="cs-CZ"/>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lang w:val="cs-CZ"/>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lang w:val="cs-CZ"/>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cs-CZ"/>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cs-CZ"/>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val="cs-CZ"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lang w:val="cs-CZ"/>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lang w:val="cs-CZ"/>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val="cs-CZ"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val="cs-CZ"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val="cs-CZ"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val="cs-CZ"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val="cs-CZ"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cs-CZ"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val="cs-CZ"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429DFC-19C4-42C9-822F-E1BE10E23615}"/>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9193</Words>
  <Characters>52405</Characters>
  <Application>Microsoft Office Word</Application>
  <DocSecurity>0</DocSecurity>
  <Lines>436</Lines>
  <Paragraphs>122</Paragraphs>
  <ScaleCrop>false</ScaleCrop>
  <Company/>
  <LinksUpToDate>false</LinksUpToDate>
  <CharactersWithSpaces>61476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2024-06-21T12:19:00Z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