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9C87C" w14:textId="654EF514" w:rsidR="00E50DD0" w:rsidRPr="00CB2629" w:rsidRDefault="00E50DD0" w:rsidP="00E50DD0">
      <w:pPr>
        <w:jc w:val="center"/>
        <w:rPr>
          <w:rFonts w:ascii="Times New Roman" w:hAnsi="Times New Roman"/>
          <w:sz w:val="24"/>
          <w:szCs w:val="22"/>
        </w:rPr>
      </w:pPr>
      <w:r w:rsidRPr="00CB2629">
        <w:rPr>
          <w:rFonts w:ascii="Times New Roman" w:hAnsi="Times New Roman"/>
          <w:sz w:val="24"/>
        </w:rPr>
        <w:t>IT</w:t>
      </w:r>
    </w:p>
    <w:p w14:paraId="6F8CF8C3" w14:textId="77777777" w:rsidR="00E50DD0" w:rsidRPr="00CB2629" w:rsidRDefault="00E50DD0" w:rsidP="00E50DD0">
      <w:pPr>
        <w:rPr>
          <w:rFonts w:asciiTheme="minorHAnsi" w:hAnsiTheme="minorHAnsi"/>
          <w:sz w:val="22"/>
        </w:rPr>
      </w:pPr>
    </w:p>
    <w:p w14:paraId="590BC630" w14:textId="77777777" w:rsidR="00DD798A" w:rsidRPr="00CB2629" w:rsidRDefault="00DD798A" w:rsidP="00DD798A">
      <w:pPr>
        <w:jc w:val="center"/>
        <w:rPr>
          <w:rFonts w:ascii="Times New Roman" w:hAnsi="Times New Roman"/>
          <w:sz w:val="24"/>
        </w:rPr>
      </w:pPr>
      <w:r w:rsidRPr="00CB2629">
        <w:rPr>
          <w:rFonts w:ascii="Times New Roman" w:hAnsi="Times New Roman"/>
          <w:sz w:val="24"/>
        </w:rPr>
        <w:t>ALLEGATO II</w:t>
      </w:r>
    </w:p>
    <w:p w14:paraId="33BF0F02" w14:textId="648B3FA8" w:rsidR="00DD798A" w:rsidRPr="00CB2629" w:rsidRDefault="00882B1B" w:rsidP="00DD798A">
      <w:pPr>
        <w:jc w:val="center"/>
        <w:rPr>
          <w:rFonts w:ascii="Times New Roman" w:hAnsi="Times New Roman"/>
          <w:sz w:val="24"/>
        </w:rPr>
      </w:pPr>
      <w:r w:rsidRPr="00CB2629">
        <w:rPr>
          <w:rFonts w:ascii="Times New Roman" w:hAnsi="Times New Roman"/>
          <w:sz w:val="24"/>
        </w:rPr>
        <w:t>"</w:t>
      </w:r>
      <w:r w:rsidR="00DD798A" w:rsidRPr="00CB2629">
        <w:rPr>
          <w:rFonts w:ascii="Times New Roman" w:hAnsi="Times New Roman"/>
          <w:sz w:val="24"/>
        </w:rPr>
        <w:t>ALLEGATO II</w:t>
      </w:r>
    </w:p>
    <w:p w14:paraId="43AF84F6" w14:textId="62C2B51C" w:rsidR="00DD798A" w:rsidRPr="00CB2629" w:rsidRDefault="00DD798A" w:rsidP="00DD798A">
      <w:pPr>
        <w:jc w:val="center"/>
        <w:rPr>
          <w:rFonts w:ascii="Times New Roman" w:hAnsi="Times New Roman"/>
          <w:b/>
          <w:sz w:val="24"/>
        </w:rPr>
      </w:pPr>
      <w:r w:rsidRPr="00CB2629">
        <w:rPr>
          <w:rFonts w:ascii="Times New Roman" w:hAnsi="Times New Roman"/>
          <w:b/>
          <w:sz w:val="24"/>
        </w:rPr>
        <w:t>ISTRUZIONI PER LE SEGNALAZIONI RIGUARDANTI I FONDI PROPRI E I</w:t>
      </w:r>
      <w:r w:rsidR="00882B1B" w:rsidRPr="00CB2629">
        <w:rPr>
          <w:rFonts w:ascii="Times New Roman" w:hAnsi="Times New Roman"/>
          <w:b/>
          <w:sz w:val="24"/>
        </w:rPr>
        <w:t> </w:t>
      </w:r>
      <w:r w:rsidRPr="00CB2629">
        <w:rPr>
          <w:rFonts w:ascii="Times New Roman" w:hAnsi="Times New Roman"/>
          <w:b/>
          <w:sz w:val="24"/>
        </w:rPr>
        <w:t>REQUISITI DI FONDI PROPRI</w:t>
      </w:r>
    </w:p>
    <w:p w14:paraId="6B9B322A" w14:textId="77777777" w:rsidR="00E26A90" w:rsidRPr="00CB2629" w:rsidRDefault="00E26A90"/>
    <w:p w14:paraId="2A45E9E8" w14:textId="77777777" w:rsidR="00A931D0" w:rsidRPr="00CB2629" w:rsidRDefault="00A931D0" w:rsidP="00A931D0">
      <w:pPr>
        <w:spacing w:before="0" w:after="0"/>
        <w:jc w:val="left"/>
        <w:rPr>
          <w:rStyle w:val="InstructionsTabelleText"/>
          <w:rFonts w:ascii="Times New Roman" w:hAnsi="Times New Roman"/>
          <w:b/>
          <w:bCs/>
          <w:sz w:val="24"/>
          <w:u w:val="single"/>
        </w:rPr>
      </w:pPr>
      <w:r w:rsidRPr="00CB2629">
        <w:rPr>
          <w:rStyle w:val="InstructionsTabelleText"/>
          <w:rFonts w:ascii="Times New Roman" w:hAnsi="Times New Roman"/>
          <w:b/>
          <w:sz w:val="24"/>
          <w:u w:val="single"/>
        </w:rPr>
        <w:t>PARTE II: ISTRUZIONI RELATIVE AI MODELLI</w:t>
      </w:r>
    </w:p>
    <w:p w14:paraId="572B21DA" w14:textId="77777777" w:rsidR="00A931D0" w:rsidRPr="00CB2629" w:rsidRDefault="00A931D0" w:rsidP="00A931D0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 w:rsidRPr="00CB2629">
        <w:rPr>
          <w:rStyle w:val="InstructionsTabelleText"/>
          <w:rFonts w:ascii="Times New Roman" w:hAnsi="Times New Roman"/>
          <w:sz w:val="24"/>
        </w:rPr>
        <w:t xml:space="preserve"> </w:t>
      </w:r>
    </w:p>
    <w:p w14:paraId="2CBE875B" w14:textId="77777777" w:rsidR="00A931D0" w:rsidRPr="00CB2629" w:rsidRDefault="00A931D0" w:rsidP="00A931D0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 w:rsidRPr="00CB2629">
        <w:rPr>
          <w:rStyle w:val="InstructionsTabelleText"/>
          <w:rFonts w:ascii="Times New Roman" w:hAnsi="Times New Roman"/>
          <w:sz w:val="24"/>
        </w:rPr>
        <w:t>(…)</w:t>
      </w:r>
    </w:p>
    <w:p w14:paraId="7D324BFC" w14:textId="77777777" w:rsidR="009D6580" w:rsidRPr="00CB2629" w:rsidRDefault="009D6580" w:rsidP="009D6580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r w:rsidRPr="00CB2629">
        <w:rPr>
          <w:rFonts w:ascii="Times New Roman" w:hAnsi="Times New Roman"/>
          <w:sz w:val="24"/>
        </w:rPr>
        <w:t>C 09.01 — Ripartizione geografica delle esposizioni per residenza del debitore: esposizioni cui è applicato il metodo standardizzato (CR GB 1)</w:t>
      </w:r>
    </w:p>
    <w:p w14:paraId="0D9A10C4" w14:textId="77777777" w:rsidR="009D6580" w:rsidRPr="00CB2629" w:rsidRDefault="009D6580" w:rsidP="009D6580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0" w:name="_Toc360188363"/>
      <w:bookmarkStart w:id="1" w:name="_Toc473560914"/>
      <w:bookmarkStart w:id="2" w:name="_Toc151714418"/>
      <w:r w:rsidRPr="00CB2629">
        <w:rPr>
          <w:rFonts w:ascii="Times New Roman" w:hAnsi="Times New Roman"/>
          <w:sz w:val="24"/>
          <w:u w:val="none"/>
        </w:rPr>
        <w:t>3.4.1.1.</w:t>
      </w:r>
      <w:r w:rsidRPr="00CB2629">
        <w:rPr>
          <w:u w:val="none"/>
        </w:rPr>
        <w:tab/>
      </w:r>
      <w:r w:rsidRPr="00CB2629">
        <w:rPr>
          <w:rFonts w:ascii="Times New Roman" w:hAnsi="Times New Roman"/>
          <w:sz w:val="24"/>
        </w:rPr>
        <w:t>Istruzioni relative a posizioni specifiche</w:t>
      </w:r>
      <w:bookmarkEnd w:id="0"/>
      <w:bookmarkEnd w:id="1"/>
      <w:bookmarkEnd w:id="2"/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8640"/>
      </w:tblGrid>
      <w:tr w:rsidR="009D6580" w:rsidRPr="00CB2629" w14:paraId="127D8EEC" w14:textId="77777777" w:rsidTr="00822842">
        <w:trPr>
          <w:trHeight w:val="581"/>
        </w:trPr>
        <w:tc>
          <w:tcPr>
            <w:tcW w:w="9828" w:type="dxa"/>
            <w:gridSpan w:val="2"/>
            <w:shd w:val="clear" w:color="auto" w:fill="CCCCCC"/>
          </w:tcPr>
          <w:p w14:paraId="6A81D963" w14:textId="77777777" w:rsidR="009D6580" w:rsidRPr="00CB2629" w:rsidRDefault="009D6580" w:rsidP="00822842">
            <w:pPr>
              <w:spacing w:after="0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 w:rsidRPr="00CB2629">
              <w:rPr>
                <w:rStyle w:val="InstructionsTabelleText"/>
                <w:rFonts w:ascii="Times New Roman" w:hAnsi="Times New Roman"/>
                <w:b/>
                <w:sz w:val="24"/>
              </w:rPr>
              <w:t>Colonne</w:t>
            </w:r>
          </w:p>
        </w:tc>
      </w:tr>
      <w:tr w:rsidR="009D6580" w:rsidRPr="00CB2629" w14:paraId="08CE2FB2" w14:textId="77777777" w:rsidTr="00822842">
        <w:tc>
          <w:tcPr>
            <w:tcW w:w="1188" w:type="dxa"/>
          </w:tcPr>
          <w:p w14:paraId="75E0B30C" w14:textId="77777777" w:rsidR="009D6580" w:rsidRPr="00CB2629" w:rsidRDefault="009D6580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 w:rsidRPr="00CB2629">
              <w:rPr>
                <w:rStyle w:val="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640" w:type="dxa"/>
          </w:tcPr>
          <w:p w14:paraId="4841BFDB" w14:textId="52DA4076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ESPOSIZIONE ORIGINARIA PRIMA DELL</w:t>
            </w:r>
            <w:r w:rsidR="00882B1B" w:rsidRPr="00CB2629">
              <w:rPr>
                <w:rFonts w:ascii="Times New Roman" w:hAnsi="Times New Roman"/>
                <w:b/>
                <w:sz w:val="24"/>
                <w:u w:val="single"/>
              </w:rPr>
              <w:t>'</w:t>
            </w: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APPLICAZIONE DEI FATTORI DI CONVERSIONE</w:t>
            </w:r>
          </w:p>
          <w:p w14:paraId="1D6A0F00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Stessa definizione di cui alla colonna 0010 del modello CR SA.</w:t>
            </w:r>
          </w:p>
        </w:tc>
      </w:tr>
      <w:tr w:rsidR="009D6580" w:rsidRPr="00CB2629" w14:paraId="5F923D3B" w14:textId="77777777" w:rsidTr="00822842">
        <w:tc>
          <w:tcPr>
            <w:tcW w:w="1188" w:type="dxa"/>
          </w:tcPr>
          <w:p w14:paraId="69087815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640" w:type="dxa"/>
          </w:tcPr>
          <w:p w14:paraId="04F3B538" w14:textId="77777777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Esposizioni in stato di default</w:t>
            </w:r>
          </w:p>
          <w:p w14:paraId="147BD4ED" w14:textId="1B41466E" w:rsidR="009D6580" w:rsidRPr="00CB2629" w:rsidRDefault="009D6580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 w:rsidRPr="00CB2629">
              <w:rPr>
                <w:rStyle w:val="InstructionsTabelleText"/>
                <w:rFonts w:ascii="Times New Roman" w:hAnsi="Times New Roman"/>
                <w:sz w:val="24"/>
              </w:rPr>
              <w:t>Esposizione originaria prima dell</w:t>
            </w:r>
            <w:r w:rsidR="00882B1B" w:rsidRPr="00CB2629">
              <w:rPr>
                <w:rStyle w:val="InstructionsTabelleText"/>
                <w:rFonts w:ascii="Times New Roman" w:hAnsi="Times New Roman"/>
                <w:sz w:val="24"/>
              </w:rPr>
              <w:t>'</w:t>
            </w:r>
            <w:r w:rsidRPr="00CB2629">
              <w:rPr>
                <w:rStyle w:val="InstructionsTabelleText"/>
                <w:rFonts w:ascii="Times New Roman" w:hAnsi="Times New Roman"/>
                <w:sz w:val="24"/>
              </w:rPr>
              <w:t xml:space="preserve">applicazione dei fattori di conversione per le esposizioni classificate come </w:t>
            </w:r>
            <w:r w:rsidR="00882B1B" w:rsidRPr="00CB2629">
              <w:rPr>
                <w:rStyle w:val="InstructionsTabelleText"/>
                <w:rFonts w:ascii="Times New Roman" w:hAnsi="Times New Roman"/>
                <w:sz w:val="24"/>
              </w:rPr>
              <w:t>"</w:t>
            </w:r>
            <w:r w:rsidRPr="00CB2629">
              <w:rPr>
                <w:rStyle w:val="InstructionsTabelleText"/>
                <w:rFonts w:ascii="Times New Roman" w:hAnsi="Times New Roman"/>
                <w:sz w:val="24"/>
              </w:rPr>
              <w:t>esposizioni in stato di default</w:t>
            </w:r>
            <w:r w:rsidR="00882B1B" w:rsidRPr="00CB2629">
              <w:rPr>
                <w:rStyle w:val="InstructionsTabelleText"/>
                <w:rFonts w:ascii="Times New Roman" w:hAnsi="Times New Roman"/>
                <w:sz w:val="24"/>
              </w:rPr>
              <w:t>"</w:t>
            </w:r>
            <w:r w:rsidRPr="00CB2629">
              <w:rPr>
                <w:rStyle w:val="InstructionsTabelleText"/>
                <w:rFonts w:ascii="Times New Roman" w:hAnsi="Times New Roman"/>
                <w:sz w:val="24"/>
              </w:rPr>
              <w:t xml:space="preserve"> e per le esposizioni in stato di default assegnate alla classe di esposizioni </w:t>
            </w:r>
            <w:r w:rsidR="00882B1B" w:rsidRPr="00CB2629">
              <w:rPr>
                <w:rStyle w:val="InstructionsTabelleText"/>
                <w:rFonts w:ascii="Times New Roman" w:hAnsi="Times New Roman"/>
                <w:sz w:val="24"/>
              </w:rPr>
              <w:t>"</w:t>
            </w:r>
            <w:r w:rsidRPr="00CB2629">
              <w:rPr>
                <w:rStyle w:val="InstructionsTabelleText"/>
                <w:rFonts w:ascii="Times New Roman" w:hAnsi="Times New Roman"/>
                <w:sz w:val="24"/>
              </w:rPr>
              <w:t>esposizioni in strumenti di capitale</w:t>
            </w:r>
            <w:r w:rsidR="00882B1B" w:rsidRPr="00CB2629">
              <w:rPr>
                <w:rStyle w:val="InstructionsTabelleText"/>
                <w:rFonts w:ascii="Times New Roman" w:hAnsi="Times New Roman"/>
                <w:sz w:val="24"/>
              </w:rPr>
              <w:t>"</w:t>
            </w:r>
            <w:r w:rsidRPr="00CB2629">
              <w:rPr>
                <w:rStyle w:val="InstructionsTabelleText"/>
                <w:rFonts w:ascii="Times New Roman" w:hAnsi="Times New Roman"/>
                <w:sz w:val="24"/>
              </w:rPr>
              <w:t xml:space="preserve"> e le esposizioni in stato di default assegnate alla classe di esposizioni </w:t>
            </w:r>
            <w:r w:rsidR="00882B1B" w:rsidRPr="00CB2629">
              <w:rPr>
                <w:rStyle w:val="InstructionsTabelleText"/>
                <w:rFonts w:ascii="Times New Roman" w:hAnsi="Times New Roman"/>
                <w:sz w:val="24"/>
              </w:rPr>
              <w:t>"</w:t>
            </w:r>
            <w:r w:rsidRPr="00CB2629">
              <w:rPr>
                <w:rStyle w:val="InstructionsTabelleText"/>
                <w:rFonts w:ascii="Times New Roman" w:hAnsi="Times New Roman"/>
                <w:sz w:val="24"/>
              </w:rPr>
              <w:t>esposizioni sotto forma di quote o azioni di organismi di investimento collettivo (OIC)</w:t>
            </w:r>
            <w:r w:rsidR="00882B1B" w:rsidRPr="00CB2629">
              <w:rPr>
                <w:rStyle w:val="InstructionsTabelleText"/>
                <w:rFonts w:ascii="Times New Roman" w:hAnsi="Times New Roman"/>
                <w:sz w:val="24"/>
              </w:rPr>
              <w:t>"</w:t>
            </w:r>
            <w:r w:rsidRPr="00CB2629">
              <w:rPr>
                <w:rStyle w:val="InstructionsTabelleText"/>
                <w:rFonts w:ascii="Times New Roman" w:hAnsi="Times New Roman"/>
                <w:sz w:val="24"/>
              </w:rPr>
              <w:t>.</w:t>
            </w:r>
          </w:p>
          <w:p w14:paraId="6DA448AF" w14:textId="13C0F1F1" w:rsidR="009D6580" w:rsidRPr="00CB2629" w:rsidRDefault="009D6580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 w:rsidRPr="00CB2629">
              <w:rPr>
                <w:rStyle w:val="InstructionsTabelleText"/>
                <w:rFonts w:ascii="Times New Roman" w:hAnsi="Times New Roman"/>
                <w:sz w:val="24"/>
              </w:rPr>
              <w:t xml:space="preserve">Questa </w:t>
            </w:r>
            <w:r w:rsidR="00882B1B" w:rsidRPr="00CB2629">
              <w:rPr>
                <w:rStyle w:val="InstructionsTabelleText"/>
                <w:rFonts w:ascii="Times New Roman" w:hAnsi="Times New Roman"/>
                <w:sz w:val="24"/>
              </w:rPr>
              <w:t>"</w:t>
            </w:r>
            <w:r w:rsidRPr="00CB2629">
              <w:rPr>
                <w:rStyle w:val="InstructionsTabelleText"/>
                <w:rFonts w:ascii="Times New Roman" w:hAnsi="Times New Roman"/>
                <w:sz w:val="24"/>
              </w:rPr>
              <w:t>voce per memoria</w:t>
            </w:r>
            <w:r w:rsidR="00882B1B" w:rsidRPr="00CB2629">
              <w:rPr>
                <w:rStyle w:val="InstructionsTabelleText"/>
                <w:rFonts w:ascii="Times New Roman" w:hAnsi="Times New Roman"/>
                <w:sz w:val="24"/>
              </w:rPr>
              <w:t>"</w:t>
            </w:r>
            <w:r w:rsidRPr="00CB2629">
              <w:rPr>
                <w:rStyle w:val="InstructionsTabelleText"/>
                <w:rFonts w:ascii="Times New Roman" w:hAnsi="Times New Roman"/>
                <w:sz w:val="24"/>
              </w:rPr>
              <w:t xml:space="preserve"> fornisce informazioni aggiuntive sulla struttura del debitore delle esposizioni in stato di default. Le esposizioni classificate come </w:t>
            </w:r>
            <w:r w:rsidR="00882B1B" w:rsidRPr="00CB2629">
              <w:rPr>
                <w:rStyle w:val="InstructionsTabelleText"/>
                <w:rFonts w:ascii="Times New Roman" w:hAnsi="Times New Roman"/>
                <w:sz w:val="24"/>
              </w:rPr>
              <w:t>"</w:t>
            </w:r>
            <w:r w:rsidRPr="00CB2629">
              <w:rPr>
                <w:rStyle w:val="InstructionsTabelleText"/>
                <w:rFonts w:ascii="Times New Roman" w:hAnsi="Times New Roman"/>
                <w:sz w:val="24"/>
              </w:rPr>
              <w:t>esposizioni in stato di default</w:t>
            </w:r>
            <w:r w:rsidR="00882B1B" w:rsidRPr="00CB2629">
              <w:rPr>
                <w:rStyle w:val="InstructionsTabelleText"/>
                <w:rFonts w:ascii="Times New Roman" w:hAnsi="Times New Roman"/>
                <w:sz w:val="24"/>
              </w:rPr>
              <w:t>"</w:t>
            </w:r>
            <w:r w:rsidRPr="00CB2629">
              <w:rPr>
                <w:rStyle w:val="InstructionsTabelleText"/>
                <w:rFonts w:ascii="Times New Roman" w:hAnsi="Times New Roman"/>
                <w:sz w:val="24"/>
              </w:rPr>
              <w:t xml:space="preserve"> di cui all</w:t>
            </w:r>
            <w:r w:rsidR="00882B1B" w:rsidRPr="00CB2629">
              <w:rPr>
                <w:rStyle w:val="InstructionsTabelleText"/>
                <w:rFonts w:ascii="Times New Roman" w:hAnsi="Times New Roman"/>
                <w:sz w:val="24"/>
              </w:rPr>
              <w:t>'</w:t>
            </w:r>
            <w:r w:rsidRPr="00CB2629">
              <w:rPr>
                <w:rStyle w:val="InstructionsTabelleText"/>
                <w:rFonts w:ascii="Times New Roman" w:hAnsi="Times New Roman"/>
                <w:sz w:val="24"/>
              </w:rPr>
              <w:t>articolo</w:t>
            </w:r>
            <w:r w:rsidR="00882B1B" w:rsidRPr="00CB2629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Pr="00CB2629">
              <w:rPr>
                <w:rStyle w:val="InstructionsTabelleText"/>
                <w:rFonts w:ascii="Times New Roman" w:hAnsi="Times New Roman"/>
                <w:sz w:val="24"/>
              </w:rPr>
              <w:t>112, lettera</w:t>
            </w:r>
            <w:r w:rsidR="00882B1B" w:rsidRPr="00CB2629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Pr="00CB2629">
              <w:rPr>
                <w:rStyle w:val="InstructionsTabelleText"/>
                <w:rFonts w:ascii="Times New Roman" w:hAnsi="Times New Roman"/>
                <w:sz w:val="24"/>
              </w:rPr>
              <w:t xml:space="preserve">j), del regolamento (UE) </w:t>
            </w:r>
            <w:r w:rsidR="00882B1B" w:rsidRPr="00CB2629">
              <w:rPr>
                <w:rStyle w:val="InstructionsTabelleText"/>
                <w:rFonts w:ascii="Times New Roman" w:hAnsi="Times New Roman"/>
                <w:sz w:val="24"/>
              </w:rPr>
              <w:t>n. </w:t>
            </w:r>
            <w:r w:rsidRPr="00CB2629">
              <w:rPr>
                <w:rStyle w:val="InstructionsTabelleText"/>
                <w:rFonts w:ascii="Times New Roman" w:hAnsi="Times New Roman"/>
                <w:sz w:val="24"/>
              </w:rPr>
              <w:t xml:space="preserve">575/2013 sono segnalate in corrispondenza della voce in cui sarebbero stati inseriti i debitori se tali esposizioni non fossero state assegnate alle classi di esposizioni </w:t>
            </w:r>
            <w:r w:rsidR="00882B1B" w:rsidRPr="00CB2629">
              <w:rPr>
                <w:rStyle w:val="InstructionsTabelleText"/>
                <w:rFonts w:ascii="Times New Roman" w:hAnsi="Times New Roman"/>
                <w:sz w:val="24"/>
              </w:rPr>
              <w:t>"</w:t>
            </w:r>
            <w:r w:rsidRPr="00CB2629">
              <w:rPr>
                <w:rStyle w:val="InstructionsTabelleText"/>
                <w:rFonts w:ascii="Times New Roman" w:hAnsi="Times New Roman"/>
                <w:sz w:val="24"/>
              </w:rPr>
              <w:t>esposizioni in stato di default</w:t>
            </w:r>
            <w:r w:rsidR="00882B1B" w:rsidRPr="00CB2629">
              <w:rPr>
                <w:rStyle w:val="InstructionsTabelleText"/>
                <w:rFonts w:ascii="Times New Roman" w:hAnsi="Times New Roman"/>
                <w:sz w:val="24"/>
              </w:rPr>
              <w:t>"</w:t>
            </w:r>
            <w:r w:rsidRPr="00CB2629">
              <w:t>.</w:t>
            </w:r>
            <w:r w:rsidRPr="00CB2629">
              <w:rPr>
                <w:rStyle w:val="InstructionsTabelleText"/>
                <w:rFonts w:ascii="Times New Roman" w:hAnsi="Times New Roman"/>
                <w:sz w:val="24"/>
              </w:rPr>
              <w:t xml:space="preserve"> </w:t>
            </w:r>
          </w:p>
          <w:p w14:paraId="52855171" w14:textId="7FAFB366" w:rsidR="009D6580" w:rsidRPr="00CB2629" w:rsidRDefault="00123FDD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 xml:space="preserve">Queste informazioni sono una </w:t>
            </w:r>
            <w:r w:rsidR="00882B1B" w:rsidRPr="00CB2629">
              <w:rPr>
                <w:rFonts w:ascii="Times New Roman" w:hAnsi="Times New Roman"/>
                <w:sz w:val="24"/>
              </w:rPr>
              <w:t>"</w:t>
            </w:r>
            <w:r w:rsidRPr="00CB2629">
              <w:rPr>
                <w:rFonts w:ascii="Times New Roman" w:hAnsi="Times New Roman"/>
                <w:sz w:val="24"/>
              </w:rPr>
              <w:t>voce per memoria</w:t>
            </w:r>
            <w:r w:rsidR="00882B1B" w:rsidRPr="00CB2629">
              <w:rPr>
                <w:rFonts w:ascii="Times New Roman" w:hAnsi="Times New Roman"/>
                <w:sz w:val="24"/>
              </w:rPr>
              <w:t>"</w:t>
            </w:r>
            <w:r w:rsidRPr="00CB2629">
              <w:rPr>
                <w:rFonts w:ascii="Times New Roman" w:hAnsi="Times New Roman"/>
                <w:sz w:val="24"/>
              </w:rPr>
              <w:t xml:space="preserve"> e pertanto non hanno effetti sul calcolo degli importi delle esposizioni ponderati per il rischio delle classi di esposizioni </w:t>
            </w:r>
            <w:r w:rsidR="00882B1B" w:rsidRPr="00CB2629">
              <w:rPr>
                <w:rFonts w:ascii="Times New Roman" w:hAnsi="Times New Roman"/>
                <w:sz w:val="24"/>
              </w:rPr>
              <w:t>"</w:t>
            </w:r>
            <w:r w:rsidRPr="00CB2629">
              <w:rPr>
                <w:rFonts w:ascii="Times New Roman" w:hAnsi="Times New Roman"/>
                <w:sz w:val="24"/>
              </w:rPr>
              <w:t>Esposizioni in stato di default</w:t>
            </w:r>
            <w:r w:rsidR="00882B1B" w:rsidRPr="00CB2629">
              <w:rPr>
                <w:rFonts w:ascii="Times New Roman" w:hAnsi="Times New Roman"/>
                <w:sz w:val="24"/>
              </w:rPr>
              <w:t>"</w:t>
            </w:r>
            <w:r w:rsidRPr="00CB2629">
              <w:rPr>
                <w:rFonts w:ascii="Times New Roman" w:hAnsi="Times New Roman"/>
                <w:sz w:val="24"/>
              </w:rPr>
              <w:t xml:space="preserve">, </w:t>
            </w:r>
            <w:r w:rsidR="00882B1B" w:rsidRPr="00CB2629">
              <w:rPr>
                <w:rFonts w:ascii="Times New Roman" w:hAnsi="Times New Roman"/>
                <w:sz w:val="24"/>
              </w:rPr>
              <w:t>"</w:t>
            </w:r>
            <w:r w:rsidRPr="00CB2629">
              <w:rPr>
                <w:rFonts w:ascii="Times New Roman" w:hAnsi="Times New Roman"/>
                <w:sz w:val="24"/>
              </w:rPr>
              <w:t>Esposizioni in strumenti di capitale</w:t>
            </w:r>
            <w:r w:rsidR="00882B1B" w:rsidRPr="00CB2629">
              <w:rPr>
                <w:rFonts w:ascii="Times New Roman" w:hAnsi="Times New Roman"/>
                <w:sz w:val="24"/>
              </w:rPr>
              <w:t>"</w:t>
            </w:r>
            <w:r w:rsidRPr="00CB2629">
              <w:rPr>
                <w:rFonts w:ascii="Times New Roman" w:hAnsi="Times New Roman"/>
                <w:sz w:val="24"/>
              </w:rPr>
              <w:t xml:space="preserve"> o </w:t>
            </w:r>
            <w:r w:rsidR="00882B1B" w:rsidRPr="00CB2629">
              <w:rPr>
                <w:rFonts w:ascii="Times New Roman" w:hAnsi="Times New Roman"/>
                <w:sz w:val="24"/>
              </w:rPr>
              <w:t>"</w:t>
            </w:r>
            <w:r w:rsidRPr="00CB2629">
              <w:rPr>
                <w:rFonts w:ascii="Times New Roman" w:hAnsi="Times New Roman"/>
                <w:sz w:val="24"/>
              </w:rPr>
              <w:t>Esposizioni sotto forma di quote o azioni di organismi di investimento collettivo (OIC)</w:t>
            </w:r>
            <w:r w:rsidR="00882B1B" w:rsidRPr="00CB2629">
              <w:rPr>
                <w:rFonts w:ascii="Times New Roman" w:hAnsi="Times New Roman"/>
                <w:sz w:val="24"/>
              </w:rPr>
              <w:t>"</w:t>
            </w:r>
            <w:r w:rsidRPr="00CB2629">
              <w:rPr>
                <w:rFonts w:ascii="Times New Roman" w:hAnsi="Times New Roman"/>
                <w:sz w:val="24"/>
              </w:rPr>
              <w:t xml:space="preserve"> di cui all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 xml:space="preserve">articolo 112, lettere j), p) e o),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9D6580" w:rsidRPr="00CB2629" w14:paraId="12737C01" w14:textId="77777777" w:rsidTr="00822842">
        <w:tc>
          <w:tcPr>
            <w:tcW w:w="1188" w:type="dxa"/>
          </w:tcPr>
          <w:p w14:paraId="0843F0D4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8640" w:type="dxa"/>
          </w:tcPr>
          <w:p w14:paraId="317ABA2D" w14:textId="77777777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Nuovi default osservati per il periodo</w:t>
            </w:r>
          </w:p>
          <w:p w14:paraId="4C451CED" w14:textId="19EF1963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Style w:val="InstructionsTabelleText"/>
                <w:rFonts w:ascii="Times New Roman" w:hAnsi="Times New Roman"/>
                <w:sz w:val="24"/>
              </w:rPr>
              <w:t>L</w:t>
            </w:r>
            <w:r w:rsidR="00882B1B" w:rsidRPr="00CB2629">
              <w:rPr>
                <w:rStyle w:val="InstructionsTabelleText"/>
                <w:rFonts w:ascii="Times New Roman" w:hAnsi="Times New Roman"/>
                <w:sz w:val="24"/>
              </w:rPr>
              <w:t>'</w:t>
            </w:r>
            <w:r w:rsidRPr="00CB2629">
              <w:rPr>
                <w:rStyle w:val="InstructionsTabelleText"/>
                <w:rFonts w:ascii="Times New Roman" w:hAnsi="Times New Roman"/>
                <w:sz w:val="24"/>
              </w:rPr>
              <w:t xml:space="preserve">importo delle esposizioni originarie trasferite nella classe </w:t>
            </w:r>
            <w:r w:rsidR="00882B1B" w:rsidRPr="00CB2629">
              <w:rPr>
                <w:rStyle w:val="InstructionsTabelleText"/>
                <w:rFonts w:ascii="Times New Roman" w:hAnsi="Times New Roman"/>
                <w:sz w:val="24"/>
              </w:rPr>
              <w:t>"</w:t>
            </w:r>
            <w:r w:rsidRPr="00CB2629">
              <w:rPr>
                <w:rStyle w:val="InstructionsTabelleText"/>
                <w:rFonts w:ascii="Times New Roman" w:hAnsi="Times New Roman"/>
                <w:sz w:val="24"/>
              </w:rPr>
              <w:t>esposizioni in stato di default</w:t>
            </w:r>
            <w:r w:rsidR="00882B1B" w:rsidRPr="00CB2629">
              <w:rPr>
                <w:rStyle w:val="InstructionsTabelleText"/>
                <w:rFonts w:ascii="Times New Roman" w:hAnsi="Times New Roman"/>
                <w:sz w:val="24"/>
              </w:rPr>
              <w:t>"</w:t>
            </w:r>
            <w:r w:rsidRPr="00CB2629">
              <w:rPr>
                <w:rStyle w:val="InstructionsTabelleText"/>
                <w:rFonts w:ascii="Times New Roman" w:hAnsi="Times New Roman"/>
                <w:sz w:val="24"/>
              </w:rPr>
              <w:t xml:space="preserve"> nel corso del trimestre successivo all</w:t>
            </w:r>
            <w:r w:rsidR="00882B1B" w:rsidRPr="00CB2629">
              <w:rPr>
                <w:rStyle w:val="InstructionsTabelleText"/>
                <w:rFonts w:ascii="Times New Roman" w:hAnsi="Times New Roman"/>
                <w:sz w:val="24"/>
              </w:rPr>
              <w:t>'</w:t>
            </w:r>
            <w:r w:rsidRPr="00CB2629">
              <w:rPr>
                <w:rStyle w:val="InstructionsTabelleText"/>
                <w:rFonts w:ascii="Times New Roman" w:hAnsi="Times New Roman"/>
                <w:sz w:val="24"/>
              </w:rPr>
              <w:t>ultima data di riferimento per le segnalazioni è segnalato a fronte della classe di esposizioni alla quale il debitore apparteneva originariamente.</w:t>
            </w:r>
          </w:p>
        </w:tc>
      </w:tr>
      <w:tr w:rsidR="009D6580" w:rsidRPr="00CB2629" w14:paraId="59173FA8" w14:textId="77777777" w:rsidTr="00822842">
        <w:tc>
          <w:tcPr>
            <w:tcW w:w="1188" w:type="dxa"/>
          </w:tcPr>
          <w:p w14:paraId="7368E5E9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lastRenderedPageBreak/>
              <w:t>0050</w:t>
            </w:r>
          </w:p>
        </w:tc>
        <w:tc>
          <w:tcPr>
            <w:tcW w:w="8640" w:type="dxa"/>
          </w:tcPr>
          <w:p w14:paraId="1A491AA7" w14:textId="77777777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Rettifiche di valore su crediti generiche</w:t>
            </w:r>
          </w:p>
          <w:p w14:paraId="019027A7" w14:textId="55AC8936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Le rettifiche di valore su crediti di cui all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 xml:space="preserve">articolo 110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 xml:space="preserve">575/2013 e al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 xml:space="preserve">183/2014. </w:t>
            </w:r>
          </w:p>
          <w:p w14:paraId="124DE0E0" w14:textId="5F04DC6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Questa voce comprende le rettifiche di valore su crediti generiche che possono essere incluse nel capitale di classe</w:t>
            </w:r>
            <w:r w:rsidR="00882B1B" w:rsidRPr="00CB2629">
              <w:rPr>
                <w:rFonts w:ascii="Times New Roman" w:hAnsi="Times New Roman"/>
                <w:sz w:val="24"/>
              </w:rPr>
              <w:t> </w:t>
            </w:r>
            <w:r w:rsidRPr="00CB2629">
              <w:rPr>
                <w:rFonts w:ascii="Times New Roman" w:hAnsi="Times New Roman"/>
                <w:sz w:val="24"/>
              </w:rPr>
              <w:t>2, prima dell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>applicazione del massimale di cui all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>articolo</w:t>
            </w:r>
            <w:r w:rsidR="00882B1B" w:rsidRPr="00CB2629">
              <w:rPr>
                <w:rFonts w:ascii="Times New Roman" w:hAnsi="Times New Roman"/>
                <w:sz w:val="24"/>
              </w:rPr>
              <w:t> </w:t>
            </w:r>
            <w:r w:rsidRPr="00CB2629">
              <w:rPr>
                <w:rFonts w:ascii="Times New Roman" w:hAnsi="Times New Roman"/>
                <w:sz w:val="24"/>
              </w:rPr>
              <w:t xml:space="preserve">62, lettera c),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575/2013.</w:t>
            </w:r>
          </w:p>
          <w:p w14:paraId="50B8B57C" w14:textId="7D9D1143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sz w:val="24"/>
              </w:rPr>
              <w:t>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>importo da segnalare è al lordo degli effetti fiscali.</w:t>
            </w:r>
          </w:p>
        </w:tc>
      </w:tr>
      <w:tr w:rsidR="009D6580" w:rsidRPr="00CB2629" w14:paraId="18048AF8" w14:textId="77777777" w:rsidTr="00822842">
        <w:tc>
          <w:tcPr>
            <w:tcW w:w="1188" w:type="dxa"/>
          </w:tcPr>
          <w:p w14:paraId="6BF1FDE0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0055</w:t>
            </w:r>
          </w:p>
        </w:tc>
        <w:tc>
          <w:tcPr>
            <w:tcW w:w="8640" w:type="dxa"/>
          </w:tcPr>
          <w:p w14:paraId="3DA55F27" w14:textId="77777777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Rettifiche di valore su crediti specifiche</w:t>
            </w:r>
          </w:p>
          <w:p w14:paraId="0C4040D9" w14:textId="10F40431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sz w:val="24"/>
              </w:rPr>
              <w:t>Le rettifiche di valore su crediti di cui all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 xml:space="preserve">articolo 110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 xml:space="preserve">575/2013 e al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183/2014.</w:t>
            </w:r>
          </w:p>
        </w:tc>
      </w:tr>
      <w:tr w:rsidR="009D6580" w:rsidRPr="00CB2629" w14:paraId="1433D694" w14:textId="77777777" w:rsidTr="00822842">
        <w:tc>
          <w:tcPr>
            <w:tcW w:w="1188" w:type="dxa"/>
          </w:tcPr>
          <w:p w14:paraId="0154002C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8640" w:type="dxa"/>
          </w:tcPr>
          <w:p w14:paraId="0E9754AE" w14:textId="77777777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Svalutazioni</w:t>
            </w:r>
          </w:p>
          <w:p w14:paraId="5E984FA2" w14:textId="64F34B21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Style w:val="InstructionsTabelleText"/>
                <w:rFonts w:ascii="Times New Roman" w:hAnsi="Times New Roman"/>
                <w:sz w:val="24"/>
              </w:rPr>
              <w:t>Svalutazioni di cui all</w:t>
            </w:r>
            <w:r w:rsidR="00882B1B" w:rsidRPr="00CB2629">
              <w:rPr>
                <w:rStyle w:val="InstructionsTabelleText"/>
                <w:rFonts w:ascii="Times New Roman" w:hAnsi="Times New Roman"/>
                <w:sz w:val="24"/>
              </w:rPr>
              <w:t>'</w:t>
            </w:r>
            <w:r w:rsidRPr="00CB2629">
              <w:rPr>
                <w:rStyle w:val="InstructionsTabelleText"/>
                <w:rFonts w:ascii="Times New Roman" w:hAnsi="Times New Roman"/>
                <w:sz w:val="24"/>
              </w:rPr>
              <w:t>IFRS 9 5.4.4 e B5.4.9.</w:t>
            </w:r>
          </w:p>
        </w:tc>
      </w:tr>
      <w:tr w:rsidR="009D6580" w:rsidRPr="00CB2629" w14:paraId="1CFA94CF" w14:textId="77777777" w:rsidTr="00822842">
        <w:tc>
          <w:tcPr>
            <w:tcW w:w="1188" w:type="dxa"/>
          </w:tcPr>
          <w:p w14:paraId="23BBA9F5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0061</w:t>
            </w:r>
          </w:p>
        </w:tc>
        <w:tc>
          <w:tcPr>
            <w:tcW w:w="8640" w:type="dxa"/>
          </w:tcPr>
          <w:p w14:paraId="7173ECB3" w14:textId="77777777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Rettifiche di valore supplementari e altre riduzioni dei fondi propri</w:t>
            </w:r>
          </w:p>
          <w:p w14:paraId="074C80EC" w14:textId="5BFD0A71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sz w:val="24"/>
              </w:rPr>
              <w:t>Come previsto dall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 xml:space="preserve">articolo 111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9D6580" w:rsidRPr="00CB2629" w14:paraId="2939F77F" w14:textId="77777777" w:rsidTr="00822842">
        <w:tc>
          <w:tcPr>
            <w:tcW w:w="1188" w:type="dxa"/>
          </w:tcPr>
          <w:p w14:paraId="542B9015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640" w:type="dxa"/>
          </w:tcPr>
          <w:p w14:paraId="26434907" w14:textId="77777777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Rettifiche di valore su crediti/svalutazioni per nuovi default osservati</w:t>
            </w:r>
          </w:p>
          <w:p w14:paraId="7E554B62" w14:textId="5E06A24B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Style w:val="InstructionsTabelleText"/>
                <w:rFonts w:ascii="Times New Roman" w:hAnsi="Times New Roman"/>
                <w:sz w:val="24"/>
              </w:rPr>
              <w:t xml:space="preserve">Somma delle rettifiche di valore su crediti e delle svalutazioni relativamente alle esposizioni classificate come </w:t>
            </w:r>
            <w:r w:rsidR="00882B1B" w:rsidRPr="00CB2629">
              <w:rPr>
                <w:rStyle w:val="InstructionsTabelleText"/>
                <w:rFonts w:ascii="Times New Roman" w:hAnsi="Times New Roman"/>
                <w:sz w:val="24"/>
              </w:rPr>
              <w:t>"</w:t>
            </w:r>
            <w:r w:rsidRPr="00CB2629">
              <w:rPr>
                <w:rStyle w:val="InstructionsTabelleText"/>
                <w:rFonts w:ascii="Times New Roman" w:hAnsi="Times New Roman"/>
                <w:sz w:val="24"/>
              </w:rPr>
              <w:t>esposizioni in stato di default</w:t>
            </w:r>
            <w:r w:rsidR="00882B1B" w:rsidRPr="00CB2629">
              <w:rPr>
                <w:rStyle w:val="InstructionsTabelleText"/>
                <w:rFonts w:ascii="Times New Roman" w:hAnsi="Times New Roman"/>
                <w:sz w:val="24"/>
              </w:rPr>
              <w:t>"</w:t>
            </w:r>
            <w:r w:rsidRPr="00CB2629">
              <w:rPr>
                <w:rStyle w:val="InstructionsTabelleText"/>
                <w:rFonts w:ascii="Times New Roman" w:hAnsi="Times New Roman"/>
                <w:sz w:val="24"/>
              </w:rPr>
              <w:t xml:space="preserve"> nel trimestre successivo all</w:t>
            </w:r>
            <w:r w:rsidR="00882B1B" w:rsidRPr="00CB2629">
              <w:rPr>
                <w:rStyle w:val="InstructionsTabelleText"/>
                <w:rFonts w:ascii="Times New Roman" w:hAnsi="Times New Roman"/>
                <w:sz w:val="24"/>
              </w:rPr>
              <w:t>'</w:t>
            </w:r>
            <w:r w:rsidRPr="00CB2629">
              <w:rPr>
                <w:rStyle w:val="InstructionsTabelleText"/>
                <w:rFonts w:ascii="Times New Roman" w:hAnsi="Times New Roman"/>
                <w:sz w:val="24"/>
              </w:rPr>
              <w:t>ultima segnalazione di dati.</w:t>
            </w:r>
          </w:p>
        </w:tc>
      </w:tr>
      <w:tr w:rsidR="009D6580" w:rsidRPr="00CB2629" w14:paraId="2CA30DE3" w14:textId="77777777" w:rsidTr="00822842">
        <w:tc>
          <w:tcPr>
            <w:tcW w:w="1188" w:type="dxa"/>
          </w:tcPr>
          <w:p w14:paraId="2FD89795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0075</w:t>
            </w:r>
          </w:p>
        </w:tc>
        <w:tc>
          <w:tcPr>
            <w:tcW w:w="8640" w:type="dxa"/>
          </w:tcPr>
          <w:p w14:paraId="233BFDCE" w14:textId="3A162172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Valore dell</w:t>
            </w:r>
            <w:r w:rsidR="00882B1B" w:rsidRPr="00CB2629">
              <w:rPr>
                <w:rFonts w:ascii="Times New Roman" w:hAnsi="Times New Roman"/>
                <w:b/>
                <w:sz w:val="24"/>
                <w:u w:val="single"/>
              </w:rPr>
              <w:t>'</w:t>
            </w: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esposizione</w:t>
            </w:r>
          </w:p>
          <w:p w14:paraId="4F849709" w14:textId="77777777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Style w:val="InstructionsTabelleText"/>
                <w:rFonts w:ascii="Times New Roman" w:hAnsi="Times New Roman"/>
                <w:sz w:val="24"/>
              </w:rPr>
              <w:t>Stessa definizione di cui alla colonna 0200 del modello CR SA.</w:t>
            </w:r>
          </w:p>
        </w:tc>
      </w:tr>
      <w:tr w:rsidR="009D6580" w:rsidRPr="00CB2629" w14:paraId="09BD9174" w14:textId="77777777" w:rsidTr="00822842">
        <w:tc>
          <w:tcPr>
            <w:tcW w:w="1188" w:type="dxa"/>
          </w:tcPr>
          <w:p w14:paraId="06587A3C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640" w:type="dxa"/>
          </w:tcPr>
          <w:p w14:paraId="0B560F31" w14:textId="355140D6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IMPORTO DELL</w:t>
            </w:r>
            <w:r w:rsidR="00882B1B" w:rsidRPr="00CB2629">
              <w:rPr>
                <w:rFonts w:ascii="Times New Roman" w:hAnsi="Times New Roman"/>
                <w:b/>
                <w:sz w:val="24"/>
                <w:u w:val="single"/>
              </w:rPr>
              <w:t>'</w:t>
            </w: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ESPOSIZIONE PONDERATO PER IL RISCHIO PRIMA DELL</w:t>
            </w:r>
            <w:r w:rsidR="00882B1B" w:rsidRPr="00CB2629">
              <w:rPr>
                <w:rFonts w:ascii="Times New Roman" w:hAnsi="Times New Roman"/>
                <w:b/>
                <w:sz w:val="24"/>
                <w:u w:val="single"/>
              </w:rPr>
              <w:t>'</w:t>
            </w: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APPLICAZIONE DEI FATTORI DI SOSTEGNO E DEL DISALLINEAMENTO DI VALUTA</w:t>
            </w:r>
          </w:p>
          <w:p w14:paraId="7F917189" w14:textId="77777777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sz w:val="24"/>
              </w:rPr>
              <w:t>Stessa definizione di cui alla colonna 0215 del modello CR SA.</w:t>
            </w:r>
          </w:p>
        </w:tc>
      </w:tr>
      <w:tr w:rsidR="009D6580" w:rsidRPr="00CB2629" w14:paraId="172392A5" w14:textId="77777777" w:rsidTr="00822842">
        <w:tc>
          <w:tcPr>
            <w:tcW w:w="1188" w:type="dxa"/>
          </w:tcPr>
          <w:p w14:paraId="4881CC35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0081</w:t>
            </w:r>
          </w:p>
        </w:tc>
        <w:tc>
          <w:tcPr>
            <w:tcW w:w="8640" w:type="dxa"/>
          </w:tcPr>
          <w:p w14:paraId="3683E884" w14:textId="22302381" w:rsidR="009D6580" w:rsidRPr="00CB2629" w:rsidRDefault="009D6580" w:rsidP="00822842">
            <w:pPr>
              <w:rPr>
                <w:rStyle w:val="InstructionsTabelleberschrift"/>
                <w:rFonts w:ascii="Times New Roman" w:hAnsi="Times New Roman"/>
                <w:sz w:val="32"/>
              </w:rPr>
            </w:pPr>
            <w:r w:rsidRPr="00CB2629">
              <w:rPr>
                <w:rStyle w:val="InstructionsTabelleberschrift"/>
                <w:rFonts w:ascii="Times New Roman" w:hAnsi="Times New Roman"/>
                <w:sz w:val="24"/>
              </w:rPr>
              <w:t>(-) RETTIFICA DELL</w:t>
            </w:r>
            <w:r w:rsidR="00882B1B" w:rsidRPr="00CB2629">
              <w:rPr>
                <w:rStyle w:val="InstructionsTabelleberschrift"/>
                <w:rFonts w:ascii="Times New Roman" w:hAnsi="Times New Roman"/>
                <w:sz w:val="24"/>
              </w:rPr>
              <w:t>'</w:t>
            </w:r>
            <w:r w:rsidRPr="00CB2629">
              <w:rPr>
                <w:rStyle w:val="InstructionsTabelleberschrift"/>
                <w:rFonts w:ascii="Times New Roman" w:hAnsi="Times New Roman"/>
                <w:sz w:val="24"/>
              </w:rPr>
              <w:t>IMPORTO DELL</w:t>
            </w:r>
            <w:r w:rsidR="00882B1B" w:rsidRPr="00CB2629">
              <w:rPr>
                <w:rStyle w:val="InstructionsTabelleberschrift"/>
                <w:rFonts w:ascii="Times New Roman" w:hAnsi="Times New Roman"/>
                <w:sz w:val="24"/>
              </w:rPr>
              <w:t>'</w:t>
            </w:r>
            <w:r w:rsidRPr="00CB2629">
              <w:rPr>
                <w:rStyle w:val="InstructionsTabelleberschrift"/>
                <w:rFonts w:ascii="Times New Roman" w:hAnsi="Times New Roman"/>
                <w:sz w:val="24"/>
              </w:rPr>
              <w:t>ESPOSIZIONE PONDERATO PER IL RISCHIO DOVUTA AL FATTORE DI SOSTEGNO ALLE PMI</w:t>
            </w:r>
          </w:p>
          <w:p w14:paraId="7D7BF2EE" w14:textId="77777777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sz w:val="24"/>
              </w:rPr>
              <w:t>Stessa definizione di cui alla colonna 0216 del modello CR SA.</w:t>
            </w:r>
          </w:p>
        </w:tc>
      </w:tr>
      <w:tr w:rsidR="009D6580" w:rsidRPr="00CB2629" w14:paraId="7C7A5C85" w14:textId="77777777" w:rsidTr="00822842">
        <w:tc>
          <w:tcPr>
            <w:tcW w:w="1188" w:type="dxa"/>
          </w:tcPr>
          <w:p w14:paraId="4ABD72EC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0082</w:t>
            </w:r>
          </w:p>
        </w:tc>
        <w:tc>
          <w:tcPr>
            <w:tcW w:w="8640" w:type="dxa"/>
          </w:tcPr>
          <w:p w14:paraId="60EE9D4D" w14:textId="69922EB2" w:rsidR="009D6580" w:rsidRPr="00CB2629" w:rsidRDefault="009D6580" w:rsidP="00822842">
            <w:pPr>
              <w:rPr>
                <w:rStyle w:val="InstructionsTabelleberschrift"/>
                <w:rFonts w:ascii="Times New Roman" w:hAnsi="Times New Roman"/>
                <w:sz w:val="32"/>
              </w:rPr>
            </w:pPr>
            <w:r w:rsidRPr="00CB2629">
              <w:rPr>
                <w:rStyle w:val="InstructionsTabelleberschrift"/>
                <w:rFonts w:ascii="Times New Roman" w:hAnsi="Times New Roman"/>
                <w:sz w:val="24"/>
              </w:rPr>
              <w:t>(-) RETTIFICA DELL</w:t>
            </w:r>
            <w:r w:rsidR="00882B1B" w:rsidRPr="00CB2629">
              <w:rPr>
                <w:rStyle w:val="InstructionsTabelleberschrift"/>
                <w:rFonts w:ascii="Times New Roman" w:hAnsi="Times New Roman"/>
                <w:sz w:val="24"/>
              </w:rPr>
              <w:t>'</w:t>
            </w:r>
            <w:r w:rsidRPr="00CB2629">
              <w:rPr>
                <w:rStyle w:val="InstructionsTabelleberschrift"/>
                <w:rFonts w:ascii="Times New Roman" w:hAnsi="Times New Roman"/>
                <w:sz w:val="24"/>
              </w:rPr>
              <w:t>IMPORTO DELL</w:t>
            </w:r>
            <w:r w:rsidR="00882B1B" w:rsidRPr="00CB2629">
              <w:rPr>
                <w:rStyle w:val="InstructionsTabelleberschrift"/>
                <w:rFonts w:ascii="Times New Roman" w:hAnsi="Times New Roman"/>
                <w:sz w:val="24"/>
              </w:rPr>
              <w:t>'</w:t>
            </w:r>
            <w:r w:rsidRPr="00CB2629">
              <w:rPr>
                <w:rStyle w:val="InstructionsTabelleberschrift"/>
                <w:rFonts w:ascii="Times New Roman" w:hAnsi="Times New Roman"/>
                <w:sz w:val="24"/>
              </w:rPr>
              <w:t>ESPOSIZIONE PONDERATO PER IL RISCHIO DOVUTA AL FATTORE DI SOSTEGNO ALLE INFRASTRUTTURE</w:t>
            </w:r>
          </w:p>
          <w:p w14:paraId="3D157D72" w14:textId="77777777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sz w:val="24"/>
              </w:rPr>
              <w:t>Stessa definizione di cui alla colonna 0217 del modello CR SA.</w:t>
            </w:r>
          </w:p>
        </w:tc>
      </w:tr>
      <w:tr w:rsidR="009D6580" w:rsidRPr="00CB2629" w14:paraId="2271C08F" w14:textId="77777777" w:rsidTr="00822842">
        <w:tc>
          <w:tcPr>
            <w:tcW w:w="1188" w:type="dxa"/>
          </w:tcPr>
          <w:p w14:paraId="7D3C5FE9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8640" w:type="dxa"/>
          </w:tcPr>
          <w:p w14:paraId="784080AC" w14:textId="2ACAAE16" w:rsidR="00AF2BE6" w:rsidRPr="00CB2629" w:rsidRDefault="009D6580" w:rsidP="00AF2BE6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IMPORTO DELL</w:t>
            </w:r>
            <w:r w:rsidR="00882B1B" w:rsidRPr="00CB2629">
              <w:rPr>
                <w:rFonts w:ascii="Times New Roman" w:hAnsi="Times New Roman"/>
                <w:b/>
                <w:sz w:val="24"/>
                <w:u w:val="single"/>
              </w:rPr>
              <w:t>'</w:t>
            </w: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ESPOSIZIONE PONDERATO PER IL RISCHIO DOPO L</w:t>
            </w:r>
            <w:r w:rsidR="00882B1B" w:rsidRPr="00CB2629">
              <w:rPr>
                <w:rFonts w:ascii="Times New Roman" w:hAnsi="Times New Roman"/>
                <w:b/>
                <w:sz w:val="24"/>
                <w:u w:val="single"/>
              </w:rPr>
              <w:t>'</w:t>
            </w: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APPLICAZIONE DEI FATTORI DI SOSTEGNO E DEL DISALLINEAMENTO DI VALUTA</w:t>
            </w:r>
          </w:p>
          <w:p w14:paraId="5F17785F" w14:textId="6397E6C0" w:rsidR="009D6580" w:rsidRPr="00CB2629" w:rsidRDefault="009D6580" w:rsidP="00AF2BE6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sz w:val="24"/>
              </w:rPr>
              <w:t>Stessa definizione di cui alla colonna 0220 del modello CR SA.</w:t>
            </w:r>
          </w:p>
        </w:tc>
      </w:tr>
    </w:tbl>
    <w:p w14:paraId="00F504F2" w14:textId="77777777" w:rsidR="009D6580" w:rsidRPr="00CB2629" w:rsidRDefault="009D6580" w:rsidP="009D6580">
      <w:pPr>
        <w:rPr>
          <w:rFonts w:ascii="Times New Roman" w:hAnsi="Times New Roman"/>
          <w:sz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8640"/>
        <w:gridCol w:w="61"/>
      </w:tblGrid>
      <w:tr w:rsidR="009D6580" w:rsidRPr="00CB2629" w14:paraId="603A14A1" w14:textId="77777777" w:rsidTr="00822842">
        <w:trPr>
          <w:gridAfter w:val="1"/>
          <w:wAfter w:w="61" w:type="dxa"/>
          <w:trHeight w:val="581"/>
        </w:trPr>
        <w:tc>
          <w:tcPr>
            <w:tcW w:w="9828" w:type="dxa"/>
            <w:gridSpan w:val="2"/>
            <w:shd w:val="clear" w:color="auto" w:fill="CCCCCC"/>
          </w:tcPr>
          <w:p w14:paraId="52CB66F8" w14:textId="77777777" w:rsidR="009D6580" w:rsidRPr="00CB2629" w:rsidRDefault="009D6580" w:rsidP="00822842">
            <w:pPr>
              <w:spacing w:after="0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 w:rsidRPr="00CB2629">
              <w:rPr>
                <w:rStyle w:val="InstructionsTabelleText"/>
                <w:rFonts w:ascii="Times New Roman" w:hAnsi="Times New Roman"/>
                <w:b/>
                <w:sz w:val="24"/>
              </w:rPr>
              <w:lastRenderedPageBreak/>
              <w:t>Righe</w:t>
            </w:r>
          </w:p>
        </w:tc>
      </w:tr>
      <w:tr w:rsidR="009D6580" w:rsidRPr="00CB2629" w14:paraId="118E5421" w14:textId="77777777" w:rsidTr="00822842">
        <w:tc>
          <w:tcPr>
            <w:tcW w:w="1188" w:type="dxa"/>
            <w:shd w:val="clear" w:color="auto" w:fill="FFFFFF"/>
          </w:tcPr>
          <w:p w14:paraId="2F36564E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5299C4CD" w14:textId="77777777" w:rsidR="009D6580" w:rsidRPr="00CB2629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CB2629">
              <w:rPr>
                <w:rStyle w:val="InstructionsTabelleberschrift"/>
                <w:rFonts w:ascii="Times New Roman" w:hAnsi="Times New Roman"/>
                <w:sz w:val="24"/>
              </w:rPr>
              <w:t>Amministrazioni centrali o banche centrali</w:t>
            </w:r>
          </w:p>
          <w:p w14:paraId="701FDDD6" w14:textId="604C83AC" w:rsidR="009D6580" w:rsidRPr="00CB2629" w:rsidRDefault="009D6580" w:rsidP="00822842">
            <w:pPr>
              <w:ind w:left="72"/>
              <w:rPr>
                <w:rStyle w:val="InstructionsTabelleText"/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 xml:space="preserve">Articolo 112, lettera a),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D6580" w:rsidRPr="00CB2629" w14:paraId="68375DB0" w14:textId="77777777" w:rsidTr="00822842">
        <w:tc>
          <w:tcPr>
            <w:tcW w:w="1188" w:type="dxa"/>
            <w:shd w:val="clear" w:color="auto" w:fill="FFFFFF"/>
          </w:tcPr>
          <w:p w14:paraId="1C3E335B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944FAD5" w14:textId="77777777" w:rsidR="009D6580" w:rsidRPr="00CB2629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CB2629">
              <w:rPr>
                <w:rStyle w:val="InstructionsTabelleberschrift"/>
                <w:rFonts w:ascii="Times New Roman" w:hAnsi="Times New Roman"/>
                <w:sz w:val="24"/>
              </w:rPr>
              <w:t>Amministrazioni regionali o autorità locali</w:t>
            </w:r>
          </w:p>
          <w:p w14:paraId="06578FE1" w14:textId="0B4EE9F2" w:rsidR="009D6580" w:rsidRPr="00CB2629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 xml:space="preserve">Articolo 112, lettera b),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D6580" w:rsidRPr="00CB2629" w14:paraId="586A7704" w14:textId="77777777" w:rsidTr="00822842">
        <w:tc>
          <w:tcPr>
            <w:tcW w:w="1188" w:type="dxa"/>
            <w:shd w:val="clear" w:color="auto" w:fill="FFFFFF"/>
          </w:tcPr>
          <w:p w14:paraId="2F12168F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63F83BD2" w14:textId="77777777" w:rsidR="009D6580" w:rsidRPr="00CB2629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CB2629">
              <w:rPr>
                <w:rStyle w:val="InstructionsTabelleberschrift"/>
                <w:rFonts w:ascii="Times New Roman" w:hAnsi="Times New Roman"/>
                <w:sz w:val="24"/>
              </w:rPr>
              <w:t>Organismi del settore pubblico</w:t>
            </w:r>
          </w:p>
          <w:p w14:paraId="451BD941" w14:textId="3C49E5D3" w:rsidR="009D6580" w:rsidRPr="00CB2629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 xml:space="preserve">Articolo 112, lettera c),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D6580" w:rsidRPr="00CB2629" w14:paraId="6FF0246D" w14:textId="77777777" w:rsidTr="00822842">
        <w:tc>
          <w:tcPr>
            <w:tcW w:w="1188" w:type="dxa"/>
            <w:shd w:val="clear" w:color="auto" w:fill="FFFFFF"/>
          </w:tcPr>
          <w:p w14:paraId="0764BD95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3EC9AA89" w14:textId="77777777" w:rsidR="009D6580" w:rsidRPr="00CB2629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CB2629">
              <w:rPr>
                <w:rStyle w:val="InstructionsTabelleberschrift"/>
                <w:rFonts w:ascii="Times New Roman" w:hAnsi="Times New Roman"/>
                <w:sz w:val="24"/>
              </w:rPr>
              <w:t>Banche multilaterali di sviluppo</w:t>
            </w:r>
          </w:p>
          <w:p w14:paraId="59A02674" w14:textId="548608ED" w:rsidR="009D6580" w:rsidRPr="00CB2629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 xml:space="preserve">Articolo 112, lettera d),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D6580" w:rsidRPr="00CB2629" w14:paraId="6E3FD4C2" w14:textId="77777777" w:rsidTr="00822842">
        <w:tc>
          <w:tcPr>
            <w:tcW w:w="1188" w:type="dxa"/>
            <w:shd w:val="clear" w:color="auto" w:fill="FFFFFF"/>
          </w:tcPr>
          <w:p w14:paraId="6AB26633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5907B56D" w14:textId="77777777" w:rsidR="009D6580" w:rsidRPr="00CB2629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CB2629">
              <w:rPr>
                <w:rStyle w:val="InstructionsTabelleberschrift"/>
                <w:rFonts w:ascii="Times New Roman" w:hAnsi="Times New Roman"/>
                <w:sz w:val="24"/>
              </w:rPr>
              <w:t>Organizzazioni internazionali</w:t>
            </w:r>
          </w:p>
          <w:p w14:paraId="17C7FCF4" w14:textId="734A5322" w:rsidR="009D6580" w:rsidRPr="00CB2629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 xml:space="preserve">Articolo 112, lettera e),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D6580" w:rsidRPr="00CB2629" w14:paraId="4CDD7211" w14:textId="77777777" w:rsidTr="00822842">
        <w:tc>
          <w:tcPr>
            <w:tcW w:w="1188" w:type="dxa"/>
            <w:shd w:val="clear" w:color="auto" w:fill="FFFFFF"/>
          </w:tcPr>
          <w:p w14:paraId="21D2188E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404BFA7" w14:textId="77777777" w:rsidR="009D6580" w:rsidRPr="00CB2629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CB2629">
              <w:rPr>
                <w:rStyle w:val="InstructionsTabelleberschrift"/>
                <w:rFonts w:ascii="Times New Roman" w:hAnsi="Times New Roman"/>
                <w:sz w:val="24"/>
              </w:rPr>
              <w:t>Enti</w:t>
            </w:r>
          </w:p>
          <w:p w14:paraId="153928C3" w14:textId="6E7763E7" w:rsidR="009D6580" w:rsidRPr="00CB2629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 xml:space="preserve">Articolo 112, lettera f),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D6580" w:rsidRPr="00CB2629" w14:paraId="7EB39EC1" w14:textId="77777777" w:rsidTr="00822842">
        <w:tc>
          <w:tcPr>
            <w:tcW w:w="1188" w:type="dxa"/>
            <w:shd w:val="clear" w:color="auto" w:fill="FFFFFF"/>
          </w:tcPr>
          <w:p w14:paraId="666DDCFA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FC344C1" w14:textId="77777777" w:rsidR="009D6580" w:rsidRPr="00CB2629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CB2629">
              <w:rPr>
                <w:rStyle w:val="InstructionsTabelleberschrift"/>
                <w:rFonts w:ascii="Times New Roman" w:hAnsi="Times New Roman"/>
                <w:sz w:val="24"/>
              </w:rPr>
              <w:t>Imprese</w:t>
            </w:r>
          </w:p>
          <w:p w14:paraId="2131631A" w14:textId="49E1F538" w:rsidR="009D6580" w:rsidRPr="00CB2629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 xml:space="preserve">Articolo 112, lettera g),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D6580" w:rsidRPr="00CB2629" w14:paraId="03BB556F" w14:textId="77777777" w:rsidTr="00822842">
        <w:tc>
          <w:tcPr>
            <w:tcW w:w="1188" w:type="dxa"/>
            <w:shd w:val="clear" w:color="auto" w:fill="FFFFFF"/>
          </w:tcPr>
          <w:p w14:paraId="4BDE48CD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0075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299BAF86" w14:textId="77777777" w:rsidR="009D6580" w:rsidRPr="00CB2629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CB2629">
              <w:rPr>
                <w:rStyle w:val="InstructionsTabelleberschrift"/>
                <w:rFonts w:ascii="Times New Roman" w:hAnsi="Times New Roman"/>
                <w:sz w:val="24"/>
              </w:rPr>
              <w:t>di cui: PMI</w:t>
            </w:r>
          </w:p>
          <w:p w14:paraId="54A9735B" w14:textId="77777777" w:rsidR="009D6580" w:rsidRPr="00CB2629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CB262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Stessa definizione di cui alla riga 0020 del modello CR SA</w:t>
            </w:r>
          </w:p>
        </w:tc>
      </w:tr>
      <w:tr w:rsidR="009D6580" w:rsidRPr="00CB2629" w14:paraId="134D23F8" w14:textId="77777777" w:rsidTr="00822842">
        <w:tc>
          <w:tcPr>
            <w:tcW w:w="1188" w:type="dxa"/>
            <w:shd w:val="clear" w:color="auto" w:fill="FFFFFF"/>
          </w:tcPr>
          <w:p w14:paraId="44C941F7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0076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77F474DF" w14:textId="7FFC4DC7" w:rsidR="009D6580" w:rsidRPr="00CB2629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CB2629">
              <w:rPr>
                <w:rStyle w:val="InstructionsTabelleberschrift"/>
                <w:rFonts w:ascii="Times New Roman" w:hAnsi="Times New Roman"/>
                <w:sz w:val="24"/>
              </w:rPr>
              <w:t xml:space="preserve">di cui: </w:t>
            </w:r>
            <w:r w:rsidR="00882B1B" w:rsidRPr="00CB2629">
              <w:rPr>
                <w:rStyle w:val="InstructionsTabelleberschrift"/>
                <w:rFonts w:ascii="Times New Roman" w:hAnsi="Times New Roman"/>
                <w:sz w:val="24"/>
              </w:rPr>
              <w:t>f</w:t>
            </w:r>
            <w:r w:rsidRPr="00CB2629">
              <w:rPr>
                <w:rStyle w:val="InstructionsTabelleberschrift"/>
                <w:rFonts w:ascii="Times New Roman" w:hAnsi="Times New Roman"/>
                <w:sz w:val="24"/>
              </w:rPr>
              <w:t>inanziamenti specializzati</w:t>
            </w:r>
          </w:p>
          <w:p w14:paraId="78348E89" w14:textId="36C2D156" w:rsidR="009D6580" w:rsidRPr="00CB2629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CB2629">
              <w:rPr>
                <w:rFonts w:ascii="Times New Roman" w:hAnsi="Times New Roman"/>
                <w:sz w:val="24"/>
              </w:rPr>
              <w:t xml:space="preserve">Articolo 122 bis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D6580" w:rsidRPr="00CB2629" w14:paraId="128893B5" w14:textId="77777777" w:rsidTr="00822842">
        <w:tc>
          <w:tcPr>
            <w:tcW w:w="1188" w:type="dxa"/>
            <w:shd w:val="clear" w:color="auto" w:fill="FFFFFF"/>
          </w:tcPr>
          <w:p w14:paraId="1169A0DC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C4CE181" w14:textId="77777777" w:rsidR="009D6580" w:rsidRPr="00CB2629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CB2629">
              <w:rPr>
                <w:rStyle w:val="InstructionsTabelleberschrift"/>
                <w:rFonts w:ascii="Times New Roman" w:hAnsi="Times New Roman"/>
                <w:sz w:val="24"/>
              </w:rPr>
              <w:t>Al dettaglio</w:t>
            </w:r>
          </w:p>
          <w:p w14:paraId="4C73D393" w14:textId="057053B0" w:rsidR="009D6580" w:rsidRPr="00CB2629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 xml:space="preserve">Articolo 112, lettera h),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D6580" w:rsidRPr="00CB2629" w14:paraId="1D7D32D9" w14:textId="77777777" w:rsidTr="00822842">
        <w:tc>
          <w:tcPr>
            <w:tcW w:w="1188" w:type="dxa"/>
            <w:shd w:val="clear" w:color="auto" w:fill="FFFFFF"/>
          </w:tcPr>
          <w:p w14:paraId="1C975069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0085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73F494D2" w14:textId="77777777" w:rsidR="009D6580" w:rsidRPr="00CB2629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CB2629">
              <w:rPr>
                <w:rStyle w:val="InstructionsTabelleberschrift"/>
                <w:rFonts w:ascii="Times New Roman" w:hAnsi="Times New Roman"/>
                <w:sz w:val="24"/>
              </w:rPr>
              <w:t>di cui: PMI</w:t>
            </w:r>
          </w:p>
          <w:p w14:paraId="08FE43D7" w14:textId="77777777" w:rsidR="009D6580" w:rsidRPr="00CB2629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CB262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Stessa definizione di cui alla riga 0020 del modello CR SA</w:t>
            </w:r>
          </w:p>
        </w:tc>
      </w:tr>
      <w:tr w:rsidR="009D6580" w:rsidRPr="00CB2629" w14:paraId="3E90F1DB" w14:textId="77777777" w:rsidTr="00822842">
        <w:tc>
          <w:tcPr>
            <w:tcW w:w="1188" w:type="dxa"/>
            <w:shd w:val="clear" w:color="auto" w:fill="FFFFFF"/>
          </w:tcPr>
          <w:p w14:paraId="67147AF5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7BDF7D3" w14:textId="6894D316" w:rsidR="009D6580" w:rsidRPr="00CB2629" w:rsidRDefault="00834508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G</w:t>
            </w:r>
            <w:r w:rsidR="009D6580" w:rsidRPr="00CB2629">
              <w:rPr>
                <w:rStyle w:val="InstructionsTabelleberschrift"/>
                <w:rFonts w:ascii="Times New Roman" w:hAnsi="Times New Roman"/>
                <w:sz w:val="24"/>
              </w:rPr>
              <w:t>arantite da ipoteche su beni immobili ed esposizioni ADC</w:t>
            </w:r>
          </w:p>
          <w:p w14:paraId="6DD925ED" w14:textId="640ECC63" w:rsidR="009D6580" w:rsidRPr="00CB2629" w:rsidRDefault="009D6580" w:rsidP="00822842">
            <w:pPr>
              <w:ind w:left="72"/>
              <w:rPr>
                <w:rStyle w:val="InstructionsTabelleText"/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 xml:space="preserve">Articolo 112, lettera i),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20657D" w:rsidRPr="00CB2629" w14:paraId="121569F5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5F9610" w14:textId="778F3300" w:rsidR="0020657D" w:rsidRPr="00CB2629" w:rsidRDefault="0020657D" w:rsidP="0020657D">
            <w:p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CB2629">
              <w:rPr>
                <w:rStyle w:val="FormatvorlageInstructionsTabelleText"/>
                <w:rFonts w:ascii="Times New Roman" w:hAnsi="Times New Roman"/>
                <w:sz w:val="24"/>
              </w:rPr>
              <w:t>0091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0CA920" w14:textId="451694C4" w:rsidR="0020657D" w:rsidRPr="00CB2629" w:rsidRDefault="00834508" w:rsidP="0020657D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G</w:t>
            </w:r>
            <w:r w:rsidR="0020657D" w:rsidRPr="00CB2629">
              <w:rPr>
                <w:rStyle w:val="InstructionsTabelleberschrift"/>
                <w:rFonts w:ascii="Times New Roman" w:hAnsi="Times New Roman"/>
                <w:sz w:val="24"/>
              </w:rPr>
              <w:t>arantite da ipoteche su beni immobili residenziali - non-IPRE (garantite)</w:t>
            </w:r>
          </w:p>
          <w:p w14:paraId="5BC0E4C6" w14:textId="5F815813" w:rsidR="0020657D" w:rsidRPr="00CB2629" w:rsidRDefault="0064771D" w:rsidP="0020657D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CB262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Cfr. il modello CR SA.</w:t>
            </w:r>
          </w:p>
        </w:tc>
      </w:tr>
      <w:tr w:rsidR="0020657D" w:rsidRPr="00CB2629" w14:paraId="25B6933C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8E904D" w14:textId="7F2711DF" w:rsidR="0020657D" w:rsidRPr="00CB2629" w:rsidRDefault="0020657D" w:rsidP="0020657D">
            <w:p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CB2629">
              <w:rPr>
                <w:rStyle w:val="FormatvorlageInstructionsTabelleText"/>
                <w:rFonts w:ascii="Times New Roman" w:hAnsi="Times New Roman"/>
                <w:sz w:val="24"/>
              </w:rPr>
              <w:t>0092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42D1EF" w14:textId="15660ED3" w:rsidR="0020657D" w:rsidRPr="00CB2629" w:rsidRDefault="00834508" w:rsidP="0020657D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G</w:t>
            </w:r>
            <w:r w:rsidR="0020657D" w:rsidRPr="00CB2629">
              <w:rPr>
                <w:rStyle w:val="InstructionsTabelleberschrift"/>
                <w:rFonts w:ascii="Times New Roman" w:hAnsi="Times New Roman"/>
                <w:sz w:val="24"/>
              </w:rPr>
              <w:t>arantite da ipoteche su beni immobili residenziali - non-IPRE (non garantite)</w:t>
            </w:r>
          </w:p>
          <w:p w14:paraId="607C903E" w14:textId="583159EA" w:rsidR="0020657D" w:rsidRPr="00CB2629" w:rsidRDefault="0064771D" w:rsidP="0020657D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CB262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Cfr. il modello CR SA.</w:t>
            </w:r>
          </w:p>
        </w:tc>
      </w:tr>
      <w:tr w:rsidR="0020657D" w:rsidRPr="00CB2629" w14:paraId="701555A6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3B302C" w14:textId="18CEE166" w:rsidR="0020657D" w:rsidRPr="00CB2629" w:rsidRDefault="0020657D" w:rsidP="0020657D">
            <w:p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CB2629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0093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B3FDD9" w14:textId="26C000CC" w:rsidR="0020657D" w:rsidRPr="00CB2629" w:rsidRDefault="00834508" w:rsidP="0020657D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G</w:t>
            </w:r>
            <w:r w:rsidR="0020657D" w:rsidRPr="00CB2629">
              <w:rPr>
                <w:rStyle w:val="InstructionsTabelleberschrift"/>
                <w:rFonts w:ascii="Times New Roman" w:hAnsi="Times New Roman"/>
                <w:sz w:val="24"/>
              </w:rPr>
              <w:t>arantite da ipoteche su beni immobili residenziali - altro - non-IPRE</w:t>
            </w:r>
          </w:p>
          <w:p w14:paraId="311E3CF5" w14:textId="5245D766" w:rsidR="0020657D" w:rsidRPr="00CB2629" w:rsidRDefault="0064771D" w:rsidP="0020657D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CB262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Cfr. il modello CR SA.</w:t>
            </w:r>
          </w:p>
        </w:tc>
      </w:tr>
      <w:tr w:rsidR="0020657D" w:rsidRPr="00CB2629" w14:paraId="615EF345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83A88D" w14:textId="63260C8C" w:rsidR="0020657D" w:rsidRPr="00CB2629" w:rsidRDefault="0020657D" w:rsidP="0020657D">
            <w:p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CB2629">
              <w:rPr>
                <w:rStyle w:val="FormatvorlageInstructionsTabelleText"/>
                <w:rFonts w:ascii="Times New Roman" w:hAnsi="Times New Roman"/>
                <w:sz w:val="24"/>
              </w:rPr>
              <w:t>0094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E6351D" w14:textId="18655D48" w:rsidR="0020657D" w:rsidRPr="00CB2629" w:rsidRDefault="00834508" w:rsidP="0020657D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G</w:t>
            </w:r>
            <w:r w:rsidR="0020657D" w:rsidRPr="00CB2629">
              <w:rPr>
                <w:rStyle w:val="InstructionsTabelleberschrift"/>
                <w:rFonts w:ascii="Times New Roman" w:hAnsi="Times New Roman"/>
                <w:sz w:val="24"/>
              </w:rPr>
              <w:t>arantite da ipoteche su beni immobili residenziali - IPRE</w:t>
            </w:r>
          </w:p>
          <w:p w14:paraId="2090782C" w14:textId="64D92CBC" w:rsidR="0020657D" w:rsidRPr="00CB2629" w:rsidRDefault="0064771D" w:rsidP="0020657D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CB262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Cfr. il modello CR SA.</w:t>
            </w:r>
          </w:p>
        </w:tc>
      </w:tr>
      <w:tr w:rsidR="0020657D" w:rsidRPr="00CB2629" w14:paraId="7CA1FEE3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A77C41" w14:textId="4CF840EB" w:rsidR="0020657D" w:rsidRPr="00CB2629" w:rsidRDefault="0020657D" w:rsidP="0020657D">
            <w:p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CB2629">
              <w:rPr>
                <w:rStyle w:val="FormatvorlageInstructionsTabelleText"/>
                <w:rFonts w:ascii="Times New Roman" w:hAnsi="Times New Roman"/>
                <w:sz w:val="24"/>
              </w:rPr>
              <w:t>0900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568974" w14:textId="4F078BB2" w:rsidR="0020657D" w:rsidRPr="00CB2629" w:rsidRDefault="00834508" w:rsidP="0020657D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G</w:t>
            </w:r>
            <w:r w:rsidR="0020657D" w:rsidRPr="00CB2629">
              <w:rPr>
                <w:rStyle w:val="InstructionsTabelleberschrift"/>
                <w:rFonts w:ascii="Times New Roman" w:hAnsi="Times New Roman"/>
                <w:sz w:val="24"/>
              </w:rPr>
              <w:t>arantite da ipoteche su beni immobili residenziali - altro - IPRE</w:t>
            </w:r>
          </w:p>
          <w:p w14:paraId="18E3F7B1" w14:textId="00D9A105" w:rsidR="0020657D" w:rsidRPr="00CB2629" w:rsidRDefault="0064771D" w:rsidP="0020657D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CB262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Cfr. il modello CR SA.</w:t>
            </w:r>
          </w:p>
        </w:tc>
      </w:tr>
      <w:tr w:rsidR="0020657D" w:rsidRPr="00CB2629" w14:paraId="1B8412D1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BC5681" w14:textId="00CB1918" w:rsidR="0020657D" w:rsidRPr="00CB2629" w:rsidRDefault="0020657D" w:rsidP="0020657D">
            <w:p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CB2629">
              <w:rPr>
                <w:rStyle w:val="FormatvorlageInstructionsTabelleText"/>
                <w:rFonts w:ascii="Times New Roman" w:hAnsi="Times New Roman"/>
                <w:sz w:val="24"/>
              </w:rPr>
              <w:t>0901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4F7F6F" w14:textId="2B8EA4A8" w:rsidR="0020657D" w:rsidRPr="00CB2629" w:rsidRDefault="00834508" w:rsidP="0020657D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G</w:t>
            </w:r>
            <w:r w:rsidR="0020657D" w:rsidRPr="00CB2629">
              <w:rPr>
                <w:rStyle w:val="InstructionsTabelleberschrift"/>
                <w:rFonts w:ascii="Times New Roman" w:hAnsi="Times New Roman"/>
                <w:sz w:val="24"/>
              </w:rPr>
              <w:t>arantite da ipoteche su beni immobili non residenziali - non-IPRE (garantite)</w:t>
            </w:r>
          </w:p>
          <w:p w14:paraId="1DD8A6CF" w14:textId="2D56F96D" w:rsidR="0020657D" w:rsidRPr="00CB2629" w:rsidRDefault="0064771D" w:rsidP="0020657D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CB262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Cfr. il modello CR SA.</w:t>
            </w:r>
          </w:p>
        </w:tc>
      </w:tr>
      <w:tr w:rsidR="0020657D" w:rsidRPr="00CB2629" w14:paraId="4BB5A6B7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D29792" w14:textId="67A4B384" w:rsidR="0020657D" w:rsidRPr="00CB2629" w:rsidRDefault="0020657D" w:rsidP="0020657D">
            <w:p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CB2629">
              <w:rPr>
                <w:rStyle w:val="FormatvorlageInstructionsTabelleText"/>
                <w:rFonts w:ascii="Times New Roman" w:hAnsi="Times New Roman"/>
                <w:sz w:val="24"/>
              </w:rPr>
              <w:t>0902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0D85FF" w14:textId="76F5DCB8" w:rsidR="0020657D" w:rsidRPr="00CB2629" w:rsidRDefault="00834508" w:rsidP="0020657D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G</w:t>
            </w:r>
            <w:r w:rsidR="0020657D" w:rsidRPr="00CB2629">
              <w:rPr>
                <w:rStyle w:val="InstructionsTabelleberschrift"/>
                <w:rFonts w:ascii="Times New Roman" w:hAnsi="Times New Roman"/>
                <w:sz w:val="24"/>
              </w:rPr>
              <w:t>arantite da ipoteche su beni immobili non residenziali - non-IPRE (non garantite)</w:t>
            </w:r>
          </w:p>
          <w:p w14:paraId="37DA45D4" w14:textId="1AC5F0E1" w:rsidR="0020657D" w:rsidRPr="00CB2629" w:rsidRDefault="0064771D" w:rsidP="0020657D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CB262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Cfr. il modello CR SA.</w:t>
            </w:r>
          </w:p>
        </w:tc>
      </w:tr>
      <w:tr w:rsidR="0020657D" w:rsidRPr="00CB2629" w14:paraId="51A35A79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C98603" w14:textId="70C97B22" w:rsidR="0020657D" w:rsidRPr="00CB2629" w:rsidRDefault="0020657D" w:rsidP="0020657D">
            <w:p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CB2629">
              <w:rPr>
                <w:rStyle w:val="FormatvorlageInstructionsTabelleText"/>
                <w:rFonts w:ascii="Times New Roman" w:hAnsi="Times New Roman"/>
                <w:sz w:val="24"/>
              </w:rPr>
              <w:t>0903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26D829" w14:textId="0E66F1D9" w:rsidR="0020657D" w:rsidRPr="00CB2629" w:rsidRDefault="00834508" w:rsidP="0020657D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G</w:t>
            </w:r>
            <w:r w:rsidR="0020657D" w:rsidRPr="00CB2629">
              <w:rPr>
                <w:rStyle w:val="InstructionsTabelleberschrift"/>
                <w:rFonts w:ascii="Times New Roman" w:hAnsi="Times New Roman"/>
                <w:sz w:val="24"/>
              </w:rPr>
              <w:t>arantite da ipoteche su beni immobili non residenziali - altro - non-IPRE</w:t>
            </w:r>
          </w:p>
          <w:p w14:paraId="653F8A23" w14:textId="727D9E51" w:rsidR="0020657D" w:rsidRPr="00CB2629" w:rsidRDefault="0064771D" w:rsidP="0020657D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CB262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Cfr. il modello CR SA</w:t>
            </w:r>
          </w:p>
        </w:tc>
      </w:tr>
      <w:tr w:rsidR="0020657D" w:rsidRPr="00CB2629" w14:paraId="638CB8D2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D2B42B" w14:textId="774FFF1B" w:rsidR="0020657D" w:rsidRPr="00CB2629" w:rsidRDefault="0020657D" w:rsidP="0020657D">
            <w:p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CB2629">
              <w:rPr>
                <w:rStyle w:val="FormatvorlageInstructionsTabelleText"/>
                <w:rFonts w:ascii="Times New Roman" w:hAnsi="Times New Roman"/>
                <w:sz w:val="24"/>
              </w:rPr>
              <w:t>0904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5691C9" w14:textId="516D78A7" w:rsidR="0020657D" w:rsidRPr="00CB2629" w:rsidRDefault="00834508" w:rsidP="0020657D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G</w:t>
            </w:r>
            <w:r w:rsidR="0020657D" w:rsidRPr="00CB2629">
              <w:rPr>
                <w:rStyle w:val="InstructionsTabelleberschrift"/>
                <w:rFonts w:ascii="Times New Roman" w:hAnsi="Times New Roman"/>
                <w:sz w:val="24"/>
              </w:rPr>
              <w:t>arantite da ipoteche su beni immobili non residenziali - IPRE</w:t>
            </w:r>
          </w:p>
          <w:p w14:paraId="5C23C6C1" w14:textId="64A934FD" w:rsidR="0020657D" w:rsidRPr="00CB2629" w:rsidRDefault="0064771D" w:rsidP="0020657D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CB262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Cfr. il modello CR SA.</w:t>
            </w:r>
          </w:p>
        </w:tc>
      </w:tr>
      <w:tr w:rsidR="0020657D" w:rsidRPr="00CB2629" w14:paraId="09F113E4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B40E8" w14:textId="0E4A9F4B" w:rsidR="0020657D" w:rsidRPr="00CB2629" w:rsidRDefault="0020657D" w:rsidP="0020657D">
            <w:p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CB2629">
              <w:rPr>
                <w:rStyle w:val="FormatvorlageInstructionsTabelleText"/>
                <w:rFonts w:ascii="Times New Roman" w:hAnsi="Times New Roman"/>
                <w:sz w:val="24"/>
              </w:rPr>
              <w:t>0905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15DE58" w14:textId="5E971171" w:rsidR="0020657D" w:rsidRPr="00CB2629" w:rsidRDefault="00834508" w:rsidP="0020657D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G</w:t>
            </w:r>
            <w:r w:rsidR="0020657D" w:rsidRPr="00CB2629">
              <w:rPr>
                <w:rStyle w:val="InstructionsTabelleberschrift"/>
                <w:rFonts w:ascii="Times New Roman" w:hAnsi="Times New Roman"/>
                <w:sz w:val="24"/>
              </w:rPr>
              <w:t>arantite da ipoteche su beni immobili non residenziali - altro - IPRE</w:t>
            </w:r>
          </w:p>
          <w:p w14:paraId="4CFFBC8C" w14:textId="16697C60" w:rsidR="0020657D" w:rsidRPr="00CB2629" w:rsidRDefault="0064771D" w:rsidP="0020657D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CB262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Cfr. il modello CR SA.</w:t>
            </w:r>
          </w:p>
        </w:tc>
      </w:tr>
      <w:tr w:rsidR="0020657D" w:rsidRPr="00CB2629" w14:paraId="0CC83534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94BAD1" w14:textId="4C383CF0" w:rsidR="0020657D" w:rsidRPr="00CB2629" w:rsidRDefault="0020657D" w:rsidP="0020657D">
            <w:p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CB2629">
              <w:rPr>
                <w:rStyle w:val="FormatvorlageInstructionsTabelleText"/>
                <w:rFonts w:ascii="Times New Roman" w:hAnsi="Times New Roman"/>
                <w:sz w:val="24"/>
              </w:rPr>
              <w:t>0906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CFA51D" w14:textId="404C4240" w:rsidR="0020657D" w:rsidRPr="00CB2629" w:rsidRDefault="0020657D" w:rsidP="0020657D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CB2629">
              <w:rPr>
                <w:rStyle w:val="InstructionsTabelleberschrift"/>
                <w:rFonts w:ascii="Times New Roman" w:hAnsi="Times New Roman"/>
                <w:sz w:val="24"/>
              </w:rPr>
              <w:t>Acquisizione, sviluppo e costruzione (ADC)</w:t>
            </w:r>
          </w:p>
          <w:p w14:paraId="0CFE246E" w14:textId="00399E0A" w:rsidR="0020657D" w:rsidRPr="00CB2629" w:rsidRDefault="0064771D" w:rsidP="0020657D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CB262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Cfr. il modello CR SA.</w:t>
            </w:r>
          </w:p>
        </w:tc>
      </w:tr>
      <w:tr w:rsidR="009D6580" w:rsidRPr="00CB2629" w14:paraId="4C9413B7" w14:textId="77777777" w:rsidTr="00822842">
        <w:tc>
          <w:tcPr>
            <w:tcW w:w="1188" w:type="dxa"/>
            <w:shd w:val="clear" w:color="auto" w:fill="FFFFFF"/>
          </w:tcPr>
          <w:p w14:paraId="5E67C510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0095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4DFFD2E6" w14:textId="77777777" w:rsidR="009D6580" w:rsidRPr="00CB2629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CB2629">
              <w:rPr>
                <w:rStyle w:val="InstructionsTabelleberschrift"/>
                <w:rFonts w:ascii="Times New Roman" w:hAnsi="Times New Roman"/>
                <w:sz w:val="24"/>
              </w:rPr>
              <w:t>di cui: PMI</w:t>
            </w:r>
          </w:p>
          <w:p w14:paraId="6A4AA475" w14:textId="77777777" w:rsidR="009D6580" w:rsidRPr="00CB2629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CB262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Stessa definizione di cui alla riga 0020 del modello CR SA</w:t>
            </w:r>
          </w:p>
        </w:tc>
      </w:tr>
      <w:tr w:rsidR="009D6580" w:rsidRPr="00CB2629" w14:paraId="0A879D31" w14:textId="77777777" w:rsidTr="00822842">
        <w:tc>
          <w:tcPr>
            <w:tcW w:w="1188" w:type="dxa"/>
            <w:shd w:val="clear" w:color="auto" w:fill="FFFFFF"/>
          </w:tcPr>
          <w:p w14:paraId="67C52CF1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25A151C" w14:textId="77777777" w:rsidR="009D6580" w:rsidRPr="00CB2629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CB2629">
              <w:rPr>
                <w:rStyle w:val="InstructionsTabelleberschrift"/>
                <w:rFonts w:ascii="Times New Roman" w:hAnsi="Times New Roman"/>
                <w:sz w:val="24"/>
              </w:rPr>
              <w:t>Esposizioni in stato di default</w:t>
            </w:r>
          </w:p>
          <w:p w14:paraId="24E89ACE" w14:textId="414325F0" w:rsidR="009D6580" w:rsidRPr="00CB2629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 xml:space="preserve">Articolo 112, lettera j),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D6580" w:rsidRPr="00CB2629" w14:paraId="09CAD285" w14:textId="77777777" w:rsidTr="00822842">
        <w:tc>
          <w:tcPr>
            <w:tcW w:w="1188" w:type="dxa"/>
            <w:shd w:val="clear" w:color="auto" w:fill="FFFFFF"/>
          </w:tcPr>
          <w:p w14:paraId="0FA617CD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0115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71EBD362" w14:textId="6D9A60A9" w:rsidR="009D6580" w:rsidRPr="00CB2629" w:rsidRDefault="00E1246E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</w:t>
            </w:r>
            <w:r w:rsidR="009D6580" w:rsidRPr="00CB2629">
              <w:rPr>
                <w:rStyle w:val="InstructionsTabelleberschrift"/>
                <w:rFonts w:ascii="Times New Roman" w:hAnsi="Times New Roman"/>
                <w:sz w:val="24"/>
              </w:rPr>
              <w:t>sposizioni da debito subordinato</w:t>
            </w:r>
          </w:p>
          <w:p w14:paraId="7F19547A" w14:textId="261255A1" w:rsidR="009D6580" w:rsidRPr="00CB2629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CB2629">
              <w:rPr>
                <w:rFonts w:ascii="Times New Roman" w:hAnsi="Times New Roman"/>
                <w:sz w:val="24"/>
              </w:rPr>
              <w:t xml:space="preserve">Articolo 112, lettera k),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D6580" w:rsidRPr="00CB2629" w14:paraId="7674C8D0" w14:textId="77777777" w:rsidTr="00822842">
        <w:tc>
          <w:tcPr>
            <w:tcW w:w="1188" w:type="dxa"/>
            <w:shd w:val="clear" w:color="auto" w:fill="FFFFFF"/>
          </w:tcPr>
          <w:p w14:paraId="0BFA54D1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D949A7D" w14:textId="77777777" w:rsidR="009D6580" w:rsidRPr="00CB2629" w:rsidRDefault="009D6580" w:rsidP="00822842">
            <w:pPr>
              <w:autoSpaceDE w:val="0"/>
              <w:autoSpaceDN w:val="0"/>
              <w:adjustRightInd w:val="0"/>
              <w:spacing w:before="0"/>
              <w:ind w:left="72"/>
              <w:jc w:val="lef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CB2629">
              <w:rPr>
                <w:rStyle w:val="InstructionsTabelleberschrift"/>
                <w:rFonts w:ascii="Times New Roman" w:hAnsi="Times New Roman"/>
                <w:sz w:val="24"/>
              </w:rPr>
              <w:t>Obbligazioni garantite</w:t>
            </w:r>
          </w:p>
          <w:p w14:paraId="68F7689A" w14:textId="4BDE41CB" w:rsidR="009D6580" w:rsidRPr="00CB2629" w:rsidRDefault="009D6580" w:rsidP="00822842">
            <w:pPr>
              <w:autoSpaceDE w:val="0"/>
              <w:autoSpaceDN w:val="0"/>
              <w:adjustRightInd w:val="0"/>
              <w:spacing w:before="0"/>
              <w:ind w:left="72"/>
              <w:jc w:val="left"/>
              <w:rPr>
                <w:rStyle w:val="InstructionsTabelleText"/>
                <w:rFonts w:ascii="Times New Roman" w:hAnsi="Times New Roman"/>
                <w:bCs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sz w:val="24"/>
              </w:rPr>
              <w:t xml:space="preserve">Articolo 112, lettera l),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D6580" w:rsidRPr="00CB2629" w14:paraId="18458816" w14:textId="77777777" w:rsidTr="00882B1B">
        <w:trPr>
          <w:cantSplit/>
        </w:trPr>
        <w:tc>
          <w:tcPr>
            <w:tcW w:w="1188" w:type="dxa"/>
            <w:shd w:val="clear" w:color="auto" w:fill="FFFFFF"/>
          </w:tcPr>
          <w:p w14:paraId="7948D0D7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0130</w:t>
            </w:r>
          </w:p>
          <w:p w14:paraId="7980BCEA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701" w:type="dxa"/>
            <w:gridSpan w:val="2"/>
            <w:shd w:val="clear" w:color="auto" w:fill="FFFFFF"/>
          </w:tcPr>
          <w:p w14:paraId="5ADC641A" w14:textId="77777777" w:rsidR="009D6580" w:rsidRPr="00CB2629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 w:rsidRPr="00CB2629">
              <w:rPr>
                <w:rStyle w:val="InstructionsTabelleberschrift"/>
                <w:rFonts w:ascii="Times New Roman" w:hAnsi="Times New Roman"/>
                <w:sz w:val="24"/>
              </w:rPr>
              <w:t>Crediti verso enti e imprese con una valutazione del merito di credito a breve termine</w:t>
            </w:r>
          </w:p>
          <w:p w14:paraId="53F92677" w14:textId="0B6C739E" w:rsidR="009D6580" w:rsidRPr="00CB2629" w:rsidRDefault="009D6580" w:rsidP="00822842">
            <w:pPr>
              <w:ind w:left="72"/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 xml:space="preserve">Articolo 112, lettera n),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D6580" w:rsidRPr="00CB2629" w14:paraId="047E6212" w14:textId="77777777" w:rsidTr="00E1246E">
        <w:trPr>
          <w:cantSplit/>
        </w:trPr>
        <w:tc>
          <w:tcPr>
            <w:tcW w:w="1188" w:type="dxa"/>
            <w:shd w:val="clear" w:color="auto" w:fill="FFFFFF"/>
          </w:tcPr>
          <w:p w14:paraId="3E827A33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lastRenderedPageBreak/>
              <w:t>0140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2E96D7EF" w14:textId="77777777" w:rsidR="009D6580" w:rsidRPr="00CB2629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CB2629">
              <w:rPr>
                <w:rStyle w:val="InstructionsTabelleberschrift"/>
                <w:rFonts w:ascii="Times New Roman" w:hAnsi="Times New Roman"/>
                <w:sz w:val="24"/>
              </w:rPr>
              <w:t>Organismi di investimento collettivo (OIC)</w:t>
            </w:r>
          </w:p>
          <w:p w14:paraId="6BE6CAC2" w14:textId="349E4371" w:rsidR="009D6580" w:rsidRPr="00CB2629" w:rsidRDefault="009D6580" w:rsidP="00822842">
            <w:pPr>
              <w:ind w:left="72"/>
              <w:rPr>
                <w:rFonts w:ascii="Times New Roman" w:hAnsi="Times New Roman"/>
                <w:bCs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 xml:space="preserve">Articolo 112, lettera o),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</w:t>
            </w:r>
          </w:p>
          <w:p w14:paraId="0FFD53A4" w14:textId="77777777" w:rsidR="009D6580" w:rsidRPr="00CB2629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CB2629">
              <w:rPr>
                <w:rFonts w:ascii="Times New Roman" w:hAnsi="Times New Roman"/>
                <w:sz w:val="24"/>
              </w:rPr>
              <w:t>Somma delle righe da 0141 a 0143</w:t>
            </w:r>
          </w:p>
        </w:tc>
      </w:tr>
      <w:tr w:rsidR="009D6580" w:rsidRPr="00CB2629" w14:paraId="1E100EF6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84F572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0141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C91D5D" w14:textId="77777777" w:rsidR="009D6580" w:rsidRPr="00CB2629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CB2629">
              <w:rPr>
                <w:rStyle w:val="InstructionsTabelleberschrift"/>
                <w:rFonts w:ascii="Times New Roman" w:hAnsi="Times New Roman"/>
                <w:sz w:val="24"/>
              </w:rPr>
              <w:t>Metodo look-through</w:t>
            </w:r>
          </w:p>
          <w:p w14:paraId="00783183" w14:textId="77777777" w:rsidR="009D6580" w:rsidRPr="00CB2629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CB262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Stessa definizione di cui alla riga 0281 del modello CR SA</w:t>
            </w:r>
          </w:p>
        </w:tc>
      </w:tr>
      <w:tr w:rsidR="009D6580" w:rsidRPr="00CB2629" w14:paraId="10D57CC4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1AB8D3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0142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316A9B" w14:textId="77777777" w:rsidR="009D6580" w:rsidRPr="00CB2629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CB2629">
              <w:rPr>
                <w:rStyle w:val="InstructionsTabelleberschrift"/>
                <w:rFonts w:ascii="Times New Roman" w:hAnsi="Times New Roman"/>
                <w:sz w:val="24"/>
              </w:rPr>
              <w:t>Metodo basato sul regolamento di gestione</w:t>
            </w:r>
          </w:p>
          <w:p w14:paraId="1FD38657" w14:textId="77777777" w:rsidR="009D6580" w:rsidRPr="00CB2629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CB262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Stessa definizione di cui alla riga 0282 del modello CR SA</w:t>
            </w:r>
          </w:p>
        </w:tc>
      </w:tr>
      <w:tr w:rsidR="009D6580" w:rsidRPr="00CB2629" w14:paraId="3E0CB8ED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2037C7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0143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08BF90" w14:textId="77777777" w:rsidR="009D6580" w:rsidRPr="00CB2629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CB2629">
              <w:rPr>
                <w:rStyle w:val="InstructionsTabelleberschrift"/>
                <w:rFonts w:ascii="Times New Roman" w:hAnsi="Times New Roman"/>
                <w:sz w:val="24"/>
              </w:rPr>
              <w:t>Metodo fall-back</w:t>
            </w:r>
          </w:p>
          <w:p w14:paraId="2EA9AADD" w14:textId="77777777" w:rsidR="009D6580" w:rsidRPr="00CB2629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CB262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Stessa definizione di cui alla riga 0283 del modello CR SA</w:t>
            </w:r>
          </w:p>
        </w:tc>
      </w:tr>
      <w:tr w:rsidR="009D6580" w:rsidRPr="00CB2629" w14:paraId="518DACEB" w14:textId="77777777" w:rsidTr="00822842">
        <w:tc>
          <w:tcPr>
            <w:tcW w:w="1188" w:type="dxa"/>
            <w:shd w:val="clear" w:color="auto" w:fill="FFFFFF"/>
          </w:tcPr>
          <w:p w14:paraId="091F315F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0CB5B1C0" w14:textId="77777777" w:rsidR="009D6580" w:rsidRPr="00CB2629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CB2629">
              <w:rPr>
                <w:rStyle w:val="InstructionsTabelleberschrift"/>
                <w:rFonts w:ascii="Times New Roman" w:hAnsi="Times New Roman"/>
                <w:sz w:val="24"/>
              </w:rPr>
              <w:t>Esposizioni in strumenti di capitale</w:t>
            </w:r>
          </w:p>
          <w:p w14:paraId="3170DAFB" w14:textId="0672B39B" w:rsidR="009D6580" w:rsidRPr="00CB2629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 xml:space="preserve">Articolo 112, lettera p),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D6580" w:rsidRPr="00CB2629" w14:paraId="406875C9" w14:textId="77777777" w:rsidTr="00822842">
        <w:tc>
          <w:tcPr>
            <w:tcW w:w="1188" w:type="dxa"/>
            <w:shd w:val="clear" w:color="auto" w:fill="FFFFFF"/>
          </w:tcPr>
          <w:p w14:paraId="432F9620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0160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39F32E7" w14:textId="77777777" w:rsidR="009D6580" w:rsidRPr="00CB2629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CB2629">
              <w:rPr>
                <w:rStyle w:val="InstructionsTabelleberschrift"/>
                <w:rFonts w:ascii="Times New Roman" w:hAnsi="Times New Roman"/>
                <w:sz w:val="24"/>
              </w:rPr>
              <w:t>Altre esposizioni</w:t>
            </w:r>
          </w:p>
          <w:p w14:paraId="5D708342" w14:textId="1836CDB6" w:rsidR="009D6580" w:rsidRPr="00CB2629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 xml:space="preserve">Articolo 112, lettera q),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D6580" w:rsidRPr="00CB2629" w14:paraId="79E704E6" w14:textId="77777777" w:rsidTr="00822842">
        <w:tc>
          <w:tcPr>
            <w:tcW w:w="1188" w:type="dxa"/>
            <w:shd w:val="clear" w:color="auto" w:fill="FFFFFF"/>
          </w:tcPr>
          <w:p w14:paraId="027B6EB3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0170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545271DD" w14:textId="77777777" w:rsidR="009D6580" w:rsidRPr="00CB2629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CB2629">
              <w:rPr>
                <w:rStyle w:val="InstructionsTabelleberschrift"/>
                <w:rFonts w:ascii="Times New Roman" w:hAnsi="Times New Roman"/>
                <w:sz w:val="24"/>
              </w:rPr>
              <w:t>Esposizioni totali</w:t>
            </w:r>
          </w:p>
        </w:tc>
      </w:tr>
    </w:tbl>
    <w:p w14:paraId="2EB3E5B0" w14:textId="77777777" w:rsidR="009D6580" w:rsidRPr="00CB2629" w:rsidRDefault="009D6580" w:rsidP="009D6580">
      <w:pPr>
        <w:spacing w:before="0" w:after="200" w:line="312" w:lineRule="auto"/>
        <w:jc w:val="left"/>
        <w:rPr>
          <w:rFonts w:ascii="Times New Roman" w:hAnsi="Times New Roman"/>
          <w:sz w:val="24"/>
        </w:rPr>
      </w:pPr>
      <w:bookmarkStart w:id="3" w:name="_Toc292456210"/>
    </w:p>
    <w:p w14:paraId="467F6DC6" w14:textId="77777777" w:rsidR="009D6580" w:rsidRPr="00CB2629" w:rsidRDefault="009D6580" w:rsidP="009D6580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4" w:name="_Toc360188364"/>
      <w:bookmarkStart w:id="5" w:name="_Toc473560915"/>
      <w:bookmarkStart w:id="6" w:name="_Toc151714419"/>
      <w:r w:rsidRPr="00CB2629">
        <w:rPr>
          <w:rFonts w:ascii="Times New Roman" w:hAnsi="Times New Roman"/>
          <w:sz w:val="24"/>
          <w:u w:val="none"/>
        </w:rPr>
        <w:t>3.4.2.</w:t>
      </w:r>
      <w:r w:rsidRPr="00CB2629">
        <w:rPr>
          <w:u w:val="none"/>
        </w:rPr>
        <w:tab/>
      </w:r>
      <w:r w:rsidRPr="00CB2629">
        <w:rPr>
          <w:rFonts w:ascii="Times New Roman" w:hAnsi="Times New Roman"/>
          <w:sz w:val="24"/>
        </w:rPr>
        <w:t>C 09.02 — Ripartizione geografica delle esposizioni per residenza del debitore: esposizioni cui è applicato il metodo IRB (CR GB 2)</w:t>
      </w:r>
      <w:bookmarkEnd w:id="4"/>
      <w:bookmarkEnd w:id="5"/>
      <w:bookmarkEnd w:id="6"/>
    </w:p>
    <w:p w14:paraId="21A320CB" w14:textId="77777777" w:rsidR="009D6580" w:rsidRPr="00CB2629" w:rsidRDefault="009D6580" w:rsidP="009D6580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7" w:name="_Toc360188365"/>
      <w:bookmarkStart w:id="8" w:name="_Toc473560916"/>
      <w:bookmarkStart w:id="9" w:name="_Toc151714420"/>
      <w:r w:rsidRPr="00CB2629">
        <w:rPr>
          <w:rFonts w:ascii="Times New Roman" w:hAnsi="Times New Roman"/>
          <w:sz w:val="24"/>
          <w:u w:val="none"/>
        </w:rPr>
        <w:t>3.4.2.1.</w:t>
      </w:r>
      <w:r w:rsidRPr="00CB2629">
        <w:rPr>
          <w:u w:val="none"/>
        </w:rPr>
        <w:tab/>
      </w:r>
      <w:r w:rsidRPr="00CB2629">
        <w:rPr>
          <w:rFonts w:ascii="Times New Roman" w:hAnsi="Times New Roman"/>
          <w:sz w:val="24"/>
        </w:rPr>
        <w:t>Istruzioni relative a posizioni specifiche</w:t>
      </w:r>
      <w:bookmarkEnd w:id="7"/>
      <w:bookmarkEnd w:id="8"/>
      <w:bookmarkEnd w:id="9"/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640"/>
      </w:tblGrid>
      <w:tr w:rsidR="009D6580" w:rsidRPr="00CB2629" w14:paraId="5FD232EC" w14:textId="77777777" w:rsidTr="00822842">
        <w:tc>
          <w:tcPr>
            <w:tcW w:w="1188" w:type="dxa"/>
            <w:shd w:val="clear" w:color="auto" w:fill="CCCCCC"/>
          </w:tcPr>
          <w:p w14:paraId="0A2DD9C0" w14:textId="77777777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</w:rPr>
            </w:pPr>
            <w:r w:rsidRPr="00CB2629">
              <w:rPr>
                <w:rFonts w:ascii="Times New Roman" w:hAnsi="Times New Roman"/>
                <w:b/>
                <w:sz w:val="24"/>
              </w:rPr>
              <w:t>Colonne</w:t>
            </w:r>
          </w:p>
        </w:tc>
        <w:tc>
          <w:tcPr>
            <w:tcW w:w="8640" w:type="dxa"/>
            <w:shd w:val="clear" w:color="auto" w:fill="CCCCCC"/>
          </w:tcPr>
          <w:p w14:paraId="1C07519A" w14:textId="77777777" w:rsidR="009D6580" w:rsidRPr="00CB2629" w:rsidRDefault="009D6580" w:rsidP="00822842">
            <w:pPr>
              <w:ind w:left="72"/>
              <w:rPr>
                <w:rFonts w:ascii="Times New Roman" w:hAnsi="Times New Roman"/>
                <w:sz w:val="24"/>
              </w:rPr>
            </w:pPr>
          </w:p>
        </w:tc>
      </w:tr>
      <w:tr w:rsidR="009D6580" w:rsidRPr="00CB2629" w14:paraId="4CF7BB7D" w14:textId="77777777" w:rsidTr="00822842">
        <w:tc>
          <w:tcPr>
            <w:tcW w:w="1188" w:type="dxa"/>
          </w:tcPr>
          <w:p w14:paraId="1DF8677F" w14:textId="77777777" w:rsidR="009D6580" w:rsidRPr="00CB2629" w:rsidRDefault="009D6580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 w:rsidRPr="00CB2629">
              <w:rPr>
                <w:rStyle w:val="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640" w:type="dxa"/>
          </w:tcPr>
          <w:p w14:paraId="5DA72BDB" w14:textId="5EA01FE9" w:rsidR="009D6580" w:rsidRPr="00CB2629" w:rsidRDefault="009D6580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 w:rsidRPr="00CB2629">
              <w:rPr>
                <w:rStyle w:val="InstructionsTabelleberschrift"/>
                <w:rFonts w:ascii="Times New Roman" w:hAnsi="Times New Roman"/>
                <w:sz w:val="24"/>
              </w:rPr>
              <w:t>ESPOSIZIONE ORIGINARIA PRIMA DELL</w:t>
            </w:r>
            <w:r w:rsidR="00882B1B" w:rsidRPr="00CB2629">
              <w:rPr>
                <w:rStyle w:val="InstructionsTabelleberschrift"/>
                <w:rFonts w:ascii="Times New Roman" w:hAnsi="Times New Roman"/>
                <w:sz w:val="24"/>
              </w:rPr>
              <w:t>'</w:t>
            </w:r>
            <w:r w:rsidRPr="00CB2629">
              <w:rPr>
                <w:rStyle w:val="InstructionsTabelleberschrift"/>
                <w:rFonts w:ascii="Times New Roman" w:hAnsi="Times New Roman"/>
                <w:sz w:val="24"/>
              </w:rPr>
              <w:t>APPLICAZIONE DEI FATTORI DI CONVERSIONE</w:t>
            </w:r>
          </w:p>
          <w:p w14:paraId="714A5DA7" w14:textId="77777777" w:rsidR="009D6580" w:rsidRPr="00CB2629" w:rsidRDefault="009D6580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Style w:val="InstructionsTabelleText"/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Stessa definizione di cui alla colonna 0020 del modello CR IRB.</w:t>
            </w:r>
          </w:p>
        </w:tc>
      </w:tr>
      <w:tr w:rsidR="009D6580" w:rsidRPr="00CB2629" w14:paraId="770F3897" w14:textId="77777777" w:rsidTr="00822842">
        <w:tc>
          <w:tcPr>
            <w:tcW w:w="1188" w:type="dxa"/>
          </w:tcPr>
          <w:p w14:paraId="56E092EF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640" w:type="dxa"/>
          </w:tcPr>
          <w:p w14:paraId="0071C394" w14:textId="77777777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di cui: in stato di default</w:t>
            </w:r>
          </w:p>
          <w:p w14:paraId="2768B5B2" w14:textId="5412F679" w:rsidR="009D6580" w:rsidRPr="00CB2629" w:rsidRDefault="009D6580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Valore dell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>esposizione originaria per le esposizioni classificate come esposizioni in stato di default conformemente all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 xml:space="preserve">articolo 178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D6580" w:rsidRPr="00CB2629" w14:paraId="7AD6E18B" w14:textId="77777777" w:rsidTr="00822842">
        <w:tc>
          <w:tcPr>
            <w:tcW w:w="1188" w:type="dxa"/>
          </w:tcPr>
          <w:p w14:paraId="1DFAF6C6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8640" w:type="dxa"/>
          </w:tcPr>
          <w:p w14:paraId="3FD9DA2E" w14:textId="77777777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Nuovi default osservati per il periodo</w:t>
            </w:r>
          </w:p>
          <w:p w14:paraId="2393DECB" w14:textId="0388A938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Style w:val="InstructionsTabelleText"/>
                <w:rFonts w:ascii="Times New Roman" w:hAnsi="Times New Roman"/>
                <w:sz w:val="24"/>
              </w:rPr>
              <w:t>L</w:t>
            </w:r>
            <w:r w:rsidR="00882B1B" w:rsidRPr="00CB2629">
              <w:rPr>
                <w:rStyle w:val="InstructionsTabelleText"/>
                <w:rFonts w:ascii="Times New Roman" w:hAnsi="Times New Roman"/>
                <w:sz w:val="24"/>
              </w:rPr>
              <w:t>'</w:t>
            </w:r>
            <w:r w:rsidRPr="00CB2629">
              <w:rPr>
                <w:rStyle w:val="InstructionsTabelleText"/>
                <w:rFonts w:ascii="Times New Roman" w:hAnsi="Times New Roman"/>
                <w:sz w:val="24"/>
              </w:rPr>
              <w:t xml:space="preserve">importo delle esposizioni originarie che sono state classificate nella classe </w:t>
            </w:r>
            <w:r w:rsidR="00882B1B" w:rsidRPr="00CB2629">
              <w:rPr>
                <w:rStyle w:val="InstructionsTabelleText"/>
                <w:rFonts w:ascii="Times New Roman" w:hAnsi="Times New Roman"/>
                <w:sz w:val="24"/>
              </w:rPr>
              <w:t>"</w:t>
            </w:r>
            <w:r w:rsidRPr="00CB2629">
              <w:rPr>
                <w:rStyle w:val="InstructionsTabelleText"/>
                <w:rFonts w:ascii="Times New Roman" w:hAnsi="Times New Roman"/>
                <w:sz w:val="24"/>
              </w:rPr>
              <w:t>esposizioni in stato di default</w:t>
            </w:r>
            <w:r w:rsidR="00882B1B" w:rsidRPr="00CB2629">
              <w:rPr>
                <w:rStyle w:val="InstructionsTabelleText"/>
                <w:rFonts w:ascii="Times New Roman" w:hAnsi="Times New Roman"/>
                <w:sz w:val="24"/>
              </w:rPr>
              <w:t>"</w:t>
            </w:r>
            <w:r w:rsidRPr="00CB2629">
              <w:rPr>
                <w:rStyle w:val="InstructionsTabelleText"/>
                <w:rFonts w:ascii="Times New Roman" w:hAnsi="Times New Roman"/>
                <w:sz w:val="24"/>
              </w:rPr>
              <w:t xml:space="preserve"> nel corso del trimestre successivo all</w:t>
            </w:r>
            <w:r w:rsidR="00882B1B" w:rsidRPr="00CB2629">
              <w:rPr>
                <w:rStyle w:val="InstructionsTabelleText"/>
                <w:rFonts w:ascii="Times New Roman" w:hAnsi="Times New Roman"/>
                <w:sz w:val="24"/>
              </w:rPr>
              <w:t>'</w:t>
            </w:r>
            <w:r w:rsidRPr="00CB2629">
              <w:rPr>
                <w:rStyle w:val="InstructionsTabelleText"/>
                <w:rFonts w:ascii="Times New Roman" w:hAnsi="Times New Roman"/>
                <w:sz w:val="24"/>
              </w:rPr>
              <w:t xml:space="preserve">ultima data di riferimento per le segnalazioni è segnalato a fronte della classe di esposizioni alla quale il debitore apparteneva originariamente. </w:t>
            </w:r>
          </w:p>
        </w:tc>
      </w:tr>
      <w:tr w:rsidR="009D6580" w:rsidRPr="00CB2629" w14:paraId="382342DD" w14:textId="77777777" w:rsidTr="00E1246E">
        <w:trPr>
          <w:cantSplit/>
        </w:trPr>
        <w:tc>
          <w:tcPr>
            <w:tcW w:w="1188" w:type="dxa"/>
          </w:tcPr>
          <w:p w14:paraId="20977C7F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lastRenderedPageBreak/>
              <w:t>0050</w:t>
            </w:r>
          </w:p>
        </w:tc>
        <w:tc>
          <w:tcPr>
            <w:tcW w:w="8640" w:type="dxa"/>
          </w:tcPr>
          <w:p w14:paraId="6E8FD64C" w14:textId="77777777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Rettifiche di valore su crediti generiche</w:t>
            </w:r>
          </w:p>
          <w:p w14:paraId="1F1D0A5D" w14:textId="253CC2BE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sz w:val="24"/>
              </w:rPr>
              <w:t>Le rettifiche di valore su crediti di cui all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 xml:space="preserve">articolo 110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 xml:space="preserve">575/2013 e al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183/2014.</w:t>
            </w:r>
          </w:p>
        </w:tc>
      </w:tr>
      <w:tr w:rsidR="009D6580" w:rsidRPr="00CB2629" w14:paraId="63C2E396" w14:textId="77777777" w:rsidTr="00822842">
        <w:tc>
          <w:tcPr>
            <w:tcW w:w="1188" w:type="dxa"/>
          </w:tcPr>
          <w:p w14:paraId="3BC8F127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0055</w:t>
            </w:r>
          </w:p>
        </w:tc>
        <w:tc>
          <w:tcPr>
            <w:tcW w:w="8640" w:type="dxa"/>
          </w:tcPr>
          <w:p w14:paraId="26D828FB" w14:textId="77777777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Rettifiche di valore su crediti specifiche</w:t>
            </w:r>
          </w:p>
          <w:p w14:paraId="4DA8E76B" w14:textId="0DDB369D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sz w:val="24"/>
              </w:rPr>
              <w:t>Le rettifiche di valore su crediti di cui all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 xml:space="preserve">articolo 110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 xml:space="preserve">575/2013 e al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183/2014.</w:t>
            </w:r>
          </w:p>
        </w:tc>
      </w:tr>
      <w:tr w:rsidR="009D6580" w:rsidRPr="00CB2629" w14:paraId="24582208" w14:textId="77777777" w:rsidTr="00822842">
        <w:tc>
          <w:tcPr>
            <w:tcW w:w="1188" w:type="dxa"/>
          </w:tcPr>
          <w:p w14:paraId="46A1EB07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8640" w:type="dxa"/>
          </w:tcPr>
          <w:p w14:paraId="4CC236D8" w14:textId="77777777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Svalutazioni</w:t>
            </w:r>
          </w:p>
          <w:p w14:paraId="51BEEB5D" w14:textId="3ED02809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Style w:val="InstructionsTabelleText"/>
                <w:rFonts w:ascii="Times New Roman" w:hAnsi="Times New Roman"/>
                <w:sz w:val="24"/>
              </w:rPr>
              <w:t>Svalutazioni di cui all</w:t>
            </w:r>
            <w:r w:rsidR="00882B1B" w:rsidRPr="00CB2629">
              <w:rPr>
                <w:rStyle w:val="InstructionsTabelleText"/>
                <w:rFonts w:ascii="Times New Roman" w:hAnsi="Times New Roman"/>
                <w:sz w:val="24"/>
              </w:rPr>
              <w:t>'</w:t>
            </w:r>
            <w:r w:rsidRPr="00CB2629">
              <w:rPr>
                <w:rStyle w:val="InstructionsTabelleText"/>
                <w:rFonts w:ascii="Times New Roman" w:hAnsi="Times New Roman"/>
                <w:sz w:val="24"/>
              </w:rPr>
              <w:t>IFRS 9 5.4.4 e B5.4.9.</w:t>
            </w:r>
          </w:p>
        </w:tc>
      </w:tr>
      <w:tr w:rsidR="009D6580" w:rsidRPr="00CB2629" w14:paraId="615BD0D9" w14:textId="77777777" w:rsidTr="00822842">
        <w:tc>
          <w:tcPr>
            <w:tcW w:w="1188" w:type="dxa"/>
          </w:tcPr>
          <w:p w14:paraId="641E5F2D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640" w:type="dxa"/>
          </w:tcPr>
          <w:p w14:paraId="7C362C1E" w14:textId="77777777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Rettifiche di valore su crediti/svalutazioni per nuovi default osservati</w:t>
            </w:r>
          </w:p>
          <w:p w14:paraId="454774E2" w14:textId="01B236D7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Style w:val="InstructionsTabelleText"/>
                <w:rFonts w:ascii="Times New Roman" w:hAnsi="Times New Roman"/>
                <w:sz w:val="24"/>
              </w:rPr>
              <w:t xml:space="preserve">Somma delle rettifiche di valore su crediti e delle svalutazioni relativamente alle esposizioni classificate come </w:t>
            </w:r>
            <w:r w:rsidR="00882B1B" w:rsidRPr="00CB2629">
              <w:rPr>
                <w:rStyle w:val="InstructionsTabelleText"/>
                <w:rFonts w:ascii="Times New Roman" w:hAnsi="Times New Roman"/>
                <w:sz w:val="24"/>
              </w:rPr>
              <w:t>"</w:t>
            </w:r>
            <w:r w:rsidRPr="00CB2629">
              <w:rPr>
                <w:rStyle w:val="InstructionsTabelleText"/>
                <w:rFonts w:ascii="Times New Roman" w:hAnsi="Times New Roman"/>
                <w:sz w:val="24"/>
              </w:rPr>
              <w:t>esposizioni in stato di default</w:t>
            </w:r>
            <w:r w:rsidR="00882B1B" w:rsidRPr="00CB2629">
              <w:rPr>
                <w:rStyle w:val="InstructionsTabelleText"/>
                <w:rFonts w:ascii="Times New Roman" w:hAnsi="Times New Roman"/>
                <w:sz w:val="24"/>
              </w:rPr>
              <w:t>"</w:t>
            </w:r>
            <w:r w:rsidRPr="00CB2629">
              <w:rPr>
                <w:rStyle w:val="InstructionsTabelleText"/>
                <w:rFonts w:ascii="Times New Roman" w:hAnsi="Times New Roman"/>
                <w:sz w:val="24"/>
              </w:rPr>
              <w:t xml:space="preserve"> nel trimestre successivo all</w:t>
            </w:r>
            <w:r w:rsidR="00882B1B" w:rsidRPr="00CB2629">
              <w:rPr>
                <w:rStyle w:val="InstructionsTabelleText"/>
                <w:rFonts w:ascii="Times New Roman" w:hAnsi="Times New Roman"/>
                <w:sz w:val="24"/>
              </w:rPr>
              <w:t>'</w:t>
            </w:r>
            <w:r w:rsidRPr="00CB2629">
              <w:rPr>
                <w:rStyle w:val="InstructionsTabelleText"/>
                <w:rFonts w:ascii="Times New Roman" w:hAnsi="Times New Roman"/>
                <w:sz w:val="24"/>
              </w:rPr>
              <w:t>ultima segnalazione di dati.</w:t>
            </w:r>
          </w:p>
        </w:tc>
      </w:tr>
      <w:tr w:rsidR="009D6580" w:rsidRPr="00CB2629" w14:paraId="4B7452D7" w14:textId="77777777" w:rsidTr="00822842">
        <w:tc>
          <w:tcPr>
            <w:tcW w:w="1188" w:type="dxa"/>
          </w:tcPr>
          <w:p w14:paraId="1A68115E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640" w:type="dxa"/>
          </w:tcPr>
          <w:p w14:paraId="256EF248" w14:textId="77777777" w:rsidR="009D6580" w:rsidRPr="00CB2629" w:rsidRDefault="009D6580" w:rsidP="00822842">
            <w:pPr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 w:rsidRPr="00CB2629">
              <w:rPr>
                <w:rStyle w:val="InstructionsTabelleberschrift"/>
                <w:rFonts w:ascii="Times New Roman" w:hAnsi="Times New Roman"/>
                <w:sz w:val="24"/>
              </w:rPr>
              <w:t>SCALA DI RATING INTERNI/PROBABILITÀ DI DEFAULT ASSEGNATA ALLA CLASSE O AL POOL DI DEBITORI (%)</w:t>
            </w:r>
          </w:p>
          <w:p w14:paraId="2C51714D" w14:textId="77777777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Style w:val="InstructionsTabelleText"/>
                <w:rFonts w:ascii="Times New Roman" w:hAnsi="Times New Roman"/>
                <w:sz w:val="24"/>
              </w:rPr>
              <w:t>Stessa definizione di cui alla colonna 0010 del modello CR IRB.</w:t>
            </w:r>
          </w:p>
        </w:tc>
      </w:tr>
      <w:tr w:rsidR="009D6580" w:rsidRPr="00CB2629" w14:paraId="18989AFE" w14:textId="77777777" w:rsidTr="00822842">
        <w:tc>
          <w:tcPr>
            <w:tcW w:w="1188" w:type="dxa"/>
          </w:tcPr>
          <w:p w14:paraId="489AE0F7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8640" w:type="dxa"/>
          </w:tcPr>
          <w:p w14:paraId="78B53BEB" w14:textId="454AC8CE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LGD MEDIA PONDERATA PER L</w:t>
            </w:r>
            <w:r w:rsidR="00882B1B" w:rsidRPr="00CB2629">
              <w:rPr>
                <w:rFonts w:ascii="Times New Roman" w:hAnsi="Times New Roman"/>
                <w:b/>
                <w:sz w:val="24"/>
                <w:u w:val="single"/>
              </w:rPr>
              <w:t>'</w:t>
            </w: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ESPOSIZIONE (%)</w:t>
            </w:r>
          </w:p>
          <w:p w14:paraId="5BC89E8E" w14:textId="5928F38A" w:rsidR="009D6580" w:rsidRPr="00CB2629" w:rsidRDefault="009D6580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 w:rsidRPr="00CB2629">
              <w:rPr>
                <w:rStyle w:val="InstructionsTabelleText"/>
                <w:rFonts w:ascii="Times New Roman" w:hAnsi="Times New Roman"/>
                <w:sz w:val="24"/>
              </w:rPr>
              <w:t>Stessa definizione di cui alle colonne 0230 e 0240 del modello CR IRB: la LGD media ponderata per l</w:t>
            </w:r>
            <w:r w:rsidR="00882B1B" w:rsidRPr="00CB2629">
              <w:rPr>
                <w:rStyle w:val="InstructionsTabelleText"/>
                <w:rFonts w:ascii="Times New Roman" w:hAnsi="Times New Roman"/>
                <w:sz w:val="24"/>
              </w:rPr>
              <w:t>'</w:t>
            </w:r>
            <w:r w:rsidRPr="00CB2629">
              <w:rPr>
                <w:rStyle w:val="InstructionsTabelleText"/>
                <w:rFonts w:ascii="Times New Roman" w:hAnsi="Times New Roman"/>
                <w:sz w:val="24"/>
              </w:rPr>
              <w:t xml:space="preserve">esposizione (%) si riferisce a tutte le esposizioni, comprese quelle verso soggetti di grandi dimensioni del settore finanziario e soggetti finanziari non regolamentati. </w:t>
            </w:r>
            <w:r w:rsidRPr="00CB2629">
              <w:rPr>
                <w:rFonts w:ascii="Times New Roman" w:hAnsi="Times New Roman"/>
                <w:sz w:val="24"/>
              </w:rPr>
              <w:t>Si applica 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 xml:space="preserve">articolo 181, paragrafo 1, lettera h),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575/2013.</w:t>
            </w:r>
          </w:p>
          <w:p w14:paraId="3A7794EA" w14:textId="792EC12E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sz w:val="24"/>
              </w:rPr>
              <w:t>Per le esposizioni da finanziamenti specializzati per le quali la PD è stimata, il valore segnalato dovrebbe essere la LGD stimata o la LGD regolamentare. Per le esposizioni da finanziamenti specializzati di cui all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 xml:space="preserve">articolo 153, paragrafo 5,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575/2013, i dati non possono essere segnalati perché non sono disponibili.</w:t>
            </w:r>
          </w:p>
        </w:tc>
      </w:tr>
      <w:tr w:rsidR="009D6580" w:rsidRPr="00CB2629" w14:paraId="66756C12" w14:textId="77777777" w:rsidTr="00822842">
        <w:tc>
          <w:tcPr>
            <w:tcW w:w="1188" w:type="dxa"/>
          </w:tcPr>
          <w:p w14:paraId="317ECEC7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8640" w:type="dxa"/>
          </w:tcPr>
          <w:p w14:paraId="68CF6D3A" w14:textId="77777777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di cui: in stato di default</w:t>
            </w:r>
          </w:p>
          <w:p w14:paraId="789E281A" w14:textId="0B9FE059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sz w:val="24"/>
              </w:rPr>
              <w:t>LGD ponderata per 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>esposizione per le esposizioni classificate come esposizioni in stato di default conformemente all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 xml:space="preserve">articolo 178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D6580" w:rsidRPr="00CB2629" w14:paraId="187792F5" w14:textId="77777777" w:rsidTr="00822842">
        <w:tc>
          <w:tcPr>
            <w:tcW w:w="1188" w:type="dxa"/>
          </w:tcPr>
          <w:p w14:paraId="41BFEDD8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0105</w:t>
            </w:r>
          </w:p>
        </w:tc>
        <w:tc>
          <w:tcPr>
            <w:tcW w:w="8640" w:type="dxa"/>
          </w:tcPr>
          <w:p w14:paraId="7B14423E" w14:textId="262B3770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Valore dell</w:t>
            </w:r>
            <w:r w:rsidR="00882B1B" w:rsidRPr="00CB2629">
              <w:rPr>
                <w:rFonts w:ascii="Times New Roman" w:hAnsi="Times New Roman"/>
                <w:b/>
                <w:sz w:val="24"/>
                <w:u w:val="single"/>
              </w:rPr>
              <w:t>'</w:t>
            </w: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esposizione</w:t>
            </w:r>
          </w:p>
          <w:p w14:paraId="533E4F5D" w14:textId="77777777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Style w:val="InstructionsTabelleText"/>
                <w:rFonts w:ascii="Times New Roman" w:hAnsi="Times New Roman"/>
                <w:sz w:val="24"/>
              </w:rPr>
              <w:t>Stessa definizione di cui alla colonna 0110 del modello CR IRB.</w:t>
            </w:r>
          </w:p>
        </w:tc>
      </w:tr>
      <w:tr w:rsidR="009D6580" w:rsidRPr="00CB2629" w14:paraId="48402149" w14:textId="77777777" w:rsidTr="00822842">
        <w:tc>
          <w:tcPr>
            <w:tcW w:w="1188" w:type="dxa"/>
          </w:tcPr>
          <w:p w14:paraId="3E4D7142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8640" w:type="dxa"/>
          </w:tcPr>
          <w:p w14:paraId="3BFEC9EB" w14:textId="2AE1DF76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IMPORTO DELL</w:t>
            </w:r>
            <w:r w:rsidR="00882B1B" w:rsidRPr="00CB2629">
              <w:rPr>
                <w:rFonts w:ascii="Times New Roman" w:hAnsi="Times New Roman"/>
                <w:b/>
                <w:sz w:val="24"/>
                <w:u w:val="single"/>
              </w:rPr>
              <w:t>'</w:t>
            </w: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ESPOSIZIONE PONDERATO PER IL RISCHIO PRIMA DELL</w:t>
            </w:r>
            <w:r w:rsidR="00882B1B" w:rsidRPr="00CB2629">
              <w:rPr>
                <w:rFonts w:ascii="Times New Roman" w:hAnsi="Times New Roman"/>
                <w:b/>
                <w:sz w:val="24"/>
                <w:u w:val="single"/>
              </w:rPr>
              <w:t>'</w:t>
            </w: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APPLICAZIONE DEI FATTORI DI SOSTEGNO</w:t>
            </w:r>
          </w:p>
          <w:p w14:paraId="38950726" w14:textId="77777777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Style w:val="InstructionsTabelleText"/>
                <w:rFonts w:ascii="Times New Roman" w:hAnsi="Times New Roman"/>
                <w:sz w:val="24"/>
              </w:rPr>
              <w:t>Stessa definizione di cui alla colonna 0255 del modello CR IRB.</w:t>
            </w:r>
          </w:p>
        </w:tc>
      </w:tr>
      <w:tr w:rsidR="009D6580" w:rsidRPr="00CB2629" w14:paraId="321AA4CE" w14:textId="77777777" w:rsidTr="00882B1B">
        <w:trPr>
          <w:cantSplit/>
        </w:trPr>
        <w:tc>
          <w:tcPr>
            <w:tcW w:w="1188" w:type="dxa"/>
          </w:tcPr>
          <w:p w14:paraId="5F49B73F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lastRenderedPageBreak/>
              <w:t>0120</w:t>
            </w:r>
          </w:p>
        </w:tc>
        <w:tc>
          <w:tcPr>
            <w:tcW w:w="8640" w:type="dxa"/>
          </w:tcPr>
          <w:p w14:paraId="2A07E1E7" w14:textId="77777777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di cui: in stato di default</w:t>
            </w:r>
          </w:p>
          <w:p w14:paraId="0B72119F" w14:textId="1B3F8BF7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sz w:val="24"/>
              </w:rPr>
              <w:t>Importo dell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>esposizione ponderato per il rischio per le esposizioni classificate come esposizioni in stato di default conformemente all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 xml:space="preserve">articolo 178, paragrafo 1,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D6580" w:rsidRPr="00CB2629" w14:paraId="4F58B17C" w14:textId="77777777" w:rsidTr="00822842">
        <w:tc>
          <w:tcPr>
            <w:tcW w:w="1188" w:type="dxa"/>
          </w:tcPr>
          <w:p w14:paraId="43313479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0121</w:t>
            </w:r>
          </w:p>
        </w:tc>
        <w:tc>
          <w:tcPr>
            <w:tcW w:w="8640" w:type="dxa"/>
          </w:tcPr>
          <w:p w14:paraId="51B6E44A" w14:textId="25073A8D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(-) RETTIFICA DELL</w:t>
            </w:r>
            <w:r w:rsidR="00882B1B" w:rsidRPr="00CB2629">
              <w:rPr>
                <w:rFonts w:ascii="Times New Roman" w:hAnsi="Times New Roman"/>
                <w:b/>
                <w:sz w:val="24"/>
                <w:u w:val="single"/>
              </w:rPr>
              <w:t>'</w:t>
            </w: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IMPORTO DELL</w:t>
            </w:r>
            <w:r w:rsidR="00882B1B" w:rsidRPr="00CB2629">
              <w:rPr>
                <w:rFonts w:ascii="Times New Roman" w:hAnsi="Times New Roman"/>
                <w:b/>
                <w:sz w:val="24"/>
                <w:u w:val="single"/>
              </w:rPr>
              <w:t>'</w:t>
            </w: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ESPOSIZIONE PONDERATO PER IL RISCHIO DOVUTA AL FATTORE DI SOSTEGNO ALLE PMI</w:t>
            </w:r>
          </w:p>
          <w:p w14:paraId="7060DF05" w14:textId="77777777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Style w:val="InstructionsTabelleText"/>
                <w:rFonts w:ascii="Times New Roman" w:hAnsi="Times New Roman"/>
                <w:sz w:val="24"/>
              </w:rPr>
              <w:t>Stessa definizione di cui alla colonna 0256 del modello CR IRB.</w:t>
            </w:r>
          </w:p>
        </w:tc>
      </w:tr>
      <w:tr w:rsidR="009D6580" w:rsidRPr="00CB2629" w14:paraId="6DA9FCB6" w14:textId="77777777" w:rsidTr="00822842">
        <w:tc>
          <w:tcPr>
            <w:tcW w:w="1188" w:type="dxa"/>
          </w:tcPr>
          <w:p w14:paraId="189DC6D4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0122</w:t>
            </w:r>
          </w:p>
        </w:tc>
        <w:tc>
          <w:tcPr>
            <w:tcW w:w="8640" w:type="dxa"/>
          </w:tcPr>
          <w:p w14:paraId="77E17241" w14:textId="2326F803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(-) RETTIFICA DELL</w:t>
            </w:r>
            <w:r w:rsidR="00882B1B" w:rsidRPr="00CB2629">
              <w:rPr>
                <w:rFonts w:ascii="Times New Roman" w:hAnsi="Times New Roman"/>
                <w:b/>
                <w:sz w:val="24"/>
                <w:u w:val="single"/>
              </w:rPr>
              <w:t>'</w:t>
            </w: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IMPORTO DELL</w:t>
            </w:r>
            <w:r w:rsidR="00882B1B" w:rsidRPr="00CB2629">
              <w:rPr>
                <w:rFonts w:ascii="Times New Roman" w:hAnsi="Times New Roman"/>
                <w:b/>
                <w:sz w:val="24"/>
                <w:u w:val="single"/>
              </w:rPr>
              <w:t>'</w:t>
            </w: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ESPOSIZIONE PONDERATO PER IL RISCHIO DOVUTA AL FATTORE DI SOSTEGNO ALLE INFRASTRUTTURE</w:t>
            </w:r>
          </w:p>
          <w:p w14:paraId="1EE90D25" w14:textId="77777777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Style w:val="InstructionsTabelleText"/>
                <w:rFonts w:ascii="Times New Roman" w:hAnsi="Times New Roman"/>
                <w:sz w:val="24"/>
              </w:rPr>
              <w:t>Stessa definizione di cui alla colonna 0257 del modello CR IRB.</w:t>
            </w:r>
          </w:p>
        </w:tc>
      </w:tr>
      <w:tr w:rsidR="009D6580" w:rsidRPr="00CB2629" w14:paraId="0A79EDF4" w14:textId="77777777" w:rsidTr="00822842">
        <w:tc>
          <w:tcPr>
            <w:tcW w:w="1188" w:type="dxa"/>
          </w:tcPr>
          <w:p w14:paraId="2D50BBC4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0125</w:t>
            </w:r>
          </w:p>
        </w:tc>
        <w:tc>
          <w:tcPr>
            <w:tcW w:w="8640" w:type="dxa"/>
          </w:tcPr>
          <w:p w14:paraId="0D402C8B" w14:textId="578A3FB6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IMPORTO DELL</w:t>
            </w:r>
            <w:r w:rsidR="00882B1B" w:rsidRPr="00CB2629">
              <w:rPr>
                <w:rFonts w:ascii="Times New Roman" w:hAnsi="Times New Roman"/>
                <w:b/>
                <w:sz w:val="24"/>
                <w:u w:val="single"/>
              </w:rPr>
              <w:t>'</w:t>
            </w: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ESPOSIZIONE PONDERATO PER IL RISCHIO DOPO L</w:t>
            </w:r>
            <w:r w:rsidR="00882B1B" w:rsidRPr="00CB2629">
              <w:rPr>
                <w:rFonts w:ascii="Times New Roman" w:hAnsi="Times New Roman"/>
                <w:b/>
                <w:sz w:val="24"/>
                <w:u w:val="single"/>
              </w:rPr>
              <w:t>'</w:t>
            </w: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APPLICAZIONE DEI FATTORI DI SOSTEGNO</w:t>
            </w:r>
          </w:p>
          <w:p w14:paraId="71F977E8" w14:textId="77777777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Style w:val="InstructionsTabelleText"/>
                <w:rFonts w:ascii="Times New Roman" w:hAnsi="Times New Roman"/>
                <w:sz w:val="24"/>
              </w:rPr>
              <w:t>Stessa definizione di cui alla colonna 0260 del modello CR IRB.</w:t>
            </w:r>
          </w:p>
        </w:tc>
      </w:tr>
      <w:tr w:rsidR="009D6580" w:rsidRPr="00CB2629" w14:paraId="058051CC" w14:textId="77777777" w:rsidTr="00822842">
        <w:tc>
          <w:tcPr>
            <w:tcW w:w="1188" w:type="dxa"/>
          </w:tcPr>
          <w:p w14:paraId="02AA680F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8640" w:type="dxa"/>
          </w:tcPr>
          <w:p w14:paraId="5E66C6B0" w14:textId="77777777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IMPORTO DELLE PERDITE ATTESE</w:t>
            </w:r>
          </w:p>
          <w:p w14:paraId="27E13378" w14:textId="77777777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Style w:val="InstructionsTabelleText"/>
                <w:rFonts w:ascii="Times New Roman" w:hAnsi="Times New Roman"/>
                <w:sz w:val="24"/>
              </w:rPr>
              <w:t>Stessa definizione di cui alla colonna 0280 del modello CR IRB.</w:t>
            </w:r>
          </w:p>
        </w:tc>
      </w:tr>
    </w:tbl>
    <w:p w14:paraId="26CEB25D" w14:textId="77777777" w:rsidR="009D6580" w:rsidRPr="00CB2629" w:rsidRDefault="009D6580" w:rsidP="009D6580">
      <w:pPr>
        <w:rPr>
          <w:rFonts w:ascii="Times New Roman" w:hAnsi="Times New Roman"/>
          <w:sz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640"/>
      </w:tblGrid>
      <w:tr w:rsidR="009D6580" w:rsidRPr="00CB2629" w14:paraId="4378F7EC" w14:textId="77777777" w:rsidTr="00822842">
        <w:tc>
          <w:tcPr>
            <w:tcW w:w="1188" w:type="dxa"/>
            <w:shd w:val="clear" w:color="auto" w:fill="CCCCCC"/>
          </w:tcPr>
          <w:p w14:paraId="629D568D" w14:textId="77777777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</w:rPr>
            </w:pPr>
            <w:r w:rsidRPr="00CB2629">
              <w:rPr>
                <w:rFonts w:ascii="Times New Roman" w:hAnsi="Times New Roman"/>
                <w:b/>
                <w:sz w:val="24"/>
              </w:rPr>
              <w:t>Righe</w:t>
            </w:r>
          </w:p>
        </w:tc>
        <w:tc>
          <w:tcPr>
            <w:tcW w:w="8640" w:type="dxa"/>
            <w:shd w:val="clear" w:color="auto" w:fill="CCCCCC"/>
          </w:tcPr>
          <w:p w14:paraId="490E44FA" w14:textId="77777777" w:rsidR="009D6580" w:rsidRPr="00CB2629" w:rsidRDefault="009D6580" w:rsidP="00822842">
            <w:pPr>
              <w:ind w:left="72"/>
              <w:rPr>
                <w:rFonts w:ascii="Times New Roman" w:hAnsi="Times New Roman"/>
                <w:sz w:val="24"/>
              </w:rPr>
            </w:pPr>
          </w:p>
        </w:tc>
      </w:tr>
      <w:tr w:rsidR="009D6580" w:rsidRPr="00CB2629" w14:paraId="41D216F1" w14:textId="77777777" w:rsidTr="00822842">
        <w:tc>
          <w:tcPr>
            <w:tcW w:w="1188" w:type="dxa"/>
          </w:tcPr>
          <w:p w14:paraId="12CBEF0E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640" w:type="dxa"/>
          </w:tcPr>
          <w:p w14:paraId="349EA927" w14:textId="77777777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 xml:space="preserve">Banche centrali e amministrazioni centrali </w:t>
            </w:r>
          </w:p>
          <w:p w14:paraId="45CC186E" w14:textId="65468D95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 xml:space="preserve">Articolo 147, paragrafo 2, lettera a),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D6580" w:rsidRPr="00CB2629" w14:paraId="6125B13A" w14:textId="77777777" w:rsidTr="00822842">
        <w:tc>
          <w:tcPr>
            <w:tcW w:w="1188" w:type="dxa"/>
            <w:shd w:val="clear" w:color="auto" w:fill="auto"/>
          </w:tcPr>
          <w:p w14:paraId="33C6F35E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0011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3327D" w14:textId="5A679666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 xml:space="preserve">di cui: </w:t>
            </w:r>
            <w:r w:rsidR="00925032" w:rsidRPr="00CB2629">
              <w:rPr>
                <w:rFonts w:ascii="Times New Roman" w:hAnsi="Times New Roman"/>
                <w:b/>
                <w:sz w:val="24"/>
                <w:u w:val="single"/>
              </w:rPr>
              <w:t>a</w:t>
            </w: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mministrazioni regionali o autorità locali</w:t>
            </w:r>
          </w:p>
          <w:p w14:paraId="4864E157" w14:textId="7F1EF300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sz w:val="24"/>
              </w:rPr>
              <w:t xml:space="preserve">Articolo 147, paragrafo 3 bis,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D6580" w:rsidRPr="00CB2629" w14:paraId="57997C4B" w14:textId="77777777" w:rsidTr="00822842">
        <w:tc>
          <w:tcPr>
            <w:tcW w:w="1188" w:type="dxa"/>
            <w:shd w:val="clear" w:color="auto" w:fill="auto"/>
          </w:tcPr>
          <w:p w14:paraId="7E0CEA1D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0012</w:t>
            </w:r>
          </w:p>
        </w:tc>
        <w:tc>
          <w:tcPr>
            <w:tcW w:w="8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E57E4" w14:textId="77777777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Amministrazioni regionali o autorità locali</w:t>
            </w:r>
          </w:p>
          <w:p w14:paraId="19FE9B53" w14:textId="52FA2234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sz w:val="24"/>
              </w:rPr>
              <w:t xml:space="preserve">Articolo 147, paragrafo 2, lettera a1), punto i),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D6580" w:rsidRPr="00CB2629" w14:paraId="756631BD" w14:textId="77777777" w:rsidTr="00822842">
        <w:tc>
          <w:tcPr>
            <w:tcW w:w="1188" w:type="dxa"/>
            <w:shd w:val="clear" w:color="auto" w:fill="auto"/>
          </w:tcPr>
          <w:p w14:paraId="36422B7A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0013</w:t>
            </w:r>
          </w:p>
        </w:tc>
        <w:tc>
          <w:tcPr>
            <w:tcW w:w="8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AC62E" w14:textId="77777777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 xml:space="preserve">Organismi del settore pubblico </w:t>
            </w:r>
          </w:p>
          <w:p w14:paraId="1DE1AAE7" w14:textId="3547D206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sz w:val="24"/>
              </w:rPr>
              <w:t xml:space="preserve">Articolo 147, paragrafo 2, lettera a1), punto ii),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D6580" w:rsidRPr="00CB2629" w14:paraId="0C55C95D" w14:textId="77777777" w:rsidTr="00822842">
        <w:tc>
          <w:tcPr>
            <w:tcW w:w="1188" w:type="dxa"/>
          </w:tcPr>
          <w:p w14:paraId="6C8F06FC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640" w:type="dxa"/>
          </w:tcPr>
          <w:p w14:paraId="460BDDF8" w14:textId="77777777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Enti</w:t>
            </w:r>
          </w:p>
          <w:p w14:paraId="504F46A3" w14:textId="01C0E19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 xml:space="preserve">Articolo 147, paragrafo 2, lettera b),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D6580" w:rsidRPr="00CB2629" w14:paraId="2B29BE20" w14:textId="77777777" w:rsidTr="00822842">
        <w:tc>
          <w:tcPr>
            <w:tcW w:w="1188" w:type="dxa"/>
          </w:tcPr>
          <w:p w14:paraId="521AA8B6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640" w:type="dxa"/>
          </w:tcPr>
          <w:p w14:paraId="63C7233C" w14:textId="77777777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 xml:space="preserve">Imprese </w:t>
            </w:r>
          </w:p>
          <w:p w14:paraId="699F9BD2" w14:textId="59372F99" w:rsidR="009D6580" w:rsidRPr="00CB2629" w:rsidRDefault="009D6580" w:rsidP="00822842">
            <w:pPr>
              <w:pStyle w:val="ListParagraph"/>
              <w:ind w:left="0"/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Tutte le esposizioni verso imprese di cui all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 xml:space="preserve">articolo 147, paragrafo 2, lettera c),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D6580" w:rsidRPr="00CB2629" w14:paraId="55C3FE5A" w14:textId="77777777" w:rsidTr="00822842">
        <w:tc>
          <w:tcPr>
            <w:tcW w:w="1188" w:type="dxa"/>
          </w:tcPr>
          <w:p w14:paraId="198D8F58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8640" w:type="dxa"/>
          </w:tcPr>
          <w:p w14:paraId="66C0F4F0" w14:textId="77777777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di cui: PMI</w:t>
            </w:r>
          </w:p>
          <w:p w14:paraId="13819074" w14:textId="230BE321" w:rsidR="009D6580" w:rsidRPr="00CB2629" w:rsidRDefault="009D6580" w:rsidP="00822842">
            <w:pPr>
              <w:pStyle w:val="ListParagraph"/>
              <w:ind w:left="0"/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 xml:space="preserve">Articolo 147, paragrafo 2, lettera c),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</w:t>
            </w:r>
          </w:p>
          <w:p w14:paraId="6C8F6FE1" w14:textId="3C051873" w:rsidR="009D6580" w:rsidRPr="00CB2629" w:rsidRDefault="009D6580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lastRenderedPageBreak/>
              <w:t>Ai fini della classificazione in questa sottoclasse di esposizioni, i soggetti segnalanti utilizzano la definizione di PMI di cui all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 xml:space="preserve">articolo 5, paragrafo 8,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 xml:space="preserve">575/2013. </w:t>
            </w:r>
          </w:p>
        </w:tc>
      </w:tr>
      <w:tr w:rsidR="00B56773" w:rsidRPr="00CB2629" w14:paraId="1AB097A1" w14:textId="77777777" w:rsidTr="00B5677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6168F" w14:textId="1A066C7F" w:rsidR="00B56773" w:rsidRPr="00CB2629" w:rsidRDefault="00B56773" w:rsidP="007400C4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lastRenderedPageBreak/>
              <w:t>0051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C6303" w14:textId="77777777" w:rsidR="00B56773" w:rsidRPr="00CB2629" w:rsidRDefault="00B56773" w:rsidP="007400C4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di cui: grandi imprese</w:t>
            </w:r>
          </w:p>
          <w:p w14:paraId="503F359E" w14:textId="33A65D93" w:rsidR="00B56773" w:rsidRPr="00CB2629" w:rsidRDefault="00B56773" w:rsidP="00B56773">
            <w:pPr>
              <w:rPr>
                <w:rFonts w:ascii="Times New Roman" w:hAnsi="Times New Roman"/>
                <w:bCs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 xml:space="preserve">Articolo 147, paragrafo 2, lettera c),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575/2013.</w:t>
            </w:r>
          </w:p>
          <w:p w14:paraId="23F8CBD6" w14:textId="683ED4E2" w:rsidR="00B56773" w:rsidRPr="00CB2629" w:rsidRDefault="00B56773" w:rsidP="007400C4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sz w:val="24"/>
              </w:rPr>
              <w:t xml:space="preserve">Ai fini della classificazione in questa sottoclasse di esposizioni, i soggetti segnalanti utilizzano la definizione di </w:t>
            </w:r>
            <w:r w:rsidR="00882B1B" w:rsidRPr="00CB2629">
              <w:rPr>
                <w:rFonts w:ascii="Times New Roman" w:hAnsi="Times New Roman"/>
                <w:sz w:val="24"/>
              </w:rPr>
              <w:t>"</w:t>
            </w:r>
            <w:r w:rsidRPr="00CB2629">
              <w:rPr>
                <w:rFonts w:ascii="Times New Roman" w:hAnsi="Times New Roman"/>
                <w:sz w:val="24"/>
              </w:rPr>
              <w:t>grandi imprese</w:t>
            </w:r>
            <w:r w:rsidR="00882B1B" w:rsidRPr="00CB2629">
              <w:rPr>
                <w:rFonts w:ascii="Times New Roman" w:hAnsi="Times New Roman"/>
                <w:sz w:val="24"/>
              </w:rPr>
              <w:t>"</w:t>
            </w:r>
            <w:r w:rsidRPr="00CB2629">
              <w:rPr>
                <w:rFonts w:ascii="Times New Roman" w:hAnsi="Times New Roman"/>
                <w:sz w:val="24"/>
              </w:rPr>
              <w:t xml:space="preserve"> di cui all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 xml:space="preserve">articolo 142, paragrafo 1, punto 5 bis,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575/2013.</w:t>
            </w: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</w:p>
        </w:tc>
      </w:tr>
      <w:tr w:rsidR="00B56773" w:rsidRPr="00CB2629" w:rsidDel="000306F2" w14:paraId="58CAAB1D" w14:textId="77777777" w:rsidTr="00B5677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1F72A" w14:textId="4457DEBC" w:rsidR="00B56773" w:rsidRPr="00CB2629" w:rsidDel="000306F2" w:rsidRDefault="00B56773" w:rsidP="007400C4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0052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3C653" w14:textId="4C91A7B2" w:rsidR="00B56773" w:rsidRPr="00CB2629" w:rsidRDefault="00E1246E" w:rsidP="007400C4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F</w:t>
            </w:r>
            <w:r w:rsidR="00B56773" w:rsidRPr="00CB2629">
              <w:rPr>
                <w:rFonts w:ascii="Times New Roman" w:hAnsi="Times New Roman"/>
                <w:b/>
                <w:sz w:val="24"/>
                <w:u w:val="single"/>
              </w:rPr>
              <w:t>inanziamenti specializzati</w:t>
            </w:r>
          </w:p>
          <w:p w14:paraId="510C1D3E" w14:textId="53A18D69" w:rsidR="00B56773" w:rsidRPr="00CB2629" w:rsidDel="000306F2" w:rsidRDefault="00B56773" w:rsidP="007400C4">
            <w:pPr>
              <w:rPr>
                <w:rFonts w:ascii="Times New Roman" w:hAnsi="Times New Roman"/>
                <w:bCs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 xml:space="preserve">Articolo 147, paragrafo 2, lettera c), punto ii),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575/2013. 1.</w:t>
            </w:r>
          </w:p>
        </w:tc>
      </w:tr>
      <w:tr w:rsidR="00B56773" w:rsidRPr="00CB2629" w14:paraId="36179D5A" w14:textId="77777777" w:rsidTr="00822842">
        <w:tc>
          <w:tcPr>
            <w:tcW w:w="1188" w:type="dxa"/>
            <w:shd w:val="clear" w:color="auto" w:fill="auto"/>
          </w:tcPr>
          <w:p w14:paraId="7AF18366" w14:textId="6A1B1DDE" w:rsidR="00B56773" w:rsidRPr="00CB2629" w:rsidRDefault="00B56773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0053-0056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CF836" w14:textId="6CF7767D" w:rsidR="00B56773" w:rsidRPr="00CB2629" w:rsidRDefault="00B56773" w:rsidP="00B56773">
            <w:pPr>
              <w:rPr>
                <w:rFonts w:ascii="Times New Roman" w:hAnsi="Times New Roman"/>
                <w:b/>
                <w:sz w:val="24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Finanziamenti specializzati</w:t>
            </w:r>
            <w:r w:rsidRPr="00CB2629">
              <w:rPr>
                <w:rFonts w:ascii="Times New Roman" w:hAnsi="Times New Roman"/>
                <w:b/>
                <w:sz w:val="24"/>
              </w:rPr>
              <w:t xml:space="preserve"> - tipi di esposizioni da finanziamenti specializzati</w:t>
            </w:r>
          </w:p>
          <w:p w14:paraId="1E4AC942" w14:textId="18A0FF2E" w:rsidR="00B56773" w:rsidRPr="00CB2629" w:rsidRDefault="00B56773" w:rsidP="00822842">
            <w:pPr>
              <w:rPr>
                <w:rFonts w:ascii="Times New Roman" w:hAnsi="Times New Roman"/>
                <w:bCs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Gli enti segnalano le tipologie di esposizioni da finanziamenti specializzati di cui all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 xml:space="preserve">articolo 147, paragrafo 8, secondo comma, nella riga corrispondente: Finanziamenti specializzati </w:t>
            </w:r>
            <w:r w:rsidR="00882B1B" w:rsidRPr="00CB2629">
              <w:rPr>
                <w:rFonts w:ascii="Times New Roman" w:hAnsi="Times New Roman"/>
                <w:sz w:val="24"/>
              </w:rPr>
              <w:t>"</w:t>
            </w:r>
            <w:r w:rsidRPr="00CB2629">
              <w:rPr>
                <w:rFonts w:ascii="Times New Roman" w:hAnsi="Times New Roman"/>
                <w:sz w:val="24"/>
              </w:rPr>
              <w:t>finanziamenti di progetti</w:t>
            </w:r>
            <w:r w:rsidR="00882B1B" w:rsidRPr="00CB2629">
              <w:rPr>
                <w:rFonts w:ascii="Times New Roman" w:hAnsi="Times New Roman"/>
                <w:sz w:val="24"/>
              </w:rPr>
              <w:t>"</w:t>
            </w:r>
            <w:r w:rsidRPr="00CB2629">
              <w:rPr>
                <w:rFonts w:ascii="Times New Roman" w:hAnsi="Times New Roman"/>
                <w:sz w:val="24"/>
              </w:rPr>
              <w:t xml:space="preserve">, </w:t>
            </w:r>
            <w:r w:rsidR="00882B1B" w:rsidRPr="00CB2629">
              <w:rPr>
                <w:rFonts w:ascii="Times New Roman" w:hAnsi="Times New Roman"/>
                <w:sz w:val="24"/>
              </w:rPr>
              <w:t>"</w:t>
            </w:r>
            <w:r w:rsidRPr="00CB2629">
              <w:rPr>
                <w:rFonts w:ascii="Times New Roman" w:hAnsi="Times New Roman"/>
                <w:sz w:val="24"/>
              </w:rPr>
              <w:t>finanziamenti di attività materiali a destinazione specifica</w:t>
            </w:r>
            <w:r w:rsidR="00882B1B" w:rsidRPr="00CB2629">
              <w:rPr>
                <w:rFonts w:ascii="Times New Roman" w:hAnsi="Times New Roman"/>
                <w:sz w:val="24"/>
              </w:rPr>
              <w:t>"</w:t>
            </w:r>
            <w:r w:rsidRPr="00CB2629">
              <w:rPr>
                <w:rFonts w:ascii="Times New Roman" w:hAnsi="Times New Roman"/>
                <w:sz w:val="24"/>
              </w:rPr>
              <w:t xml:space="preserve">, </w:t>
            </w:r>
            <w:r w:rsidR="00882B1B" w:rsidRPr="00CB2629">
              <w:rPr>
                <w:rFonts w:ascii="Times New Roman" w:hAnsi="Times New Roman"/>
                <w:sz w:val="24"/>
              </w:rPr>
              <w:t>"</w:t>
            </w:r>
            <w:r w:rsidRPr="00CB2629">
              <w:rPr>
                <w:rFonts w:ascii="Times New Roman" w:hAnsi="Times New Roman"/>
                <w:sz w:val="24"/>
              </w:rPr>
              <w:t>finanziamenti su merci</w:t>
            </w:r>
            <w:r w:rsidR="00882B1B" w:rsidRPr="00CB2629">
              <w:rPr>
                <w:rFonts w:ascii="Times New Roman" w:hAnsi="Times New Roman"/>
                <w:sz w:val="24"/>
              </w:rPr>
              <w:t>"</w:t>
            </w:r>
            <w:r w:rsidRPr="00CB2629">
              <w:rPr>
                <w:rFonts w:ascii="Times New Roman" w:hAnsi="Times New Roman"/>
                <w:sz w:val="24"/>
              </w:rPr>
              <w:t xml:space="preserve"> e </w:t>
            </w:r>
            <w:r w:rsidR="00882B1B" w:rsidRPr="00CB2629">
              <w:rPr>
                <w:rFonts w:ascii="Times New Roman" w:hAnsi="Times New Roman"/>
                <w:sz w:val="24"/>
              </w:rPr>
              <w:t>"</w:t>
            </w:r>
            <w:r w:rsidRPr="00CB2629">
              <w:rPr>
                <w:rFonts w:ascii="Times New Roman" w:hAnsi="Times New Roman"/>
                <w:sz w:val="24"/>
              </w:rPr>
              <w:t>beni immobili generatori di reddito</w:t>
            </w:r>
            <w:r w:rsidR="00882B1B" w:rsidRPr="00CB2629">
              <w:rPr>
                <w:rFonts w:ascii="Times New Roman" w:hAnsi="Times New Roman"/>
                <w:sz w:val="24"/>
              </w:rPr>
              <w:t>"</w:t>
            </w:r>
            <w:r w:rsidRPr="00CB2629">
              <w:rPr>
                <w:rFonts w:ascii="Times New Roman" w:hAnsi="Times New Roman"/>
                <w:sz w:val="24"/>
              </w:rPr>
              <w:t xml:space="preserve"> (IPRE).</w:t>
            </w:r>
          </w:p>
        </w:tc>
      </w:tr>
      <w:tr w:rsidR="009D6580" w:rsidRPr="00CB2629" w14:paraId="1E272EAA" w14:textId="77777777" w:rsidTr="00822842">
        <w:tc>
          <w:tcPr>
            <w:tcW w:w="1188" w:type="dxa"/>
            <w:shd w:val="clear" w:color="auto" w:fill="auto"/>
          </w:tcPr>
          <w:p w14:paraId="5B01A706" w14:textId="2033B95F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0057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17355" w14:textId="38752705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Crediti acquistati</w:t>
            </w:r>
          </w:p>
          <w:p w14:paraId="40628222" w14:textId="54C5E9AA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sz w:val="24"/>
              </w:rPr>
              <w:t xml:space="preserve">Articolo 147, paragrafo 2, lettera c), punto iii),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F16E4D" w:rsidRPr="00CB2629" w14:paraId="27B47EEA" w14:textId="77777777" w:rsidTr="00822842">
        <w:tc>
          <w:tcPr>
            <w:tcW w:w="1188" w:type="dxa"/>
          </w:tcPr>
          <w:p w14:paraId="329ABF25" w14:textId="3906F1E5" w:rsidR="00F16E4D" w:rsidRPr="00CB2629" w:rsidRDefault="00F16E4D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0058</w:t>
            </w:r>
          </w:p>
        </w:tc>
        <w:tc>
          <w:tcPr>
            <w:tcW w:w="8640" w:type="dxa"/>
          </w:tcPr>
          <w:p w14:paraId="27CFAA09" w14:textId="513D8D7F" w:rsidR="00F16E4D" w:rsidRPr="00CB2629" w:rsidRDefault="00F16E4D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Altro</w:t>
            </w:r>
          </w:p>
          <w:p w14:paraId="75A3CB20" w14:textId="2FD5A8B3" w:rsidR="00F16E4D" w:rsidRPr="00CB2629" w:rsidRDefault="00F16E4D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sz w:val="24"/>
              </w:rPr>
              <w:t xml:space="preserve">Articolo 147, paragrafo 2, lettera I), punto i),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D6580" w:rsidRPr="00CB2629" w14:paraId="3CAC5C4A" w14:textId="77777777" w:rsidTr="00822842">
        <w:tc>
          <w:tcPr>
            <w:tcW w:w="1188" w:type="dxa"/>
          </w:tcPr>
          <w:p w14:paraId="50AFEE21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8640" w:type="dxa"/>
          </w:tcPr>
          <w:p w14:paraId="084F36E4" w14:textId="77777777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Al dettaglio</w:t>
            </w:r>
          </w:p>
          <w:p w14:paraId="61F98691" w14:textId="7BFA6795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Tutte le esposizioni al dettaglio di cui all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 xml:space="preserve">articolo 147, paragrafo 2, lettera d),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9D6580" w:rsidRPr="00CB2629" w14:paraId="3126FC45" w14:textId="77777777" w:rsidTr="00822842">
        <w:tc>
          <w:tcPr>
            <w:tcW w:w="1188" w:type="dxa"/>
          </w:tcPr>
          <w:p w14:paraId="3B5D6723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640" w:type="dxa"/>
          </w:tcPr>
          <w:p w14:paraId="094A84E8" w14:textId="0010682B" w:rsidR="009D6580" w:rsidRPr="00CB2629" w:rsidRDefault="005B37F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 xml:space="preserve">di cui: </w:t>
            </w:r>
            <w:r w:rsidR="00925032" w:rsidRPr="00CB2629">
              <w:rPr>
                <w:rFonts w:ascii="Times New Roman" w:hAnsi="Times New Roman"/>
                <w:b/>
                <w:sz w:val="24"/>
                <w:u w:val="single"/>
              </w:rPr>
              <w:t>a</w:t>
            </w: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l dettaglio — garantite da beni immobili</w:t>
            </w:r>
          </w:p>
          <w:p w14:paraId="0CD06107" w14:textId="7CE9DCEC" w:rsidR="009D6580" w:rsidRPr="00CB2629" w:rsidRDefault="00FD0F61" w:rsidP="00822842">
            <w:pPr>
              <w:pStyle w:val="ListParagraph"/>
              <w:ind w:left="0"/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Esposizioni al dettaglio quali definite all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 xml:space="preserve">articolo 147, paragrafo 2, lettera d),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575/2013, garantite da beni immobili ai sensi dell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 xml:space="preserve">articolo 4, paragrafo 1, punto 75 septies, lettera d),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9D6580" w:rsidRPr="00CB2629" w14:paraId="49CD7917" w14:textId="77777777" w:rsidTr="00822842">
        <w:tc>
          <w:tcPr>
            <w:tcW w:w="1188" w:type="dxa"/>
          </w:tcPr>
          <w:p w14:paraId="3FA8BBC8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640" w:type="dxa"/>
          </w:tcPr>
          <w:p w14:paraId="4738C3E5" w14:textId="186F9DD4" w:rsidR="009D6580" w:rsidRPr="00CB2629" w:rsidRDefault="00FD0F61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di cui: PMI</w:t>
            </w:r>
          </w:p>
          <w:p w14:paraId="67BFF2AB" w14:textId="73FAAC49" w:rsidR="009D6580" w:rsidRPr="00CB2629" w:rsidRDefault="00FD0F61" w:rsidP="00822842">
            <w:pPr>
              <w:pStyle w:val="ListParagraph"/>
              <w:ind w:left="0"/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Esposizioni al dettaglio quali definite all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>articolo 147, paragrafo</w:t>
            </w:r>
            <w:r w:rsidR="00882B1B" w:rsidRPr="00CB2629">
              <w:rPr>
                <w:rFonts w:ascii="Times New Roman" w:hAnsi="Times New Roman"/>
                <w:sz w:val="24"/>
              </w:rPr>
              <w:t> </w:t>
            </w:r>
            <w:r w:rsidRPr="00CB2629">
              <w:rPr>
                <w:rFonts w:ascii="Times New Roman" w:hAnsi="Times New Roman"/>
                <w:sz w:val="24"/>
              </w:rPr>
              <w:t>2, lettera</w:t>
            </w:r>
            <w:r w:rsidR="00882B1B" w:rsidRPr="00CB2629">
              <w:rPr>
                <w:rFonts w:ascii="Times New Roman" w:hAnsi="Times New Roman"/>
                <w:sz w:val="24"/>
              </w:rPr>
              <w:t> </w:t>
            </w:r>
            <w:r w:rsidRPr="00CB2629">
              <w:rPr>
                <w:rFonts w:ascii="Times New Roman" w:hAnsi="Times New Roman"/>
                <w:sz w:val="24"/>
              </w:rPr>
              <w:t xml:space="preserve">d),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575/2013, segnalate alle voci da B.6.1 a B.6.4, garantite da beni immobili ai sensi dell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 xml:space="preserve">articolo 4, paragrafo 1, punto 75 septies, lettera d),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575/2013, in combinato disposto con 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 xml:space="preserve">articolo 5, paragrafo 8,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 xml:space="preserve">575/2013. </w:t>
            </w:r>
          </w:p>
        </w:tc>
      </w:tr>
      <w:tr w:rsidR="009D6580" w:rsidRPr="00CB2629" w14:paraId="7A63D877" w14:textId="77777777" w:rsidTr="00822842">
        <w:tc>
          <w:tcPr>
            <w:tcW w:w="1188" w:type="dxa"/>
            <w:shd w:val="clear" w:color="auto" w:fill="auto"/>
          </w:tcPr>
          <w:p w14:paraId="59E6C6E6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8640" w:type="dxa"/>
            <w:shd w:val="clear" w:color="auto" w:fill="auto"/>
          </w:tcPr>
          <w:p w14:paraId="05695520" w14:textId="0C6E6FC4" w:rsidR="009D6580" w:rsidRPr="00CB2629" w:rsidRDefault="00837F98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 xml:space="preserve">di cui: </w:t>
            </w:r>
            <w:r w:rsidR="00925032" w:rsidRPr="00CB2629">
              <w:rPr>
                <w:rFonts w:ascii="Times New Roman" w:hAnsi="Times New Roman"/>
                <w:b/>
                <w:sz w:val="24"/>
                <w:u w:val="single"/>
              </w:rPr>
              <w:t>n</w:t>
            </w: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on PMI</w:t>
            </w:r>
          </w:p>
          <w:p w14:paraId="68647661" w14:textId="1BEEBB6F" w:rsidR="00837F98" w:rsidRPr="00CB2629" w:rsidRDefault="00837F98" w:rsidP="00882B1B">
            <w:pPr>
              <w:pStyle w:val="ListParagraph"/>
              <w:autoSpaceDE w:val="0"/>
              <w:autoSpaceDN w:val="0"/>
              <w:adjustRightInd w:val="0"/>
              <w:spacing w:before="0" w:after="0"/>
              <w:ind w:left="0"/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Esposizioni al dettaglio quali definite all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 xml:space="preserve">articolo 147, paragrafo 2, lettera d),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575/2013, segnalate alle voci da B.6.1 a B.6.4, garantite da beni immobili ai sensi dell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 xml:space="preserve">articolo 4, paragrafo 1, punto 75 septies, lettera d), del regolamento </w:t>
            </w:r>
            <w:r w:rsidRPr="00CB2629">
              <w:rPr>
                <w:rFonts w:ascii="Times New Roman" w:hAnsi="Times New Roman"/>
                <w:sz w:val="24"/>
              </w:rPr>
              <w:lastRenderedPageBreak/>
              <w:t xml:space="preserve">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575/2013, non in combinato disposto con 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>articolo</w:t>
            </w:r>
            <w:r w:rsidR="00882B1B" w:rsidRPr="00CB2629">
              <w:rPr>
                <w:rFonts w:ascii="Times New Roman" w:hAnsi="Times New Roman"/>
                <w:sz w:val="24"/>
              </w:rPr>
              <w:t> </w:t>
            </w:r>
            <w:r w:rsidRPr="00CB2629">
              <w:rPr>
                <w:rFonts w:ascii="Times New Roman" w:hAnsi="Times New Roman"/>
                <w:sz w:val="24"/>
              </w:rPr>
              <w:t>5, paragrafo</w:t>
            </w:r>
            <w:r w:rsidR="00882B1B" w:rsidRPr="00CB2629">
              <w:rPr>
                <w:rFonts w:ascii="Times New Roman" w:hAnsi="Times New Roman"/>
                <w:sz w:val="24"/>
              </w:rPr>
              <w:t> </w:t>
            </w:r>
            <w:r w:rsidRPr="00CB2629">
              <w:rPr>
                <w:rFonts w:ascii="Times New Roman" w:hAnsi="Times New Roman"/>
                <w:sz w:val="24"/>
              </w:rPr>
              <w:t xml:space="preserve">8,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575/2013.</w:t>
            </w:r>
          </w:p>
          <w:p w14:paraId="34F371DC" w14:textId="683F21EB" w:rsidR="009D6580" w:rsidRPr="00CB2629" w:rsidRDefault="009D6580" w:rsidP="00822842">
            <w:pPr>
              <w:pStyle w:val="ListParagraph"/>
              <w:ind w:left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910F63" w:rsidRPr="00CB2629" w14:paraId="22110EE2" w14:textId="77777777" w:rsidTr="00910F6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663B" w14:textId="49B20CE1" w:rsidR="00910F63" w:rsidRPr="00CB2629" w:rsidRDefault="00910F63" w:rsidP="007400C4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lastRenderedPageBreak/>
              <w:t>0095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0C7BD" w14:textId="5E35A257" w:rsidR="00910F63" w:rsidRPr="00CB2629" w:rsidRDefault="00834508" w:rsidP="007400C4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G</w:t>
            </w:r>
            <w:r w:rsidR="00910F63" w:rsidRPr="00CB2629">
              <w:rPr>
                <w:rFonts w:ascii="Times New Roman" w:hAnsi="Times New Roman"/>
                <w:b/>
                <w:sz w:val="24"/>
                <w:u w:val="single"/>
              </w:rPr>
              <w:t>arantite da immobili residenziali</w:t>
            </w:r>
          </w:p>
          <w:p w14:paraId="3B8B837D" w14:textId="5B6A1ABB" w:rsidR="00910F63" w:rsidRPr="00CB2629" w:rsidRDefault="00910F63" w:rsidP="00910F63">
            <w:pPr>
              <w:rPr>
                <w:rFonts w:ascii="Times New Roman" w:hAnsi="Times New Roman"/>
                <w:bCs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Le esposizioni al dettaglio di cui all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 xml:space="preserve">articolo 147, paragrafo 2, lettera d), punto ii),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575/2013.</w:t>
            </w:r>
          </w:p>
          <w:p w14:paraId="7240267A" w14:textId="5967B718" w:rsidR="00910F63" w:rsidRPr="00CB2629" w:rsidRDefault="00910F63" w:rsidP="007400C4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sz w:val="24"/>
              </w:rPr>
              <w:t>Le esposizioni al dettaglio garantite da beni immobili residenziali saranno considerate esposizioni al dettaglio garantite da beni immobili residenziali riconosciuti come garanzie, indipendentemente dal rapporto tra il valore della garanzia e 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>esposizione o dalla finalità del prestito.</w:t>
            </w:r>
          </w:p>
        </w:tc>
      </w:tr>
      <w:tr w:rsidR="009D6580" w:rsidRPr="00CB2629" w14:paraId="38AD5BBA" w14:textId="77777777" w:rsidTr="00822842">
        <w:tc>
          <w:tcPr>
            <w:tcW w:w="1188" w:type="dxa"/>
          </w:tcPr>
          <w:p w14:paraId="48A5C8D2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8640" w:type="dxa"/>
          </w:tcPr>
          <w:p w14:paraId="1B160106" w14:textId="7C65E11F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Rotative qualificate</w:t>
            </w:r>
          </w:p>
          <w:p w14:paraId="363209C3" w14:textId="0B840BC5" w:rsidR="009D6580" w:rsidRPr="00CB2629" w:rsidRDefault="009D6580" w:rsidP="00822842">
            <w:pPr>
              <w:pStyle w:val="ListParagraph"/>
              <w:ind w:left="0"/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Esposizioni al dettaglio di cui all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 xml:space="preserve">articolo 147, paragrafo 2, lettera d), punto i),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575/2013, in combinato disposto con 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>articolo 154, paragrafo 4, di tale regolamento</w:t>
            </w:r>
          </w:p>
        </w:tc>
      </w:tr>
      <w:tr w:rsidR="009D6580" w:rsidRPr="00CB2629" w14:paraId="26D0338D" w14:textId="77777777" w:rsidTr="00822842">
        <w:tc>
          <w:tcPr>
            <w:tcW w:w="1188" w:type="dxa"/>
          </w:tcPr>
          <w:p w14:paraId="6DA4B8E6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0105</w:t>
            </w:r>
          </w:p>
        </w:tc>
        <w:tc>
          <w:tcPr>
            <w:tcW w:w="8640" w:type="dxa"/>
          </w:tcPr>
          <w:p w14:paraId="63563096" w14:textId="485ECEE6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Crediti acquistati</w:t>
            </w:r>
          </w:p>
          <w:p w14:paraId="7C92CD05" w14:textId="7964B2A4" w:rsidR="009D6580" w:rsidRPr="00CB2629" w:rsidRDefault="009D6580" w:rsidP="00822842">
            <w:pPr>
              <w:rPr>
                <w:rFonts w:cs="Calibri"/>
                <w:sz w:val="18"/>
                <w:szCs w:val="18"/>
              </w:rPr>
            </w:pPr>
            <w:r w:rsidRPr="00CB2629">
              <w:rPr>
                <w:rFonts w:ascii="Times New Roman" w:hAnsi="Times New Roman"/>
                <w:sz w:val="24"/>
              </w:rPr>
              <w:t>Esposizioni al dettaglio di cui all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 xml:space="preserve">articolo 147, paragrafo 2, lettera d), punto iii),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D6580" w:rsidRPr="00CB2629" w14:paraId="551F153F" w14:textId="77777777" w:rsidTr="00822842">
        <w:tc>
          <w:tcPr>
            <w:tcW w:w="1188" w:type="dxa"/>
          </w:tcPr>
          <w:p w14:paraId="1C567015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8640" w:type="dxa"/>
          </w:tcPr>
          <w:p w14:paraId="3B169086" w14:textId="5BA51B78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Altre esposizioni al dettaglio</w:t>
            </w:r>
          </w:p>
          <w:p w14:paraId="6BB335AD" w14:textId="7E00B74C" w:rsidR="009D6580" w:rsidRPr="00CB2629" w:rsidRDefault="009D6580" w:rsidP="00822842">
            <w:pPr>
              <w:pStyle w:val="ListParagraph"/>
              <w:ind w:left="0"/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Le altre esposizioni al dettaglio di cui all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 xml:space="preserve">articolo 147, paragrafo 2, lettera d), punto iv),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9D6580" w:rsidRPr="00CB2629" w14:paraId="1879AB2D" w14:textId="77777777" w:rsidTr="00822842">
        <w:tc>
          <w:tcPr>
            <w:tcW w:w="1188" w:type="dxa"/>
          </w:tcPr>
          <w:p w14:paraId="247F0534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8640" w:type="dxa"/>
          </w:tcPr>
          <w:p w14:paraId="37F76446" w14:textId="0C2F5C96" w:rsidR="009D6580" w:rsidRPr="00CB2629" w:rsidRDefault="00837F98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di cui: PMI</w:t>
            </w:r>
          </w:p>
          <w:p w14:paraId="28CE96BD" w14:textId="1102BC46" w:rsidR="009D6580" w:rsidRPr="00CB2629" w:rsidRDefault="009D6580" w:rsidP="00822842">
            <w:pPr>
              <w:pStyle w:val="ListParagraph"/>
              <w:ind w:left="0"/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Le altre esposizioni al dettaglio di cui all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 xml:space="preserve">articolo 147, paragrafo 2, lettera d), punto iv),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575/2013, in combinato disposto con 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 xml:space="preserve">articolo 5, paragrafo 8, di tale regolamento. </w:t>
            </w:r>
          </w:p>
        </w:tc>
      </w:tr>
      <w:tr w:rsidR="009D6580" w:rsidRPr="00CB2629" w14:paraId="6140E6E8" w14:textId="77777777" w:rsidTr="00822842">
        <w:tc>
          <w:tcPr>
            <w:tcW w:w="1188" w:type="dxa"/>
          </w:tcPr>
          <w:p w14:paraId="4DD00789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8640" w:type="dxa"/>
          </w:tcPr>
          <w:p w14:paraId="40BDF108" w14:textId="718A9217" w:rsidR="009D6580" w:rsidRPr="00CB2629" w:rsidRDefault="00837F98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 xml:space="preserve">di cui: </w:t>
            </w:r>
            <w:r w:rsidR="00882B1B" w:rsidRPr="00CB2629">
              <w:rPr>
                <w:rFonts w:ascii="Times New Roman" w:hAnsi="Times New Roman"/>
                <w:b/>
                <w:sz w:val="24"/>
                <w:u w:val="single"/>
              </w:rPr>
              <w:t>n</w:t>
            </w: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on PMI</w:t>
            </w:r>
          </w:p>
          <w:p w14:paraId="51D486B6" w14:textId="4B18B922" w:rsidR="009D6580" w:rsidRPr="00CB2629" w:rsidRDefault="00837F98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Le altre esposizioni al dettaglio di cui all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 xml:space="preserve">articolo 147, paragrafo 2, lettera d), punto iv),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575/2013, non in combinato disposto con 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>articolo</w:t>
            </w:r>
            <w:r w:rsidR="00882B1B" w:rsidRPr="00CB2629">
              <w:rPr>
                <w:rFonts w:ascii="Times New Roman" w:hAnsi="Times New Roman"/>
                <w:sz w:val="24"/>
              </w:rPr>
              <w:t> </w:t>
            </w:r>
            <w:r w:rsidRPr="00CB2629">
              <w:rPr>
                <w:rFonts w:ascii="Times New Roman" w:hAnsi="Times New Roman"/>
                <w:sz w:val="24"/>
              </w:rPr>
              <w:t>5, paragrafo</w:t>
            </w:r>
            <w:r w:rsidR="00882B1B" w:rsidRPr="00CB2629">
              <w:rPr>
                <w:rFonts w:ascii="Times New Roman" w:hAnsi="Times New Roman"/>
                <w:sz w:val="24"/>
              </w:rPr>
              <w:t> </w:t>
            </w:r>
            <w:r w:rsidRPr="00CB2629">
              <w:rPr>
                <w:rFonts w:ascii="Times New Roman" w:hAnsi="Times New Roman"/>
                <w:sz w:val="24"/>
              </w:rPr>
              <w:t>8, di tale regolamento.</w:t>
            </w:r>
          </w:p>
        </w:tc>
      </w:tr>
      <w:tr w:rsidR="009D6580" w:rsidRPr="00CB2629" w14:paraId="70A29A85" w14:textId="77777777" w:rsidTr="00822842">
        <w:tc>
          <w:tcPr>
            <w:tcW w:w="1188" w:type="dxa"/>
          </w:tcPr>
          <w:p w14:paraId="5C287489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0132</w:t>
            </w:r>
          </w:p>
        </w:tc>
        <w:tc>
          <w:tcPr>
            <w:tcW w:w="8640" w:type="dxa"/>
          </w:tcPr>
          <w:p w14:paraId="170B9280" w14:textId="77777777" w:rsidR="009D6580" w:rsidRPr="00CB2629" w:rsidRDefault="009D6580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 w:rsidRPr="00CB2629">
              <w:rPr>
                <w:rStyle w:val="InstructionsTabelleberschrift"/>
                <w:rFonts w:ascii="Times New Roman" w:hAnsi="Times New Roman"/>
                <w:sz w:val="24"/>
              </w:rPr>
              <w:t>Organismi di investimento collettivo (OIC)</w:t>
            </w:r>
          </w:p>
          <w:p w14:paraId="4237C58D" w14:textId="17E55A5D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sz w:val="24"/>
              </w:rPr>
              <w:t xml:space="preserve">Articolo 147, paragrafo 2, lettera e1), punto ii),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D6580" w:rsidRPr="00CB2629" w14:paraId="72EBDFDD" w14:textId="77777777" w:rsidTr="00822842">
        <w:tc>
          <w:tcPr>
            <w:tcW w:w="1188" w:type="dxa"/>
          </w:tcPr>
          <w:p w14:paraId="290EDA87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0133</w:t>
            </w:r>
          </w:p>
        </w:tc>
        <w:tc>
          <w:tcPr>
            <w:tcW w:w="8640" w:type="dxa"/>
          </w:tcPr>
          <w:p w14:paraId="39E22A69" w14:textId="77777777" w:rsidR="009D6580" w:rsidRPr="00CB2629" w:rsidRDefault="009D6580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 w:rsidRPr="00CB2629">
              <w:rPr>
                <w:rStyle w:val="InstructionsTabelleberschrift"/>
                <w:rFonts w:ascii="Times New Roman" w:hAnsi="Times New Roman"/>
                <w:sz w:val="24"/>
              </w:rPr>
              <w:t>Metodo look-through</w:t>
            </w:r>
          </w:p>
          <w:p w14:paraId="3481CEEB" w14:textId="77777777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Stessa definizione di cui alla riga 0190 del modello CR IRB</w:t>
            </w:r>
          </w:p>
        </w:tc>
      </w:tr>
      <w:tr w:rsidR="009D6580" w:rsidRPr="00CB2629" w14:paraId="6520599F" w14:textId="77777777" w:rsidTr="00822842">
        <w:tc>
          <w:tcPr>
            <w:tcW w:w="1188" w:type="dxa"/>
          </w:tcPr>
          <w:p w14:paraId="5DF820F6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0134</w:t>
            </w:r>
          </w:p>
        </w:tc>
        <w:tc>
          <w:tcPr>
            <w:tcW w:w="8640" w:type="dxa"/>
          </w:tcPr>
          <w:p w14:paraId="13156AFE" w14:textId="77777777" w:rsidR="009D6580" w:rsidRPr="00CB2629" w:rsidRDefault="009D6580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 w:rsidRPr="00CB2629">
              <w:rPr>
                <w:rStyle w:val="InstructionsTabelleberschrift"/>
                <w:rFonts w:ascii="Times New Roman" w:hAnsi="Times New Roman"/>
                <w:sz w:val="24"/>
              </w:rPr>
              <w:t>Metodo basato sul regolamento di gestione</w:t>
            </w:r>
          </w:p>
          <w:p w14:paraId="37B63BC9" w14:textId="77777777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Stessa definizione di cui alla riga 0200 del modello CR IRB</w:t>
            </w:r>
          </w:p>
        </w:tc>
      </w:tr>
      <w:tr w:rsidR="009D6580" w:rsidRPr="00CB2629" w14:paraId="57B2C532" w14:textId="77777777" w:rsidTr="00882B1B">
        <w:trPr>
          <w:cantSplit/>
        </w:trPr>
        <w:tc>
          <w:tcPr>
            <w:tcW w:w="1188" w:type="dxa"/>
          </w:tcPr>
          <w:p w14:paraId="251B0D2B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lastRenderedPageBreak/>
              <w:t>0135</w:t>
            </w:r>
          </w:p>
        </w:tc>
        <w:tc>
          <w:tcPr>
            <w:tcW w:w="8640" w:type="dxa"/>
          </w:tcPr>
          <w:p w14:paraId="19D4ED63" w14:textId="77777777" w:rsidR="009D6580" w:rsidRPr="00CB2629" w:rsidRDefault="009D6580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 w:rsidRPr="00CB2629">
              <w:rPr>
                <w:rStyle w:val="InstructionsTabelleberschrift"/>
                <w:rFonts w:ascii="Times New Roman" w:hAnsi="Times New Roman"/>
                <w:sz w:val="24"/>
              </w:rPr>
              <w:t>Metodo fall-back</w:t>
            </w:r>
          </w:p>
          <w:p w14:paraId="18A39C60" w14:textId="77777777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Stessa definizione di cui alla riga 0210 del modello CR IRB</w:t>
            </w:r>
          </w:p>
        </w:tc>
      </w:tr>
      <w:bookmarkEnd w:id="3"/>
      <w:tr w:rsidR="009D6580" w:rsidRPr="00CB2629" w14:paraId="09973696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0375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0140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54F62" w14:textId="77777777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Strumenti di capitale</w:t>
            </w:r>
          </w:p>
          <w:p w14:paraId="1A033F11" w14:textId="563EBC3C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sz w:val="24"/>
              </w:rPr>
              <w:t>Esposizioni in strumenti di capitale di cui all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 xml:space="preserve">articolo 147, paragrafo 2, lettera e),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D6580" w:rsidRPr="00CB2629" w14:paraId="6A23B6CC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5CFF1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713EA" w14:textId="77777777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Esposizioni totali</w:t>
            </w:r>
          </w:p>
        </w:tc>
      </w:tr>
    </w:tbl>
    <w:p w14:paraId="77289230" w14:textId="77777777" w:rsidR="009D6580" w:rsidRPr="00CB2629" w:rsidRDefault="009D6580" w:rsidP="009D6580">
      <w:pPr>
        <w:spacing w:before="0" w:after="200" w:line="312" w:lineRule="auto"/>
        <w:jc w:val="left"/>
        <w:rPr>
          <w:rFonts w:ascii="Times New Roman" w:hAnsi="Times New Roman"/>
          <w:sz w:val="24"/>
        </w:rPr>
      </w:pPr>
    </w:p>
    <w:p w14:paraId="6A7D32B9" w14:textId="13E41081" w:rsidR="009D6580" w:rsidRPr="00CB2629" w:rsidRDefault="009D6580" w:rsidP="009D6580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10" w:name="_Toc360188366"/>
      <w:bookmarkStart w:id="11" w:name="_Toc473560917"/>
      <w:bookmarkStart w:id="12" w:name="_Toc151714421"/>
      <w:r w:rsidRPr="00CB2629">
        <w:rPr>
          <w:rFonts w:ascii="Times New Roman" w:hAnsi="Times New Roman"/>
          <w:sz w:val="24"/>
          <w:u w:val="none"/>
        </w:rPr>
        <w:t>3.4.3.</w:t>
      </w:r>
      <w:r w:rsidRPr="00CB2629">
        <w:rPr>
          <w:u w:val="none"/>
        </w:rPr>
        <w:tab/>
      </w:r>
      <w:r w:rsidRPr="00CB2629">
        <w:rPr>
          <w:rFonts w:ascii="Times New Roman" w:hAnsi="Times New Roman"/>
          <w:sz w:val="24"/>
        </w:rPr>
        <w:t>C 09.04 — Ripartizione delle esposizioni creditizie rilevanti ai fini del calcolo della riserva di capitale anticiclica per paese e del coefficiente anticiclico specifico dell</w:t>
      </w:r>
      <w:r w:rsidR="00882B1B" w:rsidRPr="00CB2629">
        <w:rPr>
          <w:rFonts w:ascii="Times New Roman" w:hAnsi="Times New Roman"/>
          <w:sz w:val="24"/>
        </w:rPr>
        <w:t>'</w:t>
      </w:r>
      <w:r w:rsidRPr="00CB2629">
        <w:rPr>
          <w:rFonts w:ascii="Times New Roman" w:hAnsi="Times New Roman"/>
          <w:sz w:val="24"/>
        </w:rPr>
        <w:t>ente (CCB)</w:t>
      </w:r>
      <w:bookmarkEnd w:id="10"/>
      <w:bookmarkEnd w:id="11"/>
      <w:bookmarkEnd w:id="12"/>
    </w:p>
    <w:p w14:paraId="600FC3A3" w14:textId="77777777" w:rsidR="009D6580" w:rsidRPr="00CB2629" w:rsidRDefault="009D6580" w:rsidP="009D6580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13" w:name="_Toc360188367"/>
      <w:bookmarkStart w:id="14" w:name="_Toc473560918"/>
      <w:bookmarkStart w:id="15" w:name="_Toc151714422"/>
      <w:r w:rsidRPr="00CB2629">
        <w:rPr>
          <w:rFonts w:ascii="Times New Roman" w:hAnsi="Times New Roman"/>
          <w:sz w:val="24"/>
          <w:u w:val="none"/>
        </w:rPr>
        <w:t>3.4.3.1.</w:t>
      </w:r>
      <w:r w:rsidRPr="00CB2629">
        <w:rPr>
          <w:u w:val="none"/>
        </w:rPr>
        <w:tab/>
      </w:r>
      <w:r w:rsidRPr="00CB2629">
        <w:rPr>
          <w:rFonts w:ascii="Times New Roman" w:hAnsi="Times New Roman"/>
          <w:sz w:val="24"/>
        </w:rPr>
        <w:t>Osservazioni di carattere generale</w:t>
      </w:r>
      <w:bookmarkEnd w:id="13"/>
      <w:bookmarkEnd w:id="14"/>
      <w:bookmarkEnd w:id="15"/>
    </w:p>
    <w:p w14:paraId="57D13BA6" w14:textId="2C02E4DF" w:rsidR="009D6580" w:rsidRPr="00CB2629" w:rsidRDefault="009D6580" w:rsidP="009D6580">
      <w:pPr>
        <w:pStyle w:val="InstructionsText2"/>
        <w:numPr>
          <w:ilvl w:val="0"/>
          <w:numId w:val="0"/>
        </w:numPr>
        <w:ind w:left="993"/>
      </w:pPr>
      <w:r w:rsidRPr="00CB2629">
        <w:fldChar w:fldCharType="begin"/>
      </w:r>
      <w:r w:rsidRPr="00CB2629">
        <w:instrText>seq paragraphs</w:instrText>
      </w:r>
      <w:r w:rsidRPr="00CB2629">
        <w:fldChar w:fldCharType="separate"/>
      </w:r>
      <w:r w:rsidR="00925032" w:rsidRPr="00CB2629">
        <w:t>1</w:t>
      </w:r>
      <w:r w:rsidRPr="00CB2629">
        <w:fldChar w:fldCharType="end"/>
      </w:r>
      <w:r w:rsidRPr="00CB2629">
        <w:t>.</w:t>
      </w:r>
      <w:r w:rsidRPr="00CB2629">
        <w:tab/>
        <w:t>Questo modello ha lo scopo di raccogliere maggiori informazioni sugli elementi della riserva di capitale anticiclica specifica dell</w:t>
      </w:r>
      <w:r w:rsidR="00882B1B" w:rsidRPr="00CB2629">
        <w:t>'</w:t>
      </w:r>
      <w:r w:rsidRPr="00CB2629">
        <w:t xml:space="preserve">ente. Le informazioni richieste riguardano i requisiti di fondi propri determinati conformemente alla parte tre, titoli II e IV, del regolamento (UE) </w:t>
      </w:r>
      <w:r w:rsidR="00882B1B" w:rsidRPr="00CB2629">
        <w:t>n. </w:t>
      </w:r>
      <w:r w:rsidRPr="00CB2629">
        <w:t>575/2013 e la localizzazione geografica delle esposizioni creditizie, delle esposizioni verso la cartolarizzazione e delle esposizioni inserite nel portafoglio di negoziazione rilevanti per il calcolo della riserva di capitale anticiclica specifica dell</w:t>
      </w:r>
      <w:r w:rsidR="00882B1B" w:rsidRPr="00CB2629">
        <w:t>'</w:t>
      </w:r>
      <w:r w:rsidRPr="00CB2629">
        <w:t>ente (CCB) ai sensi dell</w:t>
      </w:r>
      <w:r w:rsidR="00882B1B" w:rsidRPr="00CB2629">
        <w:t>'</w:t>
      </w:r>
      <w:r w:rsidRPr="00CB2629">
        <w:t xml:space="preserve">articolo 140 della direttiva 2013/36/UE (esposizioni creditizie rilevanti). </w:t>
      </w:r>
    </w:p>
    <w:p w14:paraId="10EA3DAD" w14:textId="2614B037" w:rsidR="009D6580" w:rsidRPr="00CB2629" w:rsidRDefault="009D6580" w:rsidP="009D6580">
      <w:pPr>
        <w:pStyle w:val="InstructionsText2"/>
        <w:numPr>
          <w:ilvl w:val="0"/>
          <w:numId w:val="0"/>
        </w:numPr>
        <w:ind w:left="993"/>
      </w:pPr>
      <w:r w:rsidRPr="00CB2629">
        <w:fldChar w:fldCharType="begin"/>
      </w:r>
      <w:r w:rsidRPr="00CB2629">
        <w:instrText>seq paragraphs</w:instrText>
      </w:r>
      <w:r w:rsidRPr="00CB2629">
        <w:fldChar w:fldCharType="separate"/>
      </w:r>
      <w:r w:rsidR="00925032" w:rsidRPr="00CB2629">
        <w:t>2</w:t>
      </w:r>
      <w:r w:rsidRPr="00CB2629">
        <w:fldChar w:fldCharType="end"/>
      </w:r>
      <w:r w:rsidRPr="00CB2629">
        <w:t>.</w:t>
      </w:r>
      <w:r w:rsidRPr="00CB2629">
        <w:tab/>
        <w:t xml:space="preserve">Le informazioni nel modello C 09.04 sono fornite per il </w:t>
      </w:r>
      <w:r w:rsidR="00882B1B" w:rsidRPr="00CB2629">
        <w:t>"</w:t>
      </w:r>
      <w:r w:rsidRPr="00CB2629">
        <w:t>Totale</w:t>
      </w:r>
      <w:r w:rsidR="00882B1B" w:rsidRPr="00CB2629">
        <w:t>"</w:t>
      </w:r>
      <w:r w:rsidRPr="00CB2629">
        <w:t xml:space="preserve"> delle esposizioni creditizie rilevanti per tutti i paesi in cui dette esposizioni sono localizzate e individualmente per ogni paese in cui sono localizzate le esposizioni creditizie rilevanti. Gli importi complessivi e le informazioni su ciascun paese sono segnalati in una dimensione separata. </w:t>
      </w:r>
    </w:p>
    <w:p w14:paraId="054CDEAF" w14:textId="0A604F29" w:rsidR="009D6580" w:rsidRPr="00CB2629" w:rsidRDefault="009D6580" w:rsidP="009D6580">
      <w:pPr>
        <w:pStyle w:val="InstructionsText2"/>
        <w:numPr>
          <w:ilvl w:val="0"/>
          <w:numId w:val="0"/>
        </w:numPr>
        <w:ind w:left="993"/>
      </w:pPr>
      <w:r w:rsidRPr="00CB2629">
        <w:fldChar w:fldCharType="begin"/>
      </w:r>
      <w:r w:rsidRPr="00CB2629">
        <w:instrText>seq paragraphs</w:instrText>
      </w:r>
      <w:r w:rsidRPr="00CB2629">
        <w:fldChar w:fldCharType="separate"/>
      </w:r>
      <w:r w:rsidR="00925032" w:rsidRPr="00CB2629">
        <w:t>3</w:t>
      </w:r>
      <w:r w:rsidRPr="00CB2629">
        <w:fldChar w:fldCharType="end"/>
      </w:r>
      <w:r w:rsidRPr="00CB2629">
        <w:t>.</w:t>
      </w:r>
      <w:r w:rsidRPr="00CB2629">
        <w:tab/>
        <w:t>La soglia di cui all</w:t>
      </w:r>
      <w:r w:rsidR="00882B1B" w:rsidRPr="00CB2629">
        <w:t>'</w:t>
      </w:r>
      <w:r w:rsidRPr="00CB2629">
        <w:t>articolo</w:t>
      </w:r>
      <w:r w:rsidR="00882B1B" w:rsidRPr="00CB2629">
        <w:t> </w:t>
      </w:r>
      <w:r w:rsidRPr="00CB2629">
        <w:t>5, paragrafo</w:t>
      </w:r>
      <w:r w:rsidR="00882B1B" w:rsidRPr="00CB2629">
        <w:t> </w:t>
      </w:r>
      <w:r w:rsidRPr="00CB2629">
        <w:t>5, del presente regolamento di esecuzione non è rilevante ai fini della segnalazione di questa ripartizione.</w:t>
      </w:r>
    </w:p>
    <w:bookmarkStart w:id="16" w:name="_Hlk151650982"/>
    <w:p w14:paraId="710781F7" w14:textId="6FD78E73" w:rsidR="009D6580" w:rsidRPr="00CB2629" w:rsidRDefault="009D6580" w:rsidP="009D6580">
      <w:pPr>
        <w:pStyle w:val="InstructionsText2"/>
        <w:numPr>
          <w:ilvl w:val="0"/>
          <w:numId w:val="0"/>
        </w:numPr>
        <w:ind w:left="993"/>
      </w:pPr>
      <w:r w:rsidRPr="00CB2629">
        <w:fldChar w:fldCharType="begin"/>
      </w:r>
      <w:r w:rsidRPr="00CB2629">
        <w:instrText>seq paragraphs</w:instrText>
      </w:r>
      <w:r w:rsidRPr="00CB2629">
        <w:fldChar w:fldCharType="separate"/>
      </w:r>
      <w:r w:rsidR="00925032" w:rsidRPr="00CB2629">
        <w:t>4</w:t>
      </w:r>
      <w:r w:rsidRPr="00CB2629">
        <w:fldChar w:fldCharType="end"/>
      </w:r>
      <w:r w:rsidRPr="00CB2629">
        <w:t>.</w:t>
      </w:r>
      <w:r w:rsidRPr="00CB2629">
        <w:tab/>
        <w:t xml:space="preserve">Per determinare la localizzazione geografica le esposizioni sono assegnate sulla base del debitore diretto, come disposto dal regolamento delegato (UE) </w:t>
      </w:r>
      <w:r w:rsidR="00882B1B" w:rsidRPr="00CB2629">
        <w:t>n. </w:t>
      </w:r>
      <w:r w:rsidRPr="00CB2629">
        <w:t>1152/2014 della Commissione</w:t>
      </w:r>
      <w:r w:rsidRPr="00CB2629">
        <w:footnoteReference w:id="1"/>
      </w:r>
      <w:r w:rsidRPr="00CB2629">
        <w:t xml:space="preserve">. </w:t>
      </w:r>
      <w:proofErr w:type="gramStart"/>
      <w:r w:rsidRPr="00CB2629">
        <w:t>Pertanto</w:t>
      </w:r>
      <w:proofErr w:type="gramEnd"/>
      <w:r w:rsidRPr="00CB2629">
        <w:t xml:space="preserve"> le tecniche di attenuazione del rischio di credito (CRM) non mutano l</w:t>
      </w:r>
      <w:r w:rsidR="00882B1B" w:rsidRPr="00CB2629">
        <w:t>'</w:t>
      </w:r>
      <w:r w:rsidRPr="00CB2629">
        <w:t>attribuzione di un</w:t>
      </w:r>
      <w:r w:rsidR="00882B1B" w:rsidRPr="00CB2629">
        <w:t>'</w:t>
      </w:r>
      <w:r w:rsidRPr="00CB2629">
        <w:t>esposizione alla sua localizzazione geografica ai fini della segnalazione delle informazioni di cui a questo modello.</w:t>
      </w:r>
    </w:p>
    <w:p w14:paraId="4811C8E1" w14:textId="77777777" w:rsidR="009D6580" w:rsidRPr="00CB2629" w:rsidRDefault="009D6580" w:rsidP="00882B1B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17" w:name="_Toc360188368"/>
      <w:bookmarkStart w:id="18" w:name="_Toc473560919"/>
      <w:bookmarkStart w:id="19" w:name="_Toc151714423"/>
      <w:bookmarkEnd w:id="16"/>
      <w:r w:rsidRPr="00CB2629">
        <w:rPr>
          <w:rFonts w:ascii="Times New Roman" w:hAnsi="Times New Roman"/>
          <w:sz w:val="24"/>
          <w:u w:val="none"/>
        </w:rPr>
        <w:lastRenderedPageBreak/>
        <w:t>3.4.3.2.</w:t>
      </w:r>
      <w:r w:rsidRPr="00CB2629">
        <w:rPr>
          <w:u w:val="none"/>
        </w:rPr>
        <w:tab/>
      </w:r>
      <w:r w:rsidRPr="00CB2629">
        <w:rPr>
          <w:rFonts w:ascii="Times New Roman" w:hAnsi="Times New Roman"/>
          <w:sz w:val="24"/>
        </w:rPr>
        <w:t>Istruzioni relative a posizioni specifiche</w:t>
      </w:r>
      <w:bookmarkEnd w:id="17"/>
      <w:bookmarkEnd w:id="18"/>
      <w:bookmarkEnd w:id="19"/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7"/>
        <w:gridCol w:w="8131"/>
      </w:tblGrid>
      <w:tr w:rsidR="009D6580" w:rsidRPr="00CB2629" w14:paraId="091A9B1D" w14:textId="77777777" w:rsidTr="00822842">
        <w:tc>
          <w:tcPr>
            <w:tcW w:w="1697" w:type="dxa"/>
            <w:shd w:val="clear" w:color="auto" w:fill="CCCCCC"/>
          </w:tcPr>
          <w:p w14:paraId="6D544C28" w14:textId="77777777" w:rsidR="009D6580" w:rsidRPr="00CB2629" w:rsidRDefault="009D6580" w:rsidP="00882B1B">
            <w:pPr>
              <w:keepNext/>
              <w:rPr>
                <w:rFonts w:ascii="Times New Roman" w:hAnsi="Times New Roman"/>
                <w:b/>
                <w:sz w:val="24"/>
              </w:rPr>
            </w:pPr>
            <w:r w:rsidRPr="00CB2629">
              <w:rPr>
                <w:rFonts w:ascii="Times New Roman" w:hAnsi="Times New Roman"/>
                <w:b/>
                <w:sz w:val="24"/>
              </w:rPr>
              <w:t>Colonne</w:t>
            </w:r>
          </w:p>
        </w:tc>
        <w:tc>
          <w:tcPr>
            <w:tcW w:w="8131" w:type="dxa"/>
            <w:shd w:val="clear" w:color="auto" w:fill="CCCCCC"/>
          </w:tcPr>
          <w:p w14:paraId="55FA945D" w14:textId="77777777" w:rsidR="009D6580" w:rsidRPr="00CB2629" w:rsidRDefault="009D6580" w:rsidP="00882B1B">
            <w:pPr>
              <w:keepNext/>
              <w:ind w:left="72"/>
              <w:rPr>
                <w:rFonts w:ascii="Times New Roman" w:hAnsi="Times New Roman"/>
                <w:sz w:val="24"/>
              </w:rPr>
            </w:pPr>
          </w:p>
        </w:tc>
      </w:tr>
      <w:tr w:rsidR="009D6580" w:rsidRPr="00CB2629" w14:paraId="6B14BCBD" w14:textId="77777777" w:rsidTr="00822842">
        <w:tc>
          <w:tcPr>
            <w:tcW w:w="1697" w:type="dxa"/>
          </w:tcPr>
          <w:p w14:paraId="5CBD6D84" w14:textId="77777777" w:rsidR="009D6580" w:rsidRPr="00CB2629" w:rsidRDefault="009D6580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131" w:type="dxa"/>
          </w:tcPr>
          <w:p w14:paraId="6A1F53D1" w14:textId="77777777" w:rsidR="009D6580" w:rsidRPr="00CB2629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Importo</w:t>
            </w:r>
          </w:p>
          <w:p w14:paraId="4EDF6439" w14:textId="77777777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sz w:val="24"/>
              </w:rPr>
              <w:t>Il valore delle esposizioni creditizie rilevanti e i requisiti di fondi propri associati determinati conformemente alle istruzioni relative alla rispettiva riga.</w:t>
            </w:r>
          </w:p>
        </w:tc>
      </w:tr>
      <w:tr w:rsidR="009D6580" w:rsidRPr="00CB2629" w14:paraId="29BB3D71" w14:textId="77777777" w:rsidTr="00822842">
        <w:tc>
          <w:tcPr>
            <w:tcW w:w="1697" w:type="dxa"/>
          </w:tcPr>
          <w:p w14:paraId="15999D4B" w14:textId="77777777" w:rsidR="009D6580" w:rsidRPr="00CB2629" w:rsidRDefault="009D6580" w:rsidP="00822842">
            <w:pPr>
              <w:rPr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131" w:type="dxa"/>
          </w:tcPr>
          <w:p w14:paraId="4133F8D3" w14:textId="77777777" w:rsidR="009D6580" w:rsidRPr="00CB2629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Percentuale</w:t>
            </w:r>
          </w:p>
          <w:p w14:paraId="01DD816F" w14:textId="77777777" w:rsidR="009D6580" w:rsidRPr="00CB2629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</w:tc>
      </w:tr>
      <w:tr w:rsidR="009D6580" w:rsidRPr="00CB2629" w14:paraId="2A8BD3C1" w14:textId="77777777" w:rsidTr="00822842">
        <w:tc>
          <w:tcPr>
            <w:tcW w:w="1697" w:type="dxa"/>
          </w:tcPr>
          <w:p w14:paraId="0F30E1C9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131" w:type="dxa"/>
          </w:tcPr>
          <w:p w14:paraId="61529C4E" w14:textId="77777777" w:rsidR="009D6580" w:rsidRPr="00CB2629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Informazioni qualitative</w:t>
            </w:r>
          </w:p>
          <w:p w14:paraId="394356B2" w14:textId="4929F04C" w:rsidR="009D6580" w:rsidRPr="00CB2629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Queste informazioni sono segnalate solo per il paese di residenza dell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 xml:space="preserve">ente (la giurisdizione corrispondente al suo Stato membro di origine) e per il </w:t>
            </w:r>
            <w:r w:rsidR="00882B1B" w:rsidRPr="00CB2629">
              <w:rPr>
                <w:rFonts w:ascii="Times New Roman" w:hAnsi="Times New Roman"/>
                <w:sz w:val="24"/>
              </w:rPr>
              <w:t>"</w:t>
            </w:r>
            <w:r w:rsidRPr="00CB2629">
              <w:rPr>
                <w:rFonts w:ascii="Times New Roman" w:hAnsi="Times New Roman"/>
                <w:sz w:val="24"/>
              </w:rPr>
              <w:t>Totale</w:t>
            </w:r>
            <w:r w:rsidR="00882B1B" w:rsidRPr="00CB2629">
              <w:rPr>
                <w:rFonts w:ascii="Times New Roman" w:hAnsi="Times New Roman"/>
                <w:sz w:val="24"/>
              </w:rPr>
              <w:t>"</w:t>
            </w:r>
            <w:r w:rsidRPr="00CB2629">
              <w:rPr>
                <w:rFonts w:ascii="Times New Roman" w:hAnsi="Times New Roman"/>
                <w:sz w:val="24"/>
              </w:rPr>
              <w:t xml:space="preserve"> di tutti i paesi. </w:t>
            </w:r>
          </w:p>
          <w:p w14:paraId="6761B5E4" w14:textId="77777777" w:rsidR="009D6580" w:rsidRPr="00CB2629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sz w:val="24"/>
              </w:rPr>
              <w:t>Gli enti indicano {s} o {n} conformemente alle istruzioni relative alla pertinente riga.</w:t>
            </w:r>
          </w:p>
        </w:tc>
      </w:tr>
    </w:tbl>
    <w:p w14:paraId="51476A7B" w14:textId="77777777" w:rsidR="009D6580" w:rsidRPr="00CB2629" w:rsidRDefault="009D6580" w:rsidP="009D6580">
      <w:pPr>
        <w:pStyle w:val="InstructionsText"/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7"/>
        <w:gridCol w:w="8131"/>
      </w:tblGrid>
      <w:tr w:rsidR="009D6580" w:rsidRPr="00CB2629" w14:paraId="09F6A5AE" w14:textId="77777777" w:rsidTr="00822842">
        <w:tc>
          <w:tcPr>
            <w:tcW w:w="1697" w:type="dxa"/>
            <w:shd w:val="clear" w:color="auto" w:fill="CCCCCC"/>
          </w:tcPr>
          <w:p w14:paraId="3BCCC295" w14:textId="77777777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</w:rPr>
            </w:pPr>
            <w:r w:rsidRPr="00CB2629">
              <w:rPr>
                <w:rFonts w:ascii="Times New Roman" w:hAnsi="Times New Roman"/>
                <w:b/>
                <w:sz w:val="24"/>
              </w:rPr>
              <w:t>Righe</w:t>
            </w:r>
          </w:p>
        </w:tc>
        <w:tc>
          <w:tcPr>
            <w:tcW w:w="8131" w:type="dxa"/>
            <w:shd w:val="clear" w:color="auto" w:fill="CCCCCC"/>
          </w:tcPr>
          <w:p w14:paraId="39519610" w14:textId="77777777" w:rsidR="009D6580" w:rsidRPr="00CB2629" w:rsidRDefault="009D6580" w:rsidP="00822842">
            <w:pPr>
              <w:ind w:left="72"/>
              <w:rPr>
                <w:rFonts w:ascii="Times New Roman" w:hAnsi="Times New Roman"/>
                <w:sz w:val="24"/>
              </w:rPr>
            </w:pPr>
          </w:p>
        </w:tc>
      </w:tr>
      <w:tr w:rsidR="009D6580" w:rsidRPr="00CB2629" w14:paraId="70661EF5" w14:textId="77777777" w:rsidTr="00822842">
        <w:tc>
          <w:tcPr>
            <w:tcW w:w="1697" w:type="dxa"/>
          </w:tcPr>
          <w:p w14:paraId="563EAAB9" w14:textId="77777777" w:rsidR="009D6580" w:rsidRPr="00CB2629" w:rsidRDefault="009D6580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0010-0020</w:t>
            </w:r>
          </w:p>
        </w:tc>
        <w:tc>
          <w:tcPr>
            <w:tcW w:w="8131" w:type="dxa"/>
          </w:tcPr>
          <w:p w14:paraId="3D2862FC" w14:textId="77777777" w:rsidR="009D6580" w:rsidRPr="00CB2629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Esposizioni creditizie rilevanti — Rischio di credito</w:t>
            </w:r>
          </w:p>
          <w:p w14:paraId="516A26FA" w14:textId="7F8AEDEF" w:rsidR="009D6580" w:rsidRPr="00CB2629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sz w:val="24"/>
              </w:rPr>
              <w:t>Esposizioni creditizie rilevanti di cui all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>articolo 140, paragrafo 4, lettera a), della direttiva 2013/36/UE.</w:t>
            </w:r>
          </w:p>
        </w:tc>
      </w:tr>
      <w:tr w:rsidR="009D6580" w:rsidRPr="00CB2629" w14:paraId="527A1F7E" w14:textId="77777777" w:rsidTr="00822842">
        <w:tc>
          <w:tcPr>
            <w:tcW w:w="1697" w:type="dxa"/>
          </w:tcPr>
          <w:p w14:paraId="18BE8A8D" w14:textId="77777777" w:rsidR="009D6580" w:rsidRPr="00CB2629" w:rsidRDefault="009D6580" w:rsidP="00822842">
            <w:pPr>
              <w:rPr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131" w:type="dxa"/>
          </w:tcPr>
          <w:p w14:paraId="60D60C47" w14:textId="4491CCA2" w:rsidR="009D6580" w:rsidRPr="00CB2629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Valore dell</w:t>
            </w:r>
            <w:r w:rsidR="00882B1B" w:rsidRPr="00CB2629">
              <w:rPr>
                <w:rFonts w:ascii="Times New Roman" w:hAnsi="Times New Roman"/>
                <w:b/>
                <w:sz w:val="24"/>
                <w:u w:val="single"/>
              </w:rPr>
              <w:t>'</w:t>
            </w: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esposizione secondo il metodo standardizzato</w:t>
            </w:r>
          </w:p>
          <w:p w14:paraId="0EA1DD75" w14:textId="4BEFA2AF" w:rsidR="009D6580" w:rsidRPr="00CB2629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Valore dell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>esposizione calcolato conformemente all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 xml:space="preserve">articolo 111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 per le esposizioni creditizie rilevanti di cui all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 xml:space="preserve">articolo 140, paragrafo 4, lettera a), della direttiva 2013/36/UE. </w:t>
            </w:r>
          </w:p>
          <w:p w14:paraId="72B986ED" w14:textId="0A6E1028" w:rsidR="009D6580" w:rsidRPr="00CB2629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sz w:val="24"/>
              </w:rPr>
              <w:t>Il valore dell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>esposizione delle posizioni verso la cartolarizzazione nel portafoglio bancario non è indicato in questa riga bensì nella riga 0055.</w:t>
            </w:r>
          </w:p>
        </w:tc>
      </w:tr>
      <w:tr w:rsidR="009D6580" w:rsidRPr="00CB2629" w14:paraId="367F78C6" w14:textId="77777777" w:rsidTr="00822842">
        <w:tc>
          <w:tcPr>
            <w:tcW w:w="1697" w:type="dxa"/>
          </w:tcPr>
          <w:p w14:paraId="3217061B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131" w:type="dxa"/>
          </w:tcPr>
          <w:p w14:paraId="385211C6" w14:textId="1BE85C99" w:rsidR="009D6580" w:rsidRPr="00CB2629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Valore dell</w:t>
            </w:r>
            <w:r w:rsidR="00882B1B" w:rsidRPr="00CB2629">
              <w:rPr>
                <w:rFonts w:ascii="Times New Roman" w:hAnsi="Times New Roman"/>
                <w:b/>
                <w:sz w:val="24"/>
                <w:u w:val="single"/>
              </w:rPr>
              <w:t>'</w:t>
            </w: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esposizione secondo il metodo IRB</w:t>
            </w:r>
          </w:p>
          <w:p w14:paraId="3F80BC36" w14:textId="2D8785AE" w:rsidR="009D6580" w:rsidRPr="00CB2629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Valore dell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>esposizione calcolato conformemente all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 xml:space="preserve">articolo 166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 per le esposizioni creditizie rilevanti di cui all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 xml:space="preserve">articolo 140, paragrafo 4, lettera a), della direttiva 2013/36/UE. </w:t>
            </w:r>
          </w:p>
          <w:p w14:paraId="48C130F1" w14:textId="7773B9DD" w:rsidR="009D6580" w:rsidRPr="00CB2629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sz w:val="24"/>
              </w:rPr>
              <w:t>Il valore dell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>esposizione delle posizioni verso la cartolarizzazione nel portafoglio bancario non è indicato in questa riga bensì nella riga 0055.</w:t>
            </w:r>
          </w:p>
        </w:tc>
      </w:tr>
      <w:tr w:rsidR="009D6580" w:rsidRPr="00CB2629" w14:paraId="613420F2" w14:textId="77777777" w:rsidTr="00822842">
        <w:tc>
          <w:tcPr>
            <w:tcW w:w="1697" w:type="dxa"/>
          </w:tcPr>
          <w:p w14:paraId="53491AFF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0030-0040</w:t>
            </w:r>
          </w:p>
        </w:tc>
        <w:tc>
          <w:tcPr>
            <w:tcW w:w="8131" w:type="dxa"/>
          </w:tcPr>
          <w:p w14:paraId="369D8506" w14:textId="77777777" w:rsidR="009D6580" w:rsidRPr="00CB2629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Esposizioni creditizie rilevanti — Rischio di mercato</w:t>
            </w:r>
          </w:p>
          <w:p w14:paraId="54050F98" w14:textId="11758ECD" w:rsidR="009D6580" w:rsidRPr="00CB2629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sz w:val="24"/>
              </w:rPr>
              <w:t>Esposizioni creditizie rilevanti di cui all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>articolo 140, paragrafo 4, lettera b), della direttiva 2013/36/UE</w:t>
            </w:r>
          </w:p>
        </w:tc>
      </w:tr>
      <w:tr w:rsidR="009D6580" w:rsidRPr="00CB2629" w14:paraId="670769C5" w14:textId="77777777" w:rsidTr="00A6372B">
        <w:trPr>
          <w:cantSplit/>
        </w:trPr>
        <w:tc>
          <w:tcPr>
            <w:tcW w:w="1697" w:type="dxa"/>
          </w:tcPr>
          <w:p w14:paraId="27E0BEE1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lastRenderedPageBreak/>
              <w:t>0030</w:t>
            </w:r>
          </w:p>
        </w:tc>
        <w:tc>
          <w:tcPr>
            <w:tcW w:w="8131" w:type="dxa"/>
          </w:tcPr>
          <w:p w14:paraId="740784D8" w14:textId="77777777" w:rsidR="009D6580" w:rsidRPr="00CB2629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Somma delle posizioni lunghe e corte in esposizioni nel portafoglio di negoziazione secondo il metodo standardizzato</w:t>
            </w:r>
          </w:p>
          <w:p w14:paraId="5F803AC4" w14:textId="7E08C0B5" w:rsidR="009D6580" w:rsidRPr="00CB2629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Somma delle posizioni lunghe nette e corte nette ai sensi dell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 xml:space="preserve">articolo 327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 delle esposizioni creditizie rilevanti di cui all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 xml:space="preserve">articolo 140, paragrafo 4, lettera b), della direttiva 2013/36/UE soggette a requisiti di fondi propri a norma della parte tre, titolo IV, capo 2,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 xml:space="preserve">575/2013: </w:t>
            </w:r>
          </w:p>
          <w:p w14:paraId="555B6B69" w14:textId="77777777" w:rsidR="009D6580" w:rsidRPr="00CB2629" w:rsidRDefault="009D6580" w:rsidP="00822842">
            <w:pPr>
              <w:autoSpaceDE w:val="0"/>
              <w:autoSpaceDN w:val="0"/>
              <w:adjustRightInd w:val="0"/>
              <w:ind w:left="357" w:hanging="357"/>
              <w:contextualSpacing/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-</w:t>
            </w:r>
            <w:r w:rsidRPr="00CB2629">
              <w:tab/>
            </w:r>
            <w:r w:rsidRPr="00CB2629">
              <w:rPr>
                <w:rFonts w:ascii="Times New Roman" w:hAnsi="Times New Roman"/>
                <w:sz w:val="24"/>
              </w:rPr>
              <w:t>esposizioni verso strumenti di debito diversi dalla cartolarizzazione;</w:t>
            </w:r>
          </w:p>
          <w:p w14:paraId="2F347ECD" w14:textId="77777777" w:rsidR="009D6580" w:rsidRPr="00CB2629" w:rsidRDefault="009D6580" w:rsidP="00822842">
            <w:pPr>
              <w:autoSpaceDE w:val="0"/>
              <w:autoSpaceDN w:val="0"/>
              <w:adjustRightInd w:val="0"/>
              <w:ind w:left="357" w:hanging="357"/>
              <w:contextualSpacing/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-</w:t>
            </w:r>
            <w:r w:rsidRPr="00CB2629">
              <w:tab/>
            </w:r>
            <w:r w:rsidRPr="00CB2629">
              <w:rPr>
                <w:rFonts w:ascii="Times New Roman" w:hAnsi="Times New Roman"/>
                <w:sz w:val="24"/>
              </w:rPr>
              <w:t>esposizioni verso posizioni verso la cartolarizzazione nel portafoglio di negoziazione;</w:t>
            </w:r>
          </w:p>
          <w:p w14:paraId="0BF14848" w14:textId="77777777" w:rsidR="009D6580" w:rsidRPr="00CB2629" w:rsidRDefault="009D6580" w:rsidP="00822842">
            <w:pPr>
              <w:autoSpaceDE w:val="0"/>
              <w:autoSpaceDN w:val="0"/>
              <w:adjustRightInd w:val="0"/>
              <w:ind w:left="357" w:hanging="357"/>
              <w:contextualSpacing/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-</w:t>
            </w:r>
            <w:r w:rsidRPr="00CB2629">
              <w:tab/>
            </w:r>
            <w:r w:rsidRPr="00CB2629">
              <w:rPr>
                <w:rFonts w:ascii="Times New Roman" w:hAnsi="Times New Roman"/>
                <w:sz w:val="24"/>
              </w:rPr>
              <w:t>esposizioni verso portafogli di negoziazione di correlazione;</w:t>
            </w:r>
          </w:p>
          <w:p w14:paraId="426EA269" w14:textId="77777777" w:rsidR="009D6580" w:rsidRPr="00CB2629" w:rsidRDefault="009D6580" w:rsidP="00822842">
            <w:pPr>
              <w:autoSpaceDE w:val="0"/>
              <w:autoSpaceDN w:val="0"/>
              <w:adjustRightInd w:val="0"/>
              <w:ind w:left="357" w:hanging="357"/>
              <w:contextualSpacing/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-</w:t>
            </w:r>
            <w:r w:rsidRPr="00CB2629">
              <w:tab/>
            </w:r>
            <w:r w:rsidRPr="00CB2629">
              <w:rPr>
                <w:rFonts w:ascii="Times New Roman" w:hAnsi="Times New Roman"/>
                <w:sz w:val="24"/>
              </w:rPr>
              <w:t>esposizioni verso titoli di capitale;</w:t>
            </w:r>
          </w:p>
          <w:p w14:paraId="29596F16" w14:textId="18148AB8" w:rsidR="009D6580" w:rsidRPr="00CB2629" w:rsidRDefault="009D6580" w:rsidP="00822842">
            <w:pPr>
              <w:autoSpaceDE w:val="0"/>
              <w:autoSpaceDN w:val="0"/>
              <w:adjustRightInd w:val="0"/>
              <w:ind w:left="357" w:hanging="357"/>
              <w:contextualSpacing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sz w:val="24"/>
              </w:rPr>
              <w:t>-</w:t>
            </w:r>
            <w:r w:rsidRPr="00CB2629">
              <w:tab/>
            </w:r>
            <w:r w:rsidRPr="00CB2629">
              <w:rPr>
                <w:rFonts w:ascii="Times New Roman" w:hAnsi="Times New Roman"/>
                <w:sz w:val="24"/>
              </w:rPr>
              <w:t>esposizioni verso OIC se i requisiti patrimoniali sono calcolati conformemente all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 xml:space="preserve">articolo 348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9D6580" w:rsidRPr="00CB2629" w14:paraId="1B5F6FE5" w14:textId="77777777" w:rsidTr="00822842">
        <w:tc>
          <w:tcPr>
            <w:tcW w:w="1697" w:type="dxa"/>
          </w:tcPr>
          <w:p w14:paraId="22718F0C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8131" w:type="dxa"/>
          </w:tcPr>
          <w:p w14:paraId="79898916" w14:textId="77777777" w:rsidR="009D6580" w:rsidRPr="00CB2629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Valore delle esposizioni nel portafoglio di negoziazione secondo i modelli interni</w:t>
            </w:r>
          </w:p>
          <w:p w14:paraId="2C5D0701" w14:textId="7CE9EEE5" w:rsidR="009D6580" w:rsidRPr="00CB2629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Per le esposizioni creditizie rilevanti di cui all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 xml:space="preserve">articolo 140, paragrafo 4, lettera b), della direttiva 2013/36/UE soggette a requisiti di fondi propri a norma della parte tre, titolo IV, capi 2 e 5,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575/2013, segnalare la somma dei seguenti elementi:</w:t>
            </w:r>
          </w:p>
          <w:p w14:paraId="07E28E81" w14:textId="5B2D2571" w:rsidR="009D6580" w:rsidRPr="00CB2629" w:rsidRDefault="009D6580" w:rsidP="00822842">
            <w:pPr>
              <w:autoSpaceDE w:val="0"/>
              <w:autoSpaceDN w:val="0"/>
              <w:adjustRightInd w:val="0"/>
              <w:ind w:left="357" w:hanging="357"/>
              <w:contextualSpacing/>
              <w:rPr>
                <w:rFonts w:ascii="Times New Roman" w:hAnsi="Times New Roman"/>
                <w:sz w:val="24"/>
              </w:rPr>
            </w:pPr>
            <w:r w:rsidRPr="00CB2629">
              <w:rPr>
                <w:rFonts w:ascii="Calibri" w:hAnsi="Calibri"/>
                <w:sz w:val="24"/>
              </w:rPr>
              <w:t>-</w:t>
            </w:r>
            <w:r w:rsidRPr="00CB2629">
              <w:tab/>
            </w:r>
            <w:r w:rsidRPr="00CB2629">
              <w:rPr>
                <w:rFonts w:ascii="Times New Roman" w:hAnsi="Times New Roman"/>
                <w:sz w:val="24"/>
              </w:rPr>
              <w:t>il fair value (valore equo) delle posizioni non in derivati che rappresentano esposizioni creditizie rilevanti di cui all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>articolo 140, paragrafo 4, lettera b), della direttiva 2013/36/UE determinate conformemente all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 xml:space="preserve">articolo 104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575/2013;</w:t>
            </w:r>
          </w:p>
          <w:p w14:paraId="198195E0" w14:textId="484D2920" w:rsidR="009D6580" w:rsidRPr="00CB2629" w:rsidRDefault="009D6580" w:rsidP="00822842">
            <w:pPr>
              <w:autoSpaceDE w:val="0"/>
              <w:autoSpaceDN w:val="0"/>
              <w:adjustRightInd w:val="0"/>
              <w:ind w:left="357" w:hanging="357"/>
              <w:contextualSpacing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CB2629">
              <w:rPr>
                <w:rFonts w:ascii="Calibri" w:hAnsi="Calibri"/>
                <w:sz w:val="24"/>
              </w:rPr>
              <w:t>-</w:t>
            </w:r>
            <w:r w:rsidRPr="00CB2629">
              <w:tab/>
            </w:r>
            <w:r w:rsidRPr="00CB2629">
              <w:rPr>
                <w:rFonts w:ascii="Times New Roman" w:hAnsi="Times New Roman"/>
                <w:sz w:val="24"/>
              </w:rPr>
              <w:t>il valore nozionale dei derivati che rappresentano esposizioni creditizie rilevanti di cui all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>articolo 140, paragrafo 4, lettera b), della direttiva 2013/36/UE.</w:t>
            </w:r>
          </w:p>
        </w:tc>
      </w:tr>
      <w:tr w:rsidR="009D6580" w:rsidRPr="00CB2629" w14:paraId="6BA1E71E" w14:textId="77777777" w:rsidTr="00822842">
        <w:tc>
          <w:tcPr>
            <w:tcW w:w="1697" w:type="dxa"/>
          </w:tcPr>
          <w:p w14:paraId="37545C8A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0055</w:t>
            </w:r>
          </w:p>
        </w:tc>
        <w:tc>
          <w:tcPr>
            <w:tcW w:w="8131" w:type="dxa"/>
          </w:tcPr>
          <w:p w14:paraId="3A6EE463" w14:textId="77777777" w:rsidR="009D6580" w:rsidRPr="00CB2629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Esposizioni creditizie rilevanti — Posizioni verso la cartolarizzazione nel portafoglio bancario</w:t>
            </w:r>
          </w:p>
          <w:p w14:paraId="4B3C8407" w14:textId="66AA4F0A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Valore dell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>esposizione calcolato conformemente all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 xml:space="preserve">articolo 248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 per le esposizioni creditizie rilevanti di cui all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>articolo 140, paragrafo 4, lettera c), della direttiva 2013/36/UE.</w:t>
            </w:r>
          </w:p>
        </w:tc>
      </w:tr>
      <w:tr w:rsidR="009D6580" w:rsidRPr="00CB2629" w14:paraId="2A6651FC" w14:textId="77777777" w:rsidTr="00822842">
        <w:tc>
          <w:tcPr>
            <w:tcW w:w="1697" w:type="dxa"/>
          </w:tcPr>
          <w:p w14:paraId="3D2C5D4A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0070-0110</w:t>
            </w:r>
          </w:p>
        </w:tc>
        <w:tc>
          <w:tcPr>
            <w:tcW w:w="8131" w:type="dxa"/>
          </w:tcPr>
          <w:p w14:paraId="6A03AF3B" w14:textId="77777777" w:rsidR="009D6580" w:rsidRPr="00CB2629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Requisiti di fondi propri e fattori di ponderazione</w:t>
            </w:r>
          </w:p>
        </w:tc>
      </w:tr>
      <w:tr w:rsidR="009D6580" w:rsidRPr="00CB2629" w14:paraId="5C042A5F" w14:textId="77777777" w:rsidTr="00822842">
        <w:tc>
          <w:tcPr>
            <w:tcW w:w="1697" w:type="dxa"/>
          </w:tcPr>
          <w:p w14:paraId="32640B70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131" w:type="dxa"/>
          </w:tcPr>
          <w:p w14:paraId="431787D4" w14:textId="77777777" w:rsidR="009D6580" w:rsidRPr="00CB2629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Requisiti di fondi propri totali per CCB</w:t>
            </w:r>
          </w:p>
          <w:p w14:paraId="78C29612" w14:textId="77777777" w:rsidR="009D6580" w:rsidRPr="00CB2629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sz w:val="24"/>
              </w:rPr>
              <w:t>La somma delle righe 0080, 0090 e 0100.</w:t>
            </w:r>
          </w:p>
        </w:tc>
      </w:tr>
      <w:tr w:rsidR="009D6580" w:rsidRPr="00CB2629" w14:paraId="7D74E37B" w14:textId="77777777" w:rsidTr="00822842">
        <w:tc>
          <w:tcPr>
            <w:tcW w:w="1697" w:type="dxa"/>
          </w:tcPr>
          <w:p w14:paraId="26DA65D7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131" w:type="dxa"/>
          </w:tcPr>
          <w:p w14:paraId="2381AF17" w14:textId="77777777" w:rsidR="009D6580" w:rsidRPr="00CB2629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 xml:space="preserve">Requisiti di fondi propri per le esposizioni creditizie rilevanti — Rischio di credito </w:t>
            </w:r>
          </w:p>
          <w:p w14:paraId="4126D1DC" w14:textId="5F0B50C6" w:rsidR="009D6580" w:rsidRPr="00CB2629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 xml:space="preserve">Requisiti di fondi propri calcolati conformemente alla parte tre, titolo II, capi da 1 a 4 e capo 6,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 per le esposizioni creditizie rilevanti di cui all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>articolo 140, paragrafo 4, lettera a), della direttiva 2013/36/UE nel paese in questione.</w:t>
            </w:r>
          </w:p>
          <w:p w14:paraId="094DA9DC" w14:textId="77777777" w:rsidR="009D6580" w:rsidRPr="00CB2629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I requisiti di fondi propri per le posizioni verso la cartolarizzazione nel portafoglio bancario non sono indicati in questa riga bensì nella riga 0100.</w:t>
            </w:r>
          </w:p>
          <w:p w14:paraId="037A1499" w14:textId="77CA4481" w:rsidR="009D6580" w:rsidRPr="00CB2629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sz w:val="24"/>
              </w:rPr>
              <w:lastRenderedPageBreak/>
              <w:t>I requisiti di fondi propri sono pari all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>8 % dell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>importo dell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 xml:space="preserve">esposizione ponderato per il rischio determinato ai sensi della parte tre, titolo II, capi da 1 a 4 e capo 6,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9D6580" w:rsidRPr="00CB2629" w14:paraId="6CE5DB0E" w14:textId="77777777" w:rsidTr="00822842">
        <w:tc>
          <w:tcPr>
            <w:tcW w:w="1697" w:type="dxa"/>
          </w:tcPr>
          <w:p w14:paraId="0847E4D7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lastRenderedPageBreak/>
              <w:t>0090</w:t>
            </w:r>
          </w:p>
        </w:tc>
        <w:tc>
          <w:tcPr>
            <w:tcW w:w="8131" w:type="dxa"/>
          </w:tcPr>
          <w:p w14:paraId="4922C906" w14:textId="77777777" w:rsidR="009D6580" w:rsidRPr="00CB2629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 xml:space="preserve">Requisiti di fondi propri per le esposizioni creditizie rilevanti — Rischio di mercato </w:t>
            </w:r>
          </w:p>
          <w:p w14:paraId="5686B881" w14:textId="46063CDA" w:rsidR="009D6580" w:rsidRPr="00CB2629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 xml:space="preserve">Requisiti di fondi propri calcolati conformemente alla parte tre, titolo IV, capo 2,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 xml:space="preserve">575/2013 per il rischio specifico o conformemente alla parte tre, titolo IV, capo 5,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 per il rischio incrementale di default e di migrazione per le esposizioni creditizie rilevanti di cui all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 xml:space="preserve">articolo 140, paragrafo 4, lettera b), della direttiva 2013/36/UE, nel paese in questione. </w:t>
            </w:r>
          </w:p>
          <w:p w14:paraId="09611817" w14:textId="13F14A2E" w:rsidR="009D6580" w:rsidRPr="00CB2629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sz w:val="24"/>
              </w:rPr>
              <w:t>I requisiti di fondi propri per le esposizioni creditizie rilevanti nel quadro del rischio di mercato includono, tra 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 xml:space="preserve">altro, i requisiti di fondi propri per le posizioni verso la cartolarizzazione calcolati ai sensi della parte tre, titolo IV, capo 2,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 e i requisiti di fondi propri per le esposizioni verso organismi di investimento collettivo determinati conformemente all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>articolo 348 di tale regolamento.</w:t>
            </w:r>
          </w:p>
        </w:tc>
      </w:tr>
      <w:tr w:rsidR="009D6580" w:rsidRPr="00CB2629" w14:paraId="655D63DC" w14:textId="77777777" w:rsidTr="00822842">
        <w:tc>
          <w:tcPr>
            <w:tcW w:w="1697" w:type="dxa"/>
          </w:tcPr>
          <w:p w14:paraId="4911AAD6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8131" w:type="dxa"/>
          </w:tcPr>
          <w:p w14:paraId="45D3AC3C" w14:textId="77777777" w:rsidR="009D6580" w:rsidRPr="00CB2629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Requisiti di fondi propri per le esposizioni creditizie rilevanti — Posizioni verso la cartolarizzazione nel portafoglio bancario</w:t>
            </w:r>
          </w:p>
          <w:p w14:paraId="64834120" w14:textId="5CA08C0E" w:rsidR="009D6580" w:rsidRPr="00CB2629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 xml:space="preserve">Requisiti di fondi propri calcolati conformemente alla parte tre, titolo II, capo 5,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 per le esposizioni creditizie rilevanti di cui all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>articolo 140, paragrafo 4, lettera c), della direttiva 2013/36/UE nel paese in questione.</w:t>
            </w:r>
          </w:p>
          <w:p w14:paraId="1A6665D5" w14:textId="5FA60CBB" w:rsidR="009D6580" w:rsidRPr="00CB2629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sz w:val="24"/>
              </w:rPr>
              <w:t>I requisiti di fondi propri sono pari all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>8 % dell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>importo dell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 xml:space="preserve">esposizione ponderato per il rischio calcolato conformemente alla parte tre, titolo II, capo 5, del regolamento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9D6580" w:rsidRPr="00CB2629" w14:paraId="4015A9D7" w14:textId="77777777" w:rsidTr="00822842">
        <w:tc>
          <w:tcPr>
            <w:tcW w:w="1697" w:type="dxa"/>
          </w:tcPr>
          <w:p w14:paraId="4ACCD3B3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8131" w:type="dxa"/>
          </w:tcPr>
          <w:p w14:paraId="2EE25FA2" w14:textId="77777777" w:rsidR="009D6580" w:rsidRPr="00CB2629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Fattori di ponderazione dei requisiti di fondi propri</w:t>
            </w:r>
          </w:p>
          <w:p w14:paraId="3D7B8904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Il fattore di ponderazione applicato al coefficiente anticiclico in ogni paese è calcolato come un rapporto tra requisiti di fondi propri, determinato come segue:</w:t>
            </w:r>
          </w:p>
          <w:p w14:paraId="47443D03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1.</w:t>
            </w:r>
            <w:r w:rsidRPr="00CB2629">
              <w:tab/>
            </w:r>
            <w:r w:rsidRPr="00CB2629">
              <w:rPr>
                <w:rFonts w:ascii="Times New Roman" w:hAnsi="Times New Roman"/>
                <w:sz w:val="24"/>
              </w:rPr>
              <w:t xml:space="preserve">numeratore: requisiti di fondi propri totali che riguardano le esposizioni creditizie rilevanti nel paese in questione [r0070; c0010; foglio del paese]; </w:t>
            </w:r>
          </w:p>
          <w:p w14:paraId="1FE57EC6" w14:textId="224B4169" w:rsidR="009D6580" w:rsidRPr="00CB2629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sz w:val="24"/>
              </w:rPr>
              <w:t>2.</w:t>
            </w:r>
            <w:r w:rsidRPr="00CB2629">
              <w:tab/>
            </w:r>
            <w:r w:rsidRPr="00CB2629">
              <w:rPr>
                <w:rFonts w:ascii="Times New Roman" w:hAnsi="Times New Roman"/>
                <w:sz w:val="24"/>
              </w:rPr>
              <w:t>denominatore: requisiti di fondi propri totali che riguardano tutte le esposizioni creditizie rilevanti per il calcolo della riserva di capitale anticiclica di cui all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 xml:space="preserve">articolo 140, paragrafo 4, della direttiva 2013/36/UE [r0070; c0010; </w:t>
            </w:r>
            <w:r w:rsidR="00882B1B" w:rsidRPr="00CB2629">
              <w:rPr>
                <w:rFonts w:ascii="Times New Roman" w:hAnsi="Times New Roman"/>
                <w:sz w:val="24"/>
              </w:rPr>
              <w:t>"</w:t>
            </w:r>
            <w:r w:rsidRPr="00CB2629">
              <w:rPr>
                <w:rFonts w:ascii="Times New Roman" w:hAnsi="Times New Roman"/>
                <w:sz w:val="24"/>
              </w:rPr>
              <w:t>Totale</w:t>
            </w:r>
            <w:r w:rsidR="00882B1B" w:rsidRPr="00CB2629">
              <w:rPr>
                <w:rFonts w:ascii="Times New Roman" w:hAnsi="Times New Roman"/>
                <w:sz w:val="24"/>
              </w:rPr>
              <w:t>"</w:t>
            </w:r>
            <w:r w:rsidRPr="00CB2629">
              <w:rPr>
                <w:rFonts w:ascii="Times New Roman" w:hAnsi="Times New Roman"/>
                <w:sz w:val="24"/>
              </w:rPr>
              <w:t>].</w:t>
            </w:r>
          </w:p>
          <w:p w14:paraId="423D2DDF" w14:textId="714921C3" w:rsidR="009D6580" w:rsidRPr="00CB2629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sz w:val="24"/>
              </w:rPr>
              <w:t xml:space="preserve">Le informazioni sui fattori di ponderazione dei requisiti di fondi propri non sono segnalate per il </w:t>
            </w:r>
            <w:r w:rsidR="00882B1B" w:rsidRPr="00CB2629">
              <w:rPr>
                <w:rFonts w:ascii="Times New Roman" w:hAnsi="Times New Roman"/>
                <w:sz w:val="24"/>
              </w:rPr>
              <w:t>"</w:t>
            </w:r>
            <w:r w:rsidRPr="00CB2629">
              <w:rPr>
                <w:rFonts w:ascii="Times New Roman" w:hAnsi="Times New Roman"/>
                <w:sz w:val="24"/>
              </w:rPr>
              <w:t>Totale</w:t>
            </w:r>
            <w:r w:rsidR="00882B1B" w:rsidRPr="00CB2629">
              <w:rPr>
                <w:rFonts w:ascii="Times New Roman" w:hAnsi="Times New Roman"/>
                <w:sz w:val="24"/>
              </w:rPr>
              <w:t>"</w:t>
            </w:r>
            <w:r w:rsidRPr="00CB2629">
              <w:rPr>
                <w:rFonts w:ascii="Times New Roman" w:hAnsi="Times New Roman"/>
                <w:sz w:val="24"/>
              </w:rPr>
              <w:t xml:space="preserve"> di tutti i paesi.</w:t>
            </w:r>
          </w:p>
        </w:tc>
      </w:tr>
      <w:tr w:rsidR="009D6580" w:rsidRPr="00CB2629" w14:paraId="5C4BC14D" w14:textId="77777777" w:rsidTr="00A6372B">
        <w:trPr>
          <w:cantSplit/>
        </w:trPr>
        <w:tc>
          <w:tcPr>
            <w:tcW w:w="1697" w:type="dxa"/>
          </w:tcPr>
          <w:p w14:paraId="1A21712D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0120-0140</w:t>
            </w:r>
          </w:p>
        </w:tc>
        <w:tc>
          <w:tcPr>
            <w:tcW w:w="8131" w:type="dxa"/>
          </w:tcPr>
          <w:p w14:paraId="0FFF9D8C" w14:textId="77777777" w:rsidR="009D6580" w:rsidRPr="00CB2629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Coefficienti anticiclici</w:t>
            </w:r>
          </w:p>
        </w:tc>
      </w:tr>
      <w:tr w:rsidR="009D6580" w:rsidRPr="00CB2629" w14:paraId="3D2AE883" w14:textId="77777777" w:rsidTr="00822842">
        <w:tc>
          <w:tcPr>
            <w:tcW w:w="1697" w:type="dxa"/>
          </w:tcPr>
          <w:p w14:paraId="61437EB6" w14:textId="77777777" w:rsidR="009D6580" w:rsidRPr="00CB2629" w:rsidRDefault="009D6580" w:rsidP="00882B1B">
            <w:pPr>
              <w:keepNext/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lastRenderedPageBreak/>
              <w:t>0120</w:t>
            </w:r>
          </w:p>
        </w:tc>
        <w:tc>
          <w:tcPr>
            <w:tcW w:w="8131" w:type="dxa"/>
          </w:tcPr>
          <w:p w14:paraId="756100DA" w14:textId="658083F4" w:rsidR="009D6580" w:rsidRPr="00CB2629" w:rsidRDefault="009D6580" w:rsidP="00882B1B">
            <w:pPr>
              <w:keepNext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Coefficiente anticiclico fissato dall</w:t>
            </w:r>
            <w:r w:rsidR="00882B1B" w:rsidRPr="00CB2629">
              <w:rPr>
                <w:rFonts w:ascii="Times New Roman" w:hAnsi="Times New Roman"/>
                <w:b/>
                <w:sz w:val="24"/>
                <w:u w:val="single"/>
              </w:rPr>
              <w:t>'</w:t>
            </w: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autorità designata</w:t>
            </w:r>
          </w:p>
          <w:p w14:paraId="256AAB40" w14:textId="5EE964B2" w:rsidR="009D6580" w:rsidRPr="00CB2629" w:rsidRDefault="009D6580" w:rsidP="00882B1B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Coefficiente anticiclico fissato per il paese in questione dall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>autorità designata di detto paese conformemente agli articoli 136, 137, 139 e all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>articolo</w:t>
            </w:r>
            <w:r w:rsidR="00882B1B" w:rsidRPr="00CB2629">
              <w:rPr>
                <w:rFonts w:ascii="Times New Roman" w:hAnsi="Times New Roman"/>
                <w:sz w:val="24"/>
              </w:rPr>
              <w:t> </w:t>
            </w:r>
            <w:r w:rsidRPr="00CB2629">
              <w:rPr>
                <w:rFonts w:ascii="Times New Roman" w:hAnsi="Times New Roman"/>
                <w:sz w:val="24"/>
              </w:rPr>
              <w:t>140, paragrafo</w:t>
            </w:r>
            <w:r w:rsidR="00882B1B" w:rsidRPr="00CB2629">
              <w:rPr>
                <w:rFonts w:ascii="Times New Roman" w:hAnsi="Times New Roman"/>
                <w:sz w:val="24"/>
              </w:rPr>
              <w:t> </w:t>
            </w:r>
            <w:r w:rsidRPr="00CB2629">
              <w:rPr>
                <w:rFonts w:ascii="Times New Roman" w:hAnsi="Times New Roman"/>
                <w:sz w:val="24"/>
              </w:rPr>
              <w:t>2, lettere a) e c), e paragrafo 3, lettera b), della direttiva 2013/36/UE.</w:t>
            </w:r>
          </w:p>
          <w:p w14:paraId="08387A10" w14:textId="44EFECEE" w:rsidR="009D6580" w:rsidRPr="00CB2629" w:rsidRDefault="009D6580" w:rsidP="00882B1B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Se 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>autorità designata del paese in questione non ha fissato un coefficiente anticiclico lasciare vuota questa riga.</w:t>
            </w:r>
          </w:p>
          <w:p w14:paraId="79AF7A0C" w14:textId="0656CB5A" w:rsidR="009D6580" w:rsidRPr="00CB2629" w:rsidRDefault="009D6580" w:rsidP="00882B1B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I coefficienti anticiclici fissati dall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>autorità designata ma non ancora applicabili nel paese in questione alla data di riferimento per le segnalazioni non sono segnalati.</w:t>
            </w:r>
          </w:p>
          <w:p w14:paraId="5BEA0E13" w14:textId="4FCA0DB2" w:rsidR="009D6580" w:rsidRPr="00CB2629" w:rsidRDefault="009D6580" w:rsidP="00882B1B">
            <w:pPr>
              <w:keepNext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sz w:val="24"/>
              </w:rPr>
              <w:t>Le informazioni sul coefficiente anticiclico fissato dall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 xml:space="preserve">autorità designata non sono segnalate nel </w:t>
            </w:r>
            <w:r w:rsidR="00882B1B" w:rsidRPr="00CB2629">
              <w:rPr>
                <w:rFonts w:ascii="Times New Roman" w:hAnsi="Times New Roman"/>
                <w:sz w:val="24"/>
              </w:rPr>
              <w:t>"</w:t>
            </w:r>
            <w:r w:rsidRPr="00CB2629">
              <w:rPr>
                <w:rFonts w:ascii="Times New Roman" w:hAnsi="Times New Roman"/>
                <w:sz w:val="24"/>
              </w:rPr>
              <w:t>Totale</w:t>
            </w:r>
            <w:r w:rsidR="00882B1B" w:rsidRPr="00CB2629">
              <w:rPr>
                <w:rFonts w:ascii="Times New Roman" w:hAnsi="Times New Roman"/>
                <w:sz w:val="24"/>
              </w:rPr>
              <w:t>"</w:t>
            </w:r>
            <w:r w:rsidRPr="00CB2629">
              <w:rPr>
                <w:rFonts w:ascii="Times New Roman" w:hAnsi="Times New Roman"/>
                <w:sz w:val="24"/>
              </w:rPr>
              <w:t xml:space="preserve"> di tutti i paesi. </w:t>
            </w:r>
          </w:p>
        </w:tc>
      </w:tr>
      <w:tr w:rsidR="009D6580" w:rsidRPr="00CB2629" w14:paraId="01E6253D" w14:textId="77777777" w:rsidTr="00822842">
        <w:tc>
          <w:tcPr>
            <w:tcW w:w="1697" w:type="dxa"/>
          </w:tcPr>
          <w:p w14:paraId="3226BBDD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8131" w:type="dxa"/>
          </w:tcPr>
          <w:p w14:paraId="1301D1B3" w14:textId="0D47F681" w:rsidR="009D6580" w:rsidRPr="00CB2629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Coefficiente anticiclico applicabile per il paese dell</w:t>
            </w:r>
            <w:r w:rsidR="00882B1B" w:rsidRPr="00CB2629">
              <w:rPr>
                <w:rFonts w:ascii="Times New Roman" w:hAnsi="Times New Roman"/>
                <w:b/>
                <w:sz w:val="24"/>
                <w:u w:val="single"/>
              </w:rPr>
              <w:t>'</w:t>
            </w: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ente</w:t>
            </w:r>
          </w:p>
          <w:p w14:paraId="47D66D49" w14:textId="6C65CE8A" w:rsidR="009D6580" w:rsidRPr="00CB2629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Coefficiente anticiclico applicabile al paese in questione che è stato fissato dall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>autorità designata del paese di residenza dell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>ente conformemente agli articoli</w:t>
            </w:r>
            <w:r w:rsidR="00882B1B" w:rsidRPr="00CB2629">
              <w:rPr>
                <w:rFonts w:ascii="Times New Roman" w:hAnsi="Times New Roman"/>
                <w:sz w:val="24"/>
              </w:rPr>
              <w:t> </w:t>
            </w:r>
            <w:r w:rsidRPr="00CB2629">
              <w:rPr>
                <w:rFonts w:ascii="Times New Roman" w:hAnsi="Times New Roman"/>
                <w:sz w:val="24"/>
              </w:rPr>
              <w:t>137, 138, 139 e all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>articolo 140, paragrafo 2, lettera b), e paragrafo</w:t>
            </w:r>
            <w:r w:rsidR="00882B1B" w:rsidRPr="00CB2629">
              <w:rPr>
                <w:rFonts w:ascii="Times New Roman" w:hAnsi="Times New Roman"/>
                <w:sz w:val="24"/>
              </w:rPr>
              <w:t> </w:t>
            </w:r>
            <w:r w:rsidRPr="00CB2629">
              <w:rPr>
                <w:rFonts w:ascii="Times New Roman" w:hAnsi="Times New Roman"/>
                <w:sz w:val="24"/>
              </w:rPr>
              <w:t>3, lettera</w:t>
            </w:r>
            <w:r w:rsidR="00882B1B" w:rsidRPr="00CB2629">
              <w:rPr>
                <w:rFonts w:ascii="Times New Roman" w:hAnsi="Times New Roman"/>
                <w:sz w:val="24"/>
              </w:rPr>
              <w:t> </w:t>
            </w:r>
            <w:r w:rsidRPr="00CB2629">
              <w:rPr>
                <w:rFonts w:ascii="Times New Roman" w:hAnsi="Times New Roman"/>
                <w:sz w:val="24"/>
              </w:rPr>
              <w:t>a), della direttiva 2013/36/UE. I coefficienti anticiclici non ancora applicabili alla data di riferimento per le segnalazioni non sono segnalati.</w:t>
            </w:r>
          </w:p>
          <w:p w14:paraId="082B5846" w14:textId="7674A4C9" w:rsidR="009D6580" w:rsidRPr="00CB2629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sz w:val="24"/>
              </w:rPr>
              <w:t>Le informazioni sul coefficiente anticiclico applicabile nel paese dell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 xml:space="preserve">ente non sono segnalate per il </w:t>
            </w:r>
            <w:r w:rsidR="00882B1B" w:rsidRPr="00CB2629">
              <w:rPr>
                <w:rFonts w:ascii="Times New Roman" w:hAnsi="Times New Roman"/>
                <w:sz w:val="24"/>
              </w:rPr>
              <w:t>"</w:t>
            </w:r>
            <w:r w:rsidRPr="00CB2629">
              <w:rPr>
                <w:rFonts w:ascii="Times New Roman" w:hAnsi="Times New Roman"/>
                <w:sz w:val="24"/>
              </w:rPr>
              <w:t>Totale</w:t>
            </w:r>
            <w:r w:rsidR="00882B1B" w:rsidRPr="00CB2629">
              <w:rPr>
                <w:rFonts w:ascii="Times New Roman" w:hAnsi="Times New Roman"/>
                <w:sz w:val="24"/>
              </w:rPr>
              <w:t>"</w:t>
            </w:r>
            <w:r w:rsidRPr="00CB2629">
              <w:rPr>
                <w:rFonts w:ascii="Times New Roman" w:hAnsi="Times New Roman"/>
                <w:sz w:val="24"/>
              </w:rPr>
              <w:t xml:space="preserve"> di tutti i paesi.</w:t>
            </w:r>
          </w:p>
        </w:tc>
      </w:tr>
      <w:tr w:rsidR="009D6580" w:rsidRPr="00CB2629" w14:paraId="3FF424DB" w14:textId="77777777" w:rsidTr="00822842">
        <w:tc>
          <w:tcPr>
            <w:tcW w:w="1697" w:type="dxa"/>
          </w:tcPr>
          <w:p w14:paraId="752F444A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0140</w:t>
            </w:r>
          </w:p>
        </w:tc>
        <w:tc>
          <w:tcPr>
            <w:tcW w:w="8131" w:type="dxa"/>
          </w:tcPr>
          <w:p w14:paraId="315BAE64" w14:textId="44AFA0B0" w:rsidR="009D6580" w:rsidRPr="00CB2629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Coefficiente anticiclico specifico dell</w:t>
            </w:r>
            <w:r w:rsidR="00882B1B" w:rsidRPr="00CB2629">
              <w:rPr>
                <w:rFonts w:ascii="Times New Roman" w:hAnsi="Times New Roman"/>
                <w:b/>
                <w:sz w:val="24"/>
                <w:u w:val="single"/>
              </w:rPr>
              <w:t>'</w:t>
            </w: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 xml:space="preserve">ente </w:t>
            </w:r>
          </w:p>
          <w:p w14:paraId="253E0547" w14:textId="6C2914AE" w:rsidR="009D6580" w:rsidRPr="00CB2629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Coefficiente anticiclico specifico dell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>ente calcolato conformemente all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>articolo</w:t>
            </w:r>
            <w:r w:rsidR="00882B1B" w:rsidRPr="00CB2629">
              <w:rPr>
                <w:rFonts w:ascii="Times New Roman" w:hAnsi="Times New Roman"/>
                <w:sz w:val="24"/>
              </w:rPr>
              <w:t> </w:t>
            </w:r>
            <w:r w:rsidRPr="00CB2629">
              <w:rPr>
                <w:rFonts w:ascii="Times New Roman" w:hAnsi="Times New Roman"/>
                <w:sz w:val="24"/>
              </w:rPr>
              <w:t xml:space="preserve">140, paragrafo 1, della direttiva 2013/36/UE. </w:t>
            </w:r>
          </w:p>
          <w:p w14:paraId="575D2B31" w14:textId="7F8C8BDC" w:rsidR="009D6580" w:rsidRPr="00CB2629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Il coefficiente anticiclico specifico dell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>ente è calcolato come la media ponderata dei coefficienti anticiclici che sono applicati nei paesi in cui sono situate le esposizioni creditizie rilevanti dell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>ente, ovvero che sono applicati ai fini dell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>articolo</w:t>
            </w:r>
            <w:r w:rsidR="00882B1B" w:rsidRPr="00CB2629">
              <w:rPr>
                <w:rFonts w:ascii="Times New Roman" w:hAnsi="Times New Roman"/>
                <w:sz w:val="24"/>
              </w:rPr>
              <w:t> </w:t>
            </w:r>
            <w:r w:rsidRPr="00CB2629">
              <w:rPr>
                <w:rFonts w:ascii="Times New Roman" w:hAnsi="Times New Roman"/>
                <w:sz w:val="24"/>
              </w:rPr>
              <w:t>140 ai sensi dell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>articolo</w:t>
            </w:r>
            <w:r w:rsidR="00882B1B" w:rsidRPr="00CB2629">
              <w:rPr>
                <w:rFonts w:ascii="Times New Roman" w:hAnsi="Times New Roman"/>
                <w:sz w:val="24"/>
              </w:rPr>
              <w:t> </w:t>
            </w:r>
            <w:r w:rsidRPr="00CB2629">
              <w:rPr>
                <w:rFonts w:ascii="Times New Roman" w:hAnsi="Times New Roman"/>
                <w:sz w:val="24"/>
              </w:rPr>
              <w:t>139, paragrafo 2 o 3, della direttiva 2013/36/UE. Il coefficiente anticiclico pertinente è segnalato in [r0120; c0020; foglio del paese] o in [r0130; c0020; foglio del paese], a seconda del caso.</w:t>
            </w:r>
          </w:p>
          <w:p w14:paraId="2C4ECBB2" w14:textId="77777777" w:rsidR="009D6580" w:rsidRPr="00CB2629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trike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 xml:space="preserve">Il fattore di ponderazione applicato al coefficiente anticiclico in ogni paese è la quota di requisiti di fondi propri sul totale dei requisiti di fondi propri ed è segnalato in [r0110; c0020; foglio del paese]. </w:t>
            </w:r>
          </w:p>
          <w:p w14:paraId="65E93DC9" w14:textId="4F2D9766" w:rsidR="009D6580" w:rsidRPr="00CB2629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sz w:val="24"/>
              </w:rPr>
              <w:t>Le informazioni sul coefficiente anticiclico specifico dell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 xml:space="preserve">ente sono segnalate soltanto per il </w:t>
            </w:r>
            <w:r w:rsidR="00882B1B" w:rsidRPr="00CB2629">
              <w:rPr>
                <w:rFonts w:ascii="Times New Roman" w:hAnsi="Times New Roman"/>
                <w:sz w:val="24"/>
              </w:rPr>
              <w:t>"</w:t>
            </w:r>
            <w:r w:rsidRPr="00CB2629">
              <w:rPr>
                <w:rFonts w:ascii="Times New Roman" w:hAnsi="Times New Roman"/>
                <w:sz w:val="24"/>
              </w:rPr>
              <w:t>Totale</w:t>
            </w:r>
            <w:r w:rsidR="00882B1B" w:rsidRPr="00CB2629">
              <w:rPr>
                <w:rFonts w:ascii="Times New Roman" w:hAnsi="Times New Roman"/>
                <w:sz w:val="24"/>
              </w:rPr>
              <w:t>"</w:t>
            </w:r>
            <w:r w:rsidRPr="00CB2629">
              <w:rPr>
                <w:rFonts w:ascii="Times New Roman" w:hAnsi="Times New Roman"/>
                <w:sz w:val="24"/>
              </w:rPr>
              <w:t xml:space="preserve"> di tutti i paesi e non per ogni paese separatamente.</w:t>
            </w:r>
          </w:p>
        </w:tc>
      </w:tr>
      <w:tr w:rsidR="009D6580" w:rsidRPr="00CB2629" w14:paraId="0CA64D03" w14:textId="77777777" w:rsidTr="00822842">
        <w:tc>
          <w:tcPr>
            <w:tcW w:w="1697" w:type="dxa"/>
          </w:tcPr>
          <w:p w14:paraId="1436C16C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0150 - 0160</w:t>
            </w:r>
          </w:p>
        </w:tc>
        <w:tc>
          <w:tcPr>
            <w:tcW w:w="8131" w:type="dxa"/>
          </w:tcPr>
          <w:p w14:paraId="13A71A3D" w14:textId="77777777" w:rsidR="009D6580" w:rsidRPr="00CB2629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Uso della soglia del 2 %</w:t>
            </w:r>
          </w:p>
        </w:tc>
      </w:tr>
      <w:tr w:rsidR="009D6580" w:rsidRPr="00CB2629" w14:paraId="4C39701D" w14:textId="77777777" w:rsidTr="00822842">
        <w:tc>
          <w:tcPr>
            <w:tcW w:w="1697" w:type="dxa"/>
          </w:tcPr>
          <w:p w14:paraId="62E51E11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8131" w:type="dxa"/>
          </w:tcPr>
          <w:p w14:paraId="0ABF51F0" w14:textId="77777777" w:rsidR="009D6580" w:rsidRPr="00CB2629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Uso della soglia del 2 % per le esposizioni creditizie generiche</w:t>
            </w:r>
            <w:r w:rsidRPr="00CB2629">
              <w:rPr>
                <w:rFonts w:ascii="Times New Roman" w:hAnsi="Times New Roman"/>
                <w:sz w:val="24"/>
              </w:rPr>
              <w:t xml:space="preserve"> </w:t>
            </w:r>
          </w:p>
          <w:p w14:paraId="68B71CE8" w14:textId="47FB5A59" w:rsidR="009D6580" w:rsidRPr="00CB2629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Ai sensi dell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 xml:space="preserve">articolo 2, paragrafo 5, lettera b), del regolamento delegato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1152/2014 della Commissione, le esposizioni creditizie generiche estere il cui aggregato non supera il 2 % dell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>aggregato delle esposizioni creditizie generiche, delle esposizioni nel portafoglio di negoziazione e delle esposizioni verso la cartolarizzazione dell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>ente possono essere assegnate allo Stato membro di origine dell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>ente. 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 xml:space="preserve">aggregato delle esposizioni creditizie generiche, delle esposizioni nel portafoglio di negoziazione e delle esposizioni verso la cartolarizzazione è </w:t>
            </w:r>
            <w:r w:rsidRPr="00CB2629">
              <w:rPr>
                <w:rFonts w:ascii="Times New Roman" w:hAnsi="Times New Roman"/>
                <w:sz w:val="24"/>
              </w:rPr>
              <w:lastRenderedPageBreak/>
              <w:t>calcolato escludendo le esposizioni creditizie generiche localizzate ai sensi dell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>articolo 2, paragrafo 5, lettera a), e dell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 xml:space="preserve">articolo 2, paragrafo 4, del regolamento delegato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1152/2014 della Commissione.</w:t>
            </w:r>
          </w:p>
          <w:p w14:paraId="53DCDD60" w14:textId="72884AF6" w:rsidR="009D6580" w:rsidRPr="00CB2629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Se si avvale di questa deroga, 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 xml:space="preserve">ente indica </w:t>
            </w:r>
            <w:r w:rsidR="00882B1B" w:rsidRPr="00CB2629">
              <w:rPr>
                <w:rFonts w:ascii="Times New Roman" w:hAnsi="Times New Roman"/>
                <w:sz w:val="24"/>
              </w:rPr>
              <w:t>"</w:t>
            </w:r>
            <w:r w:rsidRPr="00CB2629">
              <w:rPr>
                <w:rFonts w:ascii="Times New Roman" w:hAnsi="Times New Roman"/>
                <w:sz w:val="24"/>
              </w:rPr>
              <w:t>y</w:t>
            </w:r>
            <w:r w:rsidR="00882B1B" w:rsidRPr="00CB2629">
              <w:rPr>
                <w:rFonts w:ascii="Times New Roman" w:hAnsi="Times New Roman"/>
                <w:sz w:val="24"/>
              </w:rPr>
              <w:t>"</w:t>
            </w:r>
            <w:r w:rsidRPr="00CB2629">
              <w:rPr>
                <w:rFonts w:ascii="Times New Roman" w:hAnsi="Times New Roman"/>
                <w:sz w:val="24"/>
              </w:rPr>
              <w:t xml:space="preserve"> (sì) nel modello per il paese corrispondente al suo Stato membro di origine e per il </w:t>
            </w:r>
            <w:r w:rsidR="00882B1B" w:rsidRPr="00CB2629">
              <w:rPr>
                <w:rFonts w:ascii="Times New Roman" w:hAnsi="Times New Roman"/>
                <w:sz w:val="24"/>
              </w:rPr>
              <w:t>"</w:t>
            </w:r>
            <w:r w:rsidRPr="00CB2629">
              <w:rPr>
                <w:rFonts w:ascii="Times New Roman" w:hAnsi="Times New Roman"/>
                <w:sz w:val="24"/>
              </w:rPr>
              <w:t>Totale</w:t>
            </w:r>
            <w:r w:rsidR="00882B1B" w:rsidRPr="00CB2629">
              <w:rPr>
                <w:rFonts w:ascii="Times New Roman" w:hAnsi="Times New Roman"/>
                <w:sz w:val="24"/>
              </w:rPr>
              <w:t>"</w:t>
            </w:r>
            <w:r w:rsidRPr="00CB2629">
              <w:rPr>
                <w:rFonts w:ascii="Times New Roman" w:hAnsi="Times New Roman"/>
                <w:sz w:val="24"/>
              </w:rPr>
              <w:t xml:space="preserve"> di tutti i paesi.</w:t>
            </w:r>
          </w:p>
          <w:p w14:paraId="5B2597B2" w14:textId="7EFA93B9" w:rsidR="009D6580" w:rsidRPr="00CB2629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Se non si avvale di questa deroga, 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 xml:space="preserve">ente indica </w:t>
            </w:r>
            <w:r w:rsidR="00882B1B" w:rsidRPr="00CB2629">
              <w:rPr>
                <w:rFonts w:ascii="Times New Roman" w:hAnsi="Times New Roman"/>
                <w:sz w:val="24"/>
              </w:rPr>
              <w:t>"</w:t>
            </w:r>
            <w:r w:rsidRPr="00CB2629">
              <w:rPr>
                <w:rFonts w:ascii="Times New Roman" w:hAnsi="Times New Roman"/>
                <w:sz w:val="24"/>
              </w:rPr>
              <w:t>n</w:t>
            </w:r>
            <w:r w:rsidR="00882B1B" w:rsidRPr="00CB2629">
              <w:rPr>
                <w:rFonts w:ascii="Times New Roman" w:hAnsi="Times New Roman"/>
                <w:sz w:val="24"/>
              </w:rPr>
              <w:t>"</w:t>
            </w:r>
            <w:r w:rsidRPr="00CB2629">
              <w:rPr>
                <w:rFonts w:ascii="Times New Roman" w:hAnsi="Times New Roman"/>
                <w:sz w:val="24"/>
              </w:rPr>
              <w:t xml:space="preserve"> (no) nella rispettiva cella.</w:t>
            </w:r>
          </w:p>
        </w:tc>
      </w:tr>
      <w:tr w:rsidR="009D6580" w:rsidRPr="00CB2629" w14:paraId="7179BBF6" w14:textId="77777777" w:rsidTr="00822842">
        <w:tc>
          <w:tcPr>
            <w:tcW w:w="1697" w:type="dxa"/>
          </w:tcPr>
          <w:p w14:paraId="528EEA51" w14:textId="77777777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lastRenderedPageBreak/>
              <w:t>0160</w:t>
            </w:r>
          </w:p>
        </w:tc>
        <w:tc>
          <w:tcPr>
            <w:tcW w:w="8131" w:type="dxa"/>
          </w:tcPr>
          <w:p w14:paraId="4FC000D6" w14:textId="77777777" w:rsidR="009D6580" w:rsidRPr="00CB2629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b/>
                <w:sz w:val="24"/>
                <w:u w:val="single"/>
              </w:rPr>
              <w:t>Uso della soglia del 2 % per le esposizioni nel portafoglio di negoziazione</w:t>
            </w:r>
          </w:p>
          <w:p w14:paraId="13ED02AA" w14:textId="113AD267" w:rsidR="009D6580" w:rsidRPr="00CB2629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Ai sensi dell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 xml:space="preserve">articolo 3, paragrafo 3, del regolamento delegato (UE) </w:t>
            </w:r>
            <w:r w:rsidR="00882B1B" w:rsidRPr="00CB2629">
              <w:rPr>
                <w:rFonts w:ascii="Times New Roman" w:hAnsi="Times New Roman"/>
                <w:sz w:val="24"/>
              </w:rPr>
              <w:t>n. </w:t>
            </w:r>
            <w:r w:rsidRPr="00CB2629">
              <w:rPr>
                <w:rFonts w:ascii="Times New Roman" w:hAnsi="Times New Roman"/>
                <w:sz w:val="24"/>
              </w:rPr>
              <w:t>1152/2014 della Commissione, gli enti di cui il totale delle esposizioni nel portafoglio di negoziazione non supera il 2 % del totale delle loro esposizioni creditizie generiche, delle loro esposizioni nel portafoglio di negoziazione e delle loro esposizioni verso la cartolarizzazione possono assegnare le esposizioni nel portafoglio di negoziazione allo Stato membro di origine dell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>ente.</w:t>
            </w:r>
          </w:p>
          <w:p w14:paraId="068BDCF9" w14:textId="09E98503" w:rsidR="009D6580" w:rsidRPr="00CB2629" w:rsidRDefault="009D6580" w:rsidP="00822842">
            <w:pPr>
              <w:rPr>
                <w:rFonts w:ascii="Times New Roman" w:hAnsi="Times New Roman"/>
                <w:sz w:val="24"/>
              </w:rPr>
            </w:pPr>
            <w:r w:rsidRPr="00CB2629">
              <w:rPr>
                <w:rFonts w:ascii="Times New Roman" w:hAnsi="Times New Roman"/>
                <w:sz w:val="24"/>
              </w:rPr>
              <w:t>Se si avvale di questa deroga, 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 xml:space="preserve">ente indica </w:t>
            </w:r>
            <w:r w:rsidR="00882B1B" w:rsidRPr="00CB2629">
              <w:rPr>
                <w:rFonts w:ascii="Times New Roman" w:hAnsi="Times New Roman"/>
                <w:sz w:val="24"/>
              </w:rPr>
              <w:t>"</w:t>
            </w:r>
            <w:r w:rsidRPr="00CB2629">
              <w:rPr>
                <w:rFonts w:ascii="Times New Roman" w:hAnsi="Times New Roman"/>
                <w:sz w:val="24"/>
              </w:rPr>
              <w:t>y</w:t>
            </w:r>
            <w:r w:rsidR="00882B1B" w:rsidRPr="00CB2629">
              <w:rPr>
                <w:rFonts w:ascii="Times New Roman" w:hAnsi="Times New Roman"/>
                <w:sz w:val="24"/>
              </w:rPr>
              <w:t>"</w:t>
            </w:r>
            <w:r w:rsidRPr="00CB2629">
              <w:rPr>
                <w:rFonts w:ascii="Times New Roman" w:hAnsi="Times New Roman"/>
                <w:sz w:val="24"/>
              </w:rPr>
              <w:t xml:space="preserve"> (sì) nel modello per il paese corrispondente al suo Stato membro di origine e per il </w:t>
            </w:r>
            <w:r w:rsidR="00882B1B" w:rsidRPr="00CB2629">
              <w:rPr>
                <w:rFonts w:ascii="Times New Roman" w:hAnsi="Times New Roman"/>
                <w:sz w:val="24"/>
              </w:rPr>
              <w:t>"</w:t>
            </w:r>
            <w:r w:rsidRPr="00CB2629">
              <w:rPr>
                <w:rFonts w:ascii="Times New Roman" w:hAnsi="Times New Roman"/>
                <w:sz w:val="24"/>
              </w:rPr>
              <w:t>Totale</w:t>
            </w:r>
            <w:r w:rsidR="00882B1B" w:rsidRPr="00CB2629">
              <w:rPr>
                <w:rFonts w:ascii="Times New Roman" w:hAnsi="Times New Roman"/>
                <w:sz w:val="24"/>
              </w:rPr>
              <w:t>"</w:t>
            </w:r>
            <w:r w:rsidRPr="00CB2629">
              <w:rPr>
                <w:rFonts w:ascii="Times New Roman" w:hAnsi="Times New Roman"/>
                <w:sz w:val="24"/>
              </w:rPr>
              <w:t xml:space="preserve"> di tutti i paesi.</w:t>
            </w:r>
          </w:p>
          <w:p w14:paraId="3EA8EC30" w14:textId="52DDA0B2" w:rsidR="009D6580" w:rsidRPr="00CB2629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CB2629">
              <w:rPr>
                <w:rFonts w:ascii="Times New Roman" w:hAnsi="Times New Roman"/>
                <w:sz w:val="24"/>
              </w:rPr>
              <w:t>Se non si avvale di questa deroga, l</w:t>
            </w:r>
            <w:r w:rsidR="00882B1B" w:rsidRPr="00CB2629">
              <w:rPr>
                <w:rFonts w:ascii="Times New Roman" w:hAnsi="Times New Roman"/>
                <w:sz w:val="24"/>
              </w:rPr>
              <w:t>'</w:t>
            </w:r>
            <w:r w:rsidRPr="00CB2629">
              <w:rPr>
                <w:rFonts w:ascii="Times New Roman" w:hAnsi="Times New Roman"/>
                <w:sz w:val="24"/>
              </w:rPr>
              <w:t xml:space="preserve">ente indica </w:t>
            </w:r>
            <w:r w:rsidR="00882B1B" w:rsidRPr="00CB2629">
              <w:rPr>
                <w:rFonts w:ascii="Times New Roman" w:hAnsi="Times New Roman"/>
                <w:sz w:val="24"/>
              </w:rPr>
              <w:t>"</w:t>
            </w:r>
            <w:r w:rsidRPr="00CB2629">
              <w:rPr>
                <w:rFonts w:ascii="Times New Roman" w:hAnsi="Times New Roman"/>
                <w:sz w:val="24"/>
              </w:rPr>
              <w:t>n</w:t>
            </w:r>
            <w:r w:rsidR="00882B1B" w:rsidRPr="00CB2629">
              <w:rPr>
                <w:rFonts w:ascii="Times New Roman" w:hAnsi="Times New Roman"/>
                <w:sz w:val="24"/>
              </w:rPr>
              <w:t>"</w:t>
            </w:r>
            <w:r w:rsidRPr="00CB2629">
              <w:rPr>
                <w:rFonts w:ascii="Times New Roman" w:hAnsi="Times New Roman"/>
                <w:sz w:val="24"/>
              </w:rPr>
              <w:t xml:space="preserve"> (no) nella rispettiva cella.</w:t>
            </w:r>
          </w:p>
        </w:tc>
      </w:tr>
    </w:tbl>
    <w:p w14:paraId="6D451BBA" w14:textId="77777777" w:rsidR="009D6580" w:rsidRPr="00CB2629" w:rsidRDefault="009D6580"/>
    <w:sectPr w:rsidR="009D6580" w:rsidRPr="00CB262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93790" w14:textId="77777777" w:rsidR="00071022" w:rsidRDefault="00071022" w:rsidP="00E26A90">
      <w:pPr>
        <w:spacing w:after="0"/>
      </w:pPr>
      <w:r>
        <w:separator/>
      </w:r>
    </w:p>
  </w:endnote>
  <w:endnote w:type="continuationSeparator" w:id="0">
    <w:p w14:paraId="0E38E4C2" w14:textId="77777777" w:rsidR="00071022" w:rsidRDefault="00071022" w:rsidP="00E26A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Times New Roman"/>
    <w:charset w:val="00"/>
    <w:family w:val="auto"/>
    <w:pitch w:val="variable"/>
    <w:sig w:usb0="800002EF" w:usb1="1000E0FB" w:usb2="00000000" w:usb3="00000000" w:csb0="000000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06932" w14:textId="77777777" w:rsidR="00A6372B" w:rsidRDefault="00A637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8D92A" w14:textId="77777777" w:rsidR="00A6372B" w:rsidRDefault="00A6372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B7C9E" w14:textId="77777777" w:rsidR="00A6372B" w:rsidRDefault="00A637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6DF55" w14:textId="77777777" w:rsidR="00071022" w:rsidRDefault="00071022" w:rsidP="00E26A90">
      <w:pPr>
        <w:spacing w:after="0"/>
      </w:pPr>
      <w:r>
        <w:separator/>
      </w:r>
    </w:p>
  </w:footnote>
  <w:footnote w:type="continuationSeparator" w:id="0">
    <w:p w14:paraId="0EAFC9C2" w14:textId="77777777" w:rsidR="00071022" w:rsidRDefault="00071022" w:rsidP="00E26A90">
      <w:pPr>
        <w:spacing w:after="0"/>
      </w:pPr>
      <w:r>
        <w:continuationSeparator/>
      </w:r>
    </w:p>
  </w:footnote>
  <w:footnote w:id="1">
    <w:p w14:paraId="662CB3FE" w14:textId="7D885843" w:rsidR="009D6580" w:rsidRPr="0002267E" w:rsidRDefault="009D6580" w:rsidP="009D6580">
      <w:pPr>
        <w:pStyle w:val="FootnoteText"/>
        <w:ind w:left="567" w:hanging="567"/>
        <w:rPr>
          <w:rFonts w:ascii="Times New Roman" w:hAnsi="Times New Roman"/>
          <w:sz w:val="20"/>
          <w:szCs w:val="20"/>
        </w:rPr>
      </w:pPr>
      <w:r>
        <w:rPr>
          <w:rStyle w:val="FootnoteReference"/>
          <w:rFonts w:ascii="Times New Roman" w:hAnsi="Times New Roman"/>
          <w:sz w:val="20"/>
          <w:szCs w:val="20"/>
        </w:rPr>
        <w:footnoteRef/>
      </w:r>
      <w:r>
        <w:tab/>
      </w:r>
      <w:r>
        <w:rPr>
          <w:rFonts w:ascii="Times New Roman" w:hAnsi="Times New Roman"/>
          <w:color w:val="444444"/>
          <w:sz w:val="20"/>
        </w:rPr>
        <w:t>Regolamento delegato (UE) n. 1152/2014 della Commissione, del 4 giugno 2014, che integra la direttiva 2013/36/UE del Parlamento europeo e del Consiglio per quanto riguarda le norme tecniche di regolamentazione sull</w:t>
      </w:r>
      <w:r w:rsidR="00882B1B">
        <w:rPr>
          <w:rFonts w:ascii="Times New Roman" w:hAnsi="Times New Roman"/>
          <w:color w:val="444444"/>
          <w:sz w:val="20"/>
        </w:rPr>
        <w:t>'</w:t>
      </w:r>
      <w:r>
        <w:rPr>
          <w:rFonts w:ascii="Times New Roman" w:hAnsi="Times New Roman"/>
          <w:color w:val="444444"/>
          <w:sz w:val="20"/>
        </w:rPr>
        <w:t>identificazione della localizzazione geografica delle esposizioni creditizie rilevanti ai fini del calcolo dei coefficienti anticiclici specifici dell</w:t>
      </w:r>
      <w:r w:rsidR="00882B1B">
        <w:rPr>
          <w:rFonts w:ascii="Times New Roman" w:hAnsi="Times New Roman"/>
          <w:color w:val="444444"/>
          <w:sz w:val="20"/>
        </w:rPr>
        <w:t>'</w:t>
      </w:r>
      <w:r>
        <w:rPr>
          <w:rFonts w:ascii="Times New Roman" w:hAnsi="Times New Roman"/>
          <w:color w:val="444444"/>
          <w:sz w:val="20"/>
        </w:rPr>
        <w:t>ente</w:t>
      </w:r>
      <w:r>
        <w:t xml:space="preserve"> (</w:t>
      </w:r>
      <w:r>
        <w:rPr>
          <w:rFonts w:ascii="Times New Roman" w:hAnsi="Times New Roman"/>
          <w:color w:val="444444"/>
          <w:sz w:val="20"/>
        </w:rPr>
        <w:t>GU L 309 del 30.10.2014, pag. 5).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C0291" w14:textId="50F94529" w:rsidR="00E26A90" w:rsidRDefault="00E26A9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5DF06BF" wp14:editId="2504BD1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333081627" name="Text Box 2" descr="Per l'uso ordinario dell'A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01D1F0" w14:textId="36085F92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Per l</w:t>
                          </w:r>
                          <w:r w:rsidR="00882B1B"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'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uso ordinario dell</w:t>
                          </w:r>
                          <w:r w:rsidR="00882B1B"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'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ABE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DF06B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Per l'uso ordinario dell'ABE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7401D1F0" w14:textId="36085F92" w:rsidR="00E26A90" w:rsidRPr="00E26A90" w:rsidRDefault="00E26A90" w:rsidP="00E26A9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Per l</w:t>
                    </w:r>
                    <w:r w:rsidR="00882B1B">
                      <w:rPr>
                        <w:rFonts w:ascii="Calibri" w:hAnsi="Calibri"/>
                        <w:color w:val="000000"/>
                        <w:sz w:val="24"/>
                      </w:rPr>
                      <w:t>'</w:t>
                    </w: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uso ordinario dell</w:t>
                    </w:r>
                    <w:r w:rsidR="00882B1B">
                      <w:rPr>
                        <w:rFonts w:ascii="Calibri" w:hAnsi="Calibri"/>
                        <w:color w:val="000000"/>
                        <w:sz w:val="24"/>
                      </w:rPr>
                      <w:t>'</w:t>
                    </w: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ABE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2170D" w14:textId="140FE0A2" w:rsidR="00E26A90" w:rsidRDefault="00E26A9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02959BA" wp14:editId="629C4B63">
              <wp:simplePos x="914400" y="448733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23096923" name="Text Box 3" descr="Per l'uso ordinario dell'A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671D9F" w14:textId="2492A476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Per l</w:t>
                          </w:r>
                          <w:r w:rsidR="00882B1B"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'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uso ordinario dell</w:t>
                          </w:r>
                          <w:r w:rsidR="00882B1B"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'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ABE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2959B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Per l'uso ordinario dell'ABE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E671D9F" w14:textId="2492A476" w:rsidR="00E26A90" w:rsidRPr="00E26A90" w:rsidRDefault="00E26A90" w:rsidP="00E26A9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Per l</w:t>
                    </w:r>
                    <w:r w:rsidR="00882B1B">
                      <w:rPr>
                        <w:rFonts w:ascii="Calibri" w:hAnsi="Calibri"/>
                        <w:color w:val="000000"/>
                        <w:sz w:val="24"/>
                      </w:rPr>
                      <w:t>'</w:t>
                    </w: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uso ordinario dell</w:t>
                    </w:r>
                    <w:r w:rsidR="00882B1B">
                      <w:rPr>
                        <w:rFonts w:ascii="Calibri" w:hAnsi="Calibri"/>
                        <w:color w:val="000000"/>
                        <w:sz w:val="24"/>
                      </w:rPr>
                      <w:t>'</w:t>
                    </w: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ABE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97100" w14:textId="19F65C93" w:rsidR="00E26A90" w:rsidRDefault="00E26A9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B4A3D6F" wp14:editId="7B8D4E56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07670432" name="Text Box 1" descr="Per l'uso ordinario dell'A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2D1307" w14:textId="1CA649C6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Per l</w:t>
                          </w:r>
                          <w:r w:rsidR="00882B1B"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'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uso ordinario dell</w:t>
                          </w:r>
                          <w:r w:rsidR="00882B1B"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'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ABE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4A3D6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Per l'uso ordinario dell'ABE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452D1307" w14:textId="1CA649C6" w:rsidR="00E26A90" w:rsidRPr="00E26A90" w:rsidRDefault="00E26A90" w:rsidP="00E26A9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Per l</w:t>
                    </w:r>
                    <w:r w:rsidR="00882B1B">
                      <w:rPr>
                        <w:rFonts w:ascii="Calibri" w:hAnsi="Calibri"/>
                        <w:color w:val="000000"/>
                        <w:sz w:val="24"/>
                      </w:rPr>
                      <w:t>'</w:t>
                    </w: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uso ordinario dell</w:t>
                    </w:r>
                    <w:r w:rsidR="00882B1B">
                      <w:rPr>
                        <w:rFonts w:ascii="Calibri" w:hAnsi="Calibri"/>
                        <w:color w:val="000000"/>
                        <w:sz w:val="24"/>
                      </w:rPr>
                      <w:t>'</w:t>
                    </w: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ABE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5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8" w15:restartNumberingAfterBreak="0">
    <w:nsid w:val="2F7D7F02"/>
    <w:multiLevelType w:val="multilevel"/>
    <w:tmpl w:val="0407001D"/>
    <w:numStyleLink w:val="Formatvorlage3"/>
  </w:abstractNum>
  <w:abstractNum w:abstractNumId="9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24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5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7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05776359">
    <w:abstractNumId w:val="3"/>
  </w:num>
  <w:num w:numId="2" w16cid:durableId="1733112609">
    <w:abstractNumId w:val="19"/>
  </w:num>
  <w:num w:numId="3" w16cid:durableId="286200695">
    <w:abstractNumId w:val="27"/>
  </w:num>
  <w:num w:numId="4" w16cid:durableId="487287975">
    <w:abstractNumId w:val="14"/>
  </w:num>
  <w:num w:numId="5" w16cid:durableId="1754350949">
    <w:abstractNumId w:val="22"/>
  </w:num>
  <w:num w:numId="6" w16cid:durableId="1507597667">
    <w:abstractNumId w:val="12"/>
  </w:num>
  <w:num w:numId="7" w16cid:durableId="139271283">
    <w:abstractNumId w:val="26"/>
  </w:num>
  <w:num w:numId="8" w16cid:durableId="763764270">
    <w:abstractNumId w:val="5"/>
  </w:num>
  <w:num w:numId="9" w16cid:durableId="1561986968">
    <w:abstractNumId w:val="20"/>
  </w:num>
  <w:num w:numId="10" w16cid:durableId="1349260748">
    <w:abstractNumId w:val="10"/>
  </w:num>
  <w:num w:numId="11" w16cid:durableId="1097991330">
    <w:abstractNumId w:val="16"/>
  </w:num>
  <w:num w:numId="12" w16cid:durableId="858469680">
    <w:abstractNumId w:val="6"/>
  </w:num>
  <w:num w:numId="13" w16cid:durableId="1485394352">
    <w:abstractNumId w:val="21"/>
  </w:num>
  <w:num w:numId="14" w16cid:durableId="881021889">
    <w:abstractNumId w:val="18"/>
  </w:num>
  <w:num w:numId="15" w16cid:durableId="1923681300">
    <w:abstractNumId w:val="9"/>
  </w:num>
  <w:num w:numId="16" w16cid:durableId="211188018">
    <w:abstractNumId w:val="15"/>
  </w:num>
  <w:num w:numId="17" w16cid:durableId="373817584">
    <w:abstractNumId w:val="8"/>
  </w:num>
  <w:num w:numId="18" w16cid:durableId="1615165847">
    <w:abstractNumId w:val="23"/>
  </w:num>
  <w:num w:numId="19" w16cid:durableId="429467310">
    <w:abstractNumId w:val="4"/>
  </w:num>
  <w:num w:numId="20" w16cid:durableId="1079792157">
    <w:abstractNumId w:val="13"/>
  </w:num>
  <w:num w:numId="21" w16cid:durableId="1333265662">
    <w:abstractNumId w:val="2"/>
  </w:num>
  <w:num w:numId="22" w16cid:durableId="737484550">
    <w:abstractNumId w:val="11"/>
  </w:num>
  <w:num w:numId="23" w16cid:durableId="309210531">
    <w:abstractNumId w:val="25"/>
  </w:num>
  <w:num w:numId="24" w16cid:durableId="166527561">
    <w:abstractNumId w:val="1"/>
  </w:num>
  <w:num w:numId="25" w16cid:durableId="1544101633">
    <w:abstractNumId w:val="24"/>
  </w:num>
  <w:num w:numId="26" w16cid:durableId="44380249">
    <w:abstractNumId w:val="17"/>
  </w:num>
  <w:num w:numId="27" w16cid:durableId="1838038624">
    <w:abstractNumId w:val="0"/>
  </w:num>
  <w:num w:numId="28" w16cid:durableId="1856265522">
    <w:abstractNumId w:val="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E26A90"/>
    <w:rsid w:val="00021099"/>
    <w:rsid w:val="00071022"/>
    <w:rsid w:val="000C5380"/>
    <w:rsid w:val="00117723"/>
    <w:rsid w:val="00123FDD"/>
    <w:rsid w:val="001A2CA7"/>
    <w:rsid w:val="0020657D"/>
    <w:rsid w:val="00234FB5"/>
    <w:rsid w:val="00277C65"/>
    <w:rsid w:val="0035336C"/>
    <w:rsid w:val="00381D02"/>
    <w:rsid w:val="003C36D5"/>
    <w:rsid w:val="003D18F9"/>
    <w:rsid w:val="005644CB"/>
    <w:rsid w:val="005B37F0"/>
    <w:rsid w:val="005E7811"/>
    <w:rsid w:val="00631623"/>
    <w:rsid w:val="0064771D"/>
    <w:rsid w:val="00681B25"/>
    <w:rsid w:val="006D3385"/>
    <w:rsid w:val="007F4E89"/>
    <w:rsid w:val="00834508"/>
    <w:rsid w:val="00837F98"/>
    <w:rsid w:val="00882B1B"/>
    <w:rsid w:val="00910F63"/>
    <w:rsid w:val="00925032"/>
    <w:rsid w:val="009860C5"/>
    <w:rsid w:val="009D6580"/>
    <w:rsid w:val="00A6002C"/>
    <w:rsid w:val="00A6372B"/>
    <w:rsid w:val="00A931D0"/>
    <w:rsid w:val="00AF2BE6"/>
    <w:rsid w:val="00B3003C"/>
    <w:rsid w:val="00B56773"/>
    <w:rsid w:val="00B71F25"/>
    <w:rsid w:val="00BA13AD"/>
    <w:rsid w:val="00BD4911"/>
    <w:rsid w:val="00C04862"/>
    <w:rsid w:val="00CB2629"/>
    <w:rsid w:val="00D25C41"/>
    <w:rsid w:val="00DD798A"/>
    <w:rsid w:val="00E1246E"/>
    <w:rsid w:val="00E26A90"/>
    <w:rsid w:val="00E50DD0"/>
    <w:rsid w:val="00EF07A1"/>
    <w:rsid w:val="00F16E4D"/>
    <w:rsid w:val="00FB1404"/>
    <w:rsid w:val="00FD0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0DA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6580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9D6580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9D6580"/>
    <w:pPr>
      <w:keepNext/>
      <w:spacing w:before="240"/>
      <w:outlineLvl w:val="1"/>
    </w:pPr>
    <w:rPr>
      <w:rFonts w:eastAsia="Arial"/>
      <w:b/>
      <w:sz w:val="24"/>
      <w:u w:val="single"/>
      <w:lang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9D6580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9D6580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9D6580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9D6580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9D6580"/>
    <w:pPr>
      <w:spacing w:before="240" w:after="60"/>
      <w:outlineLvl w:val="6"/>
    </w:pPr>
    <w:rPr>
      <w:rFonts w:ascii="Times New Roman" w:eastAsia="Arial" w:hAnsi="Times New Roman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9D6580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9D6580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6A9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26A90"/>
  </w:style>
  <w:style w:type="character" w:customStyle="1" w:styleId="Heading1Char">
    <w:name w:val="Heading 1 Char"/>
    <w:aliases w:val="Cover title white Char"/>
    <w:basedOn w:val="DefaultParagraphFont"/>
    <w:link w:val="Heading1"/>
    <w:rsid w:val="009D6580"/>
    <w:rPr>
      <w:rFonts w:ascii="Verdana" w:eastAsia="Arial" w:hAnsi="Verdana" w:cs="Times New Roman"/>
      <w:b/>
      <w:kern w:val="0"/>
      <w:sz w:val="20"/>
      <w:szCs w:val="20"/>
      <w:u w:val="single"/>
      <w:lang w:eastAsia="x-none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9"/>
    <w:rsid w:val="009D6580"/>
    <w:rPr>
      <w:rFonts w:ascii="Verdana" w:eastAsia="Arial" w:hAnsi="Verdana" w:cs="Times New Roman"/>
      <w:b/>
      <w:kern w:val="0"/>
      <w:sz w:val="24"/>
      <w:szCs w:val="24"/>
      <w:u w:val="single"/>
      <w:lang w:val="it-IT" w:eastAsia="x-none"/>
      <w14:ligatures w14:val="none"/>
    </w:rPr>
  </w:style>
  <w:style w:type="character" w:customStyle="1" w:styleId="Heading3Char">
    <w:name w:val="Heading 3 Char"/>
    <w:aliases w:val="Title 2 Char"/>
    <w:basedOn w:val="DefaultParagraphFont"/>
    <w:uiPriority w:val="99"/>
    <w:rsid w:val="009D6580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9"/>
    <w:rsid w:val="009D6580"/>
    <w:rPr>
      <w:rFonts w:ascii="Verdana" w:eastAsia="Times New Roman" w:hAnsi="Verdana" w:cs="Times New Roman"/>
      <w:b/>
      <w:kern w:val="0"/>
      <w:sz w:val="20"/>
      <w:szCs w:val="24"/>
      <w:u w:val="single"/>
      <w14:ligatures w14:val="none"/>
    </w:rPr>
  </w:style>
  <w:style w:type="character" w:customStyle="1" w:styleId="Heading5Char">
    <w:name w:val="Heading 5 Char"/>
    <w:aliases w:val="Cover subtitle white Char"/>
    <w:basedOn w:val="DefaultParagraphFont"/>
    <w:link w:val="Heading5"/>
    <w:uiPriority w:val="1"/>
    <w:rsid w:val="009D6580"/>
    <w:rPr>
      <w:rFonts w:ascii="Arial" w:eastAsia="Arial" w:hAnsi="Arial" w:cs="Times New Roman"/>
      <w:b/>
      <w:i/>
      <w:kern w:val="0"/>
      <w:sz w:val="20"/>
      <w:szCs w:val="20"/>
      <w:lang w:val="it-IT" w:eastAsia="de-DE"/>
      <w14:ligatures w14:val="none"/>
    </w:rPr>
  </w:style>
  <w:style w:type="character" w:customStyle="1" w:styleId="Heading6Char">
    <w:name w:val="Heading 6 Char"/>
    <w:basedOn w:val="DefaultParagraphFont"/>
    <w:link w:val="Heading6"/>
    <w:rsid w:val="009D6580"/>
    <w:rPr>
      <w:rFonts w:ascii="Times New Roman" w:eastAsia="Arial" w:hAnsi="Times New Roman" w:cs="Times New Roman"/>
      <w:b/>
      <w:bCs/>
      <w:kern w:val="0"/>
      <w:sz w:val="20"/>
      <w:szCs w:val="20"/>
      <w:lang w:val="it-IT" w:eastAsia="de-DE"/>
      <w14:ligatures w14:val="none"/>
    </w:rPr>
  </w:style>
  <w:style w:type="character" w:customStyle="1" w:styleId="Heading7Char">
    <w:name w:val="Heading 7 Char"/>
    <w:basedOn w:val="DefaultParagraphFont"/>
    <w:link w:val="Heading7"/>
    <w:rsid w:val="009D6580"/>
    <w:rPr>
      <w:rFonts w:ascii="Times New Roman" w:eastAsia="Arial" w:hAnsi="Times New Roman" w:cs="Times New Roman"/>
      <w:kern w:val="0"/>
      <w:sz w:val="20"/>
      <w:szCs w:val="20"/>
      <w:lang w:val="it-IT" w:eastAsia="de-DE"/>
      <w14:ligatures w14:val="none"/>
    </w:rPr>
  </w:style>
  <w:style w:type="character" w:customStyle="1" w:styleId="Heading8Char">
    <w:name w:val="Heading 8 Char"/>
    <w:basedOn w:val="DefaultParagraphFont"/>
    <w:link w:val="Heading8"/>
    <w:rsid w:val="009D6580"/>
    <w:rPr>
      <w:rFonts w:ascii="Times New Roman" w:eastAsia="Arial" w:hAnsi="Times New Roman" w:cs="Times New Roman"/>
      <w:i/>
      <w:iCs/>
      <w:kern w:val="0"/>
      <w:sz w:val="20"/>
      <w:szCs w:val="20"/>
      <w:lang w:val="it-IT" w:eastAsia="de-DE"/>
      <w14:ligatures w14:val="none"/>
    </w:rPr>
  </w:style>
  <w:style w:type="character" w:customStyle="1" w:styleId="Heading9Char">
    <w:name w:val="Heading 9 Char"/>
    <w:basedOn w:val="DefaultParagraphFont"/>
    <w:link w:val="Heading9"/>
    <w:rsid w:val="009D6580"/>
    <w:rPr>
      <w:rFonts w:ascii="Arial" w:eastAsia="Arial" w:hAnsi="Arial" w:cs="Times New Roman"/>
      <w:kern w:val="0"/>
      <w:sz w:val="20"/>
      <w:szCs w:val="20"/>
      <w:lang w:val="it-IT" w:eastAsia="de-DE"/>
      <w14:ligatures w14:val="none"/>
    </w:rPr>
  </w:style>
  <w:style w:type="paragraph" w:styleId="TableofFigures">
    <w:name w:val="table of figures"/>
    <w:basedOn w:val="Normal"/>
    <w:next w:val="Normal"/>
    <w:qFormat/>
    <w:rsid w:val="009D6580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9D6580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9D6580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9D6580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9D6580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9D6580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basedOn w:val="DefaultParagraphFont"/>
    <w:link w:val="FootnoteText"/>
    <w:rsid w:val="009D6580"/>
    <w:rPr>
      <w:rFonts w:ascii="Arial" w:eastAsia="Arial" w:hAnsi="Arial" w:cs="Times New Roman"/>
      <w:kern w:val="0"/>
      <w:sz w:val="16"/>
      <w:szCs w:val="16"/>
      <w:lang w:val="it-IT" w:eastAsia="de-DE"/>
      <w14:ligatures w14:val="non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qFormat/>
    <w:rsid w:val="009D6580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9D6580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eastAsia="de-DE"/>
    </w:rPr>
  </w:style>
  <w:style w:type="character" w:customStyle="1" w:styleId="FooterChar">
    <w:name w:val="Footer Char"/>
    <w:basedOn w:val="DefaultParagraphFont"/>
    <w:link w:val="Footer"/>
    <w:uiPriority w:val="99"/>
    <w:rsid w:val="009D6580"/>
    <w:rPr>
      <w:rFonts w:ascii="Arial" w:eastAsia="Arial" w:hAnsi="Arial" w:cs="Times New Roman"/>
      <w:kern w:val="0"/>
      <w:sz w:val="14"/>
      <w:szCs w:val="14"/>
      <w:lang w:val="it-IT" w:eastAsia="de-DE"/>
      <w14:ligatures w14:val="none"/>
    </w:rPr>
  </w:style>
  <w:style w:type="paragraph" w:customStyle="1" w:styleId="GliederungmitAufzhlung">
    <w:name w:val="Gliederung mit Aufzählung"/>
    <w:basedOn w:val="Normal"/>
    <w:uiPriority w:val="1"/>
    <w:qFormat/>
    <w:rsid w:val="009D6580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9D6580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9D6580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9D6580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9D6580"/>
    <w:pPr>
      <w:spacing w:line="312" w:lineRule="auto"/>
      <w:ind w:left="1701" w:hanging="567"/>
    </w:pPr>
  </w:style>
  <w:style w:type="character" w:styleId="Hyperlink">
    <w:name w:val="Hyperlink"/>
    <w:uiPriority w:val="99"/>
    <w:rsid w:val="009D6580"/>
    <w:rPr>
      <w:rFonts w:cs="Times New Roman"/>
      <w:color w:val="0000FF"/>
      <w:u w:val="single"/>
    </w:rPr>
  </w:style>
  <w:style w:type="paragraph" w:customStyle="1" w:styleId="Marginalspalte">
    <w:name w:val="Marginalspalte"/>
    <w:basedOn w:val="Normal"/>
    <w:uiPriority w:val="1"/>
    <w:qFormat/>
    <w:rsid w:val="009D6580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9D6580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9D6580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9D6580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9D6580"/>
    <w:pPr>
      <w:numPr>
        <w:numId w:val="12"/>
      </w:numPr>
    </w:pPr>
  </w:style>
  <w:style w:type="character" w:styleId="PageNumber">
    <w:name w:val="page number"/>
    <w:uiPriority w:val="99"/>
    <w:rsid w:val="009D6580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9D6580"/>
    <w:rPr>
      <w:rFonts w:ascii="Arial" w:eastAsia="Arial" w:hAnsi="Arial" w:cs="Times New Roman"/>
      <w:b/>
      <w:kern w:val="0"/>
      <w:sz w:val="20"/>
      <w:szCs w:val="20"/>
      <w:lang w:val="it-IT" w:eastAsia="de-DE"/>
      <w14:ligatures w14:val="none"/>
    </w:rPr>
  </w:style>
  <w:style w:type="paragraph" w:styleId="TOC1">
    <w:name w:val="toc 1"/>
    <w:basedOn w:val="Normal"/>
    <w:next w:val="Normal"/>
    <w:autoRedefine/>
    <w:uiPriority w:val="39"/>
    <w:qFormat/>
    <w:rsid w:val="009D6580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9D6580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9D6580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9D6580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9D6580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9D6580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9D6580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9D6580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9D6580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9D6580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basedOn w:val="DefaultParagraphFont"/>
    <w:link w:val="Quote"/>
    <w:uiPriority w:val="29"/>
    <w:rsid w:val="009D6580"/>
    <w:rPr>
      <w:rFonts w:ascii="Arial" w:eastAsia="Arial" w:hAnsi="Arial" w:cs="Times New Roman"/>
      <w:i/>
      <w:iCs/>
      <w:color w:val="000000"/>
      <w:kern w:val="0"/>
      <w:sz w:val="20"/>
      <w:szCs w:val="20"/>
      <w:lang w:val="it-IT" w:eastAsia="de-DE"/>
      <w14:ligatures w14:val="none"/>
    </w:rPr>
  </w:style>
  <w:style w:type="paragraph" w:styleId="TOCHeading">
    <w:name w:val="TOC Heading"/>
    <w:basedOn w:val="Heading1"/>
    <w:next w:val="Normal"/>
    <w:uiPriority w:val="39"/>
    <w:qFormat/>
    <w:rsid w:val="009D6580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9D6580"/>
    <w:pPr>
      <w:spacing w:line="180" w:lineRule="exact"/>
      <w:ind w:left="142" w:hanging="142"/>
    </w:pPr>
    <w:rPr>
      <w:rFonts w:ascii="Arial" w:eastAsia="Arial" w:hAnsi="Arial"/>
      <w:szCs w:val="20"/>
      <w:lang w:eastAsia="de-DE"/>
    </w:rPr>
  </w:style>
  <w:style w:type="character" w:customStyle="1" w:styleId="EndnoteTextChar">
    <w:name w:val="Endnote Text Char"/>
    <w:basedOn w:val="DefaultParagraphFont"/>
    <w:link w:val="EndnoteText"/>
    <w:uiPriority w:val="1"/>
    <w:rsid w:val="009D6580"/>
    <w:rPr>
      <w:rFonts w:ascii="Arial" w:eastAsia="Arial" w:hAnsi="Arial" w:cs="Times New Roman"/>
      <w:kern w:val="0"/>
      <w:sz w:val="20"/>
      <w:szCs w:val="20"/>
      <w:lang w:val="it-IT" w:eastAsia="de-DE"/>
      <w14:ligatures w14:val="none"/>
    </w:rPr>
  </w:style>
  <w:style w:type="character" w:styleId="EndnoteReference">
    <w:name w:val="endnote reference"/>
    <w:uiPriority w:val="1"/>
    <w:rsid w:val="009D6580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9D6580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9D658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D6580"/>
    <w:rPr>
      <w:rFonts w:eastAsia="Arial"/>
      <w:szCs w:val="20"/>
      <w:lang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6580"/>
    <w:rPr>
      <w:rFonts w:ascii="Verdana" w:eastAsia="Arial" w:hAnsi="Verdana" w:cs="Times New Roman"/>
      <w:kern w:val="0"/>
      <w:sz w:val="20"/>
      <w:szCs w:val="20"/>
      <w:lang w:val="it-IT" w:eastAsia="x-none"/>
      <w14:ligatures w14:val="none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9D6580"/>
    <w:rPr>
      <w:b/>
      <w:bCs/>
    </w:rPr>
  </w:style>
  <w:style w:type="character" w:styleId="FollowedHyperlink">
    <w:name w:val="FollowedHyperlink"/>
    <w:uiPriority w:val="99"/>
    <w:rsid w:val="009D6580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9D6580"/>
    <w:rPr>
      <w:rFonts w:ascii="Tahoma" w:eastAsia="Arial" w:hAnsi="Tahoma"/>
      <w:sz w:val="16"/>
      <w:szCs w:val="16"/>
      <w:lang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D6580"/>
    <w:rPr>
      <w:rFonts w:ascii="Tahoma" w:eastAsia="Arial" w:hAnsi="Tahoma" w:cs="Times New Roman"/>
      <w:kern w:val="0"/>
      <w:sz w:val="16"/>
      <w:szCs w:val="16"/>
      <w:lang w:val="it-IT" w:eastAsia="x-none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9D65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D6580"/>
    <w:rPr>
      <w:rFonts w:ascii="Verdana" w:eastAsia="Arial" w:hAnsi="Verdana" w:cs="Times New Roman"/>
      <w:b/>
      <w:bCs/>
      <w:kern w:val="0"/>
      <w:sz w:val="20"/>
      <w:szCs w:val="20"/>
      <w:lang w:val="it-IT" w:eastAsia="x-none"/>
      <w14:ligatures w14:val="none"/>
    </w:rPr>
  </w:style>
  <w:style w:type="table" w:styleId="TableGrid">
    <w:name w:val="Table Grid"/>
    <w:aliases w:val="Tabla CUADROS"/>
    <w:basedOn w:val="TableNormal"/>
    <w:uiPriority w:val="59"/>
    <w:rsid w:val="009D658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n-GB" w:bidi="ne-NP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9D6580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9D6580"/>
    <w:rPr>
      <w:rFonts w:ascii="Verdana" w:eastAsia="Times New Roman" w:hAnsi="Verdana" w:cs="Times New Roman"/>
      <w:b/>
      <w:iCs/>
      <w:kern w:val="0"/>
      <w:sz w:val="20"/>
      <w:szCs w:val="28"/>
      <w:u w:val="single"/>
      <w14:ligatures w14:val="none"/>
    </w:rPr>
  </w:style>
  <w:style w:type="paragraph" w:customStyle="1" w:styleId="Instructionsberschrift1">
    <w:name w:val="Instructions Überschrift 1"/>
    <w:basedOn w:val="Heading1"/>
    <w:rsid w:val="009D6580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9D6580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9D6580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eastAsia="en-US"/>
    </w:rPr>
  </w:style>
  <w:style w:type="character" w:customStyle="1" w:styleId="Instructionsberschrift3Zchn">
    <w:name w:val="Instructions Überschrift 3 Zchn"/>
    <w:link w:val="Instructionsberschrift3"/>
    <w:locked/>
    <w:rsid w:val="009D6580"/>
    <w:rPr>
      <w:rFonts w:ascii="Verdana" w:eastAsia="Times New Roman" w:hAnsi="Verdana" w:cs="Times New Roman"/>
      <w:b/>
      <w:kern w:val="0"/>
      <w:sz w:val="20"/>
      <w:szCs w:val="26"/>
      <w:u w:val="single"/>
      <w14:ligatures w14:val="none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9D6580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9D6580"/>
    <w:pPr>
      <w:spacing w:before="0"/>
      <w:ind w:left="360"/>
    </w:pPr>
    <w:rPr>
      <w:rFonts w:ascii="Times New Roman" w:hAnsi="Times New Roman"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9D6580"/>
    <w:rPr>
      <w:rFonts w:ascii="Verdana" w:eastAsia="Times New Roman" w:hAnsi="Verdana" w:cs="Times New Roman"/>
      <w:b/>
      <w:bCs/>
      <w:kern w:val="0"/>
      <w:sz w:val="20"/>
      <w:szCs w:val="24"/>
      <w:u w:val="single"/>
      <w14:ligatures w14:val="none"/>
    </w:rPr>
  </w:style>
  <w:style w:type="character" w:customStyle="1" w:styleId="InstructionsTabelleberschrift">
    <w:name w:val="Instructions Tabelle Überschrift"/>
    <w:qFormat/>
    <w:rsid w:val="009D6580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9D6580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9D6580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9D6580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9D6580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9D6580"/>
    <w:pPr>
      <w:ind w:left="720"/>
    </w:pPr>
  </w:style>
  <w:style w:type="paragraph" w:customStyle="1" w:styleId="Prrafodelista2">
    <w:name w:val="Párrafo de lista2"/>
    <w:basedOn w:val="Normal"/>
    <w:uiPriority w:val="99"/>
    <w:rsid w:val="009D6580"/>
    <w:pPr>
      <w:ind w:left="708"/>
    </w:pPr>
  </w:style>
  <w:style w:type="paragraph" w:styleId="PlainText">
    <w:name w:val="Plain Text"/>
    <w:basedOn w:val="Normal"/>
    <w:link w:val="PlainTextChar"/>
    <w:uiPriority w:val="99"/>
    <w:rsid w:val="009D6580"/>
    <w:pPr>
      <w:spacing w:before="0" w:after="0"/>
      <w:jc w:val="left"/>
    </w:pPr>
    <w:rPr>
      <w:rFonts w:eastAsia="Arial"/>
      <w:szCs w:val="20"/>
      <w:lang w:eastAsia="es-ES_tradnl"/>
    </w:rPr>
  </w:style>
  <w:style w:type="character" w:customStyle="1" w:styleId="PlainTextChar">
    <w:name w:val="Plain Text Char"/>
    <w:basedOn w:val="DefaultParagraphFont"/>
    <w:link w:val="PlainText"/>
    <w:uiPriority w:val="99"/>
    <w:rsid w:val="009D6580"/>
    <w:rPr>
      <w:rFonts w:ascii="Verdana" w:eastAsia="Arial" w:hAnsi="Verdana" w:cs="Times New Roman"/>
      <w:kern w:val="0"/>
      <w:sz w:val="20"/>
      <w:szCs w:val="20"/>
      <w:lang w:val="it-IT" w:eastAsia="es-ES_tradnl"/>
      <w14:ligatures w14:val="none"/>
    </w:rPr>
  </w:style>
  <w:style w:type="paragraph" w:customStyle="1" w:styleId="Listenabsatz1">
    <w:name w:val="Listenabsatz1"/>
    <w:basedOn w:val="Normal"/>
    <w:uiPriority w:val="99"/>
    <w:rsid w:val="009D6580"/>
    <w:pPr>
      <w:ind w:left="708"/>
    </w:pPr>
  </w:style>
  <w:style w:type="character" w:customStyle="1" w:styleId="InstructionsTextChar">
    <w:name w:val="Instructions Text Char"/>
    <w:link w:val="InstructionsText"/>
    <w:locked/>
    <w:rsid w:val="009D6580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styleId="Revision">
    <w:name w:val="Revision"/>
    <w:hidden/>
    <w:uiPriority w:val="99"/>
    <w:semiHidden/>
    <w:rsid w:val="009D6580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ListParagraph">
    <w:name w:val="List Paragraph"/>
    <w:basedOn w:val="Normal"/>
    <w:link w:val="ListParagraphChar"/>
    <w:uiPriority w:val="34"/>
    <w:qFormat/>
    <w:rsid w:val="009D6580"/>
    <w:pPr>
      <w:ind w:left="708"/>
    </w:pPr>
  </w:style>
  <w:style w:type="character" w:styleId="PlaceholderText">
    <w:name w:val="Placeholder Text"/>
    <w:uiPriority w:val="99"/>
    <w:semiHidden/>
    <w:rsid w:val="009D6580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9D6580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9D6580"/>
    <w:rPr>
      <w:rFonts w:ascii="Verdana" w:hAnsi="Verdana" w:cs="Arial"/>
      <w:b/>
      <w:bCs/>
      <w:sz w:val="26"/>
      <w:szCs w:val="26"/>
      <w:u w:val="single"/>
      <w:lang w:val="it-IT" w:eastAsia="en-US" w:bidi="ar-SA"/>
    </w:rPr>
  </w:style>
  <w:style w:type="paragraph" w:customStyle="1" w:styleId="CM4">
    <w:name w:val="CM4"/>
    <w:basedOn w:val="Normal"/>
    <w:next w:val="Normal"/>
    <w:uiPriority w:val="99"/>
    <w:rsid w:val="009D6580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9D6580"/>
    <w:pPr>
      <w:spacing w:before="0" w:after="0"/>
    </w:pPr>
    <w:rPr>
      <w:rFonts w:ascii="Tahoma" w:eastAsia="Arial" w:hAnsi="Tahoma"/>
      <w:sz w:val="16"/>
      <w:szCs w:val="16"/>
      <w:lang w:eastAsia="x-non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D6580"/>
    <w:rPr>
      <w:rFonts w:ascii="Tahoma" w:eastAsia="Arial" w:hAnsi="Tahoma" w:cs="Times New Roman"/>
      <w:kern w:val="0"/>
      <w:sz w:val="16"/>
      <w:szCs w:val="16"/>
      <w:lang w:val="it-IT" w:eastAsia="x-none"/>
      <w14:ligatures w14:val="none"/>
    </w:rPr>
  </w:style>
  <w:style w:type="paragraph" w:customStyle="1" w:styleId="Titrearticle">
    <w:name w:val="Titre article"/>
    <w:basedOn w:val="Normal"/>
    <w:next w:val="Normal"/>
    <w:rsid w:val="009D6580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9D6580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9D6580"/>
    <w:rPr>
      <w:rFonts w:ascii="Times New Roman" w:eastAsia="Arial" w:hAnsi="Times New Roman" w:cs="Times New Roman"/>
      <w:kern w:val="0"/>
      <w:sz w:val="24"/>
      <w:szCs w:val="20"/>
      <w:lang w:eastAsia="en-GB"/>
      <w14:ligatures w14:val="none"/>
    </w:rPr>
  </w:style>
  <w:style w:type="character" w:customStyle="1" w:styleId="NumPar1Char">
    <w:name w:val="NumPar 1 Char"/>
    <w:link w:val="NumPar1"/>
    <w:uiPriority w:val="99"/>
    <w:locked/>
    <w:rsid w:val="009D6580"/>
    <w:rPr>
      <w:rFonts w:cs="Times New Roman"/>
      <w:sz w:val="24"/>
      <w:szCs w:val="24"/>
      <w:lang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9D6580"/>
    <w:pPr>
      <w:tabs>
        <w:tab w:val="num" w:pos="850"/>
      </w:tabs>
      <w:ind w:left="850" w:hanging="850"/>
    </w:pPr>
    <w:rPr>
      <w:rFonts w:asciiTheme="minorHAnsi" w:eastAsiaTheme="minorHAnsi" w:hAnsiTheme="minorHAnsi"/>
      <w:kern w:val="2"/>
      <w:sz w:val="24"/>
      <w:lang w:eastAsia="de-DE"/>
      <w14:ligatures w14:val="standardContextual"/>
    </w:rPr>
  </w:style>
  <w:style w:type="character" w:customStyle="1" w:styleId="Point1letterChar">
    <w:name w:val="Point 1 (letter) Char"/>
    <w:link w:val="Point1letter"/>
    <w:uiPriority w:val="99"/>
    <w:locked/>
    <w:rsid w:val="009D6580"/>
    <w:rPr>
      <w:rFonts w:cs="Times New Roman"/>
      <w:sz w:val="24"/>
      <w:szCs w:val="24"/>
    </w:rPr>
  </w:style>
  <w:style w:type="paragraph" w:customStyle="1" w:styleId="Point1letter">
    <w:name w:val="Point 1 (letter)"/>
    <w:basedOn w:val="Normal"/>
    <w:link w:val="Point1letterChar"/>
    <w:uiPriority w:val="99"/>
    <w:rsid w:val="009D6580"/>
    <w:pPr>
      <w:tabs>
        <w:tab w:val="num" w:pos="360"/>
      </w:tabs>
      <w:ind w:left="1417" w:hanging="567"/>
    </w:pPr>
    <w:rPr>
      <w:rFonts w:asciiTheme="minorHAnsi" w:eastAsiaTheme="minorHAnsi" w:hAnsiTheme="minorHAnsi"/>
      <w:kern w:val="2"/>
      <w:sz w:val="24"/>
      <w14:ligatures w14:val="standardContextual"/>
    </w:rPr>
  </w:style>
  <w:style w:type="numbering" w:customStyle="1" w:styleId="Formatvorlage2">
    <w:name w:val="Formatvorlage2"/>
    <w:uiPriority w:val="99"/>
    <w:rsid w:val="009D6580"/>
    <w:pPr>
      <w:numPr>
        <w:numId w:val="6"/>
      </w:numPr>
    </w:pPr>
  </w:style>
  <w:style w:type="numbering" w:customStyle="1" w:styleId="Formatvorlage3">
    <w:name w:val="Formatvorlage3"/>
    <w:uiPriority w:val="99"/>
    <w:rsid w:val="009D6580"/>
    <w:pPr>
      <w:numPr>
        <w:numId w:val="16"/>
      </w:numPr>
    </w:pPr>
  </w:style>
  <w:style w:type="numbering" w:customStyle="1" w:styleId="Formatvorlage1">
    <w:name w:val="Formatvorlage1"/>
    <w:uiPriority w:val="99"/>
    <w:rsid w:val="009D6580"/>
    <w:pPr>
      <w:numPr>
        <w:numId w:val="5"/>
      </w:numPr>
    </w:pPr>
  </w:style>
  <w:style w:type="numbering" w:customStyle="1" w:styleId="Formatvorlage4">
    <w:name w:val="Formatvorlage4"/>
    <w:uiPriority w:val="99"/>
    <w:rsid w:val="009D6580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9D6580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9D6580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9D6580"/>
    <w:rPr>
      <w:rFonts w:ascii="Verdana" w:eastAsia="Times New Roman" w:hAnsi="Verdana" w:cs="Times New Roman"/>
      <w:i/>
      <w:iCs/>
      <w:color w:val="000000"/>
      <w:kern w:val="0"/>
      <w:sz w:val="20"/>
      <w:szCs w:val="24"/>
      <w14:ligatures w14:val="none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9D6580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9D6580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Listenabsatz2">
    <w:name w:val="Listenabsatz2"/>
    <w:basedOn w:val="Normal"/>
    <w:uiPriority w:val="99"/>
    <w:qFormat/>
    <w:rsid w:val="009D6580"/>
    <w:pPr>
      <w:ind w:left="708"/>
    </w:pPr>
  </w:style>
  <w:style w:type="character" w:customStyle="1" w:styleId="Platzhaltertext1">
    <w:name w:val="Platzhaltertext1"/>
    <w:uiPriority w:val="99"/>
    <w:semiHidden/>
    <w:rsid w:val="009D6580"/>
    <w:rPr>
      <w:color w:val="808080"/>
    </w:rPr>
  </w:style>
  <w:style w:type="paragraph" w:customStyle="1" w:styleId="Default">
    <w:name w:val="Default"/>
    <w:rsid w:val="009D6580"/>
    <w:pPr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en-GB"/>
      <w14:ligatures w14:val="none"/>
    </w:rPr>
  </w:style>
  <w:style w:type="paragraph" w:customStyle="1" w:styleId="CM1">
    <w:name w:val="CM1"/>
    <w:basedOn w:val="Default"/>
    <w:next w:val="Default"/>
    <w:uiPriority w:val="99"/>
    <w:rsid w:val="009D6580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9D6580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rsid w:val="009D6580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rsid w:val="009D6580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9D6580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9D6580"/>
    <w:pPr>
      <w:spacing w:before="240" w:after="120" w:line="276" w:lineRule="auto"/>
      <w:jc w:val="both"/>
    </w:pPr>
    <w:rPr>
      <w:rFonts w:eastAsiaTheme="minorEastAsia"/>
      <w:kern w:val="0"/>
      <w:szCs w:val="24"/>
      <w14:ligatures w14:val="none"/>
    </w:rPr>
  </w:style>
  <w:style w:type="paragraph" w:customStyle="1" w:styleId="Applicationdirecte">
    <w:name w:val="Application directe"/>
    <w:basedOn w:val="Normal"/>
    <w:next w:val="Fait"/>
    <w:rsid w:val="009D6580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9D6580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9D6580"/>
    <w:pPr>
      <w:numPr>
        <w:numId w:val="25"/>
      </w:numPr>
    </w:pPr>
  </w:style>
  <w:style w:type="paragraph" w:customStyle="1" w:styleId="Numberedtitlelevel2">
    <w:name w:val="Numbered title level 2"/>
    <w:basedOn w:val="Titlelevel2"/>
    <w:next w:val="body"/>
    <w:qFormat/>
    <w:rsid w:val="009D6580"/>
    <w:pPr>
      <w:numPr>
        <w:ilvl w:val="1"/>
        <w:numId w:val="25"/>
      </w:numPr>
    </w:pPr>
  </w:style>
  <w:style w:type="paragraph" w:customStyle="1" w:styleId="Titlelevel2">
    <w:name w:val="Title level 2"/>
    <w:qFormat/>
    <w:rsid w:val="009D6580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44546A" w:themeColor="text2"/>
      <w:kern w:val="0"/>
      <w:sz w:val="32"/>
      <w:szCs w:val="24"/>
      <w14:ligatures w14:val="none"/>
    </w:rPr>
  </w:style>
  <w:style w:type="paragraph" w:customStyle="1" w:styleId="Tableheader">
    <w:name w:val="Table header"/>
    <w:next w:val="Tabledata"/>
    <w:qFormat/>
    <w:rsid w:val="009D6580"/>
    <w:pPr>
      <w:spacing w:after="80" w:line="240" w:lineRule="auto"/>
    </w:pPr>
    <w:rPr>
      <w:rFonts w:ascii="Calibri" w:eastAsia="Times New Roman" w:hAnsi="Calibri" w:cs="Times New Roman"/>
      <w:b/>
      <w:color w:val="000000"/>
      <w:kern w:val="0"/>
      <w14:ligatures w14:val="none"/>
    </w:rPr>
  </w:style>
  <w:style w:type="paragraph" w:customStyle="1" w:styleId="Tabledata">
    <w:name w:val="Table data"/>
    <w:basedOn w:val="body"/>
    <w:qFormat/>
    <w:rsid w:val="009D6580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9D6580"/>
    <w:pPr>
      <w:numPr>
        <w:numId w:val="23"/>
      </w:numPr>
      <w:spacing w:after="0" w:line="240" w:lineRule="auto"/>
    </w:pPr>
    <w:rPr>
      <w:rFonts w:eastAsiaTheme="minorEastAsia"/>
      <w:kern w:val="0"/>
      <w14:ligatures w14:val="none"/>
    </w:rPr>
  </w:style>
  <w:style w:type="table" w:styleId="TableProfessional">
    <w:name w:val="Table Professional"/>
    <w:basedOn w:val="TableNormal"/>
    <w:uiPriority w:val="99"/>
    <w:semiHidden/>
    <w:unhideWhenUsed/>
    <w:rsid w:val="009D6580"/>
    <w:pPr>
      <w:spacing w:after="0" w:line="240" w:lineRule="auto"/>
    </w:pPr>
    <w:rPr>
      <w:rFonts w:eastAsiaTheme="minorEastAsia"/>
      <w:kern w:val="0"/>
      <w:sz w:val="24"/>
      <w:szCs w:val="24"/>
      <w14:ligatures w14:val="non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9D6580"/>
    <w:pPr>
      <w:numPr>
        <w:numId w:val="24"/>
      </w:numPr>
      <w:spacing w:before="240" w:after="120" w:line="240" w:lineRule="auto"/>
      <w:contextualSpacing/>
    </w:pPr>
    <w:rPr>
      <w:rFonts w:eastAsiaTheme="minorEastAsia"/>
      <w:kern w:val="0"/>
      <w:szCs w:val="24"/>
      <w14:ligatures w14:val="none"/>
    </w:rPr>
  </w:style>
  <w:style w:type="paragraph" w:customStyle="1" w:styleId="Titlelevel1">
    <w:name w:val="Title level 1"/>
    <w:autoRedefine/>
    <w:qFormat/>
    <w:rsid w:val="009D6580"/>
    <w:pPr>
      <w:pBdr>
        <w:bottom w:val="single" w:sz="8" w:space="1" w:color="44546A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44546A" w:themeColor="text2"/>
      <w:spacing w:val="5"/>
      <w:kern w:val="28"/>
      <w:sz w:val="52"/>
      <w:szCs w:val="52"/>
      <w14:ligatures w14:val="none"/>
    </w:rPr>
  </w:style>
  <w:style w:type="paragraph" w:customStyle="1" w:styleId="Titlelevel3">
    <w:name w:val="Title level 3"/>
    <w:qFormat/>
    <w:rsid w:val="009D6580"/>
    <w:pPr>
      <w:spacing w:before="240" w:after="240" w:line="240" w:lineRule="auto"/>
    </w:pPr>
    <w:rPr>
      <w:rFonts w:eastAsiaTheme="minorEastAsia"/>
      <w:b/>
      <w:color w:val="44546A" w:themeColor="text2"/>
      <w:kern w:val="0"/>
      <w:sz w:val="24"/>
      <w:szCs w:val="24"/>
      <w14:ligatures w14:val="none"/>
    </w:rPr>
  </w:style>
  <w:style w:type="paragraph" w:customStyle="1" w:styleId="Titlelevel4">
    <w:name w:val="Title level 4"/>
    <w:next w:val="body"/>
    <w:qFormat/>
    <w:rsid w:val="009D6580"/>
    <w:pPr>
      <w:spacing w:before="240" w:after="240" w:line="240" w:lineRule="auto"/>
    </w:pPr>
    <w:rPr>
      <w:rFonts w:eastAsiaTheme="minorEastAsia"/>
      <w:color w:val="E7E6E6" w:themeColor="background2"/>
      <w:kern w:val="0"/>
      <w:sz w:val="24"/>
      <w:szCs w:val="24"/>
      <w14:ligatures w14:val="none"/>
    </w:rPr>
  </w:style>
  <w:style w:type="paragraph" w:customStyle="1" w:styleId="Figuretitle">
    <w:name w:val="Figure title"/>
    <w:basedOn w:val="body"/>
    <w:next w:val="Normal"/>
    <w:autoRedefine/>
    <w:qFormat/>
    <w:rsid w:val="009D6580"/>
    <w:pPr>
      <w:keepNext/>
      <w:spacing w:before="360" w:after="360"/>
    </w:pPr>
    <w:rPr>
      <w:rFonts w:eastAsia="Times New Roman" w:cs="Times New Roman"/>
      <w:bCs/>
      <w:noProof/>
      <w:color w:val="44546A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9D6580"/>
    <w:pPr>
      <w:spacing w:after="0" w:line="240" w:lineRule="auto"/>
    </w:pPr>
    <w:rPr>
      <w:rFonts w:eastAsiaTheme="minorEastAsia"/>
      <w:kern w:val="0"/>
      <w:sz w:val="24"/>
      <w:szCs w:val="24"/>
      <w14:ligatures w14:val="none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7E6E6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7E6E6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9D6580"/>
    <w:pPr>
      <w:spacing w:after="0" w:line="240" w:lineRule="auto"/>
    </w:pPr>
    <w:rPr>
      <w:rFonts w:eastAsiaTheme="minorEastAsia"/>
      <w:caps/>
      <w:kern w:val="0"/>
      <w:sz w:val="16"/>
      <w:szCs w:val="18"/>
      <w14:ligatures w14:val="none"/>
    </w:rPr>
  </w:style>
  <w:style w:type="paragraph" w:customStyle="1" w:styleId="bullet1">
    <w:name w:val="bullet 1"/>
    <w:basedOn w:val="body"/>
    <w:next w:val="body"/>
    <w:qFormat/>
    <w:rsid w:val="009D6580"/>
    <w:pPr>
      <w:numPr>
        <w:numId w:val="21"/>
      </w:numPr>
    </w:pPr>
    <w:rPr>
      <w:szCs w:val="22"/>
    </w:rPr>
  </w:style>
  <w:style w:type="paragraph" w:customStyle="1" w:styleId="bullet2">
    <w:name w:val="bullet 2"/>
    <w:basedOn w:val="body"/>
    <w:qFormat/>
    <w:rsid w:val="009D6580"/>
    <w:pPr>
      <w:numPr>
        <w:numId w:val="20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9D6580"/>
    <w:pPr>
      <w:numPr>
        <w:ilvl w:val="2"/>
        <w:numId w:val="25"/>
      </w:numPr>
    </w:pPr>
  </w:style>
  <w:style w:type="table" w:styleId="LightShading">
    <w:name w:val="Light Shading"/>
    <w:basedOn w:val="TableNormal"/>
    <w:uiPriority w:val="60"/>
    <w:rsid w:val="009D6580"/>
    <w:pPr>
      <w:spacing w:after="0" w:line="240" w:lineRule="auto"/>
    </w:pPr>
    <w:rPr>
      <w:rFonts w:eastAsiaTheme="minorEastAsia"/>
      <w:color w:val="000000" w:themeColor="text1" w:themeShade="BF"/>
      <w:kern w:val="0"/>
      <w:sz w:val="24"/>
      <w:szCs w:val="24"/>
      <w14:ligatures w14:val="none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9D6580"/>
    <w:pPr>
      <w:spacing w:after="0" w:line="240" w:lineRule="auto"/>
    </w:pPr>
    <w:rPr>
      <w:rFonts w:eastAsiaTheme="minorEastAsia"/>
      <w:color w:val="2F5496" w:themeColor="accent1" w:themeShade="BF"/>
      <w:kern w:val="0"/>
      <w:sz w:val="24"/>
      <w:szCs w:val="24"/>
      <w14:ligatures w14:val="none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9D6580"/>
  </w:style>
  <w:style w:type="paragraph" w:customStyle="1" w:styleId="Numberedtitlelevel4">
    <w:name w:val="Numbered title level 4"/>
    <w:basedOn w:val="Titlelevel4"/>
    <w:qFormat/>
    <w:rsid w:val="009D6580"/>
    <w:pPr>
      <w:numPr>
        <w:numId w:val="22"/>
      </w:numPr>
    </w:pPr>
  </w:style>
  <w:style w:type="paragraph" w:styleId="Title">
    <w:name w:val="Title"/>
    <w:basedOn w:val="Normal"/>
    <w:next w:val="Normal"/>
    <w:link w:val="TitleChar"/>
    <w:qFormat/>
    <w:rsid w:val="009D6580"/>
    <w:pPr>
      <w:pBdr>
        <w:bottom w:val="single" w:sz="8" w:space="4" w:color="4472C4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44546A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9D6580"/>
    <w:rPr>
      <w:rFonts w:asciiTheme="majorHAnsi" w:eastAsiaTheme="majorEastAsia" w:hAnsiTheme="majorHAnsi" w:cstheme="majorBidi"/>
      <w:color w:val="44546A" w:themeColor="text2"/>
      <w:spacing w:val="5"/>
      <w:kern w:val="28"/>
      <w:sz w:val="52"/>
      <w:szCs w:val="52"/>
      <w:lang w:val="it-IT"/>
      <w14:ligatures w14:val="none"/>
    </w:rPr>
  </w:style>
  <w:style w:type="paragraph" w:styleId="Subtitle">
    <w:name w:val="Subtitle"/>
    <w:next w:val="Normal"/>
    <w:link w:val="SubtitleChar"/>
    <w:autoRedefine/>
    <w:uiPriority w:val="11"/>
    <w:qFormat/>
    <w:rsid w:val="009D6580"/>
    <w:pPr>
      <w:numPr>
        <w:ilvl w:val="1"/>
      </w:numPr>
      <w:spacing w:before="240" w:after="120" w:line="240" w:lineRule="auto"/>
    </w:pPr>
    <w:rPr>
      <w:rFonts w:asciiTheme="majorHAnsi" w:eastAsiaTheme="majorEastAsia" w:hAnsiTheme="majorHAnsi" w:cstheme="majorBidi"/>
      <w:color w:val="4472C4" w:themeColor="accent1"/>
      <w:kern w:val="0"/>
      <w:sz w:val="32"/>
      <w:szCs w:val="32"/>
      <w14:ligatures w14:val="none"/>
    </w:rPr>
  </w:style>
  <w:style w:type="character" w:customStyle="1" w:styleId="SubtitleChar">
    <w:name w:val="Subtitle Char"/>
    <w:basedOn w:val="DefaultParagraphFont"/>
    <w:link w:val="Subtitle"/>
    <w:uiPriority w:val="11"/>
    <w:rsid w:val="009D6580"/>
    <w:rPr>
      <w:rFonts w:asciiTheme="majorHAnsi" w:eastAsiaTheme="majorEastAsia" w:hAnsiTheme="majorHAnsi" w:cstheme="majorBidi"/>
      <w:color w:val="4472C4" w:themeColor="accent1"/>
      <w:kern w:val="0"/>
      <w:sz w:val="32"/>
      <w:szCs w:val="32"/>
      <w14:ligatures w14:val="none"/>
    </w:rPr>
  </w:style>
  <w:style w:type="character" w:styleId="BookTitle">
    <w:name w:val="Book Title"/>
    <w:basedOn w:val="DefaultParagraphFont"/>
    <w:uiPriority w:val="33"/>
    <w:qFormat/>
    <w:rsid w:val="009D6580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9D6580"/>
    <w:rPr>
      <w:rFonts w:asciiTheme="minorHAnsi" w:hAnsiTheme="minorHAnsi"/>
      <w:b/>
      <w:bCs/>
      <w:caps w:val="0"/>
      <w:smallCaps w:val="0"/>
      <w:color w:val="E7E6E6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9D6580"/>
    <w:rPr>
      <w:bCs/>
      <w:lang w:eastAsia="en-GB"/>
    </w:rPr>
  </w:style>
  <w:style w:type="paragraph" w:styleId="ListBullet">
    <w:name w:val="List Bullet"/>
    <w:basedOn w:val="Normal"/>
    <w:semiHidden/>
    <w:qFormat/>
    <w:rsid w:val="009D6580"/>
    <w:pPr>
      <w:numPr>
        <w:numId w:val="27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paragraph" w:customStyle="1" w:styleId="numberedparagraph">
    <w:name w:val="numbered paragraph"/>
    <w:basedOn w:val="body"/>
    <w:qFormat/>
    <w:rsid w:val="009D6580"/>
    <w:pPr>
      <w:numPr>
        <w:numId w:val="26"/>
      </w:numPr>
    </w:pPr>
  </w:style>
  <w:style w:type="character" w:customStyle="1" w:styleId="Marker">
    <w:name w:val="Marker"/>
    <w:rsid w:val="009D6580"/>
    <w:rPr>
      <w:color w:val="0000FF"/>
      <w:shd w:val="clear" w:color="auto" w:fill="auto"/>
    </w:rPr>
  </w:style>
  <w:style w:type="character" w:customStyle="1" w:styleId="Marker2">
    <w:name w:val="Marker2"/>
    <w:rsid w:val="009D6580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9D6580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9D6580"/>
    <w:pPr>
      <w:numPr>
        <w:numId w:val="28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9D6580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9D6580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9D6580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9D6580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9D6580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9D6580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9D6580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9D6580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rsid w:val="009D6580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472C4" w:themeColor="accent1"/>
      <w:sz w:val="18"/>
      <w:szCs w:val="18"/>
    </w:rPr>
  </w:style>
  <w:style w:type="paragraph" w:customStyle="1" w:styleId="TableNote">
    <w:name w:val="TableNote"/>
    <w:basedOn w:val="Normal"/>
    <w:rsid w:val="009D6580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9D6580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1">
    <w:name w:val="CM3+1"/>
    <w:basedOn w:val="Default"/>
    <w:next w:val="Default"/>
    <w:uiPriority w:val="99"/>
    <w:rsid w:val="009D6580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13">
    <w:name w:val="CM1+3"/>
    <w:basedOn w:val="Default"/>
    <w:next w:val="Default"/>
    <w:uiPriority w:val="99"/>
    <w:rsid w:val="009D6580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3">
    <w:name w:val="CM3+3"/>
    <w:basedOn w:val="Default"/>
    <w:next w:val="Default"/>
    <w:uiPriority w:val="99"/>
    <w:rsid w:val="009D6580"/>
    <w:rPr>
      <w:rFonts w:ascii="EUAlbertina" w:eastAsiaTheme="minorEastAsia" w:hAnsi="EUAlbertina" w:cstheme="minorBidi"/>
      <w:color w:val="auto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D6580"/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D6580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9D6580"/>
    <w:rPr>
      <w:color w:val="2B579A"/>
      <w:shd w:val="clear" w:color="auto" w:fill="E1DFDD"/>
    </w:rPr>
  </w:style>
  <w:style w:type="paragraph" w:customStyle="1" w:styleId="pf0">
    <w:name w:val="pf0"/>
    <w:basedOn w:val="Normal"/>
    <w:rsid w:val="009D6580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D6580"/>
  </w:style>
  <w:style w:type="character" w:customStyle="1" w:styleId="cf01">
    <w:name w:val="cf01"/>
    <w:basedOn w:val="DefaultParagraphFont"/>
    <w:rsid w:val="009D6580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rsid w:val="009D6580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9D6580"/>
    <w:rPr>
      <w:rFonts w:ascii="Liberation Serif" w:eastAsia="SimSun" w:hAnsi="Liberation Serif" w:cs="Lucida Sans"/>
      <w:kern w:val="0"/>
      <w:sz w:val="24"/>
      <w:szCs w:val="24"/>
      <w:lang w:val="it-IT" w:eastAsia="zh-CN" w:bidi="hi-IN"/>
      <w14:ligatures w14:val="none"/>
    </w:rPr>
  </w:style>
  <w:style w:type="paragraph" w:customStyle="1" w:styleId="Tabelleninhalt">
    <w:name w:val="Tabelleninhalt"/>
    <w:basedOn w:val="Normal"/>
    <w:qFormat/>
    <w:rsid w:val="009D6580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cf11">
    <w:name w:val="cf11"/>
    <w:basedOn w:val="DefaultParagraphFont"/>
    <w:rsid w:val="009D6580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6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9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79897F-E8CD-4BD2-ADD3-536B46CA34A1}">
  <ds:schemaRefs>
    <ds:schemaRef ds:uri="http://purl.org/dc/terms/"/>
    <ds:schemaRef ds:uri="http://schemas.microsoft.com/office/infopath/2007/PartnerControls"/>
    <ds:schemaRef ds:uri="82dbab2e-3b56-44de-becc-0ec356b33dff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da0bec91-bd15-486a-844a-39cd7890c3eb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9BF8FF7-243C-42F4-A5F7-CE24FF1369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715B6A-693E-4452-93EC-0EDC2F5A2CFB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4646</Words>
  <Characters>25140</Characters>
  <Application>Microsoft Office Word</Application>
  <DocSecurity>0</DocSecurity>
  <Lines>571</Lines>
  <Paragraphs>342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2024-06-19T17:56:00Z</dcterms:created>
  <dcterms:modified xsi:type="dcterms:W3CDTF">2025-01-27T14:30:00Z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2025-01-27T08:37:48Z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b25f483b-4be0-4155-8113-e31eb8164ee6</vt:lpwstr>
  </property>
  <property fmtid="{D5CDD505-2E9C-101B-9397-08002B2CF9AE}" pid="9" name="MSIP_Label_6bd9ddd1-4d20-43f6-abfa-fc3c07406f94_ContentBits">
    <vt:lpwstr>0</vt:lpwstr>
  </property>
</Properties>
</file>