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EL</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Pr>
          <w:rFonts w:ascii="Times New Roman" w:hAnsi="Times New Roman"/>
          <w:sz w:val="24"/>
        </w:rPr>
        <w:t>ΠΑΡΑΡΤΗΜΑ II</w:t>
      </w:r>
    </w:p>
    <w:p w14:paraId="68915D4A" w14:textId="77777777" w:rsidR="00992E36" w:rsidRPr="00037E7B" w:rsidRDefault="00992E36" w:rsidP="00992E36">
      <w:pPr>
        <w:jc w:val="center"/>
        <w:rPr>
          <w:rFonts w:ascii="Times New Roman" w:hAnsi="Times New Roman"/>
          <w:sz w:val="24"/>
        </w:rPr>
      </w:pPr>
      <w:r>
        <w:rPr>
          <w:rFonts w:ascii="Times New Roman" w:hAnsi="Times New Roman"/>
          <w:sz w:val="24"/>
        </w:rPr>
        <w:t>«ΠΑΡΑΡΤΗΜΑ II</w:t>
      </w:r>
    </w:p>
    <w:p w14:paraId="2BB4BDEB" w14:textId="77777777" w:rsidR="00992E36" w:rsidRPr="00037E7B" w:rsidRDefault="00992E36" w:rsidP="00992E36">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59F9EF91" w14:textId="77777777" w:rsidR="00992E36"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Pr>
          <w:rFonts w:ascii="Times New Roman" w:hAnsi="Times New Roman"/>
          <w:sz w:val="24"/>
          <w:u w:val="none"/>
        </w:rPr>
        <w:t>6.</w:t>
      </w:r>
      <w:r>
        <w:tab/>
      </w:r>
      <w:r>
        <w:rPr>
          <w:rFonts w:ascii="Times New Roman" w:hAnsi="Times New Roman"/>
          <w:sz w:val="24"/>
        </w:rPr>
        <w:t>Συνετή αποτίμηση (PruVal)</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Pr>
          <w:rFonts w:ascii="Times New Roman" w:hAnsi="Times New Roman"/>
          <w:sz w:val="24"/>
          <w:u w:val="none"/>
        </w:rPr>
        <w:t>6.1.</w:t>
      </w:r>
      <w:r>
        <w:tab/>
      </w:r>
      <w:r>
        <w:rPr>
          <w:rFonts w:ascii="Times New Roman" w:hAnsi="Times New Roman"/>
          <w:sz w:val="24"/>
        </w:rPr>
        <w:t>C 32.01 – Συνετή αποτίμηση: Στοιχεία ενεργητικού και παθητικού εύλογης αξίας (PruVal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Pr>
          <w:rFonts w:ascii="Times New Roman" w:hAnsi="Times New Roman"/>
          <w:sz w:val="24"/>
          <w:u w:val="none"/>
        </w:rPr>
        <w:t>6.1.1.</w:t>
      </w:r>
      <w:r>
        <w:tab/>
      </w:r>
      <w:r>
        <w:rPr>
          <w:rFonts w:ascii="Times New Roman" w:hAnsi="Times New Roman"/>
          <w:sz w:val="24"/>
        </w:rPr>
        <w:t>Γενικές παρατηρήσεις</w:t>
      </w:r>
      <w:bookmarkEnd w:id="2"/>
      <w:r>
        <w:rPr>
          <w:rFonts w:ascii="Times New Roman" w:hAnsi="Times New Roman"/>
          <w:sz w:val="24"/>
          <w:u w:val="none"/>
        </w:rPr>
        <w:t xml:space="preserve"> </w:t>
      </w:r>
    </w:p>
    <w:p w14:paraId="425C65B0"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176</w:t>
      </w:r>
      <w:r>
        <w:fldChar w:fldCharType="end"/>
      </w:r>
      <w:r>
        <w:t>. Το παρόν υπόδειγμα συμπληρώνεται από όλα τα ιδρύματα, ανεξάρτητα από το εάν έχουν υιοθετήσει την απλουστευμένη προσέγγιση για τον προσδιορισμό των Πρόσθετων Προσαρμογών Αποτίμησης (ΠΠΑ – AVA). Το παρόν υπόδειγμα αφορά ειδικά την απόλυτη αξία στοιχείων ενεργητικού και παθητικού που έχουν αποτιμηθεί στην εύλογη αξία, που χρησιμοποιείται για να προσδιοριστεί κατά πόσον πληρούνται οι προϋποθέσεις που καθορίζονται στο άρθρο 4 του κατ’ εξουσιοδότηση κανονισμού (ΕΕ) 2016/101 της Επιτροπής</w:t>
      </w:r>
      <w:r>
        <w:rPr>
          <w:rStyle w:val="FootnoteReference"/>
        </w:rPr>
        <w:footnoteReference w:id="1"/>
      </w:r>
      <w:r>
        <w:t>, για να χρησιμοποιηθεί η απλουστευμένη προσέγγιση για τον προσδιορισμό των πρόσθετων προσαρμογών αποτίμησης.</w:t>
      </w:r>
    </w:p>
    <w:p w14:paraId="6DB5E29B"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177</w:t>
      </w:r>
      <w:r>
        <w:fldChar w:fldCharType="end"/>
      </w:r>
      <w:r>
        <w:t>. Όσον αφορά τα ιδρύματα που χρησιμοποιούν την απλουστευμένη προσέγγιση, στο παρόν υπόδειγμα παρέχεται η συνολική AVA που πρέπει να αφαιρείται από τα ίδια κεφάλαια, κατ’ εφαρμογή των άρθρων 34 και 105 του κανονισμού (ΕΕ) αριθ. 575/2013, όπως προβλέπεται στο άρθρο 5 του κατ’ εξουσιοδότηση κανονισμού (ΕΕ) 2016/101, η οποία αναφέρεται αναλόγως στη γραμμή 0290 του υποδείγματος C 01.00.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Pr>
          <w:rFonts w:ascii="Times New Roman" w:hAnsi="Times New Roman"/>
          <w:sz w:val="24"/>
          <w:u w:val="none"/>
        </w:rPr>
        <w:t>6.1.2.</w:t>
      </w:r>
      <w:r>
        <w:tab/>
      </w:r>
      <w:r>
        <w:rPr>
          <w:rFonts w:ascii="Times New Roman" w:hAnsi="Times New Roman"/>
          <w:sz w:val="24"/>
        </w:rPr>
        <w:t>Οδηγίες για συγκεκριμένες θέσεις</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Στήλες</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ΣΤΟΙΧΕΙΑ ΕΝΕΡΓΗΤΙΚΟΥ ΚΑΙ ΠΑΘΗΤΙΚΟΥ ΕΥΛΟΓΗΣ ΑΞΙΑΣ</w:t>
            </w:r>
          </w:p>
          <w:p w14:paraId="60D2FC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Η απόλυτη αξία στοιχείων ενεργητικού και παθητικού που έχουν αποτιμηθεί στην εύλογη αξία, όπως αναφέρεται στις οικονομικές καταστάσεις του ιδρύματος </w:t>
            </w:r>
            <w:r>
              <w:rPr>
                <w:rFonts w:ascii="Times New Roman" w:hAnsi="Times New Roman"/>
                <w:sz w:val="24"/>
              </w:rPr>
              <w:lastRenderedPageBreak/>
              <w:t>σύμφωνα με το εφαρμοστέο λογιστικό πλαίσιο, όπως προβλέπεται στο άρθρο 4 παράγραφος 1 του κατ’ εξουσιοδότηση κανονισμού (ΕΕ) 2016/101, πριν από την εφαρμογή οποιασδήποτε εξαίρεσης σύμφωνα με το άρθρο 4 παράγραφος 2 του κατ’ εξουσιοδότηση κανονισμού (ΕΕ)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ΕΚ ΤΩΝ ΟΠΟΙΩΝ: χαρτοφυλάκιο συναλλαγών</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 xml:space="preserve">Η απόλυτη αξία στοιχείων ενεργητικού και παθητικού που έχουν αποτιμηθεί στην εύλογη αξία, όπως αναφέρονται στη στήλη 010, που αντιστοιχεί σε θέσεις που τηρούνται στο χαρτοφυλάκιο συναλλαγών.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ΣΤΟΙΧΕΙΑ ΕΝΕΡΓΗΤΙΚΟΥ ΚΑΙ ΠΑΘΗΤΙΚΟΥ ΣΤΗΝ ΕΥΛΟΓΗ ΑΞΙΑ ΠΟΥ ΕΞΑΙΡΟΥΝΤΑΙ ΛΟΓΩ ΜΕΡΙΚΟΥ ΑΝΤΙΚΤΥΠΟΥ ΣΤΟ ΚΕΦΑΛΑΙΟ CET1</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Η απόλυτη αξία των στοιχείων ενεργητικού και παθητικού που έχουν αποτιμηθεί στην εύλογη αξία που εξαιρούνται σύμφωνα με το άρθρο 4 παράγραφος 2 του κατ’ εξουσιοδότηση κανονισμού (ΕΕ)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Πλήρους αντιστοίχισης</w:t>
            </w:r>
          </w:p>
          <w:p w14:paraId="07E504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Στοιχεία ενεργητικού και παθητικού που έχουν αποτιμηθεί στην εύλογη αξία, πλήρους αντιστοίχισης και συμψηφισμού, που εξαιρούνται σύμφωνα με το άρθρο 4 παράγραφος 2 του κατ’ εξουσιοδότηση κανονισμού (ΕΕ)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Λογιστική αντιστάθμισης</w:t>
            </w:r>
          </w:p>
          <w:p w14:paraId="78C493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Για θέσεις που υπάγονται στη λογιστική αντιστάθμισης, σύμφωνα με το εφαρμοστέο λογιστικό πλαίσιο, η απόλυτη αξία των στοιχείων ενεργητικού και παθητικού που έχουν αποτιμηθεί στην εύλογη αξία που εξαιρούνται κατ’ αναλογία προς τον αντίκτυπο της σχετικής αλλαγής αποτίμησης στο κεφάλαιο CET1, σύμφωνα με το άρθρο 4 παράγραφος 2 του κατ’ εξουσιοδότηση κανονισμού (ΕΕ)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Pr>
                <w:rFonts w:ascii="Times New Roman" w:hAnsi="Times New Roman"/>
                <w:b/>
                <w:caps/>
                <w:sz w:val="24"/>
                <w:u w:val="single"/>
              </w:rPr>
              <w:t xml:space="preserve">ΕΠΟΠΤΙΚΕΣ προσαρμογές </w:t>
            </w:r>
          </w:p>
          <w:p w14:paraId="44455BA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Η απόλυτη αξία των στοιχείων ενεργητικού και παθητικού που έχουν αποτιμηθεί στην εύλογη αξία και εξαιρούνται σύμφωνα με το άρθρο 4 παράγραφος 2 του κατ’ εξουσιοδότηση κανονισμού (ΕΕ) 2016/101, λόγω της μεταβατικής εφαρμογής των εποπτικών προσαρμογών που προβλέπονται στα άρθρα 467 και 468 του κανονισμού (ΕΕ) αριθ.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Άλλα</w:t>
            </w:r>
          </w:p>
          <w:p w14:paraId="371A33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Οποιεσδήποτε άλλες θέσεις εξαιρούνται, σύμφωνα με το άρθρο 4 παράγραφος 2 του κατ’ εξουσιοδότηση κανονισμού (ΕΕ) 2016/101, λόγω προσαρμογών στη λογιστική αξία τους οι οποίες έχουν μόνον αναλογικό αντίκτυπο στο κεφάλαιο CET1.</w:t>
            </w:r>
          </w:p>
          <w:p w14:paraId="032A9C6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Η γραμμή αυτή συμπληρώνεται μόνο στις σπάνιες περιπτώσεις όπου τα στοιχεία που εξαιρούνται, σύμφωνα με το άρθρο 4 παράγραφος 2 του κατ’ εξουσιοδότηση </w:t>
            </w:r>
            <w:r>
              <w:rPr>
                <w:rFonts w:ascii="Times New Roman" w:hAnsi="Times New Roman"/>
                <w:sz w:val="24"/>
              </w:rPr>
              <w:lastRenderedPageBreak/>
              <w:t>κανονισμού (ΕΕ) 2016/101, δεν μπορούν να κατανεμηθούν στις στήλες του 0030, 0040 ή 0050 του παρόντος υποδείγματος.</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b/>
                <w:caps/>
                <w:sz w:val="24"/>
                <w:u w:val="single"/>
              </w:rPr>
              <w:t>Παρατηρήσεις για τα άλλα</w:t>
            </w:r>
            <w:r>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Αναφέρονται οι κυριότεροι λόγοι για τους οποίους εξαιρέθηκαν οι θέσεις που αναφέρονται στη στήλη 0060.</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ΕΥΛΟΓΗΣ ΑΞΙΑΣ στοιχεία ενεργητικού και παθητικού που περιλαμβάνονται στο όριο του ΑΡΘΡΟΥ 4 παράγραφος 1</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Η απόλυτη αξία των στοιχείων ενεργητικού και παθητικού που έχουν αποτιμηθεί στην εύλογη αξία που περιλαμβάνονται στον υπολογισμό του ορίου, σύμφωνα με το άρθρο 4 παράγραφος 1 του κατ’ εξουσιοδότηση κανονισμού (ΕΕ)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ΕΚ ΤΩΝ ΟΠΟΙΩΝ: χαρτοφυλάκιο συναλλαγών</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Η απόλυτη αξία των στοιχείων ενεργητικού και παθητικού εύλογης αξίας, όπως αναφέρονται στη στήλη 0080, που αντιστοιχεί σε θέσεις που τηρούνται στο χαρτοφυλάκιο συναλλαγών.</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Γραμμές</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Οι ορισμοί αυτών των κατηγοριών αντιστοιχούν σε εκείνους των αντίστοιχων γραμμών των υποδειγμάτων FINREP 1.1 και 1.2.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 ΣΥΝΟΛΟ ΣΤΟΙΧΕΙΩΝ ΕΝΕΡΓΗΤΙΚΟΥ ΚΑΙ ΠΑΘΗΤΙΚΟΥ ΕΥΛΟΓΗΣ ΑΞΙΑΣ</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Το σύνολο των στοιχείων ενεργητικού και παθητικού εύλογης αξίας που αναφέρονται στις γραμμές 0020 έως 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 ΣΥΝΟΛΟ ΣΤΟΙΧΕΙΩΝ ΕΝΕΡΓΗΤΙΚΟΥ ΕΥΛΟΓΗΣ ΑΞΙΑΣ</w:t>
            </w:r>
          </w:p>
          <w:p w14:paraId="6D0EA4A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Το σύνολο των στοιχείων ενεργητικού εύλογης αξίας που αναφέρονται στις γραμμές 0030 έως 0140. </w:t>
            </w:r>
          </w:p>
          <w:p w14:paraId="65CEA2E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Τα σχετικά κελιά των γραμμών 0030 έως 0130 συμπληρώνονται σύμφωνα με το υπόδειγμα FINREP F 01.01 των παραρτημάτων III και IV του παρόντος εκτελεστικού κανονισμού, ανάλογα με τα εφαρμοστέα πρότυπα του ιδρύματος:</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ΔΠΧΑ, όπως έχουν εγκριθεί από την Ένωση, κατ’ εφαρμογή του κανονισμού (ΕΚ) 1606/2002 του Ευρωπαϊκού Κοινοβουλίου και του Συμβουλίου (στο εξής: ΔΠΧΑ της ΕΕ)</w:t>
            </w:r>
            <w:r>
              <w:rPr>
                <w:rStyle w:val="FootnoteReference"/>
                <w:rFonts w:ascii="Times New Roman" w:hAnsi="Times New Roman"/>
                <w:szCs w:val="20"/>
                <w:vertAlign w:val="superscript"/>
              </w:rPr>
              <w:footnoteReference w:id="2"/>
            </w:r>
            <w:r>
              <w:rPr>
                <w:rFonts w:ascii="Times New Roman" w:hAnsi="Times New Roman"/>
                <w:sz w:val="24"/>
              </w:rPr>
              <w:t>·</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Εθνικά λογιστικά πρότυπα τα οποία είναι συμβατά με τα ΔΠΧΑ της ΕΕ (στο εξής: Εθνικές ΓΑΛΑ συμβατές με τα ΔΠΧΑ)· ή</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lastRenderedPageBreak/>
              <w:t>Εθνικές ΓΑΛΑ με βάση την οδηγία 86/635/ΕΟΚ του Συμβουλίου (FINREP “Εθνικές ΓΑΛΑ βάσει της οδηγίας 86/635/ΕΟΚ του Συμβουλίου”).</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ΧΡΗΜΑΤΟΟΙΚΟΝΟΜΙΚΑ ΣΤΟΙΧΕΙΑ ΕΝΕΡΓΗΤΙΚΟΥ ΔΙΑΚΡΑΤΟΥΜΕΝΑ ΓΙΑ ΔΙΑΠΡΑΓΜΑΤΕΥΣΗ</w:t>
            </w:r>
          </w:p>
          <w:p w14:paraId="0134A5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ΔΠΧΑ 9.Προσάρτημα Α.</w:t>
            </w:r>
          </w:p>
          <w:p w14:paraId="5BC9B2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0050 του υποδείγματος F 01.01 των παραρτημάτων III και IV του παρόντος εκτελεστικού κανονισμού.</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1.1.2 ΧΡΗΜΑΤΟΟΙΚΟΝΟΜΙΚΑ ΣΤΟΙΧΕΙΑ ΕΝΕΡΓΗΤΙΚΟΥ ΕΜΠΟΡΙΚΗΣ ΧΡΗΣΗΣ</w:t>
            </w:r>
          </w:p>
          <w:p w14:paraId="0EB933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Άρθρα 32 και 33 της οδηγίας 86/635/ΕΟΚ του Συμβουλίου· Παράρτημα V Μέρος 1.17 του παρόντος εκτελεστικού κανονισμού </w:t>
            </w:r>
          </w:p>
          <w:p w14:paraId="71FD2A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στα στοιχεία ενεργητικού που επιμετρώνται στην εύλογη αξία και περιλαμβάνονται στην τιμή που αναφέρεται στη γραμμή 0091 του υποδείγματος F 01.01 των παραρτημάτων III και IV του παρόντος εκτελεστικού κανονισμού.</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1.1.3 ΧΡΗΜΑΤΟΟΙΚΟΝΟΜΙΚΑ ΣΤΟΙΧΕΙΑ ΕΝΕΡΓΗΤΙΚΟΥ ΜΗ ΕΜΠΟΡΙΚΗΣ ΧΡΗΣΗΣ ΕΠΙΜΕΤΡΟΥΜΕΝΑ ΥΠΟΧΡΕΩΤΙΚΑ ΣΤΗΝ ΕΥΛΟΓΗ ΑΞΙΑ ΜΕΣΩ ΤΩΝ ΑΠΟΤΕΛΕΣΜΑΤΩΝ </w:t>
            </w:r>
          </w:p>
          <w:p w14:paraId="52C3E7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ΔΠΧΑ 7.8(α)(ii), ΔΠΧΑ 9.4.1.4.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0096 του υποδείγματος F 01.01 των παραρτημάτων III και IV του παρόντος εκτελεστικού κανονισμού.</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1.1.4 ΧΡΗΜΑΤΟΟΙΚΟΝΟΜΙΚΑ ΣΤΟΙΧΕΙΑ ΕΝΕΡΓΗΤΙΚΟΥ ΠΟΥ ΑΝΑΓΝΩΡΙΖΟΝΤΑΙ ΣΤΗΝ ΕΥΛΟΓΗ ΑΞΙΑ ΜΕΣΩ ΤΩΝ ΑΠΟΤΕΛΕΣΜΑΤΩΝ</w:t>
            </w:r>
          </w:p>
          <w:p w14:paraId="68099B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ΔΠΧΑ 7.8(α)(i), ΔΠΧΑ 9.4.1.5, άρθρο 8 παράγραφος 1 στοιχείο α) και άρθρο 8 παράγραφος 6 της οδηγίας 2013/34/ΕΕ</w:t>
            </w:r>
          </w:p>
          <w:p w14:paraId="53AB4D4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0100 του υποδείγματος F 01.01 των παραρτημάτων III και IV του παρόντος εκτελεστικού κανονισμού.</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1.1.5 ΧΡΗΜΑΤΟΟΙΚΟΝΟΜΙΚΑ ΣΤΟΙΧΕΙΑ ΕΝΕΡΓΗΤΙΚΟΥ ΕΠΙΜΕΤΡΟΥΜΕΝΑ ΣΤΗΝ ΕΥΛΟΓΗ ΑΞΙΑ ΜΕΣΩ ΤΩΝ ΛΟΙΠΩΝ ΣΥΝΟΛΙΚΩΝ ΕΣΟΔΩΝ</w:t>
            </w:r>
          </w:p>
          <w:p w14:paraId="50DF7B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ΔΠΧΑ 7.8(η), ΔΠΧΑ 9.4.1.2A.</w:t>
            </w:r>
          </w:p>
          <w:p w14:paraId="2890B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0141 του υποδείγματος F 01.01 των παραρτημάτων III και IV του παρόντος εκτελεστικού κανονισμού.</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1.1.6 ΜΗ ΠΑΡΑΓΩΓΑ ΧΡΗΜΑΤΟΟΙΚΟΝΟΜΙΚΑ ΣΤΟΙΧΕΙΑ ΕΝΕΡΓΗΤΙΚΟΥ ΜΗ ΕΜΠΟΡΙΚΗΣ ΧΡΗΣΗΣ ΕΠΙΜΕΤΡΟΥΜΕΝΑ ΣΤΗΝ ΕΥΛΟΓΗ ΑΞΙΑ ΜΕΣΩ ΤΩΝ ΑΠΟΤΕΛΕΣΜΑΤΩΝ</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Άρθρο 36 παράγραφος 2 της οδηγίας 86/635/ΕΟΚ του Συμβουλίου. Οι πληροφορίες που αναφέρονται στη γραμμή αυτήν αντιστοιχούν στη γραμμή 0171 του υποδείγματος F 01.01 των παραρτημάτων III και IV του παρόντος εκτελεστικού κανονισμού.</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1.1.7 ΜΗ ΠΑΡΑΓΩΓΑ ΧΡΗΜΑΤΟΟΙΚΟΝΟΜΙΚΑ ΣΤΟΙΧΕΙΑ ΕΝΕΡΓΗΤΙΚΟΥ ΜΗ ΕΜΠΟΡΙΚΗΣ ΧΡΗΣΗΣ ΕΠΙΜΕΤΡΟΥΜΕΝΑ ΣΤΗΝ ΕΥΛΟΓΗ ΑΞΙΑ ΣΤΑ ΙΔΙΑ ΚΕΦΑΛΑΙΑ</w:t>
            </w:r>
          </w:p>
          <w:p w14:paraId="2D8AE0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άρθρο 8 παράγραφος 1 στοιχείο α) και άρθρο 8 παράγραφος 8 της οδηγίας 2013/34/ΕΕ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0175 του υποδείγματος F 01.01 των παραρτημάτων III και IV του παρόντος εκτελεστικού κανονισμού.</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1.1.8 ΑΛΛΑ ΜΗ ΠΑΡΑΓΩΓΑ ΧΡΗΜΑΤΟΟΙΚΟΝΟΜΙΚΑ ΣΤΟΙΧΕΙΑ ΜΗ ΕΜΠΟΡΙΚΗΣ ΧΡΗΣΗΣ</w:t>
            </w:r>
          </w:p>
          <w:p w14:paraId="0B1963D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37 της οδηγίας 86/635/ΕΟΚ του Συμβουλίου· Άρθρο 12 παράγραφος 7 της οδηγίας 2013/34/ΕΕ· Παράρτημα V Μέρος 1.20 του παρόντος εκτελεστικού κανονισμού</w:t>
            </w:r>
          </w:p>
          <w:p w14:paraId="681869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στα στοιχεία ενεργητικού που επιμετρώνται στην εύλογη αξία και περιλαμβάνονται στην τιμή που αναφέρεται στη γραμμή 0234 του υποδείγματος F 01.01 των παραρτημάτων III και IV του παρόντος εκτελεστικού κανονισμού.</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1.1.9 ΠΑΡΑΓΩΓΑ – ΛΟΓΙΣΤΙΚΗ ΑΝΤΙΣΤΑΘΜΙΣΗΣ</w:t>
            </w:r>
          </w:p>
          <w:p w14:paraId="7BEB13A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ΔΠΧΑ 9.6.2.1, παράρτημα V μέρος 1.22 του παρόντος εκτελεστικού κανονισμού, άρθρο 8 παράγραφος 1 στοιχείο α) και άρθρο 8 παράγραφοι 6 και 8 της οδηγίας 2013/34/ΕΕ, ΔΛΠ 39.9</w:t>
            </w:r>
          </w:p>
          <w:p w14:paraId="045D5D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0240 του υποδείγματος F 01.01 των παραρτημάτων III και IV του παρόντος εκτελεστικού κανονισμού.</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1.1.10 ΜΕΤΑΒΟΛΕΣ ΣΤΗΝ ΕΥΛΟΓΗ ΑΞΙΑ ΤΩΝ ΑΝΤΙΣΤΑΘΜΙΣΜΕΝΩΝ ΣΤΟΙΧΕΙΩΝ ΣΤΗΝ ΑΝΤΙΣΤΑΘΜΙΣΗ ΚΙΝΔΥΝΟΥ ΕΠΙΤΟΚΙΟΥ ΧΑΡΤΟΦΥΛΑΚΙΟΥ</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ΔΛΠ 39.89A(α), ΔΠΧΑ 9.6.5.8, άρθρο 8 παράγραφοι 5 και 6 της οδηγίας 2013/34/ΕΕ του Ευρωπαϊκού Κοινοβουλίου και του Συμβουλίου</w:t>
            </w:r>
            <w:r>
              <w:rPr>
                <w:vertAlign w:val="superscript"/>
              </w:rPr>
              <w:footnoteReference w:id="3"/>
            </w:r>
            <w:r>
              <w:rPr>
                <w:rFonts w:ascii="Times New Roman" w:hAnsi="Times New Roman"/>
                <w:sz w:val="24"/>
              </w:rPr>
              <w:t xml:space="preserve">. Οι πληροφορίες </w:t>
            </w:r>
            <w:r>
              <w:rPr>
                <w:rFonts w:ascii="Times New Roman" w:hAnsi="Times New Roman"/>
                <w:sz w:val="24"/>
              </w:rPr>
              <w:lastRenderedPageBreak/>
              <w:t>που αναφέρονται στη γραμμή αυτή αντιστοιχούν στη γραμμή 0250 του υποδείγματος F 01.01 των παραρτημάτων III και IV του παρόντος εκτελεστικού κανονισμού.</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ΕΠΕΝΔΥΣΕΙΣ ΣΕ ΘΥΓΑΤΡΙΚΕΣ, ΚΟΙΝΟΠΡΑΞΙΕΣ ΚΑΙ ΣΥΓΓΕΝΕΙΣ ΕΠΙΧΕΙΡΗΣΕΙΣ</w:t>
            </w:r>
          </w:p>
          <w:p w14:paraId="77693FB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ΔΛΠ 1.54(ε), παράρτημα V μέρη 1.21 και 2.4 του παρόντος εκτελεστικού κανονισμού, άρθρο 4 σημεία 7) και 8) της οδηγίας 86/635/ΕΟΚ του Συμβουλίου, άρθρο 2 παράγραφος 2 της οδηγίας 2013/34/ΕΕ</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0260 του υποδείγματος F 01.01 των παραρτημάτων III και IV του παρόντος εκτελεστικού κανονισμού.</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 ΠΟΣΟΣΤΑ ΠΕΡΙΚΟΠΗΣ ΓΙΑ ΣΤΟΙΧΕΙΑ ΕΝΕΡΓΗΤΙΚΟΥ ΕΜΠΟΡΙΚΗΣ ΧΡΗΣΗΣ ΣΤΗΝ ΕΥΛΟΓΗ ΑΞΙΑ</w:t>
            </w:r>
          </w:p>
          <w:p w14:paraId="689D2C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Παράρτημα V Μέρος 1.29 του παρόντος εκτελεστικού κανονισμού</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0375 του υποδείγματος F 01.01 των παραρτημάτων III και IV του παρόντος εκτελεστικού κανονισμού.</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ΑΛΛΑ ΣΤΟΙΧΕΙΑ ΕΝΕΡΓΗΤΙΚΟΥ</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Τα στοιχεία ενεργητικού που αναφέρονται στο παράρτημα V μέρος 2 παράγραφοι 5 και 6 του παρόντος εκτελεστικού κανονισμού, στον βαθμό που αποτιμώνται στην εύλογη αξία τους.</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ΜΗ ΚΥΚΛΟΦΟΡΟΥΝΤΑ ΣΤΟΙΧΕΙΑ ΕΝΕΡΓΗΤΙΚΟΥ ΚΑΙ ΟΜΑΔΕΣ ΔΙΑΘΕΣΗΣ ΠΟΥ ΚΑΤΑΤΑΣΣΟΝΤΑΙ ΩΣ ΔΙΑΚΡΑΤΟΥΜΕΝΑ ΠΡΟΣ ΠΩΛΗΣΗ</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Τα στοιχεία ενεργητικού που αναφέρονται στο παράρτημα V μέρος 2 παράγραφος 7 του παρόντος εκτελεστικού κανονισμού, στον βαθμό που αποτιμώνται στην εύλογη αξία τους.</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 ΣΥΝΟΛΟ ΣΤΟΙΧΕΙΩΝ ΠΑΘΗΤΙΚΟΥ ΕΥΛΟΓΗΣ ΑΞΙΑΣ </w:t>
            </w:r>
          </w:p>
          <w:p w14:paraId="48B3C6E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Το σύνολο των στοιχείων παθητικού εύλογης αξίας που αναφέρονται στις γραμμές 0160 έως 0210.</w:t>
            </w:r>
          </w:p>
          <w:p w14:paraId="33E1D1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Τα σχετικά κελιά των γραμμών 0150 έως 0190 συμπληρώνονται σύμφωνα με το υπόδειγμα FINREP F 01.02 των παραρτημάτων III και IV του παρόντος εκτελεστικού κανονισμού, ανάλογα με τα εφαρμοστέα πρότυπα του ιδρύματος: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ΔΠΧΑ, όπως έχουν εγκριθεί από την Ένωση, κατ’ εφαρμογή του κανονισμού (ΕΚ) 1606/2002 (στο εξής: ΔΠΧΑ της ΕΕ)</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 xml:space="preserve">Εθνικά λογιστικά πρότυπα τα οποία είναι συμβατά με τα ΔΠΧΑ της ΕΕ (στο εξής: Εθνικές ΓΑΛΑ συμβατές με τα ΔΠΧΑ)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lastRenderedPageBreak/>
              <w:t>ή Εθνικές ΓΑΛΑ βάσει της οδηγίας 86/635/ΕΟΚ του Συμβουλίου (FINREP “Εθνικές ΓΑΛΑ βάσει της οδηγίας 86/635/ΕΟΚ του Συμβουλίου”).</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1.2.1 ΧΡΗΜΑΤΟΟΙΚΟΝΟΜΙΚΕΣ ΥΠΟΧΡΕΩΣΕΙΣ ΔΙΑΚΡΑΤΟΥΜΕΝΕΣ ΓΙΑ ΔΙΑΠΡΑΓΜΑΤΕΥΣΗ</w:t>
            </w:r>
          </w:p>
          <w:p w14:paraId="3FDAF7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ΔΠΧΑ 7.8(ε)(ii), ΔΠΧΑ 9.BA.6.</w:t>
            </w:r>
          </w:p>
          <w:p w14:paraId="4E4FCD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0010 του υποδείγματος F 01.02 των παραρτημάτων III και IV του παρόντος εκτελεστικού κανονισμού.</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1.2.2 ΧΡΗΜΑΤΟΟΙΚΟΝΟΜΙΚΕΣ ΥΠΟΧΡΕΩΣΕΙΣ ΕΜΠΟΡΙΚΗΣ ΧΡΗΣΗΣ</w:t>
            </w:r>
          </w:p>
          <w:p w14:paraId="70C0A6A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8 παράγραφος 1 στοιχείο α) και άρθρο 8 παράγραφοι 3 και 6 της οδηγίας 2013/34/ΕΕ</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0061 του υποδείγματος F 01.02 των παραρτημάτων III και IV του παρόντος εκτελεστικού κανονισμού.</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1.2.3 ΧΡΗΜΑΤΟΟΙΚΟΝΟΜΙΚΕΣ ΥΠΟΧΡΕΩΣΕΙΣ ΠΟΥ ΑΝΑΓΝΩΡΙΖΟΝΤΑΙ ΣΤΗΝ ΕΥΛΟΓΗ ΑΞΙΑ ΜΕΣΩ ΤΩΝ ΑΠΟΤΕΛΕΣΜΑΤΩΝ</w:t>
            </w:r>
          </w:p>
          <w:p w14:paraId="7EAB4E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ΔΠΧΑ 7.8 (ε) (i), ΔΠΧΑ 9.4.2.2, Άρθρο 8 παράγραφος 1 στοιχείο α) και άρθρο 8 παράγραφος 6 της οδηγίας 2013/34/ΕΕ, ΔΛΠ 39.9. </w:t>
            </w:r>
          </w:p>
          <w:p w14:paraId="0CFACF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0070 του υποδείγματος F 01.02 των παραρτημάτων III και IV του παρόντος εκτελεστικού κανονισμού.</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1.2.4 ΠΑΡΑΓΩΓΑ – ΛΟΓΙΣΤΙΚΗ ΑΝΤΙΣΤΑΘΜΙΣΗΣ</w:t>
            </w:r>
          </w:p>
          <w:p w14:paraId="63DC87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ΔΠΧΑ 9.6.2.1, παράρτημα V μέρος 1.26 του παρόντος εκτελεστικού κανονισμού, άρθρο 8 παράγραφος 1 στοιχείο α), παράγραφος 6 και παράγραφος 8 στοιχείο α) της οδηγίας 2013/34/ΕΕ</w:t>
            </w:r>
          </w:p>
          <w:p w14:paraId="1E3AE5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0150 του υποδείγματος F 01.02 των παραρτημάτων III και IV του παρόντος εκτελεστικού κανονισμού.</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1.2.5 ΜΕΤΑΒΟΛΕΣ ΣΤΗΝ ΕΥΛΟΓΗ ΑΞΙΑ ΤΩΝ ΑΝΤΙΣΤΑΘΜΙΣΜΕΝΩΝ ΣΤΟΙΧΕΙΩΝ ΣΤΗΝ ΑΝΤΙΣΤΑΘΜΙΣΗ ΚΙΝΔΥΝΟΥ ΕΠΙΤΟΚΙΟΥ ΧΑΡΤΟΦΥΛΑΚΙΟΥ</w:t>
            </w:r>
          </w:p>
          <w:p w14:paraId="2CC02D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ΔΛΠ 39.89A(β), ΔΠΧΑ 9.6.5.8· άρθρο 8 παράγραφοι 5 και 6 της οδηγίας 2013/34/ΕΕ· Παράρτημα V Μέρος 2.8 του παρόντος εκτελεστικού κανονισμού</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0160 του υποδείγματος F 01.02 των παραρτημάτων III και IV του παρόντος εκτελεστικού κανονισμού.</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1.2.6 ΠΟΣΟΣΤΑ ΠΕΡΙΚΟΠΗΣ ΓΙΑ ΥΠΟΧΡΕΩΣΕΙΣ ΕΜΠΟΡΙΚΗΣ ΧΡΗΣΗΣ ΣΤΗΝ ΕΥΛΟΓΗ ΑΞΙΑ</w:t>
            </w:r>
          </w:p>
          <w:p w14:paraId="1C4365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Παράρτημα V Μέρος 1.29 του παρόντος εκτελεστικού κανονισμού</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0295 του υποδείγματος F 01.02 των παραρτημάτων III και IV του παρόντος εκτελεστικού κανονισμού.</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ΑΛΛΕΣ ΥΠΟΧΡΕΩΣΕΙΣ</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Οι υποχρεώσεις που αναφέρονται στο παράρτημα V μέρος 2 παράγραφος 13 του παρόντος εκτελεστικού κανονισμού, στον βαθμό που αποτιμώνται στην εύλογη αξία τους.</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1.2.8 ΥΠΟΧΡΕΩΣΕΙΣ ΠΟΥ ΠΕΡΙΛΑΜΒΑΝΟΝΤΑΙ ΣΕ ΟΜΑΔΕΣ ΔΙΑΘΕΣΗΣ ΠΟΥ ΚΑΤΑΤΑΣΣΟΝΤΑΙ ΩΣ ΔΙΑΚΡΑΤΟΥΜΕΝΕΣ ΠΡΟΣ ΠΩΛΗΣΗ</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Οι υποχρεώσεις που αναφέρονται στο παράρτημα V μέρος 2 παράγραφος 14 του παρόντος εκτελεστικού κανονισμού, στον βαθμό που αποτιμώνται στην εύλογη αξία τους.</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Pr>
          <w:rFonts w:ascii="Times New Roman" w:hAnsi="Times New Roman"/>
          <w:sz w:val="24"/>
          <w:u w:val="none"/>
        </w:rPr>
        <w:t>6.2.</w:t>
      </w:r>
      <w:r>
        <w:tab/>
      </w:r>
      <w:r>
        <w:rPr>
          <w:rFonts w:ascii="Times New Roman" w:hAnsi="Times New Roman"/>
          <w:sz w:val="24"/>
        </w:rPr>
        <w:t>C 32.02 – Συνετή αποτίμηση: Βασική προσέγγιση (PruVal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Pr>
          <w:rFonts w:ascii="Times New Roman" w:hAnsi="Times New Roman"/>
          <w:sz w:val="24"/>
          <w:u w:val="none"/>
        </w:rPr>
        <w:t>6.2.1.</w:t>
      </w:r>
      <w:r>
        <w:tab/>
      </w:r>
      <w:r>
        <w:rPr>
          <w:rFonts w:ascii="Times New Roman" w:hAnsi="Times New Roman"/>
          <w:sz w:val="24"/>
        </w:rPr>
        <w:t>Γενικές παρατηρήσεις</w:t>
      </w:r>
      <w:bookmarkEnd w:id="5"/>
      <w:r>
        <w:rPr>
          <w:rFonts w:ascii="Times New Roman" w:hAnsi="Times New Roman"/>
          <w:sz w:val="24"/>
          <w:u w:val="none"/>
        </w:rPr>
        <w:t xml:space="preserve"> </w:t>
      </w:r>
    </w:p>
    <w:p w14:paraId="763BBDF6"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178</w:t>
      </w:r>
      <w:r>
        <w:fldChar w:fldCharType="end"/>
      </w:r>
      <w:r>
        <w:t>. Σκοπός του παρόντος υποδείγματος είναι να παρασχεθούν πληροφορίες σχετικά με τη σύνθεση της συνολικής πρόσθετης προσαρμογής αξίας (ΠΠΑ – AVA) που πρέπει να αφαιρείται από τα ίδια κεφάλαια, βάσει των άρθρων 34 και 105 του κανονισμού (ΕΕ) αριθ. 575/2013, μαζί με συναφείς πληροφορίες για τη λογιστική αποτίμηση των θέσεων που προκάλεσαν τον προσδιορισμό AVA.</w:t>
      </w:r>
    </w:p>
    <w:p w14:paraId="6CF38957"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179</w:t>
      </w:r>
      <w:r>
        <w:fldChar w:fldCharType="end"/>
      </w:r>
      <w:r>
        <w:t xml:space="preserve">. Το παρόν υπόδειγμα συμπληρώνεται από όλα τα ιδρύματα που: </w:t>
      </w:r>
    </w:p>
    <w:p w14:paraId="55E8BBED" w14:textId="77777777" w:rsidR="001332E7" w:rsidRPr="002A677E" w:rsidRDefault="001332E7" w:rsidP="001332E7">
      <w:pPr>
        <w:pStyle w:val="InstructionsText2"/>
        <w:numPr>
          <w:ilvl w:val="0"/>
          <w:numId w:val="0"/>
        </w:numPr>
        <w:ind w:left="1353" w:hanging="360"/>
      </w:pPr>
      <w:r>
        <w:t>α) απαιτείται να χρησιμοποιούν τη βασική προσέγγιση, διότι υπερβαίνουν το όριο που αναφέρεται στο άρθρο 4 παράγραφος 1 του κατ’ εξουσιοδότηση κανονισμού (ΕΕ) 2016/101, είτε σε ατομική είτε σε ενοποιημένη βάση, όπως προβλέπεται στο άρθρο 4 παράγραφος 3 του εν λόγω κανονισμού, ή</w:t>
      </w:r>
    </w:p>
    <w:p w14:paraId="5C7E4D89" w14:textId="77777777" w:rsidR="001332E7" w:rsidRPr="002A677E" w:rsidRDefault="001332E7" w:rsidP="001332E7">
      <w:pPr>
        <w:pStyle w:val="InstructionsText2"/>
        <w:numPr>
          <w:ilvl w:val="0"/>
          <w:numId w:val="0"/>
        </w:numPr>
        <w:ind w:left="1353" w:hanging="360"/>
      </w:pPr>
      <w:r>
        <w:t xml:space="preserve">β) έχουν επιλέξει να εφαρμόσουν τη βασική προσέγγιση, παρότι δεν υπερβαίνουν το όριο. </w:t>
      </w:r>
    </w:p>
    <w:p w14:paraId="747163D2"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180</w:t>
      </w:r>
      <w:r>
        <w:fldChar w:fldCharType="end"/>
      </w:r>
      <w:r>
        <w:t xml:space="preserve">. Για τους σκοπούς του παρόντος υποδείγματος, η “ανοδική αβεβαιότητα” ορίζεται ως εξής: Όπως προσδιορίζεται στο άρθρο 8 παράγραφος 2 του κατ’ εξουσιοδότηση κανονισμού (ΕΕ) 2016/101, οι AVA υπολογίζονται ως η διαφορά μεταξύ της εύλογης αξίας και συνετής αποτίμησης, η οποία καθορίζεται επί τη βάσει βεβαιότητας 90 % ότι τα ιδρύματα μπορούν να εξέλθουν από το άνοιγμα σε αυτό το σημείο ή σε καλύτερο, εντός του ονομαστικού εύρους εύλογων τιμών. Η ανοδική τιμή ή “ανοδική αβεβαιότητα” είναι το εκ διαμέτρου </w:t>
      </w:r>
      <w:r>
        <w:lastRenderedPageBreak/>
        <w:t>αντίθετο σημείο στην κατανομή των εύλογων τιμών, όπου τα ιδρύματα έχουν μόνον 10 % βεβαιότητα ότι μπορούν να εξέλθουν από το άνοιγμα σε αυτό το σημείο ή σε καλύτερο. Η ανοδική αβεβαιότητα υπολογίζεται και αθροίζεται επί της ιδίας βάσεως όπως το σύνολο AVA, αλλά με αντικατάσταση του επιπέδου βεβαιότητας 90 %, που χρησιμοποιείται για τον προσδιορισμό του συνόλου AVA, με επίπεδο βεβαιότητας 10 %.</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Pr>
          <w:rFonts w:ascii="Times New Roman" w:hAnsi="Times New Roman"/>
          <w:sz w:val="24"/>
          <w:u w:val="none"/>
        </w:rPr>
        <w:t>6.2.2.</w:t>
      </w:r>
      <w:r>
        <w:tab/>
      </w:r>
      <w:r>
        <w:rPr>
          <w:rFonts w:ascii="Times New Roman" w:hAnsi="Times New Roman"/>
          <w:sz w:val="24"/>
          <w:u w:val="none"/>
        </w:rPr>
        <w:t>Οδηγίες για συγκεκριμένες θέσεις</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Στήλες</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ΕΠΙΠΕΔΟΥ ΚΑΤΗΓΟΡΙΑΣ</w:t>
            </w:r>
          </w:p>
          <w:p w14:paraId="3128CBD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Οι AVA επιπέδου κατηγορίας για την αβεβαιότητα τιμών στην αγορά, τα έξοδα εκκαθάρισης, τον κίνδυνο υποδείγματος, τις συγκεντρωμένες θέσεις, τις μελλοντικές διοικητικές δαπάνες, την πρόωρη λήξη και τον λειτουργικό κίνδυνο υπολογίζονται όπως περιγράφεται στα άρθρα 9, 10, 11 και 14 έως 17 του κατ’ εξουσιοδότηση κανονισμού (ΕΕ) 2016/101, αντιστοίχως.</w:t>
            </w:r>
          </w:p>
          <w:p w14:paraId="052118A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Για τις κατηγορίες: αβεβαιότητα τιμών στην αγορά, έξοδα εκκαθάρισης και κίνδυνος υποδείγματος, οι οποίες αποκομίζουν όφελος διαφοροποίησης, όπως προβλέπεται στο άρθρο 9 παράγραφος 6, στο άρθρο 10 παράγραφος 7 και στο άρθρο 11 παράγραφος 7 του κατ’ εξουσιοδότηση κανονισμού (ΕΕ) 2016/101, αντιστοίχως, οι AVA επιπέδου κατηγορίας αναφέρονται, πλην αντιθέτου ένδειξης, ως το απλό ποσό των ατομικών AVA πριν από το όφελος διαφοροποίησης [εφόσον τα οφέλη διαφοροποίησης, που υπολογίζονται με χρήση της μεθόδου 1 ή της μεθόδου 2 του παραρτήματος του κατ’ εξουσιοδότηση κανονισμού (ΕΕ) 2016/101, αναφέρονται στα στοιχεία 1.1.2, 1.1.2.1 και 1.1.2.2 του υποδείγματος]. </w:t>
            </w:r>
          </w:p>
          <w:p w14:paraId="61BB89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Για τις κατηγορίες: αβεβαιότητα των τιμών στην αγορά, έξοδα εκκαθάρισης και κίνδυνος υποδείγματος, τα ποσά που υπολογίζονται στο πλαίσιο της προσέγγισης με βάση εμπειρογνώμονες, όπως προβλέπεται στο άρθρο 9 παράγραφος 5 στοιχείο β), στο άρθρο 10 παράγραφος 6 στοιχείο β) και στο άρθρο 11 παράγραφος 4 του κατ’ εξουσιοδότηση κανονισμού (ΕΕ) 2016/101, αναφέρονται χωριστά στις στήλες 0020, 0040 και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ΑΒΕΒΑΙΟΤΗΤΑ ΤΙΜΩΝ ΣΤΗΝ ΑΓΟΡΑ</w:t>
            </w:r>
          </w:p>
          <w:p w14:paraId="52F61A7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Άρθρο 105 παράγραφος 10 του κανονισμού (ΕΕ) αριθ. 575/2013.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Οι AVA αβεβαιότητας των τιμών στην αγορά, που υπολογίζονται σύμφωνα με το άρθρο 9 του κατ’ εξουσιοδότηση κανονισμού (ΕΕ)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ΠΡΟΣΕΓΓΙΣΗΣ ΜΕ ΒΑΣΗ ΕΜΠΕΙΡΟΓΝΩΜΟΝΕΣ</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Οι AVA αβεβαιότητας των τιμών στην αγορά, που υπολογίζονται σύμφωνα με το άρθρο 9 παράγραφος 5 στοιχείο β) του κατ’ εξουσιοδότηση κανονισμού (ΕΕ)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ΕΞΟΔΑ ΕΚΚΑΘΑΡΙΣΗΣ</w:t>
            </w:r>
          </w:p>
          <w:p w14:paraId="414418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Άρθρο 105 παράγραφος 10 του κανονισμού (ΕΕ) αριθ. 575/2013.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εξόδων εκκαθάρισης, που υπολογίζονται σύμφωνα με το άρθρο 10 του κατ’ εξουσιοδότηση κανονισμού (ΕΕ) 2016/101.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ΠΡΟΣΕΓΓΙΣΗΣ ΜΕ ΒΑΣΗ ΕΜΠΕΙΡΟΓΝΩΜΟΝΕΣ</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Οι AVA εξόδων εκκαθάρισης, που υπολογίζονται σύμφωνα με το άρθρο 10 παράγραφος 6 στοιχείο β) του κατ’ εξουσιοδότηση κανονισμού (ΕΕ)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ΚΙΝΔΥΝΟΣ ΥΠΟΔΕΙΓΜΑΤΟΣ</w:t>
            </w:r>
          </w:p>
          <w:p w14:paraId="330F409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105 παράγραφος 10 του κανονισμού (ΕΕ) αριθ. 575/2013</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κινδύνου υποδείγματος, που υπολογίζονται σύμφωνα με το άρθρο 11 του κατ’ εξουσιοδότηση κανονισμού (ΕΕ) 2016/101.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ΠΡΟΣΕΓΓΙΣΗΣ ΜΕ ΒΑΣΗ ΕΜΠΕΙΡΟΓΝΩΜΟΝΕΣ</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Οι AVA κινδύνου υποδείγματος, που υπολογίζονται σύμφωνα με το άρθρο 11 παράγραφος 4 του κατ’ εξουσιοδότηση κανονισμού (ΕΕ)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ΣΥΓΚΕΝΤΡΩΜΕΝΕΣ ΘΕΣΕΙΣ</w:t>
            </w:r>
          </w:p>
          <w:p w14:paraId="535C01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105 παράγραφος 11 του κανονισμού (ΕΕ) αριθ. 575/2013</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Οι AVA συγκεντρωμένων θέσεων, όπως υπολογίζονται βάσει του άρθρου 14 του κατ’ εξουσιοδότηση κανονισμού (ΕΕ)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ΜΕΛΛΟΝΤΙΚΕΣ ΔΙΟΙΚΗΤΙΚΕΣ ΔΑΠΑΝΕΣ</w:t>
            </w:r>
          </w:p>
          <w:p w14:paraId="53DADC9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105 παράγραφος 10 του κανονισμού (ΕΕ) αριθ. 575/2013</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Οι AVA μελλοντικών διοικητικών δαπανών, όπως υπολογίζονται βάσει του άρθρου 15 του κατ’ εξουσιοδότηση κανονισμού (ΕΕ)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ΠΡΟΩΡΗ ΛΗΞΗ</w:t>
            </w:r>
          </w:p>
          <w:p w14:paraId="05DA81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105 παράγραφος 10 του κανονισμού (ΕΕ) αριθ. 575/2013</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πρόωρης λήξης, όπως υπολογίζονται βάσει του άρθρου 16 του κατ’ εξουσιοδότηση κανονισμού (ΕΕ) 2016/101.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14:paraId="052ED67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105 παράγραφος 10 του κανονισμού (ΕΕ) αριθ. 575/2013</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Οι AVA λειτουργικού κινδύνου, όπως υπολογίζονται βάσει του άρθρου 17 του κατ’ εξουσιοδότηση κανονισμού (ΕΕ)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ΣΥΝΟΛΟ ΠΡΟΣΘΕΤΩΝ ΠΡΟΣΑΡΜΟΓΩΝ ΑΠΟΤΙΜΗΣΗΣ (AVA)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Γραμμή 0010: Το σύνολο των πρόσθετων προσαρμογών αξίας (ΠΠΑ – AVA) που πρέπει να αφαιρείται από τα ίδια κεφάλαια, σύμφωνα με τα άρθρα 34 και 105 </w:t>
            </w:r>
            <w:r>
              <w:rPr>
                <w:rFonts w:ascii="Times New Roman" w:hAnsi="Times New Roman"/>
                <w:sz w:val="24"/>
              </w:rPr>
              <w:t xml:space="preserve">του </w:t>
            </w:r>
            <w:r>
              <w:rPr>
                <w:rFonts w:ascii="Times New Roman" w:hAnsi="Times New Roman"/>
                <w:sz w:val="24"/>
              </w:rPr>
              <w:lastRenderedPageBreak/>
              <w:t>κανονισμού (ΕΕ) αριθ. 575/2013,</w:t>
            </w:r>
            <w:r>
              <w:rPr>
                <w:rStyle w:val="InstructionsTabelleberschrift"/>
                <w:rFonts w:ascii="Times New Roman" w:hAnsi="Times New Roman"/>
                <w:b w:val="0"/>
                <w:sz w:val="24"/>
                <w:u w:val="none"/>
              </w:rPr>
              <w:t xml:space="preserve"> και που αναφέρεται αναλόγως στη γραμμή 0290 του υποδείγματος C 01.00. Το σύνολο των AVA είναι το άθροισμα των γραμμών 0030 και 0180.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Γραμμή 0020: Το μέρος του συνόλου των AVA που αναφέρεται στη γραμμή 0010 το οποίο προκύπτει από θέσεις στο χαρτοφυλάκιο συναλλαγών (απόλυτη αξία).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Γραμμές 0030 έως 0160: Το άθροισμα των στηλών 0010, 0030, 0050 και 0070 έως 0100.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Γραμμές 0180 έως 0210: Το σύνολο των AVA που προκύπτει από χαρτοφυλάκια βάσει της εφεδρικής προσέγγισης.</w:t>
            </w:r>
            <w:r>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ΑΝΟΔΙΚΗ ΑΒΕΒΑΙΟΤΗΤΑ</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Άρθρο 8 παράγραφος 2 του</w:t>
            </w:r>
            <w:r>
              <w:rPr>
                <w:rFonts w:ascii="Times New Roman" w:hAnsi="Times New Roman"/>
                <w:sz w:val="24"/>
              </w:rPr>
              <w:t xml:space="preserve"> κατ’ εξουσιοδότηση κανονισμού (ΕΕ) 2016/101.</w:t>
            </w:r>
          </w:p>
          <w:p w14:paraId="3D1B25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Η ανοδική αβεβαιότητα υπολογίζεται και αθροίζεται επί της ιδίας βάσης όπως το σύνολο AVA, που υπολογίζεται στη στήλη 0110, αλλά με αντικατάσταση του επιπέδου βεβαιότητας 90 %, που χρησιμοποιείται για τον προσδιορισμό του συνόλου AVA, με επίπεδο βεβαιότητας 10 %.</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ΚΑΙ ΠΑΘΗΤΙΚΟΥ ΕΥΛΟΓΗΣ ΑΞΙΑΣ</w:t>
            </w:r>
          </w:p>
          <w:p w14:paraId="18BA1E1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αντιστοιχεί στα ποσά των AVA που αναφέρονται στις γραμμές 0010 έως 0130 και στη γραμμή 0180. Για ορισμένες γραμμές, και ιδίως τις γραμμές 0090 έως 0130, τα εν λόγω ποσά μπορεί να χρειαστεί να υπολογιστούν κατά προσέγγιση ή να κατανεμηθούν με βάση την κρίση του εμπειρογνώμονα. </w:t>
            </w:r>
          </w:p>
          <w:p w14:paraId="3721DB29"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Γραμμή 0010: Το σύνολο της απόλυτης αξίας των στοιχείων ενεργητικού και παθητικού που έχουν αποτιμηθεί στην εύλογη αξία που περιλαμβάνονται στον υπολογισμό του ορίου του άρθρου 4 παράγραφος 1 του κατ’ εξουσιοδότηση κανονισμού (ΕΕ) 2016/101.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 </w:t>
            </w:r>
          </w:p>
          <w:p w14:paraId="28E17635"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Η γραμμή 0010 είναι το άθροισμα της γραμμής 0030 και της γραμμής 0180. </w:t>
            </w:r>
          </w:p>
          <w:p w14:paraId="6C809F9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Γραμμή 0020: το μέρος της συνολικής απόλυτης αξίας των στοιχείων ενεργητικού και παθητικού που έχουν αποτιμηθεί στην εύλογη αξία, που αναφέρεται στη γραμμή 0010, το οποίο προκύπτει από θέσεις στο χαρτοφυλάκιο συναλλαγών (απόλυτη αξία). </w:t>
            </w:r>
          </w:p>
          <w:p w14:paraId="1D76BFD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Γραμμή 0030: Η απόλυτη αξία των στοιχείων ενεργητικού και παθητικού που έχουν αποτιμηθεί στην εύλογη αξία που αντιστοιχεί στα χαρτοφυλάκια βάσει των άρθρων 9 έως 17 του κατ’ εξουσιοδότηση κανονισμού (ΕΕ) 2016/101.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w:t>
            </w:r>
            <w:r>
              <w:rPr>
                <w:rFonts w:ascii="Times New Roman" w:hAnsi="Times New Roman"/>
                <w:sz w:val="24"/>
              </w:rPr>
              <w:lastRenderedPageBreak/>
              <w:t>στις γραμμές 0070 και 0080. Η γραμμή 0030 είναι το άθροισμα των γραμμών 0090 έως 0130.</w:t>
            </w:r>
          </w:p>
          <w:p w14:paraId="6FA980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Γραμμή 0050: Η απόλυτη αξία των στοιχείων ενεργητικού και παθητικού που έχουν αποτιμηθεί στην εύλογη αξία που περιλαμβάνονται στο πλαίσιο του υπολογισμού της AVA των μη δεδουλευμένων πιστωτικών περιθωρίων. Για τον σκοπό του υπολογισμού αυτής της AVA, τα στοιχεία ενεργητικού και παθητικού που έχουν αποτιμηθεί στην εύλογη αξία,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μπορεί να μη θεωρούνται πλέον ως πλήρους αντιστοίχισης και συμψηφισμού. </w:t>
            </w:r>
          </w:p>
          <w:p w14:paraId="54BA5F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Γραμμή 0060: Η απόλυτη τιμή των στοιχείων ενεργητικού και παθητικού που έχουν αποτιμηθεί στην εύλογη αξία που περιλαμβάνονται στο πλαίσιο του υπολογισμού της AVA των επενδυτικών εξόδων και των εξόδων χρηματοδότησης. Για τον σκοπό του υπολογισμού αυτής της AVA, τα στοιχεία ενεργητικού και παθητικού που έχουν αποτιμηθεί στην εύλογη αξία,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μπορεί να μη θεωρούνται πλέον ως πλήρους αντιστοίχισης και συμψηφισμού. </w:t>
            </w:r>
          </w:p>
          <w:p w14:paraId="0CE295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Γραμμή 0070: Η απόλυτη αξία των στοιχείων ενεργητικού και παθητικού που έχουν αποτιμηθεί στην εύλογη αξία που αντιστοιχεί στα ανοίγματα αποτίμησης για τα οποία έχει αξιολογηθεί ότι η AVA έχει μηδενική αξία, όπως προβλέπεται στο άρθρο 9 παράγραφος 2 του κατ’ εξουσιοδότηση κανονισμού (ΕΕ) 2016/101. </w:t>
            </w:r>
          </w:p>
          <w:p w14:paraId="6B8CFF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Γραμμή 0080: Η απόλυτη αξία των στοιχείων ενεργητικού και παθητικού που έχουν αποτιμηθεί στην εύλογη αξία που αντιστοιχεί στα ανοίγματα αποτίμησης για τα οποία έχει αξιολογηθεί ότι η AVA έχει μηδενική αξία, όπως προβλέπεται στο άρθρο 10 παράγραφοι 2 και 3 του κατ’ εξουσιοδότηση κανονισμού (ΕΕ) 2016/101. </w:t>
            </w:r>
          </w:p>
          <w:p w14:paraId="1B2163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Γραμμές 0090 έως 0130: Η απόλυτη αξία των στοιχείων ενεργητικού και παθητικού που έχουν αποτιμηθεί στην εύλογη αξία που κατανέμονται όπως καθορίζεται κατωτέρω (βλέπε αντίστοιχες οδηγίες για τις γραμμές), σύμφωνα με τις ακόλουθες κατηγορίες κινδύνου: επιτόκιο, συνάλλαγμα, πίστωση, μετοχές, βασικό εμπόρευμα.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w:t>
            </w:r>
          </w:p>
          <w:p w14:paraId="6AE48E8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Γραμμή 0180: Η απόλυτη αξία των στοιχείων ενεργητικού και παθητικού εύλογης αξίας που αντιστοιχεί στα χαρτοφυλάκια βάσει της εφεδρικής προσέγγισης.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ΕΥΛΟΓΗΣ ΑΞΙΑΣ</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Η απόλυτη αξία των </w:t>
            </w:r>
            <w:r>
              <w:rPr>
                <w:rStyle w:val="InstructionsTabelleberschrift"/>
                <w:rFonts w:ascii="Times New Roman" w:hAnsi="Times New Roman"/>
                <w:b w:val="0"/>
                <w:sz w:val="24"/>
                <w:u w:val="none"/>
              </w:rPr>
              <w:t>στοιχείων ενεργητικού εύλογης αξίας που αντιστοιχεί στις διάφορες γραμμές, όπως επεξηγείται στις οδηγίες για τις στήλες 0130-0140 ανωτέρω.</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ΠΑΘΗΤΙΚΟΥ ΕΥΛΟΓΗΣ ΑΞΙΑΣ</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Η απόλυτη αξία των </w:t>
            </w:r>
            <w:r>
              <w:rPr>
                <w:rStyle w:val="InstructionsTabelleberschrift"/>
                <w:rFonts w:ascii="Times New Roman" w:hAnsi="Times New Roman"/>
                <w:b w:val="0"/>
                <w:sz w:val="24"/>
                <w:u w:val="none"/>
              </w:rPr>
              <w:t>στοιχείων παθητικού εύλογης αξίας που αντιστοιχεί στις διάφορες γραμμές, όπως επεξηγείται στις οδηγίες για τις στήλες 0130-0140 ανωτέρω.</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ΕΣΟΔΑ QTD</w:t>
            </w:r>
          </w:p>
          <w:p w14:paraId="0694DB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Τα έσοδα του τελευταίου τριμήνου (στο εξής: έσοδα QTD) από την τελευταία ημερομηνία υποβολής αναφοράς που αποδίδονται στα στοιχεία ενεργητικού και παθητικού που έχουν αποτιμηθεί στην εύλογη αξία, </w:t>
            </w:r>
            <w:r>
              <w:rPr>
                <w:rStyle w:val="InstructionsTabelleberschrift"/>
                <w:rFonts w:ascii="Times New Roman" w:hAnsi="Times New Roman"/>
                <w:b w:val="0"/>
                <w:sz w:val="24"/>
                <w:u w:val="none"/>
              </w:rPr>
              <w:t>τα οποία αντιστοιχούν στις διάφορες γραμμές, όπως επεξηγείται στις οδηγίες για τις στήλες 0130-0140 ανωτέρω, κατά περίπτωση κατανεμημένα ή υπολογισμένα κατά προσέγγιση με βάση την κρίση του εμπειρογνώμονα</w:t>
            </w:r>
            <w:r>
              <w:rPr>
                <w:rFonts w:ascii="Times New Roman" w:hAnsi="Times New Roman"/>
                <w:sz w:val="24"/>
              </w:rPr>
              <w: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Το άθροισμα, μεταξύ όλων των θέσεων και παραγόντων κινδύνου,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σε σχέση με τα βέλτιστα διαθέσιμα ανεξάρτητα στοιχεία για τη σχετική θέση ή τον σχετικό παράγοντα κινδύνου.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ΠΡΟΣΑΡΜΟΓΕΣ ΕΥΛΟΓΗΣ ΑΞΙΑΣ</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Προσαρμογές, ενίοτε αναφερόμενες επίσης ως “αποθεματικά”, που ενδεχομένως εφαρμόζονται στην εύλογη αξία του ιδρύματος, που πραγματοποιούνται εκτός του μοντέλου αποτίμησης το οποίο χρησιμοποιείται για τη δημιουργία λογιστικών αξιών (εξαιρουμένων των αναβαλλόμενων εισπρακτέων κερδών και ζημιών της ημέρας 1) και που μπορεί να προσδιοριστεί ότι αντιμετωπίζουν την ίδια πηγή αβεβαιότητας αποτίμησης όπως η σχετική AVA. Μπορούν να αντικατοπτρίζουν παράγοντες κινδύνου που δεν αποτυπώνονται στην τεχνική αποτίμησης, που είναι υπό μορφή ασφαλίστρου κινδύνου ή κόστους εξόδου και ανταποκρίνονται στον ορισμό της εύλογης αξίας. Ωστόσο, λαμβάνονται υπόψη από τους συμμετέχοντες στην αγορά κατά τον καθορισμό μιας τιμής. (ΔΠΧΑ 13.9 και ΔΠΧΑ 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ΑΒΕΒΑΙΟΤΗΤΑ ΤΙΜΩΝ ΣΤΗΝ ΑΓΟΡΑ</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Προσαρμογή που εφαρμόζεται στην εύλογη αξία του ιδρύματος, για να αντικατοπτρίζει το ασφάλιστρο κινδύνου που προκύπτει από την ύπαρξη ενός φάσματος παρατηρούμενων τιμών για ισοδύναμα μέσα ή, όσον αφορά ένα δεδομένο παραμέτρου της αγοράς σε μοντέλο αποτίμησης, τα μέσα βάσει των οποίων έχει βαθμονομηθεί το δεδομένο, και άρα μπορεί να προσδιοριστεί ότι </w:t>
            </w:r>
            <w:r>
              <w:rPr>
                <w:rStyle w:val="InstructionsTabelleberschrift"/>
                <w:rFonts w:ascii="Times New Roman" w:hAnsi="Times New Roman"/>
                <w:b w:val="0"/>
                <w:sz w:val="24"/>
                <w:u w:val="none"/>
              </w:rPr>
              <w:lastRenderedPageBreak/>
              <w:t xml:space="preserve">αντιμετωπίζει την ίδια πηγή αβεβαιότητας αποτίμησης όπως η σχετική AVA Αβεβαιότητας τιμών στην αγορά.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ΕΞΟΔΑ ΕΚΚΑΘΑΡΙΣΗΣ</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Προσαρμογή που εφαρμόζεται στην εύλογη αξία του ιδρύματος, για την προσαρμογή στο γεγονός ότι οι αποτιμήσεις σε επίπεδο θέσης δεν αντικατοπτρίζουν τιμή εξόδου για τη θέση ή το χαρτοφυλάκιο, ιδίως όταν οι αποτιμήσεις αυτές βαθμονομούνται σε μέση αγοραία τιμή, και άρα μπορεί να προσδιοριστεί ότι αντιμετωπίζει την ίδια πηγή αβεβαιότητας αποτίμησης όπως η </w:t>
            </w:r>
            <w:r>
              <w:rPr>
                <w:rFonts w:ascii="Times New Roman" w:hAnsi="Times New Roman"/>
                <w:sz w:val="24"/>
              </w:rPr>
              <w:t>AVA Εξόδων εκκαθάρισης</w:t>
            </w:r>
            <w:r>
              <w:rPr>
                <w:rStyle w:val="InstructionsTabelleberschrift"/>
                <w:rFonts w:ascii="Times New Roman" w:hAnsi="Times New Roman"/>
                <w:b w:val="0"/>
                <w:sz w:val="24"/>
                <w:u w:val="none"/>
              </w:rPr>
              <w:t>.</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ΚΙΝΔΥΝΟΣ ΥΠΟΔΕΙΓΜΑΤΟΣ</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Προσαρμογή που εφαρμόζεται στην εύλογη αξία του ιδρύματος, για να αντικατοπτρίζει παράγοντες της αγοράς ή του προϊόντος που δεν αποτυπώνονται στο υπόδειγμα που χρησιμοποιείται για τον καθημερινό υπολογισμό τιμών θέσεων και κινδύνων (στο εξής: υπόδειγμα αποτίμησης) ή για να αντικατοπτρίζει κατάλληλο επίπεδο σύνεσης, δεδομένης της αβεβαιότητας που προκύπτει από την ύπαρξη μιας σειράς εναλλακτικών έγκυρων υποδειγμάτων και βαθμονομήσεων υποδειγμάτων, και άρα μπορεί να προσδιοριστεί ότι αντιμετωπίζει την ίδια πηγή αβεβαιότητας αποτίμησης όπως η </w:t>
            </w:r>
            <w:r>
              <w:rPr>
                <w:rFonts w:ascii="Times New Roman" w:hAnsi="Times New Roman"/>
                <w:sz w:val="24"/>
              </w:rPr>
              <w:t>AVA Κινδύνου υποδείγματος</w:t>
            </w:r>
            <w:r>
              <w:rPr>
                <w:rStyle w:val="InstructionsTabelleberschrift"/>
                <w:rFonts w:ascii="Times New Roman" w:hAnsi="Times New Roman"/>
                <w:b w:val="0"/>
                <w:sz w:val="24"/>
                <w:u w:val="none"/>
              </w:rPr>
              <w:t>.</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ΣΥΓΚΕΝΤΡΩΜΕΝΕΣ ΘΕΣΕΙΣ</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Προσαρμογή που εφαρμόζεται στην εύλογη αξία του ιδρύματος, για να αντικατοπτρίζει το γεγονός ότι η συγκεντρωτική θέση την οποία κατέχει το ίδρυμα είναι μεγαλύτερη από τον συνήθη όγκο συναλλαγών ή μεγαλύτερη από τα μεγέθη θέσεων στα οποία βασίζονται παρατηρήσιμες προσφορές τιμής ή συναλλαγές, χρησιμοποιούμενες για τη βαθμονόμηση της τιμής ή των δεδομένων, που χρησιμοποιούνται στο υπόδειγμα αποτίμησης, και άρα μπορεί να προσδιοριστεί ότι αντιμετωπίζει την ίδια πηγή αβεβαιότητας αποτίμησης όπως η</w:t>
            </w:r>
            <w:r>
              <w:rPr>
                <w:rFonts w:ascii="Times New Roman" w:hAnsi="Times New Roman"/>
                <w:sz w:val="24"/>
              </w:rPr>
              <w:t xml:space="preserve"> AVA Συγκεντρωμένων θέσεων</w:t>
            </w:r>
            <w:r>
              <w:rPr>
                <w:rStyle w:val="InstructionsTabelleberschrift"/>
                <w:rFonts w:ascii="Times New Roman" w:hAnsi="Times New Roman"/>
                <w:b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ΔΕΔΟΥΛΕΥΜΕΝΑ ΠΙΣΤΩΤΙΚΑ ΠΕΡΙΘΩΡΙΑ</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την κάλυψη αναμενόμενων ζημιών, λόγω αθέτησης αντισυμβαλλομένου σε θέσεις παραγώγων (δηλαδή συνολική προσαρμογή πιστωτικής αποτίμησης “CVA” σε επίπεδο ιδρύματος).</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ΕΠΕΝΔΥΤΙΚΑ ΕΞΟΔΑ ΚΑΙ ΕΞΟΔΑ ΧΡΗΜΑΤΟΔΟΤΗΣΗΣ</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αντιστάθμιση, όταν τα υποδείγματα αποτίμησης δεν αντικατοπτρίζουν πλήρως το κόστος χρηματοδότησης που χρεώνουν οι συμμετέχοντες στην αγορά στην τιμή εξόδου για θέση ή χαρτοφυλάκιο (δηλαδή συνολική Προσαρμογή Αποτίμησης Χρηματοδότησης σε επίπεδο ιδρύματος, όταν το ίδρυμα υπολογίζει την προσαρμογή αυτή ή, εναλλακτικά, ισοδύναμη προσαρμογή).</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ΜΕΛΛΟΝΤΙΚΕΣ ΔΙΟΙΚΗΤΙΚΕΣ ΔΑΠΑΝΕΣ</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Προσαρμογή που εφαρμόζεται στην εύλογη αξία του ιδρύματος για να αντικατοπτρίζει τις διοικητικές δαπάνες που συνεπάγεται το χαρτοφυλάκιο ή η θέση, αλλά δεν αντικατοπτρίζονται στο υπόδειγμα αποτίμησης ή στις τιμές που χρησιμοποιούνται για τη βαθμονόμηση των δεδομένων του εν λόγω υποδείγματος, και άρα μπορεί να προσδιοριστεί ότι αντιμετωπίζει την ίδια πηγή αβεβαιότητας αποτίμησης όπως η AVA Μελλοντικών διοικητικών δαπανών.</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ΠΡΟΩΡΗ ΛΗΞΗ</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Προσαρμογές που εφαρμόζονται στην εύλογη αξία του ιδρύματος, για να αντικατοπτρίζουν τις συμβατικές ή μη συμβατικές προσδοκίες πρόωρης λήξης, οι οποίες δεν αντικατοπτρίζονται στο υπόδειγμα αποτίμησης, και άρα μπορεί να προσδιοριστεί ότι αντιμετωπίζουν την ίδια πηγή αβεβαιότητας αποτίμησης όπως η AVA Πρόωρης λήξης.</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Προσαρμογές που εφαρμόζονται στην εύλογη αξία του ιδρύματος, για να αντικατοπτρίζουν το ασφάλιστρο κινδύνου που χρεώνουν οι συμμετέχοντες στην αγορά για την αντιστάθμιση λειτουργικών κινδύνων που προκύπτουν από αντιστάθμιση κινδύνου, διαχείριση και διακανονισμό συμβάσεων στο χαρτοφυλάκιο, και άρα μπορεί να προσδιοριστεί ότι αντιμετωπίζουν την ίδια πηγή αβεβαιότητας αποτίμησης όπως η AVA Λειτουργικού κινδύνου.</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ΚΕΡΔΗ ΚΑΙ ΖΗΜΙΕΣ ΗΜΕΡΑΣ 1</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Προσαρμογές που αντικατοπτρίζουν περιπτώσεις όπου το υπόδειγμα αποτίμησης συν όλες οι άλλες σχετικές προσαρμογές εύλογης αξίας που εφαρμόζονται σε θέση ή χαρτοφυλάκιο δεν αντανακλούσαν την καταβληθείσα ή εισπραχθείσα τιμή κατά την πρώτη ημέρα αναγνώρισης, δηλαδή τα αναβαλλόμενα εισπρακτέα κέρδη και ζημίες της ημέρας 1 (ΔΠΧΑ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ΕΠΕΞΗΓΗΣΗ ΠΕΡΙΓΡΑΦΗ</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Περιγραφή των θέσεων που αντιμετωπίζονται βάσει του άρθρου 7 παράγραφος 2 στοιχείο β) του κατ’ εξουσιοδότηση κανονισμού (ΕΕ) 2016/101 και του λόγου για τον οποίο δεν ήταν δυνατόν να εφαρμοστούν τα άρθρα 9 έως 17 του εν λόγω κανονισμού.</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936"/>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Γραμμές</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 ΣΥΝΟΛΙΚΗ ΒΑΣΙΚΗ ΠΡΟΣΕΓΓΙΣΗ </w:t>
            </w:r>
          </w:p>
          <w:p w14:paraId="6FBBC7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7 παράγραφος 2 του κατ’ εξουσιοδότηση κανονισμού (ΕΕ) 2016/101.</w:t>
            </w:r>
          </w:p>
          <w:p w14:paraId="11E6DD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Για κάθε σχετική κατηγορία AVA που αναφέρονται στις στήλες 0010 έως 0110, το σύνολο των AVA που υπολογίζονται βάσει της βασικής προσέγγισης, όπως προβλέπεται στο κεφάλαιο 3 του κατ’ εξουσιοδότηση κανονισμού (ΕΕ) 2016/101, για τα στοιχεία ενεργητικού και παθητικού εύλογης αξίας που περιλαμβάνονται στον υπολογισμό του ορίου, σύμφωνα με το άρθρο 4 </w:t>
            </w:r>
            <w:r>
              <w:rPr>
                <w:rFonts w:ascii="Times New Roman" w:hAnsi="Times New Roman"/>
                <w:sz w:val="24"/>
              </w:rPr>
              <w:lastRenderedPageBreak/>
              <w:t xml:space="preserve">παράγραφος 1 του εν λόγω κανονισμού. Περιλαμβάνει τα οφέλη διαφοροποίησης που αναφέρονται στη γραμμή 0140, σύμφωνα με το άρθρο 9 παράγραφος 6, το άρθρο 10 παράγραφος 7 και το άρθρο 11 παράγραφος 7 του κατ’ εξουσιοδότηση κανονισμού (ΕΕ) 2016/101.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ΧΑΡΤΟΦΥΛΑΚΙΟ ΣΥΝΑΛΛΑΓΩΝ </w:t>
            </w:r>
          </w:p>
          <w:p w14:paraId="0FEC762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7 παράγραφος 2 του κατ’ εξουσιοδότηση κανονισμού (ΕΕ) 2016/101.</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Για κάθε σχετική κατηγορία AVA που αναφέρεται στις στήλες 0010 έως 0110, το μέρος του συνόλου των AVA που αναφέρεται στη γραμμή 0010 το οποίο προκύπτει από θέσεις στο χαρτοφυλάκιο συναλλαγών (απόλυτη αξία).</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 ΧΑΡΤΟΦΥΛΑΚΙΑ ΒΑΣΕΙ ΤΩΝ ΑΡΘΡΩΝ 9 ΕΩΣ 17 ΤΟΥ ΚΑΤ’ ΕΞΟΥΣΙΟΔΟΤΗΣΗ ΚΑΝΟΝΙΣΜΟΥ (ΕΕ) 2016/101 ΤΗΣ ΕΠΙΤΡΟΠΗΣ – ΣΥΝΟΛΟ ΕΠΙΠΕΔΟΥ ΚΑΤΗΓΟΡΙΑΣ ΜΕΤΑ ΤΗ ΔΙΑΦΟΡΟΠΟΙΗΣΗ </w:t>
            </w:r>
          </w:p>
          <w:p w14:paraId="6ADDDC7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7 παράγραφος 2 στοιχείο α) του κατ’ εξουσιοδότηση κανονισμού (ΕΕ) 2016/101.</w:t>
            </w:r>
          </w:p>
          <w:p w14:paraId="5C5FB9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Για κάθε σχετική κατηγορία AVA που αναφέρονται στις στήλες 0010 έως 0110, το σύνολο των AVA που υπολογίζονται σύμφωνα με τα άρθρα 9 έως 17 του κατ’ εξουσιοδότηση κανονισμού (ΕΕ) 2016/101 για τα στοιχεία ενεργητικού και παθητικού εύλογης αξίας που περιλαμβάνονται στον υπολογισμό του ορίου, σύμφωνα με το άρθρο 4 παράγραφος 1 του εν λόγω κανονισμού, εκτός των στοιχείων ενεργητικού και παθητικού εύλογης αξίας που υπάγονται στη μεταχείριση που περιγράφεται στο άρθρο 7 παράγραφος 2 στοιχείο β) του κατ’ εξουσιοδότηση κανονισμού (ΕΕ) 2016/101. </w:t>
            </w:r>
          </w:p>
          <w:p w14:paraId="5F5EBE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Περιλαμβάνονται οι AVA που υπολογίζονται σύμφωνα με τα άρθρα 12 και 13 του κατ’ εξουσιοδότηση κανονισμού (ΕΕ) 2016/101, οι οποίες αναφέρονται στις γραμμές 0050 και 0060 και συμπεριλαμβάνονται στις AVA αβεβαιότητας των τιμών στην αγορά, AVA εξόδων εκκαθάρισης, και AVA κινδύνου υποδείγματος, όπως προβλέπεται στο άρθρο 12 παράγραφος 2 και στο άρθρο 13 παράγραφος 2 του εν λόγω κανονισμού. </w:t>
            </w:r>
          </w:p>
          <w:p w14:paraId="50C7B1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Περιλαμβάνει τα οφέλη διαφοροποίησης που αναφέρονται στη γραμμή 0140, σύμφωνα με το άρθρο 9 παράγραφος 6, το άρθρο 10 παράγραφος 7 και το άρθρο 11 παράγραφος 7 του κατ’ εξουσιοδότηση κανονισμού (ΕΕ) 2016/101. </w:t>
            </w:r>
          </w:p>
          <w:p w14:paraId="17E7A9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Η γραμμή 0030 είναι η διαφορά μεταξύ των γραμμών 0040 και 0140.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ΣΥΝΟΛΟ ΕΠΙΠΕΔΟΥ ΚΑΤΗΓΟΡΙΑΣ ΠΡΟ ΔΙΑΦΟΡΟΠΟΙΗΣΗΣ</w:t>
            </w:r>
          </w:p>
          <w:p w14:paraId="25B7DF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Για τις γραμμές 0090 έως 0130, τα ιδρύματα κατανέμουν τα οικεία στοιχεία ενεργητικού και παθητικού εύλογης αξίας που περιλαμβάνονται στον υπολογισμό του ορίου, σύμφωνα με το άρθρο 4 παράγραφος 1 του κατ’ εξουσιοδότηση κανονισμού (ΕΕ) 2016/101 (χαρτοφυλάκιο συναλλαγών και τραπεζικό χαρτοφυλάκιο), στις ακόλουθες κατηγορίες κινδύνου: επιτόκιο, συνάλλαγμα, πίστωση, μετοχές, βασικό εμπόρευμα. </w:t>
            </w:r>
          </w:p>
          <w:p w14:paraId="1A152C4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Για τον σκοπό αυτό, τα ιδρύματα βασίζονται στην εσωτερική δομή τους για διαχείριση κινδύνων και, κατόπιν αντιστοίχισης που καταρτίζεται με βάση την </w:t>
            </w:r>
            <w:r>
              <w:rPr>
                <w:rFonts w:ascii="Times New Roman" w:hAnsi="Times New Roman"/>
                <w:sz w:val="24"/>
              </w:rPr>
              <w:lastRenderedPageBreak/>
              <w:t xml:space="preserve">κρίση εμπειρογνώμονα, κατανέμουν τους επιχειρηματικούς τομείς ή τις μονάδες διαπραγμάτευσής τους στην πλέον ενδεδειγμένη κατηγορία κινδύνου. Οι AVA, οι Προσαρμογές Εύλογης Αξίας και οι άλλες απαιτούμενες πληροφορίες, οι οποίες αντιστοιχούν στους κατανεμημένους επιχειρηματικούς τομείς ή στις μονάδες διαπραγμάτευσης, κατανέμονται στην ίδια σχετική κατηγορία κινδύνου, προκειμένου να παρέχεται σε επίπεδο γραμμής για κάθε κατηγορία κινδύνου συνεπής επισκόπηση των προσαρμογών που πραγματοποιήθηκαν, τόσο για σκοπούς προληπτικής εποπτείας όσο και για λογιστικούς σκοπούς, καθώς και ένδειξη του μεγέθους των σχετικών θέσεων (από την άποψη στοιχείων ενεργητικού και παθητικού εύλογης αξίας). Σε περίπτωση που οι AVA ή άλλες προσαρμογές υπολογίζονται σε διαφορετικό επίπεδο συγκέντρωσης, ιδίως σε επίπεδο επιχείρησης, τα ιδρύματα αναπτύσσουν μεθοδολογία κατανομής των AVA στις σχετικές ομάδες θέσεων. Η μεθοδολογία κατανομής έχει ως αποτέλεσμα να είναι η γραμμή 0040 το άθροισμα των γραμμών 0050 έως 0130 για τις στήλες 0010 έως 0100. </w:t>
            </w:r>
          </w:p>
          <w:p w14:paraId="39519D8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Ανεξάρτητα από την προσέγγιση που εφαρμόζεται, οι υποβαλλόμενες πληροφορίες θα πρέπει, κατά το δυνατόν, να έχουν συνέπεια σε επίπεδο γραμμής, δεδομένου ότι οι υποβαλλόμενες πληροφορίες θα συγκρίνονται σε αυτό το επίπεδο (ποσά AVA, ανοδική αβεβαιότητα, ποσά εύλογης αξίας και ενδεχόμενες προσαρμογές εύλογης αξίας). </w:t>
            </w:r>
          </w:p>
          <w:p w14:paraId="0B1615A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Στην ανάλυση στις γραμμές 0090 έως 0130 εξαιρούνται οι AVA που υπολογίζονται σύμφωνα με τα άρθρα 12 και 13 του κατ’ εξουσιοδότηση κανονισμού (ΕΕ) 2016/101, οι οποίες αναφέρονται στις γραμμές 0050 και 0060 και συμπεριλαμβάνονται στις AVA αβεβαιότητας των τιμών στην αγορά, AVA εξόδων εκκαθάρισης, και AVA κινδύνου υποδείγματος, όπως προβλέπεται στο άρθρο 12 παράγραφος 2 και στο άρθρο 13 παράγραφος 2 του εν λόγω κανονισμού.</w:t>
            </w:r>
          </w:p>
          <w:p w14:paraId="694A2D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Τα οφέλη διαφοροποίησης αναφέρονται στη γραμμή 0140, σύμφωνα με το άρθρο 9 παράγραφος 6, το άρθρο 10 παράγραφος 7 και το άρθρο 11 παράγραφος 7 του κατ’ εξουσιοδότηση κανονισμού (ΕΕ) 2016/101, και άρα εξαιρούνται από τις γραμμές 0040 έως 0130.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ΕΚ ΤΩΝ ΟΠΟΙΩΝ: AVA ΜΗ ΔΕΔΟΥΛΕΥΜΕΝΩΝ ΠΙΣΤΩΤΙΚΩΝ ΠΕΡΙΘΩΡΙΩΝ</w:t>
            </w:r>
          </w:p>
          <w:p w14:paraId="1478E2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105 παράγραφος 10 του κανονισμού (ΕΕ) αριθ. 575/2013, άρθρο 12 του κατ’ εξουσιοδότηση κανονισμού (ΕΕ) 2016/101.</w:t>
            </w:r>
          </w:p>
          <w:p w14:paraId="7CA2D21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Η συνολική AVA που υπολογίζεται για μη δεδουλευμένα πιστωτικά περιθώρια (στο εξής: AVA για CVA) και η κατανομή της στις AVA αβεβαιότητας των τιμών στην αγορά, εξόδων εκκαθάρισης ή κινδύνου υποδείγματος, βάσει του άρθρου 12 του κατ’ εξουσιοδότηση κανονισμού (ΕΕ) 2016/101. </w:t>
            </w:r>
          </w:p>
          <w:p w14:paraId="0D632F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Στήλη 0110: Η συνολική AVA παρέχεται μόνον ενημερωτικά, καθόσον η κατανομή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14:paraId="3127C5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Στήλες 0130 και 0140: Η απόλυτη αξία των στοιχείων ενεργητικού και παθητικού εύλογης αξίας που περιλαμβάνονται στο πλαίσιο του υπολογισμού των AVA των μη δεδουλευμένων πιστωτικών περιθωρίων. Για τον σκοπό του υπολογισμού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δεν θεωρούνται πλέον ως πλήρους αντιστοίχισης και συμψηφισμού.</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AVA ΕΠΕΝΔΥΤΙΚΩΝ ΕΞΟΔΩΝ ΚΑΙ ΕΞΟΔΩΝ ΧΡΗΜΑΤΟΔΟΤΗΣΗΣ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Pr>
                <w:rFonts w:ascii="Times New Roman" w:hAnsi="Times New Roman"/>
                <w:sz w:val="24"/>
              </w:rPr>
              <w:t>Άρθρο 105 παράγραφος 10 του κανονισμού (ΕΕ) αριθ. 575/2013, άρθρο 17 του κατ’ εξουσιοδότηση κανονισμού (ΕΕ) 2016/101.</w:t>
            </w:r>
          </w:p>
          <w:p w14:paraId="62DDD25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Η συνολική AVA που υπολογίζεται για επενδυτικά έξοδα και έξοδα χρηματοδότησης και η κατανομή της στις AVA αβεβαιότητας των τιμών στην αγορά, εξόδων εκκαθάρισης ή κινδύνου υποδείγματος, βάσει του άρθρου 13 του κατ’ εξουσιοδότηση κανονισμού (ΕΕ) 2016/101. </w:t>
            </w:r>
          </w:p>
          <w:p w14:paraId="72DC102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Στήλη 0110: Η συνολική AVA παρέχεται μόνον ενημερωτικά, καθόσον η κατανομή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14:paraId="7F6578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Στήλες 0130 και 0140: Η απόλυτη αξία των στοιχείων ενεργητικού και παθητικού που έχουν αποτιμηθεί στην εύλογη αξία που περιλαμβάνονται στο πλαίσιο του υπολογισμού της AVA των επενδυτικών εξόδων και των εξόδων χρηματοδότησης. Για τον σκοπό του υπολογισμού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δεν θεωρούνται πλέον ως πλήρους αντιστοίχισης και συμψηφισμού.</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ΕΚ ΤΩΝ ΟΠΟΙΩΝ: AVA ΠΟΥ ΑΞΙΟΛΟΓΕΙΤΑΙ ΟΤΙ ΕΧΕΙ ΜΗΔΕΝΙΚΗ ΑΞΙΑ ΒΑΣΕΙ ΤΟΥ ΑΡΘΡΟΥ 9 ΠΑΡΑΓΡΑΦΟΣ 2 ΤΟΥ</w:t>
            </w:r>
            <w:r>
              <w:rPr>
                <w:rFonts w:ascii="Times New Roman" w:hAnsi="Times New Roman"/>
                <w:b/>
                <w:caps/>
                <w:sz w:val="24"/>
              </w:rPr>
              <w:t xml:space="preserve"> κατ’ εξουσιοδότηση κανονισμού (ΕΕ) 2016/101</w:t>
            </w:r>
          </w:p>
          <w:p w14:paraId="342CE43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Η απόλυτη αξία της εύλογης αξίας των στοιχείων ενεργητικού και παθητικού που αντιστοιχεί στα ανοίγματα αποτίμησης για τα οποία έχει αξιολογηθεί ότι η AVA έχει μηδενική τιμή, βάσει του άρθρου 9 παράγραφος 2 του κατ’ εξουσιοδότηση κανονισμού (ΕΕ) 2016/101.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ΕΚ ΤΩΝ ΟΠΟΙΩΝ: AVA ΠΟΥ ΑΞΙΟΛΟΓΕΙΤΑΙ ΟΤΙ ΕΧΕΙ ΜΗΔΕΝΙΚΗ ΑΞΙΑ ΒΑΣΕΙ ΤΟΥ ΑΡΘΡΟΥ 10 ΠΑΡΑΓΡΑΦΟΙ 2 ΚΑΙ 3 ΤΟΥ</w:t>
            </w:r>
            <w:r>
              <w:rPr>
                <w:rFonts w:ascii="Times New Roman" w:hAnsi="Times New Roman"/>
                <w:sz w:val="24"/>
              </w:rPr>
              <w:t xml:space="preserve"> </w:t>
            </w:r>
            <w:r>
              <w:rPr>
                <w:rFonts w:ascii="Times New Roman" w:hAnsi="Times New Roman"/>
                <w:b/>
                <w:caps/>
                <w:sz w:val="24"/>
              </w:rPr>
              <w:t>κατ’ εξουσιοδότηση κανονισμού (ΕΕ) 2016/101</w:t>
            </w:r>
          </w:p>
          <w:p w14:paraId="71172E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Η απόλυτη αξία της εύλογης αξίας των στοιχείων ενεργητικού και παθητικού που αντιστοιχεί στα ανοίγματα αποτίμησης για τα οποία έχει αξιολογηθεί ότι η AVA έχει μηδενική τιμή, βάσει του άρθρου 10 παράγραφος 2 ή παράγραφος 3 του κατ’ εξουσιοδότηση κανονισμού (ΕΕ)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ΕΠΙΤΟΚΙΑ</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7AF7273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ΣΥΝΑΛΛΑΓΜΑ</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ΠΙΣΤΩΣΗ</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ΜΕΤΟΧΕΣ</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1.1.1.5 ΒΑΣΙΚΑ ΕΜΠΟΡΕΥΜΑΤΑ</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 (-) Οφέλη διαφοροποίησης</w:t>
            </w:r>
          </w:p>
          <w:p w14:paraId="60EF9B1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Συνολικά οφέλη διαφοροποίησης. Άθροισμα των γραμμών 0150 και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1.1.2.1.(-) Όφελος διαφοροποίησης υπολογιζόμενο με χρήση της μεθόδου 1</w:t>
            </w:r>
          </w:p>
          <w:p w14:paraId="68B32A5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Για τις κατηγορίες AVA που αθροίζονται βάσει της μεθόδου 1, σύμφωνα με το άρθρο 9 παράγραφος 6, το άρθρο 10 παράγραφος 7 και το άρθρο 11 παράγραφος 6 του κατ’ εξουσιοδότηση κανονισμού (ΕΕ) 2016/101, η διαφορά μεταξύ του αθροίσματος των ατομικών AVA και της συνολικής AVA επιπέδου κατηγορίας, μετά την προσαρμογή για άθροισμα.</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Όφελος διαφοροποίησης υπολογιζόμενο με χρήση της μεθόδου 2</w:t>
            </w:r>
          </w:p>
          <w:p w14:paraId="65CA13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Για τις κατηγορίες AVA που αθροίζονται βάσει της μεθόδου 2, σύμφωνα με το άρθρο 9 παράγραφος 6, το άρθρο 10 παράγραφος 7 και το άρθρο 11 παράγραφος 6 του κατ’ εξουσιοδότηση κανονισμού (ΕΕ) 2016/101, η διαφορά μεταξύ του αθροίσματος των ατομικών AVA και της συνολικής AVA επιπέδου κατηγορίας, μετά την προσαρμογή για άθροισμα.</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Υπομνηματικό στοιχείο: AVA προ διαφοροποίησης που μειώνονται πλέον του 90 % με διαφοροποίηση βάσει της μεθόδου 2</w:t>
            </w:r>
          </w:p>
          <w:p w14:paraId="11C46EE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Στην ορολογία της μεθόδου 2, το άθροισμα των FV – PV για όλα τα ανοίγματα αποτίμησης για τα οποία APVA &lt; 10</w:t>
            </w:r>
            <w:r>
              <w:t> </w:t>
            </w:r>
            <w:r>
              <w:rPr>
                <w:rFonts w:ascii="Times New Roman" w:hAnsi="Times New Roman"/>
                <w:sz w:val="24"/>
              </w:rPr>
              <w:t>%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 Χαρτοφυλάκια που υπολογίζονται βάσει της εφεδρικής προσέγγισης</w:t>
            </w:r>
          </w:p>
          <w:p w14:paraId="17176A9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7 παράγραφος 2 στοιχείο β) του κατ’ εξουσιοδότηση κανονισμού (ΕΕ) 2016/101.</w:t>
            </w:r>
          </w:p>
          <w:p w14:paraId="78621AF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Για χαρτοφυλάκια που υπάγονται στην εφεδρική προσέγγιση βάσει του άρθρου 7 παράγραφος 2 στοιχείο β) του κατ’ εξουσιοδότηση κανονισμού (ΕΕ) 2016/101, η συνολική AVA υπολογίζεται ως άθροισμα των γραμμών 0190, 0200 και 0210. </w:t>
            </w:r>
          </w:p>
          <w:p w14:paraId="66B27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Στις στήλες 0130 – 0260 παρέχονται σχετικές πληροφορίες για τον ισολογισμό και άλλες συναφείς πληροφορίες. Στη στήλη 0270 παρέχεται περιγραφή των </w:t>
            </w:r>
            <w:r>
              <w:rPr>
                <w:rFonts w:ascii="Times New Roman" w:hAnsi="Times New Roman"/>
                <w:sz w:val="24"/>
              </w:rPr>
              <w:lastRenderedPageBreak/>
              <w:t xml:space="preserve">θέσεων και του λόγου για τον οποίο δεν ήταν δυνατόν να εφαρμοστούν τα άρθρα 9 έως 17 του κατ’ εξουσιοδότηση κανονισμού (ΕΕ) 2016/101.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1.2.1 Εφεδρική προσέγγιση: 100 % των μη πραγματοποιηθέντων κερδών</w:t>
            </w:r>
          </w:p>
          <w:p w14:paraId="1D558F8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7 παράγραφος 2 στοιχείο β) σημείο i) του κατ’ εξουσιοδότηση κανονισμού (ΕΕ)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1.2.2 Εφεδρική προσέγγιση: 10</w:t>
            </w:r>
            <w:r>
              <w:t> </w:t>
            </w:r>
            <w:r>
              <w:rPr>
                <w:rFonts w:ascii="Times New Roman" w:hAnsi="Times New Roman"/>
                <w:b/>
                <w:caps/>
                <w:sz w:val="24"/>
                <w:u w:val="single"/>
              </w:rPr>
              <w:t>% της ονομαστικής αξίας</w:t>
            </w:r>
          </w:p>
          <w:p w14:paraId="1169C8C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7 παράγραφος 2 στοιχείο β) σημείο ii) του κατ’ εξουσιοδότηση κανονισμού (ΕΕ)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1.2.3 Εφεδρική προσέγγιση: 25 % της αρχικής αξίας</w:t>
            </w:r>
          </w:p>
          <w:p w14:paraId="52AB4D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Άρθρο 7 παράγραφος 2 στοιχείο β) σημείο iii) του κατ’ εξουσιοδότηση κανονισμού (ΕΕ)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rPr>
      </w:pPr>
      <w:bookmarkStart w:id="7" w:name="_Toc117766059"/>
      <w:r>
        <w:rPr>
          <w:rFonts w:ascii="Times New Roman" w:hAnsi="Times New Roman"/>
          <w:sz w:val="24"/>
          <w:u w:val="none"/>
        </w:rPr>
        <w:t xml:space="preserve">6.3. </w:t>
      </w:r>
      <w:r>
        <w:rPr>
          <w:rFonts w:ascii="Times New Roman" w:hAnsi="Times New Roman"/>
          <w:sz w:val="24"/>
        </w:rPr>
        <w:t>C 32.03 – Συνετή αποτίμηση: AVA Κινδύνου υποδείγματος (PruVal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Pr>
          <w:rFonts w:ascii="Times New Roman" w:hAnsi="Times New Roman"/>
          <w:sz w:val="24"/>
          <w:u w:val="none"/>
        </w:rPr>
        <w:t>6.3.1.</w:t>
      </w:r>
      <w:r>
        <w:tab/>
      </w:r>
      <w:r>
        <w:rPr>
          <w:rFonts w:ascii="Times New Roman" w:hAnsi="Times New Roman"/>
          <w:sz w:val="24"/>
        </w:rPr>
        <w:t>Γενικές παρατηρήσεις</w:t>
      </w:r>
      <w:bookmarkEnd w:id="8"/>
      <w:r>
        <w:rPr>
          <w:rFonts w:ascii="Times New Roman" w:hAnsi="Times New Roman"/>
          <w:sz w:val="24"/>
          <w:u w:val="none"/>
        </w:rPr>
        <w:t xml:space="preserve"> </w:t>
      </w:r>
    </w:p>
    <w:p w14:paraId="4A814A6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181</w:t>
      </w:r>
      <w:r>
        <w:fldChar w:fldCharType="end"/>
      </w:r>
      <w:r>
        <w:t>. Το παρόν υπόδειγμα πρέπει να συμπληρώνεται μόνον από τα ιδρύματα που υπερβαίνουν το όριο που αναφέρεται στο άρθρο 4 παράγραφος 1 του κατ’ εξουσιοδότηση κανονισμού (ΕΕ) 2016/101 στο επίπεδό τους. Τα ιδρύματα που αποτελούν μέρος ομίλου που παραβιάζει το όριο σε ενοποιημένη βάση απαιτείται να υποβάλλουν το παρόν υπόδειγμα μόνον εφόσον παραβιάζουν επίσης το όριο και στο επίπεδό τους.</w:t>
      </w:r>
    </w:p>
    <w:p w14:paraId="5D109DAC"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182</w:t>
      </w:r>
      <w:r>
        <w:fldChar w:fldCharType="end"/>
      </w:r>
      <w:r>
        <w:t>. Το παρόν υπόδειγμα χρησιμοποιείται για την αναφορά λεπτομερειών σχετικά με τις 20 μεγαλύτερες ατομικές AVA κινδύνου υποδείγματος, από την άποψη του ποσού AVA, που συμβάλλουν στη συνολική AVA επιπέδου κατηγορίας κινδύνου υποδείγματος, που υπολογίζεται σύμφωνα με το άρθρο 11 του κατ’ εξουσιοδότηση κανονισμού (ΕΕ) 2016/101. Οι πληροφορίες αυτές αντιστοιχούν στις πληροφορίες που αναφέρονται στη στήλη 0050 του υποδείγματος C 32.02.</w:t>
      </w:r>
    </w:p>
    <w:p w14:paraId="617DAF2B"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183</w:t>
      </w:r>
      <w:r>
        <w:fldChar w:fldCharType="end"/>
      </w:r>
      <w:r>
        <w:t xml:space="preserve">. Αναφέρονται οι 20 μεγαλύτερες ατομικές AVA κινδύνου υποδείγματος, και αντίστοιχες πληροφορίες για τα προϊόντα, με φθίνουσα σειρά, αρχής γενομένης από τη μεγαλύτερη ατομική AVA κινδύνου υποδείγματος. </w:t>
      </w:r>
    </w:p>
    <w:p w14:paraId="2DB5DCBD"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184</w:t>
      </w:r>
      <w:r>
        <w:fldChar w:fldCharType="end"/>
      </w:r>
      <w:r>
        <w:t xml:space="preserve">. Αναφέρονται τα προϊόντα που αντιστοιχούν στις μεγαλύτερες ατομικές AVA κινδύνου υποδείγματος, με χρήση της απογραφής των προϊόντων που απαιτείται βάσει του άρθρου 19 παράγραφος 3 στοιχείο α) του κατ’ εξουσιοδότηση κανονισμού (ΕΕ) 2016/101. </w:t>
      </w:r>
    </w:p>
    <w:p w14:paraId="34E20984"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185</w:t>
      </w:r>
      <w:r>
        <w:fldChar w:fldCharType="end"/>
      </w:r>
      <w:r>
        <w:t xml:space="preserve">. Σε περίπτωση που τα προϊόντα είναι επαρκώς ομοιογενή όσον αφορά το υπόδειγμα αποτίμησης και την AVA κινδύνου υποδείγματος, συγχωνεύονται και παρουσιάζονται σε μία γραμμή, με σκοπό να μεγιστοποιηθεί η κάλυψη του </w:t>
      </w:r>
      <w:r>
        <w:lastRenderedPageBreak/>
        <w:t>παρόντος υποδείγματος σε σχέση με τη συνολική AVA επιπέδου κατηγορίας κινδύνου υποδείγματος του ιδρύματος.</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Pr>
          <w:rFonts w:ascii="Times New Roman" w:hAnsi="Times New Roman"/>
          <w:sz w:val="24"/>
          <w:u w:val="none"/>
        </w:rPr>
        <w:t>6.3.2.</w:t>
      </w:r>
      <w:r>
        <w:tab/>
      </w:r>
      <w:r>
        <w:rPr>
          <w:rFonts w:ascii="Times New Roman" w:hAnsi="Times New Roman"/>
          <w:sz w:val="24"/>
        </w:rPr>
        <w:t>Οδηγίες για συγκεκριμένες θέσεις</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Στήλες</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ΒΑΘΜΟΣ</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Ο βαθμός είναι αναγνωριστικός κωδικός γραμμής, και είναι μοναδικός για κάθε γραμμή στο υπόδειγμα. Τηρεί τη σειρά αρίθμησης 1, 2, 3 κ.λπ., όπου το 1 αποδίδεται στην υψηλότερη ατομική AVA κινδύνου υποδείγματος, το 2 στη δεύτερη υψηλότερη και ούτω καθεξής.</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ΥΠΟΔΕΙΓΜΑ</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Εσωτερική ονομασία (αλφαριθμητική) του υποδείγματος που χρησιμοποιείται από το ίδρυμα για την ταυτοποίηση του υποδείγματος.</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ΚΑΤΗΓΟΡΙΑ ΚΙΝΔΥΝΟΥ</w:t>
            </w:r>
          </w:p>
          <w:p w14:paraId="016E72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Η κατηγορία κινδύνου (επιτόκια, συνάλλαγμα, πίστωση, μετοχές, βασικά εμπορεύματα) που χαρακτηρίζει κατά τον καλύτερο τρόπο το προϊόν ή την ομάδα προϊόντων που προκάλεσε την προσαρμογή αποτίμησης κινδύνου υποδείγματος.</w:t>
            </w:r>
          </w:p>
          <w:p w14:paraId="052C4AA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Τα ιδρύματα αναφέρουν τους ακόλουθους κωδικούς:</w:t>
            </w:r>
          </w:p>
          <w:p w14:paraId="0F38EF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επιτόκια</w:t>
            </w:r>
          </w:p>
          <w:p w14:paraId="1658C40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συνάλλαγμα</w:t>
            </w:r>
          </w:p>
          <w:p w14:paraId="6664F6D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πίστωση</w:t>
            </w:r>
          </w:p>
          <w:p w14:paraId="4A5EB89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μετοχές</w:t>
            </w:r>
          </w:p>
          <w:p w14:paraId="2EDCF33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βασικά εμπορεύματα</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ΠΡΟΪΟΝ</w:t>
            </w:r>
          </w:p>
          <w:p w14:paraId="5C8658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Εσωτερική ονομασία (αλφαριθμητική)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 που αποτιμάται με τη χρήση του υποδείγματος.</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ΠΑΡΑΤΗΡΗΣΙΜΟΤΗΤΑ</w:t>
            </w:r>
          </w:p>
          <w:p w14:paraId="428C9CB5" w14:textId="77777777" w:rsidR="001332E7" w:rsidRPr="002A677E" w:rsidRDefault="001332E7" w:rsidP="00B80002">
            <w:pPr>
              <w:pStyle w:val="CommentText"/>
              <w:rPr>
                <w:rFonts w:ascii="Times New Roman" w:hAnsi="Times New Roman"/>
                <w:sz w:val="24"/>
                <w:szCs w:val="24"/>
              </w:rPr>
            </w:pPr>
            <w:r>
              <w:rPr>
                <w:rFonts w:ascii="Times New Roman" w:hAnsi="Times New Roman"/>
                <w:sz w:val="24"/>
              </w:rPr>
              <w:t>Αριθμός παρατηρήσεων τιμών για το προϊόν ή την ομάδα προϊόντων κατά το τελευταίο δωδεκάμηνο, που πληρούν οποιοδήποτε από τα ακόλουθα κριτήρια:</w:t>
            </w:r>
          </w:p>
          <w:p w14:paraId="276496C2"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Η παρατήρηση τιμής είναι τιμή στην οποία το ίδρυμα έχει διενεργήσει συναλλαγή·</w:t>
            </w:r>
          </w:p>
          <w:p w14:paraId="58F8637F"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Είναι τιμή επαληθεύσιμη για διενεργηθείσα συναλλαγή μεταξύ τρίτων μερών·</w:t>
            </w:r>
          </w:p>
          <w:p w14:paraId="4C0DE2DE"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Η τιμή λαμβάνεται από δεσμευτική προσφορά τιμής.</w:t>
            </w:r>
          </w:p>
          <w:p w14:paraId="4BC52F6C" w14:textId="77777777" w:rsidR="001332E7" w:rsidRPr="002A677E" w:rsidRDefault="001332E7" w:rsidP="00B80002">
            <w:pPr>
              <w:pStyle w:val="CommentText"/>
              <w:rPr>
                <w:rStyle w:val="InstructionsTabelleberschrift"/>
                <w:rFonts w:ascii="Times New Roman" w:hAnsi="Times New Roman"/>
                <w:b w:val="0"/>
                <w:sz w:val="24"/>
                <w:szCs w:val="24"/>
              </w:rPr>
            </w:pPr>
            <w:r>
              <w:rPr>
                <w:rFonts w:ascii="Times New Roman" w:hAnsi="Times New Roman"/>
                <w:sz w:val="24"/>
              </w:rPr>
              <w:lastRenderedPageBreak/>
              <w:t>Τα ιδρύματα αναφέρουν μία από τις ακόλουθες τιμές: “ουδεμία”,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ΚΙΝΔΥΝΟΥ ΥΠΟΔΕΙΓΜΑΤΟΣ</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Άρθρο 11 παράγραφος 1 του </w:t>
            </w:r>
            <w:r>
              <w:rPr>
                <w:rFonts w:ascii="Times New Roman" w:hAnsi="Times New Roman"/>
                <w:sz w:val="24"/>
              </w:rPr>
              <w:t>κατ’ εξουσιοδότηση κανονισμού (ΕΕ) 2016/101.</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Ατομική AVA κινδύνου υποδείγματος, πριν από το όφελος διαφοροποίησης, αλλά μετά τον συμψηφισμό χαρτοφυλακίου, κατά περίπτωση.</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ΜΕ ΧΡΗΣΗ ΤΗΣ ΠΡΟΣΕΓΓΙΣΗΣ ΜΕ ΒΑΣΗ ΕΜΠΕΙΡΟΓΝΩΜΟΝΕΣ</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Τα ποσά της στήλης 0050 που έχουν υπολογιστεί στο πλαίσιο της προσέγγισης με βάση εμπειρογνώμονες, όπως προβλέπεται στο άρθρο 11 παράγραφος 4 του κατ’ εξουσιοδότηση κανονισμού (ΕΕ)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ΑΘΡΟΙΣΜΕΝΑ ΜΕ ΧΡΗΣΗ ΤΗΣ ΜΕΘΟΔΟΥ 2</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Τα ποσά της στήλης 0050 που έχουν αθροιστεί βάσει της μεθόδου 2 του παραρτήματος του κατ’ εξουσιοδότηση κανονισμού (ΕΕ) 2016/101. Τα ποσά αυτά αντιστοιχούν στις FV – PV στην ορολογία του παραρτήματος.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ΑΘΡΟΙΣΜΕΝΗ AVA ΥΠΟΛΟΓΙΣΜΕΝΗ ΒΑΣΕΙ ΤΗΣ ΜΕΘΟΔΟΥ 2</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Η συμβολή στη συνολική AVA επιπέδου κατηγορίας για κίνδυνο υποδείγματος, όπως υπολογίζεται σύμφωνα με το άρθρο 11 παράγραφος 7 του</w:t>
            </w:r>
            <w:r>
              <w:rPr>
                <w:rFonts w:ascii="Times New Roman" w:hAnsi="Times New Roman"/>
                <w:sz w:val="24"/>
              </w:rPr>
              <w:t xml:space="preserve"> κατ’ εξουσιοδότηση κανονισμού (ΕΕ) 2016/101</w:t>
            </w:r>
            <w:r>
              <w:rPr>
                <w:rStyle w:val="InstructionsTabelleberschrift"/>
                <w:rFonts w:ascii="Times New Roman" w:hAnsi="Times New Roman"/>
                <w:b w:val="0"/>
                <w:sz w:val="24"/>
                <w:u w:val="none"/>
              </w:rPr>
              <w:t>, των ατομικών AVA κινδύνου υποδείγματος που αθροίζονται με τη χρήση της μεθόδου 2 του παραρτήματος του</w:t>
            </w:r>
            <w:r>
              <w:rPr>
                <w:rFonts w:ascii="Times New Roman" w:hAnsi="Times New Roman"/>
                <w:sz w:val="24"/>
              </w:rPr>
              <w:t xml:space="preserve"> εν λόγω κανονισμού</w:t>
            </w:r>
            <w:r>
              <w:rPr>
                <w:rStyle w:val="InstructionsTabelleberschrift"/>
                <w:rFonts w:ascii="Times New Roman" w:hAnsi="Times New Roman"/>
                <w:b w:val="0"/>
                <w:sz w:val="24"/>
                <w:u w:val="none"/>
              </w:rPr>
              <w:t xml:space="preserve">. </w:t>
            </w:r>
            <w:r>
              <w:rPr>
                <w:rFonts w:ascii="Times New Roman" w:hAnsi="Times New Roman"/>
                <w:sz w:val="24"/>
              </w:rPr>
              <w:t>Το ποσό αυτό αντιστοιχεί στην APVA στην ορολογία του παραρτήματος.</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ΚΑΙ ΠΑΘΗΤΙΚΟΥ ΕΥΛΟΓΗΣ ΑΞΙΑΣ</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ΕΥΛΟΓΗΣ ΑΞΙΑΣ</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Η απόλυτη αξία των στοιχείων ενεργητικού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w:t>
            </w:r>
            <w:r>
              <w:rPr>
                <w:rStyle w:val="InstructionsTabelleberschrift"/>
                <w:rFonts w:ascii="Times New Roman" w:hAnsi="Times New Roman"/>
                <w:b w:val="0"/>
                <w:sz w:val="24"/>
                <w:u w:val="none"/>
              </w:rPr>
              <w:t>.</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ΠΑΘΗΤΙΚΟΥ ΕΥΛΟΓΗΣ ΑΞΙΑΣ</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Η απόλυτη αξία των στοιχείων παθητικού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 (ΔΟΚΙΜΗ ΠΑΡΑΓΟΜΕΝΩΝ ΔΕΔΟΜΕΝΩΝ)</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σε σχέση με τα βέλτιστα διαθέσιμα ανεξάρτητα στοιχεία για το αντίστοιχο προϊόν ή την αντίστοιχη ομάδα προϊόντων.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Στο συγκεκριμένο σημείο περιλαμβάνονται μόνον αποτελέσματα που έχουν βαθμονομηθεί από τιμές μέσων που θα αντιστοιχιστούν με το ίδιο προϊόν (δοκιμή παραγόμενων δεδομένων). Δεν περιλαμβάνονται αποτελέσματα δοκιμών εισαγόμενων δεδομένων από εισαγόμενα δεδομένα της αγοράς, που υποβάλλονται σε δοκιμή σε σχέση με επίπεδα που έχουν βαθμονομηθεί από διαφορετικά προϊόντα.</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ΚΑΛΥΨΗ IPV (ΔΟΚΙΜΗ ΠΑΡΑΓΟΜΕΝΩΝ ΔΕΔΟΜΕΝΩΝ)</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ποσοστό των θέσεων αυτών που αντιστοιχίστηκαν με το υπόδειγμα, σταθμισμένων με τις AVA κινδύνου υποδείγματος, που καλύπτεται από τα αποτελέσματα της δοκιμής παραγόμενων αποτελεσμάτων IPV, που παρέχονται στη στήλη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ΠΡΟΣΑΡΜΟΓΕΣ ΕΥΛΟΓΗΣ ΑΞΙΑΣ</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Προσαρμογές εύλογης αξίας, όπως αναφέρονται στις στήλες 0190 και 0240 του υποδείγματος C 32.02, που έχουν εφαρμοστεί στις θέσεις που αντιστοιχίστηκαν με το</w:t>
            </w:r>
            <w:r>
              <w:rPr>
                <w:rStyle w:val="InstructionsTabelleberschrift"/>
                <w:rFonts w:ascii="Times New Roman" w:hAnsi="Times New Roman"/>
                <w:sz w:val="24"/>
                <w:u w:val="none"/>
              </w:rPr>
              <w:t xml:space="preserve"> </w:t>
            </w:r>
            <w:r>
              <w:rPr>
                <w:rFonts w:ascii="Times New Roman" w:hAnsi="Times New Roman"/>
                <w:sz w:val="24"/>
              </w:rPr>
              <w:t>υπόδειγμα της στήλης 0010</w:t>
            </w:r>
            <w:r>
              <w:rPr>
                <w:rStyle w:val="InstructionsTabelleberschrift"/>
                <w:rFonts w:ascii="Times New Roman" w:hAnsi="Times New Roman"/>
                <w:b w:val="0"/>
                <w:sz w:val="24"/>
                <w:u w:val="none"/>
              </w:rPr>
              <w:t>.</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ΚΕΡΔΗ ΚΑΙ ΖΗΜΙΕΣ ΗΜΕΡΑΣ 1</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Προσαρμογές, όπως ορίζονται στη στήλη 0260 του υποδείγματος C 32.02, που έχουν εφαρμοστεί στις θέσεις που αντιστοιχίστηκαν με το</w:t>
            </w:r>
            <w:r>
              <w:rPr>
                <w:rFonts w:ascii="Times New Roman" w:hAnsi="Times New Roman"/>
                <w:sz w:val="24"/>
              </w:rPr>
              <w:t xml:space="preserve"> υπόδειγμα της στήλης 0010</w:t>
            </w:r>
            <w:r>
              <w:rPr>
                <w:rStyle w:val="InstructionsTabelleberschrift"/>
                <w:rFonts w:ascii="Times New Roman" w:hAnsi="Times New Roman"/>
                <w:sz w:val="24"/>
                <w:u w:val="none"/>
              </w:rPr>
              <w:t>.</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Pr>
          <w:rFonts w:ascii="Times New Roman" w:hAnsi="Times New Roman"/>
          <w:sz w:val="24"/>
          <w:u w:val="none"/>
        </w:rPr>
        <w:t xml:space="preserve">6.4 </w:t>
      </w:r>
      <w:r>
        <w:rPr>
          <w:rFonts w:ascii="Times New Roman" w:hAnsi="Times New Roman"/>
          <w:sz w:val="24"/>
        </w:rPr>
        <w:t>C 32.04 — Συνετή αποτίμηση: AVA Συγκεντρωμένων θέσεων (PruVal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Pr>
          <w:rFonts w:ascii="Times New Roman" w:hAnsi="Times New Roman"/>
          <w:sz w:val="24"/>
          <w:u w:val="none"/>
        </w:rPr>
        <w:t>6.4.1.</w:t>
      </w:r>
      <w:r>
        <w:tab/>
      </w:r>
      <w:r>
        <w:rPr>
          <w:rFonts w:ascii="Times New Roman" w:hAnsi="Times New Roman"/>
          <w:sz w:val="24"/>
        </w:rPr>
        <w:t>Γενικές παρατηρήσεις</w:t>
      </w:r>
      <w:bookmarkEnd w:id="11"/>
      <w:r>
        <w:rPr>
          <w:rFonts w:ascii="Times New Roman" w:hAnsi="Times New Roman"/>
          <w:sz w:val="24"/>
          <w:u w:val="none"/>
        </w:rPr>
        <w:t xml:space="preserve"> </w:t>
      </w:r>
    </w:p>
    <w:p w14:paraId="6D7DC64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186</w:t>
      </w:r>
      <w:r>
        <w:fldChar w:fldCharType="end"/>
      </w:r>
      <w:r>
        <w:t xml:space="preserve">. Το παρόν υπόδειγμα συμπληρώνεται μόνον από τα ιδρύματα που υπερβαίνουν το όριο που αναφέρεται στο άρθρο 4 παράγραφος 1 του κατ’ εξουσιοδότηση κανονισμού (ΕΕ) 2016/101. Τα ιδρύματα που αποτελούν μέρος ομίλου που </w:t>
      </w:r>
      <w:r>
        <w:lastRenderedPageBreak/>
        <w:t>παραβιάζει το όριο σε ενοποιημένη βάση υποβάλλουν το παρόν υπόδειγμα μόνον εφόσον παραβιάζουν επίσης το όριο και στο επίπεδό τους.</w:t>
      </w:r>
    </w:p>
    <w:p w14:paraId="0D2CFCEC"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187</w:t>
      </w:r>
      <w:r>
        <w:fldChar w:fldCharType="end"/>
      </w:r>
      <w:r>
        <w:t xml:space="preserve">. Το παρόν υπόδειγμα χρησιμοποιείται για την αναφορά λεπτομερειών σχετικά με τις 20 μεγαλύτερες ατομικές AVA συγκεντρωμένων θέσεων, από την άποψη του ποσού AVA, που συμβάλλουν στη συνολική AVA επιπέδου κατηγορίας συγκεντρωμένων θέσεων, που υπολογίζεται σύμφωνα με το άρθρο 14 του κατ’ εξουσιοδότηση κανονισμού (ΕΕ) 2016/101. Οι πληροφορίες αυτές αντιστοιχούν στις πληροφορίες που αναφέρονται στη στήλη 0070 του υποδείγματος C 32.02. </w:t>
      </w:r>
    </w:p>
    <w:p w14:paraId="11EF9CE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188</w:t>
      </w:r>
      <w:r>
        <w:fldChar w:fldCharType="end"/>
      </w:r>
      <w:r>
        <w:t>. Αναφέρονται οι 20 μεγαλύτερες ατομικές AVA συγκεντρωμένων θέσεων, και αντίστοιχες πληροφορίες για τα προϊόντα, με φθίνουσα σειρά, αρχής γενομένης από τη μεγαλύτερη ατομική AVA συγκεντρωμένων θέσεων.</w:t>
      </w:r>
    </w:p>
    <w:p w14:paraId="306372CF"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189</w:t>
      </w:r>
      <w:r>
        <w:fldChar w:fldCharType="end"/>
      </w:r>
      <w:r>
        <w:t>. Αναφέρονται τα προϊόντα που αντιστοιχούν στις μεγαλύτερες ατομικές AVA συγκεντρωμένων θέσεων, με χρήση της απογραφής των προϊόντων που απαιτείται βάσει του άρθρου 19 παράγραφος 3 στοιχείο α) του κατ’ εξουσιοδότηση κανονισμού (ΕΕ) 2016/101.</w:t>
      </w:r>
    </w:p>
    <w:p w14:paraId="723832B5"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190</w:t>
      </w:r>
      <w:r>
        <w:fldChar w:fldCharType="end"/>
      </w:r>
      <w:r>
        <w:t>. Οι θέσεις που είναι ομοιογενείς από την άποψη της μεθοδολογίας υπολογισμού AVA αθροίζονται, όπου είναι δυνατόν, προκειμένου να μεγιστοποιηθεί η κάλυψη του παρόντος υποδείγματος.</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Pr>
          <w:rFonts w:ascii="Times New Roman" w:hAnsi="Times New Roman"/>
          <w:sz w:val="24"/>
          <w:u w:val="none"/>
        </w:rPr>
        <w:t>6.4.2.</w:t>
      </w:r>
      <w:r>
        <w:tab/>
      </w:r>
      <w:r>
        <w:rPr>
          <w:rFonts w:ascii="Times New Roman" w:hAnsi="Times New Roman"/>
          <w:sz w:val="24"/>
        </w:rPr>
        <w:t>Οδηγίες για συγκεκριμένες θέσεις</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Στήλες</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ΒΑΘΜΟΣ</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Pr>
                <w:rFonts w:ascii="Times New Roman" w:hAnsi="Times New Roman"/>
                <w:sz w:val="24"/>
              </w:rPr>
              <w:t>Ο βαθμός είναι αναγνωριστικός κωδικός γραμμής, και είναι μοναδικός για κάθε γραμμή στο υπόδειγμα. Τηρεί τη σειρά αρίθμησης 1, 2, 3 κ.λπ., όπου το 1 αποδίδεται στην υψηλότερη ατομική AVA συγκεντρωμένων θέσεων, το 2 στη δεύτερη υψηλότερη και ούτω καθεξής.</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ΚΑΤΗΓΟΡΙΑ ΚΙΝΔΥΝΟΥ</w:t>
            </w:r>
          </w:p>
          <w:p w14:paraId="5047CF0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Η κατηγορία κινδύνου (επιτόκια, συνάλλαγμα, πίστωση, μετοχές, βασικά εμπορεύματα) που χαρακτηρίζει κατά τον καλύτερο τρόπο τη θέση.</w:t>
            </w:r>
          </w:p>
          <w:p w14:paraId="6DDE3D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Τα ιδρύματα αναφέρουν τους ακόλουθους κωδικούς:</w:t>
            </w:r>
          </w:p>
          <w:p w14:paraId="01D8D8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Επιτόκια</w:t>
            </w:r>
          </w:p>
          <w:p w14:paraId="76FEB8E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Συνάλλαγμα</w:t>
            </w:r>
          </w:p>
          <w:p w14:paraId="25092AC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Πίστωση</w:t>
            </w:r>
          </w:p>
          <w:p w14:paraId="6BBAD43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Μετοχές</w:t>
            </w:r>
          </w:p>
          <w:p w14:paraId="796BCCC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Βασικά εμπορεύματα</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ΠΡΟΪΟΝ </w:t>
            </w:r>
          </w:p>
          <w:p w14:paraId="71775E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Εσωτερική ονομασία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ΥΠΟΚΕΙΜΕΝΟ</w:t>
            </w:r>
          </w:p>
          <w:p w14:paraId="30C12F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Εσωτερική ονομασία του υποκείμενου στοιχείου, ή των υποκείμενων στοιχείων, στην περίπτωση παραγώγων, ή των μέσων στην περίπτωση μη παραγώγων.</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ΜΕΓΕΘΟΣ ΣΥΓΚΕΝΤΡΩΜΕΝΗΣ ΘΕΣΗΣ</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Το μέγεθος της ατομικής συγκεντρωμένης θέσης αποτίμησης, που προσδιορίζεται σύμφωνα με το άρθρο 14 παράγραφος 1 στοιχείο α) του κατ’ εξουσιοδότηση κανονισμού (ΕΕ) 2016/101, εκφραζόμενο στη μονάδα που περιγράφεται στη στήλη 0050.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ΜΕΤΡΟ ΜΕΓΕΘΟΥΣ</w:t>
            </w:r>
          </w:p>
          <w:p w14:paraId="28CECA6A" w14:textId="77777777" w:rsidR="001332E7" w:rsidRPr="001332E7" w:rsidRDefault="001332E7" w:rsidP="00B80002">
            <w:pPr>
              <w:spacing w:beforeLines="60" w:before="144" w:afterLines="60" w:after="144"/>
              <w:rPr>
                <w:rFonts w:ascii="Times New Roman" w:hAnsi="Times New Roman"/>
                <w:sz w:val="24"/>
              </w:rPr>
            </w:pPr>
            <w:r>
              <w:rPr>
                <w:rFonts w:ascii="Times New Roman" w:hAnsi="Times New Roman"/>
                <w:sz w:val="24"/>
              </w:rPr>
              <w:t xml:space="preserve">Μονάδα μέτρησης του μεγέθους, που χρησιμοποιείται εσωτερικά ως μέρος του προσδιορισμού της συγκεντρωμένης θέσης αποτίμησης, για να υπολογιστεί το μέγεθος της συγκεντρωμένης θέσης που αναφέρεται στη στήλη 0040.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Στην περίπτωση θέσεων σε ομόλογα ή μετοχές, να αναφερθεί η μονάδα που χρησιμοποιείται</w:t>
            </w:r>
            <w:r>
              <w:rPr>
                <w:rFonts w:ascii="Times New Roman" w:hAnsi="Times New Roman"/>
                <w:sz w:val="24"/>
              </w:rPr>
              <w:t xml:space="preserve"> για την εσωτερική διαχείριση κινδύνου</w:t>
            </w:r>
            <w:r>
              <w:rPr>
                <w:rStyle w:val="InstructionsTabelleberschrift"/>
                <w:rFonts w:ascii="Times New Roman" w:hAnsi="Times New Roman"/>
                <w:b w:val="0"/>
                <w:sz w:val="24"/>
                <w:u w:val="none"/>
              </w:rPr>
              <w:t xml:space="preserve">, όπως “αριθμός ομολόγων”, “αριθμός μετοχών” ή “αγοραία αξία”.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Στην περίπτωση θέσεων σε παράγωγα, να αναφερθεί η μονάδα που χρησιμοποιείται για την εσωτερική διαχείριση κινδύνου, όπως “PV01, EUR ανά 1 μονάδα βάσης παράλληλη μετατόπιση της καμπύλης απόδοσης”.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ΑΓΟΡΑΙΑ ΑΞΙΑ</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Αγοραία αξία της θέσης.</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ΣΥΝΕΤΗ ΠΕΡΙΟΔΟΣ ΕΞΟΔΟΥ</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Η συνετή περίοδος εξόδου, σε αριθμό ημερών, που εκτιμάται βάσει του </w:t>
            </w:r>
            <w:r>
              <w:rPr>
                <w:rStyle w:val="InstructionsTabelleberschrift"/>
                <w:rFonts w:ascii="Times New Roman" w:hAnsi="Times New Roman"/>
                <w:sz w:val="24"/>
              </w:rPr>
              <w:t xml:space="preserve"> </w:t>
            </w:r>
            <w:r>
              <w:rPr>
                <w:rFonts w:ascii="Times New Roman" w:hAnsi="Times New Roman"/>
                <w:sz w:val="24"/>
              </w:rPr>
              <w:t xml:space="preserve">άρθρου 14 παράγραφος 1 στοιχείο β) </w:t>
            </w:r>
            <w:r>
              <w:rPr>
                <w:rStyle w:val="InstructionsTabelleberschrift"/>
                <w:rFonts w:ascii="Times New Roman" w:hAnsi="Times New Roman"/>
                <w:b w:val="0"/>
                <w:sz w:val="24"/>
                <w:u w:val="none"/>
              </w:rPr>
              <w:t>του</w:t>
            </w:r>
            <w:r>
              <w:rPr>
                <w:rFonts w:ascii="Times New Roman" w:hAnsi="Times New Roman"/>
                <w:sz w:val="24"/>
              </w:rPr>
              <w:t xml:space="preserve"> κατ’ εξουσιοδότηση κανονισμού (ΕΕ) 2016/101</w:t>
            </w:r>
            <w:r>
              <w:rPr>
                <w:rStyle w:val="InstructionsTabelleberschrift"/>
                <w:rFonts w:ascii="Times New Roman" w:hAnsi="Times New Roman"/>
                <w:b w:val="0"/>
                <w:sz w:val="24"/>
                <w:u w:val="none"/>
              </w:rPr>
              <w:t>.</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ΣΥΓΚΕΝΤΡΩΜΕΝΩΝ ΘΕΣΕΩΝ</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ποσό της AVA συγκεντρωμένων θέσεων, που υπολογίζεται σύμφωνα με το άρθρο 14 παράγραφος 1 του</w:t>
            </w:r>
            <w:r>
              <w:rPr>
                <w:rFonts w:ascii="Times New Roman" w:hAnsi="Times New Roman"/>
                <w:sz w:val="24"/>
              </w:rPr>
              <w:t xml:space="preserve"> κατ’ εξουσιοδότηση κανονισμού (ΕΕ) 2016/101</w:t>
            </w:r>
            <w:r>
              <w:rPr>
                <w:rStyle w:val="InstructionsTabelleberschrift"/>
                <w:rFonts w:ascii="Times New Roman" w:hAnsi="Times New Roman"/>
                <w:b w:val="0"/>
                <w:sz w:val="24"/>
                <w:u w:val="none"/>
              </w:rPr>
              <w:t>, για τη σχετική ατομική συγκεντρωμένη θέση αποτίμησης.</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ΠΡΟΣΑΡΜΟΓΗ ΕΥΛΟΓΗΣ ΑΞΙΑΣ ΣΥΓΚΕΝΤΡΩΜΕΝΗΣ ΘΕΣΗΣ</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Το ποσό οποιωνδήποτε προσαρμογών εύλογης αξίας που πραγματοποιούνται για να αντικατοπτρίζεται το γεγονός ότι η συγκεντρωτική θέση την οποία κατέχει το ίδρυμα είναι μεγαλύτερη από τον συνήθη όγκο συναλλαγών ή μεγαλύτερη από τα μεγέθη θέσεων και επί των οποίων βασίζονται παρατηρήσιμες προσφορές τιμής </w:t>
            </w:r>
            <w:r>
              <w:rPr>
                <w:rStyle w:val="InstructionsTabelleberschrift"/>
                <w:rFonts w:ascii="Times New Roman" w:hAnsi="Times New Roman"/>
                <w:b w:val="0"/>
                <w:sz w:val="24"/>
                <w:u w:val="none"/>
              </w:rPr>
              <w:lastRenderedPageBreak/>
              <w:t>ή συναλλαγές, χρησιμοποιούμενες για τη βαθμονόμηση της τιμής ή των δεδομένων, που χρησιμοποιούνται στο υπόδειγμα αποτίμησης.</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Το προς αναφορά ποσό αντιστοιχεί στο ποσό που έχει υποβληθεί στη σχετική ατομική συγκεντρωμένη θέση αποτίμησης.</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w:t>
            </w:r>
            <w:r>
              <w:rPr>
                <w:rFonts w:ascii="Times New Roman" w:hAnsi="Times New Roman"/>
                <w:sz w:val="24"/>
              </w:rPr>
              <w:t>του κανονισμού (ΕΕ) αριθ. 575/2013</w:t>
            </w:r>
            <w:r>
              <w:rPr>
                <w:rStyle w:val="InstructionsTabelleberschrift"/>
                <w:rFonts w:ascii="Times New Roman" w:hAnsi="Times New Roman"/>
                <w:b w:val="0"/>
                <w:sz w:val="24"/>
                <w:u w:val="none"/>
              </w:rPr>
              <w:t xml:space="preserve">, σε σχέση με τα βέλτιστα διαθέσιμα ανεξάρτητα στοιχεία για τη σχετική ατομική συγκεντρωμένη θέση αποτίμησης.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tc>
      </w:tr>
    </w:tbl>
    <w:p w14:paraId="465A6E1A" w14:textId="317984C1" w:rsidR="00897334" w:rsidRPr="00AC3DE3" w:rsidRDefault="00437391" w:rsidP="00AC3DE3">
      <w:r>
        <w:t>»</w:t>
      </w:r>
    </w:p>
    <w:sectPr w:rsidR="00897334" w:rsidRPr="00AC3DE3">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A29A" w14:textId="77777777" w:rsidR="007216FB" w:rsidRDefault="007216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B3B94" w14:textId="77777777" w:rsidR="007216FB" w:rsidRDefault="007216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8665C" w14:textId="77777777" w:rsidR="007216FB" w:rsidRDefault="007216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Κατ’ εξουσιοδότηση κανονισμός (ΕΕ) 2016/101 της Επιτροπής, της 26ης Οκτωβρίου 2015, για τη συμπλήρωση του κανονισμού (ΕΕ) αριθ. 575/2013 του Ευρωπαϊκού Κοινοβουλίου και του Συμβουλίου όσον αφορά ρυθμιστικά τεχνικά πρότυπα για τη συνετή αποτίμηση βάσει του άρθρου 105 παράγραφος 14 (ΕΕ L 21 της 28.1.2016, σ.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tab/>
      </w:r>
      <w:r>
        <w:rPr>
          <w:sz w:val="20"/>
        </w:rPr>
        <w:t>Κανονισμός (ΕΚ) αριθ. 1606/2002 του Ευρωπαϊκού Κοινοβουλίου και του Συμβουλίου, της 19ης Ιουλίου 2002, για την εφαρμογή διεθνών λογιστικών προτύπων (</w:t>
      </w:r>
      <w:r>
        <w:rPr>
          <w:rStyle w:val="Emphasis"/>
          <w:sz w:val="20"/>
        </w:rPr>
        <w:t>ΕΕ L 243 της 11.9.2002, σ.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Οδηγία 2013/34/EE του Ευρωπαϊκού Κοινοβουλίου και του Συμβουλίου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78/660/EOK και 83/349/ΕΟΚ του Συμβουλίου (ΕΕ L 182 της 29.6.2013, σ.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62D6CA"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3EE7FAC2" w:rsidR="00897334" w:rsidRPr="00897334" w:rsidRDefault="007216FB" w:rsidP="00897334">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3EE7FAC2" w:rsidR="00897334" w:rsidRPr="00897334" w:rsidRDefault="007216FB" w:rsidP="00897334">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CFD688B"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437391"/>
    <w:rsid w:val="006178F7"/>
    <w:rsid w:val="00631623"/>
    <w:rsid w:val="007216FB"/>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el-G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el-GR"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el-GR"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el-GR"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el-GR"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el-GR"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el-GR"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el-GR"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el-GR"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el-GR"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el-GR"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362D34F6-02F6-4EC4-8AFC-4D30EEE08A1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21</TotalTime>
  <Pages>26</Pages>
  <Words>8634</Words>
  <Characters>47147</Characters>
  <Application>Microsoft Office Word</Application>
  <DocSecurity>0</DocSecurity>
  <Lines>1122</Lines>
  <Paragraphs>680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SPANOU Marina (DGT)</cp:lastModifiedBy>
  <cp:revision>9</cp:revision>
  <dcterms:created xsi:type="dcterms:W3CDTF">2024-05-28T10:37:00Z</dcterms:created>
  <dcterms:modified xsi:type="dcterms:W3CDTF">2025-01-13T14:57:00Z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2025-01-13T14:56:57Z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75c25818-ba0f-4d29-80df-06d448a58ad5</vt:lpwstr>
  </property>
  <property fmtid="{D5CDD505-2E9C-101B-9397-08002B2CF9AE}" pid="12" name="MSIP_Label_6bd9ddd1-4d20-43f6-abfa-fc3c07406f94_ContentBits">
    <vt:lpwstr>0</vt:lpwstr>
  </property>
</Properties>
</file>