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7920D372" w:rsidR="009E7D0C" w:rsidRPr="00B3568A" w:rsidRDefault="00B3568A" w:rsidP="00B3568A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MT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37362007" w14:textId="6FB5EC15" w:rsidR="002648B0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327777EC" w14:textId="77777777" w:rsidR="002648B0" w:rsidRPr="00037E7B" w:rsidRDefault="00D11E4C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 xml:space="preserve">PARTI II: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STRUZZJONIJIET RELATATI MAL-FORMOLI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 xml:space="preserve">(…)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sz w:val="24"/>
          <w:rFonts w:ascii="Times New Roman" w:hAnsi="Times New Roman"/>
        </w:rPr>
        <w:t xml:space="preserve">9.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Il-livelli limitu tar-riskju tal-portafoll tan-negozjar u tas-suq, il-limitu bejn il-portafoll tan-negozjar u l-portafoll mhux tan-negozjar u r-riklassifikazzjonijiet</w:t>
      </w:r>
      <w:bookmarkEnd w:id="5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" w:name="_Toc7084156"/>
      <w:bookmarkStart w:id="7" w:name="_Toc37168636"/>
      <w:bookmarkStart w:id="8" w:name="_Toc151714535"/>
      <w:r>
        <w:rPr>
          <w:sz w:val="24"/>
          <w:rFonts w:ascii="Times New Roman" w:hAnsi="Times New Roman"/>
        </w:rPr>
        <w:t xml:space="preserve">9.1</w:t>
      </w:r>
      <w:r>
        <w:rPr>
          <w:sz w:val="24"/>
          <w:rFonts w:ascii="Times New Roman" w:hAnsi="Times New Roman"/>
        </w:rPr>
        <w:tab/>
      </w:r>
      <w:bookmarkEnd w:id="6"/>
      <w:r>
        <w:rPr>
          <w:sz w:val="24"/>
          <w:rFonts w:ascii="Times New Roman" w:hAnsi="Times New Roman"/>
        </w:rPr>
        <w:t xml:space="preserve">C 90.00 – Il-portafoll tan-negozjar u l-limiti tar-riskju tas-suq</w:t>
      </w:r>
      <w:bookmarkEnd w:id="7"/>
      <w:bookmarkEnd w:id="8"/>
      <w:r>
        <w:rPr>
          <w:sz w:val="24"/>
          <w:rFonts w:ascii="Times New Roman" w:hAnsi="Times New Roman"/>
        </w:rPr>
        <w:t xml:space="preserve">T</w:t>
      </w:r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9" w:name="_Toc151714536"/>
      <w:r>
        <w:rPr>
          <w:u w:val="none"/>
          <w:sz w:val="24"/>
          <w:rFonts w:ascii="Times New Roman" w:hAnsi="Times New Roman"/>
        </w:rPr>
        <w:t xml:space="preserve">9.1.1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Rimarki ġenerali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L-informazzjoni li tingħata f’dan il-mudell għandha tirrifletti r-riżultat tal-kalkolu msemmi fl-Artikolu 94 tar-Regolament (UE) Nru 575/2013 (deroga għal negozju żgħir fil-portafoll tan-negozjar), u d-daqs tan-negozju fil-karta bilanċjali u barra minnha ta’ istituzzjoni li jkun soġġett għar-riskju tas-suq ikkalkolat f’konformità mal-Artikolu 325a tar-Regolament (UE) Nru 575/2013.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0" w:name="_Toc37168638"/>
      <w:r>
        <w:rPr>
          <w:sz w:val="24"/>
          <w:u w:val="none"/>
          <w:rFonts w:ascii="Times New Roman" w:hAnsi="Times New Roman"/>
        </w:rPr>
        <w:t xml:space="preserve">9.1.2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pożizzjonijiet speċifiċi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Ir-riżultat tal-kalkolu msemmi fl-Artikolu 94 tar-Regolament (UE) Nru 575/2013 u l-informazzjoni dwar id-daqs tan-negozju fil-karta bilanċjali u barra minnha soġġett għar-riskju tas-suq ikkalkolat f’konformità mal-Artikolu 325a tar-Regolament (UE) Nru 575/2013 għandhom jiġu rrapportati b’mod separat għal kull tmiem ix-xahar fit-trimestru li għalih jirreferi r-rapport fir-ringieli minn 0010 sa 0030.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Ringiela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Referenzi legali u struzzjonijiet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Xahar 3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Data mill-aħħar jum tat-tielet xahar tat-trimestru li għalih jirreferi r-rapport.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Xahar 2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Data mill-aħħar jum tat-tieni xahar tat-trimestru li għalih jirreferi r-rapport.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Xahar 1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Data mill-aħħar jum tal-ewwel xahar tat-trimestru li għalih jirreferi r-rapport.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Kolonna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Referenzi legali u struzzjonijiet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Negozju fil-karta bilanċjali u barra minnha soġġett għal riskju tas-suq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325 a(2) tar-Regolament (UE) Nru 575/2013.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jirrapportaw l-ammont assolut li jirrifletti n-negozju fil-karta bilanċjali u barra l-karta bilanċjali tal-istituzzjonijiet soġġett għar-riskju tas-suq ikkalkolat f’konformità mal-Artikolu 325a(2)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 – 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Tqassim skont il-ktieb regolatorju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In-negozju fil-karta bilanċjali u barra minnha soġġett għar-riskju tas-suq għandu jiġi diżaggregat skont il-portafoll tan-negozjar u l-portafoll mhux tan-negozjar.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0020– 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Portafoll tan-negozjar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Pożizzjonijiet assenjati lill-portafoll tan-negozjar li huma inklużi fil-kalkolu tal-Artikolu 325a(2) tar-Regolament (UE) Nru 575/2013.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 – 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Negozju fil-portafoll tan-negozjar għall-finijiet tal-Artikolu 94 tar-Regolament (UE) Nru 575/2013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94(3) tar-Regolament (UE) Nru 575/2013.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Kif meħtieġ mill-Artikolu 94(3), il-punt (b), tar-Regolament (UE) Nru 575/2013, l-istituzzjonijiet għandhom jirrapportaw il-valuri tas-suq mill-aħħar jum tax-xahar;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meta l-valuri tas-suq ma jkunux disponibbli, il-valuri ġusti fl-istess data, jew, fejn il-valuri tas-suq u l-valuri ġusti ma jkunux disponibbli f’dik id-data partikolari, l-aktar valur tas-suq jew valur ġust riċenti.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Total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94(3) tar-Regolament (UE) Nru 575/2013.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L-ammont assolut ta’ pożizzjonijiet twal u qosra għandu jingħadd kif meħtieġ mill-Artikolu 94(3), il-punt (c), tar-Regolament (UE) Nru 575/2013.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f’% tal-assi totali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94(1), il-punt (a) tar-Regolament (UE) 575/2013.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Id-daqs tal-portafoll tan-negozjar għall-finijiet tal-Artikolu 94 tar-Regolament (UE) Nru 575/2013 għandu jiġi espress bħala perċentwal tal-assi totali.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 – 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Portafoll mhux tan-negozjar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Pożizzjonijiet assenjati lill-portafoll mhux tan-negozjar li huma inklużi fil-kalkolu tal-Artikolu 325a(2) tar-Regolament (UE) Nru 575/2013.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jirrapportaw pożizzjonijiet tal-portafoll mhux tan-negozjar soġġetti għal riskju tas-suq diżaggregati f’pożizzjonijiet soġġetti għal riskju tal-kambju u pożizzjonijiet soġġetti għal riskju tal-komoditajiet.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L-ammonti rilevanti għandhom jiġu determinati f’konformità mal-Artikolu 325a(2), il-punti (d) u (e), tar-Regolament (UE) Nru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f’% tal-assi totali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325a(1), il-punt (a) tar-Regolament (UE) 575/2013.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In-negozju fil-karta bilanċjali u barra minnha soġġett għar-riskju tas-suq għandu jiġi espress bħala perċentwal tal-assi totali.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Assi totali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94(1), il-punt (a), u l-Artikolu 325a(1), il-punt (a), tar-Regolament (UE) Nru 575/2013.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sz w:val="24"/>
          <w:rFonts w:ascii="Times New Roman" w:hAnsi="Times New Roman"/>
        </w:rPr>
        <w:t xml:space="preserve">9.2 il-limitu bejn il-portafoll tan-negozjar u l-portafoll mhux tan-negozjar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1" w:name="_Toc151714537"/>
      <w:r>
        <w:rPr>
          <w:sz w:val="24"/>
          <w:rFonts w:ascii="Times New Roman" w:hAnsi="Times New Roman"/>
        </w:rPr>
        <w:t xml:space="preserve">9.2.1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209a.</w:t>
      </w:r>
      <w:r>
        <w:t xml:space="preserve"> </w:t>
      </w:r>
      <w:r>
        <w:t xml:space="preserve">Din il-formola għandha tintuża biex tipprovdi informazzjoni dwar il-kompożizzjoni tal-portafoll tan-negozjar (BOU1) fid-dawl tal-preżunzjonijiet għall-inklużjoni ta’ strumenti fil-kotba stipulati fl-Artikolu 104 tar-Regolament (UE) Nru 575/2013.</w:t>
      </w:r>
      <w:r>
        <w:t xml:space="preserve">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2" w:name="_Toc151714538"/>
      <w:r>
        <w:rPr>
          <w:sz w:val="24"/>
          <w:rFonts w:ascii="Times New Roman" w:hAnsi="Times New Roman"/>
        </w:rPr>
        <w:t xml:space="preserve">9.2.2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90.05 — Il-konfini: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Portafoll tan-negozjar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151714539"/>
      <w:r>
        <w:rPr>
          <w:sz w:val="24"/>
          <w:rFonts w:ascii="Times New Roman" w:hAnsi="Times New Roman"/>
        </w:rPr>
        <w:t xml:space="preserve">9.2.2.1 Rimarki ġenerali</w:t>
      </w:r>
      <w:bookmarkEnd w:id="13"/>
    </w:p>
    <w:p w14:paraId="4E94C71F" w14:textId="73207B56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 xml:space="preserve">209b.</w:t>
      </w:r>
      <w:r>
        <w:t xml:space="preserve"> </w:t>
      </w:r>
      <w:r>
        <w:t xml:space="preserve">L-istituzzjonijiet għandhom jirrapportaw il-pożizzjonijiet kollha assenjati lill-portafoll tan-negozjar kif imsemmi fl-Artikolu 4(1), il-punt (85), tar-Regolament (UE) Nru 575/2013 f’dan il-mudell, bl-eċċezzjoni tal-istrumenti u l-pożizzjonijiet esklużi mill-kalkolu tal-livell limitu msemmi fl-Artikolu 325a tar-Regolament (UE) Nru 575/2013.209c.B’deroga mill-Artikolu 21(1), il-punt (a), tar-Regolament (UE) 2021/451, l-istituzzjonijiet għandhom jirrapportaw żero fir-ringieli 0010 u 0020, il-kolonni 0020 (“Mandatorjament fil-Portafoll tan-Negozjar”), 0130 (“Strumenti inklużi fil-Portafoll tan-Negozjar bl-approvazzjoni mill-awtorità kompetenti:</w:t>
      </w:r>
      <w:r>
        <w:t xml:space="preserve"> </w:t>
      </w:r>
      <w:r>
        <w:t xml:space="preserve">Strumenti f’fondi ħeġġ”) u 0140 (“Strumenti oħrajn”), rispettivament, jekk il-portafoll tan-negozjar tagħhom ma jinkludi l-ebda strument li jikkorrispondi għad-deskrizzjoni taċ-ċellola rispettiva.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4" w:name="_Toc151714540"/>
      <w:r>
        <w:rPr>
          <w:sz w:val="24"/>
          <w:rFonts w:ascii="Times New Roman" w:hAnsi="Times New Roman"/>
        </w:rPr>
        <w:t xml:space="preserve">9.2.2.2 Struzzjonijiet dwar pożizzjonijiet speċifiċi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Kolonna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Referenzi legali u struzzjonijiet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0010 - 0150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Portafoll tan-negozjar: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Pożizzjonijiet aggregati: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Valur għall-effett tal-Artikolu 325a tar-Regolament (UE) Nru 575/2013 (valur tas-suq nett (+) pożittiv/(−) negattiv)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L-Artikoli 4 (1), il-punt (86), 104, 325a(2), il-punt (a) tar-Regolament (UE) Nru 575/2013</w:t>
            </w:r>
          </w:p>
          <w:p w14:paraId="467A1E21" w14:textId="008DABF1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 xml:space="preserve">L-istituzzjonijiet għandhom jirrapportaw b’mod separat l-informazzjoni għall-pożizzjonijiet twal aggregati u għall-pożizzjonijiet qosra aggregati.</w:t>
            </w:r>
            <w:r>
              <w:t xml:space="preserve"> </w:t>
            </w:r>
            <w:r>
              <w:t xml:space="preserve">Huma għandhom jiddeterminaw il-valur tal-pożizzjoni twila (qasira) aggregata skont l-Artikolu 325a(2) tar-Regolament (UE) Nru 575/2013, bid-deroga li ġejja:</w:t>
            </w:r>
            <w:r>
              <w:t xml:space="preserve"> </w:t>
            </w:r>
            <w:r>
              <w:t xml:space="preserve">Meta l-valur tal-pożizzjoni twila (qasira) aggregata jikkorrispondi għal valur tas-suq pożittiv nett, għandu jiġi rrapportat valur pożittiv f’din il-formola;</w:t>
            </w:r>
            <w:r>
              <w:t xml:space="preserve"> </w:t>
            </w:r>
            <w:r>
              <w:t xml:space="preserve">meta l-valur tal-pożizzjoni twila (qasira) aggregata jikkorrispondi għal valur tas-suq negattiv nett, għandu jiġi rrapportat valur negattiv.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Pożizzjonijiet aggregati — li minnhom: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f'munita barranija</w:t>
            </w:r>
          </w:p>
          <w:p w14:paraId="67C375D5" w14:textId="58B41269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L-istrumenti għandhom jiġu rrapportati f’din il-kolonna, jekk ikunu denominati f’munita għajr il-munita tar-rapportar, jekk ikollhom sottostanti denominat f’tali munita jew ikollhom pożizzjoni tal-kambju bħala sottostanti.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 – 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Pożizzjonijiet aggregati — Mandatorjament fil-portafoll tan-negozjar</w:t>
            </w:r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strument jissodisfa aktar minn kundizzjoni waħda biex ikollu jiġi inkluż fil-portafoll tan-negozjar, l-istituzzjonijiet għandhom jirrapportawh fil-kolonna li jqisu l-aktar xierqa fost il-kolonni minn 0030 sa 0120.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Strumenti kklassifikati bħala li għandhom skop ta’ negozjar skont il-qafas kontabilistiku jiġu rrapportati biss fil-kolonna 0120, jekk ma jistgħux jiġu assenjati lil xi waħda mill-kolonni minn 0030 sa 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Mandatorjament fil-portafoll tan-negozjar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fis-ACTP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(a), tar-Regolament (UE) 575/2013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jagħtu lok għal pożizzjoni netta qasira ta’ kreditu jew ekwità fil-portafoll bankarju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(b), tar-Regolament (UE) 575/2013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jirriżultaw minn impenji ta’ sottoskrizzjoni ta’ titoli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(c) tar-Regolament (UE) 575/2013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jirriżultaw minn attivitajiet ta’ ġenerazzjoni tas-suq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(e) tar-Regolament (UE) 575/2013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CIUs</w:t>
            </w:r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104(2), l-ewwel subparagrafu, il-punt (f) tar-Regolament (UE) 575/2013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Ekwitajiet elenkati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 104(2), l-ewwel subparagrafu, il-punt (g) tar-Regolament (UE) 575/2013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SFTs relatati mal-kummerċ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Artikolu 104(2), l-ewwel subparagrafu, il-punt (h) tar-Regolament (UE) 575/2013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Opzjonijiet, jew derivattivi oħra, inkorporati fl-obbligazzjonijiet proprji tal-istituzzjoni (maqsuma)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(i), u t-tielet subparagrafu tar-Regolament (UE) Nru 575/2013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Obbligazzjonijiet proprji tal-istituzzjoni b’opzjonijiet inkorporati, jew derivattivi oħrajn (mhux maqsuma)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(i), u r-raba’ subparagrafu tar-Regolament (UE) Nru 575/2013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kklassifikati bħala li għandhom skop ta’ negozjar skont il-qafas kontabilistiku (mhux inklużi fil-kolonni preċedenti)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(d), tar-Regolament (UE) Nru 575/2013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Strumenti kklassifikati bħala li għandhom skop ta’ negozjar skont il-qafas kontabilistiku jiġu rrapportati biss f’din il-kolonna jekk ma jkunux għadhom ġew irrapportati fil-kolonni minn 0030 sa 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Pożizzjonijiet aggregati — Strumenti inklużi fil-Portafoll tan-Negozjar b’approvazzjoni mill-awtorità kompetenti: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Strumenti f'fondi ħeġġ</w:t>
            </w:r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104(4a) tar-Regolament (UE) Nru 575/2013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0140 - 0150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Pożizzjonijiet aggregati — Strumenti oħrajn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L-istrumenti għandhom jiġu rrapportati f’din il-kolonna, jekk ikunu assenjati lill-portafoll tan-negozjar f’konformità mal-Artikolu 4(1), il-punt (85), tar-Regolament (UE) Nru 575/2013, u ma ġew irrapportati fl-ebda waħda mill-kolonni minn 0020 sa 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oħrajn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oħrajn — li minnhom: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Strumenti fil-Ktieb tan-Negozjar minħabba nuqqas ta’ evidenza għall-klassifikazzjoni fil-portafoll mhux tan-negozjar</w:t>
            </w:r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104(6), it-tieni sentenza, tar-Regolament (UE) 575/2013</w:t>
            </w:r>
          </w:p>
        </w:tc>
      </w:tr>
    </w:tbl>
    <w:p w14:paraId="10FD81A7" w14:textId="77777777" w:rsidR="009B2CA6" w:rsidRPr="00037E7B" w:rsidRDefault="009B2CA6" w:rsidP="009B2CA6">
      <w:pPr>
        <w:pStyle w:val="body"/>
        <w:spacing w:before="0" w:after="0"/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Ringiela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Referenzi legali u struzzjonijiet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0010-0020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L-istrumenti kollha fil-portafoll tan-negozjar ikkunsidrati fil-limitu tal-Artikolu 325a tar-Regolament (UE) Nru 575/2013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0030-0040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l-motivatur tar-riskju ewlieni tagħhom huwa r-riskju ġenerali taċ-ċaqliq fir-rata tal-imgħax jew ir-riskju tal-firxiet tal-kreditu</w:t>
            </w:r>
          </w:p>
          <w:p w14:paraId="1768966A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  <w:lang w:val="en-GB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0050-0060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l-motivatur tar-riskju ewlieni tagħhom huwa r-riskju tal-ekwità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0070-0080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l-motivatur tar-riskju ewlieni tagħhom huwa r-riskju tal-kambju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li l-motivatur tar-riskju ewlieni tagħhom huwa r-riskju tal-komoditajiet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Strumenti oħra fil-portafoll tan-negozjar, inklużi strumenti li l-motivatur tar-riskju ewlieni tagħhom huwa r-riskju residwu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L-istituzzjonijiet għandhom jirrapportaw f’dawn ir-ringieli kwalunkwe strument allokat għall-portafoll tan-negozjar li l-motivatur tar-riskju ewlieni tiegħu mhuwiex wieħed mill-motivaturi tar-riskju msemmija fir-ringieli minn 0030 sa 0100.</w:t>
            </w:r>
            <w:r>
              <w:t xml:space="preserve"> </w:t>
            </w:r>
            <w:r>
              <w:t xml:space="preserve">Dawn ir-ringieli għandhom jinkludu mill-inqas strumenti li l-motivatur tar-riskju ewlieni tagħhom huma riskji residwi.</w:t>
            </w:r>
            <w:r>
              <w:t xml:space="preserve">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Entrata ta’ memorandum: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Strumenti kklassifikati bħala li għandhom skop ta’ negozjar skont il-qafas kontabilistiku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104(2), l-ewwel subparagrafu, il-punt (d), tar-Regolament (UE) Nru 575/2013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sz w:val="24"/>
          <w:rFonts w:ascii="Times New Roman" w:hAnsi="Times New Roman"/>
        </w:rPr>
        <w:t xml:space="preserve">9.3 C 24.01 — Limitu tal-ktieb tan-negozjar — Reġistrazzjonijiet bejn il-kotba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9.3.1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Rimarki ġenerali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Din il-formola għandha tintuża biex tipprovdi informazzjoni dwar ir-riklassifikazzjoni tal-pożizzjonijiet f’konformità mal-Artikolu 104a tar-Regolament (UE) Nru 575/2013.</w:t>
      </w:r>
      <w:r>
        <w:t xml:space="preserve">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Ir-riklassifikazzjonijiet għandhom jiġu rrapportati f’din il-formola biss fiż-żewġ każijiet li ġejjin:</w:t>
      </w:r>
    </w:p>
    <w:p w14:paraId="188FB065" w14:textId="1E43754D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meta l-awtorità kompetenti tkun tat il-permess għar-riklassifikazzjoni ta’ pożizzjoni fil-portafoll tan-negozjar bħala pożizzjoni fil-portafoll mhux tan-negozjar jew viċi versa;</w:t>
      </w:r>
    </w:p>
    <w:p w14:paraId="5B6EC138" w14:textId="25B6D89E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meta r-riklassifikazzjoni tissodisfa l-kundizzjonijiet stabbiliti fl-Artikolu 104a(6) tar-Regolament (UE) Nru 575/2013 u tista’ ssir mingħajr il-permess espliċitu tal-awtorità kompetenti.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L-istrumenti riklassifikati li ġejjin għandhom jiġu rrapportati fil-formola:</w:t>
      </w:r>
    </w:p>
    <w:p w14:paraId="2B0996DA" w14:textId="3EB81158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strumenti riklassifikati matul it-trimestru li għalih jirreferi r-rapport.</w:t>
      </w:r>
      <w:r>
        <w:t xml:space="preserve"> </w:t>
      </w:r>
      <w:r>
        <w:t xml:space="preserve">L-istrumenti kollha riklassifikati matul it-trimestru għandhom jiġu rrapportati fil-formola, kemm jekk ir-riklassifikazzjoni twassal għal tnaqqis fir-rekwiżiti ta’ fondi proprji kif ukoll jekk le.</w:t>
      </w:r>
      <w:r>
        <w:t xml:space="preserve"> </w:t>
      </w:r>
      <w:r>
        <w:t xml:space="preserve">Strument riklassifikat matul it-trimestru għandu jiġi rrapportat anki jekk l-istrument ġie rtirat mir-rikonoxximent jew immatura bejn id-data tar-riklassifikazzjoni u d-data ta’ referenza tar-rapport;</w:t>
      </w:r>
    </w:p>
    <w:p w14:paraId="29ED050F" w14:textId="56E21CB0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strumenti riklassifikati f’perjodi ta’ rapportar preċedenti li għadhom jattiraw rekwiżit ta’ fondi proprji f’konformità mal-Artikolu 104a(3), il-punt (b), tar-Regolament (UE) Nru 575/2013 mid-data ta’ referenza tar-rapport;</w:t>
      </w:r>
      <w:r>
        <w:t xml:space="preserve"> </w:t>
      </w:r>
    </w:p>
    <w:p w14:paraId="04E7DE74" w14:textId="0EA265BF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strumenti riklassifikati f’perjodi ta’ rapportar preċedenti li attiraw rekwiżit ta’ fondi proprji f’konformità mal-Artikolu 104a(3), il-punt (b), tar-Regolament (UE) Nru 575/2013 fid-data ta’ referenza preċedenti, fejn id-deċiżjoni tal-awtorità kompetenti li tippermetti r-rikonoxximent tat-tnaqqis fir-rekwiżiti ta’ fondi proprji tidħol fis-seħħ matul it-trimestru li jirreferi għalih ir-rapport.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L-istituzzjonijiet għandhom jirrapportaw informazzjoni dwar ir-riklassifikazzjoni b’mod separat għal kull strument li ġie riklassifikat.</w:t>
      </w:r>
    </w:p>
    <w:p w14:paraId="17A4C841" w14:textId="77777777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Il-kamp “grupp ta’ tpaċija” għandu jintuża biex jindika l-grupp ta’ tpaċija li jinkludi l-entità li kellha l-pożizzjoni mid-data ta’ referenza, jew mid-data tal-maturità jew tal-irtirar tar-rikonoxximent, kif applikabbli.</w:t>
      </w:r>
      <w:r>
        <w:t xml:space="preserve">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9.3.2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pożizzjonijiet speċifiċi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Kolonna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Referenzi legali u struzzjonijiet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Identifikatur tar-Riklassifikazzjoni</w:t>
            </w:r>
          </w:p>
          <w:p w14:paraId="677D77C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Kodiċi intern (alfanumeriku) użat mill-entità relatriċi biex tidentifika l-istrument riklassifikat, jew ir-riklassifikazzjoni, kif applikabbli.</w:t>
            </w:r>
          </w:p>
          <w:p w14:paraId="5368921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Kull riklassifikazzjoni għandha tkun assoċjata ma’ Identifikatur ta’ Riklassifikazzjoni differenti.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L-Identifikatur tar-Riklassifikazzjoni assenjat għall-istess riklassifikazzjoni għandu jkun uniku u użat b’mod konsistenti tul iż-żmien u fir-rapporti kollha.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Dan huwa identifikatur tar-ringiela u għandu jkun uniku għal kull ringiela fil-mudell.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Tip ta’ strument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Deskrizzjoni qasira tal-istrument li ġie riklassifikat, li għandha tippermetti l-fehim tan-natura u l-karatteristiċi ewlenin tal-istrument li ġie riklassifikat.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l-istrument li ġie riklassifikat ikollu Numru Internazzjonali għall-Identifikazzjoni tat-Titoli (“ISIN”), l-ISIN għandu jiġi inkluż fid-deskrizzjoni, minbarra l-karatteristiċi ewlenin tal-istrument.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Ktieb regolatorju li l-istrument ġie kklassifikat mill-ġdid minnu</w:t>
            </w:r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Għandha titwettaq waħda minn dawn it-tnejn li ġejjin: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Portafoll tan-negozjar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L-Artikolu 4(1), il-punt (86) tar-Regolament (UE) Nru 575/2013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Portafoll Bankarju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Jikkonsisti fil-pożizzjonijiet kollha mhux inklużi fil-portafoll tan-negozjar.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Ktieb regolatorju li l-istrument ġie kklassifikat mill-ġdid biex</w:t>
            </w:r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Għandha titwettaq waħda minn dawn it-tnejn li ġejjin: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Portafoll tan-negozjar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L-Artikolu 4(1), il-punt (86) tar-Regolament (UE) Nru 575/2013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Portafoll bankarju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Jikkonsisti fil-pożizzjonijiet kollha mhux inklużi fil-portafoll tan-negozjar.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Raġuni għar-riklassifikazzjoni</w:t>
            </w:r>
          </w:p>
          <w:p w14:paraId="7DED50F3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Iċ-ċirkostanzi eċċezzjonali li jwasslu għar-riklassifikazzjoni tal-pożizzjoni bejn il-kotba regolatorji għandhom jiġu spjegati.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L-ispjegazzjoni pprovduta f’din iċ-ċellola għandha tkun dettaljata biżżejjed biex tissostanzja għaliex ir-riklassifikazzjoni titqies bħala ċirkostanza eċċezzjonali.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Permess minn qabel (status)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L-Artikoli 104 a(2) u 6 tar-Regolament (UE) Nru 575/2013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ma jkun meħtieġ l-ebda permess minn qabel tal-awtorità kompetenti f’konformità mal-Artikolu 104a(6) tar-Regolament (UE) Nru 575/2013, l-istituzzjonijiet għandhom jindikaw “Ma huwa meħtieġ l-ebda permess minn qabel” f’din il-kolonna.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Meta jkun meħtieġ permess minn qabel, u jkun inkiseb, għandu jiġi indikat “Permess minn qabel miksub”.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Data tar-riklassifikazzjoni</w:t>
            </w:r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L-Artikoli 104 a(2) u 6, l-ewwel sentenza, tar-Regolament (UE) Nru 575/2013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Żieda (+) jew (−) tnaqqis nett tar-rekwiżiti ta’ fondi proprji li jirriżultaw mir-riklassifikazzjoni</w:t>
            </w:r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Il-bidla netta fl-ammont tar-rekwiżiti ta’ fondi proprji li jirriżultaw mir-riklassifikazzjoni tal-pożizzjoni, ikkalkolata f’konformità mal-Artikolu 104a(4) tar-Regolament (UE) Nru 575/2013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Żieda fir-rekwiżiti ta’ fondi proprji li tirriżulta mir-riklassifikazzjoni għandha tiġi rrapportata b’sinjal pożittiv (+), filwaqt li tnaqqis fir-rekwiżiti ta’ fondi proprji għandu jiġi rrapportat b’sinjal (–) negattiv.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Supplimentazzjoni għar-rekwiżiti ta’ fondi proprji minħabba r-riklassifikazzjoni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0820442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Jekk il-bidla netta fl-ammont tar-rekwiżiti ta’ fondi proprji li tirriżulta mir-riklassifikazzjoni tal-pożizzjoni, kif ikkalkolata f’konformità mal-Artikolu 104a(4) tar-Regolament (UE) Nru 575/2013, tirrappreżenta tnaqqis tar-rekwiżiti ta’ fondi proprji tal-istituzzjoni u l-awtorità kompetenti ma ppermettietx li tirrikonoxxi dak it-tnaqqis f’konformità mal-Artikolu 104a(3), il-punt (b), tar-Regolament (UE) Nru 575/2013, l-ammont tat-tnaqqis għandu jiġi rrapportat b’sinjal pożittiv, l-ammont għandu jirrappreżenta s-suppliment għar-rekwiżiti ta’ fondi proprji għar-riklassifikazzjoni inkwistjoni.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l-awtorità kompetenti tkun tista’ tirrikonoxxi t-tnaqqis fir-rekwiżiti ta’ fondi proprji f’konformità mal-Artikolu 104a(3), il-punt (b), tar-Regolament (UE) Nru 575/2013, din il-kolonna għandha titħalla vojta.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Id-data tal-maturità jew l-irtirar tar-rikonoxximent previst tal-istrument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ma jkun previst l-ebda rtirar tar-rikonoxximent, għandha tiġi rrapportata l-maturità tal-istrument.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jkun previst li l-istrument jiġi rtirat ir-rikonoxximent tiegħu qabel il-maturità tiegħu, għandha tiġi rrapportata d-data ta’ dak l-irtirar tar-rikonoxximent previst.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jkunu magħrufa biss ix-xahar u s-sena tal-maturità jew tal-irtirar tar-rikonoxximent, id-data tal-maturità jew l-irtirar tar-rikonoxximent previst tal-istrument għandha tiġi rrapportata bħala l-aħħar jum tax-xahar.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Meta tkun magħrufa biss is-sena tal-irtirar tar-rikonoxximent, id-data tal-maturità jew l-irtirar tar-rikonoxximent previst għandha tiġi rrapportata fl-31 ta’ Diċembru ta’ dik is-sena.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d-data tal-maturità jew l-irtirar tar-rikonoxximent previst tal-istrument ma tkunx tista’ tiġi ddeterminata jew ma tkunx magħrufa, l-31 ta’ Diċembru 9999 għandha tiġi indikata f’din il-kolonna.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Data li fiha l-awtorità kompetenti tippermetti r-rikonoxximent tat-tnaqqis fir-rekwiżiti ta’ fondi proprji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L-Artikolu 104 a(3), il-punt (b) tar-Regolament (UE) Nru 575/2013</w:t>
            </w:r>
          </w:p>
          <w:p w14:paraId="1B724794" w14:textId="77777777" w:rsidR="00F65FA6" w:rsidRPr="00FE3C59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Meta r-riklassifikazzjoni tirriżulta f’żieda netta tar-rekwiżiti ta’ fondi proprji u meta l-awtorità kompetenti ma tkunx ippermettiet ir-rikonoxximent tat-tnaqqis fir-rekwiżiti ta’ fondi proprji, ma għandha tiġi indikata l-ebda data.”</w:t>
            </w:r>
          </w:p>
        </w:tc>
      </w:tr>
    </w:tbl>
    <w:p w14:paraId="0C23ABF8" w14:textId="77777777" w:rsidR="00F65FA6" w:rsidRPr="00FE3C59" w:rsidRDefault="00F65FA6" w:rsidP="00F65FA6">
      <w:pPr>
        <w:pStyle w:val="body"/>
        <w:rPr>
          <w:rFonts w:ascii="Times New Roman" w:hAnsi="Times New Roman" w:cs="Times New Roman"/>
          <w:lang w:val="en-GB"/>
        </w:rPr>
      </w:pPr>
    </w:p>
    <w:p w14:paraId="18DC5971" w14:textId="77777777" w:rsidR="00522E00" w:rsidRPr="00F65FA6" w:rsidRDefault="00522E00" w:rsidP="00F65FA6">
      <w:pPr>
        <w:pStyle w:val="body"/>
        <w:rPr>
          <w:rStyle w:val="InstructionsTabelleText"/>
          <w:rFonts w:ascii="Times New Roman" w:hAnsi="Times New Roman"/>
          <w:sz w:val="24"/>
          <w:lang w:val="en-GB"/>
        </w:rPr>
      </w:pPr>
    </w:p>
    <w:sectPr w:rsidR="00522E00" w:rsidRPr="00F65FA6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żu Regolari tal-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mt-M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mt-M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mt-M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mt-M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mt-M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mt-M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mt-M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mt-M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mt-M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992863-1DFE-402F-BF45-1204E1CCA1C2}"/>
</file>

<file path=customXml/itemProps2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2619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dcterms:created xsi:type="dcterms:W3CDTF">2024-06-19T18:09:00Z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