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LT</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II PRIEDAS</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„II PRIEDAS</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II DALIS. NURODYMAI DĖL FORMŲ</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Sandorio šalies kredito rizika</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Sandorio šalies kredito rizikos formų turinys</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t>119</w:t>
      </w:r>
      <w:r>
        <w:fldChar w:fldCharType="end"/>
      </w:r>
      <w:r>
        <w:t>. Sandorio šalies kredito rizikos formose pateikiama informacija apie pozicijas, susijusias su sandorio šalies kredito rizika taikant Reglamento (ES) Nr. 575/2013 trečios dalies II antraštinės dalies 4 ir 6 skyrius.</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120</w:t>
      </w:r>
      <w:r>
        <w:fldChar w:fldCharType="end"/>
      </w:r>
      <w:r>
        <w:t xml:space="preserve">. Į formas neįtraukiami nuosavų lėšų reikalavimai CVA rizikai padengti (Reglamento (ES) Nr. 575/2013 92 straipsnio 3 dalies d punktas ir trečios dalies VI antraštinė dalis), kurie nurodomi CVA rizikos formoje.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121</w:t>
      </w:r>
      <w:r>
        <w:fldChar w:fldCharType="end"/>
      </w:r>
      <w:r>
        <w:t>. Jei nenurodyta kitaip, pagrindinių sandorio šalių sandorio šalies kredito rizikos pozicijos (Reglamento (ES) Nr. 575/2013 trečios dalies II antraštinės dalies 4 skyrius ir 6 skyriaus 9 skirsnis) turėtų būti įtrauktos į CCR duomenis. Tačiau įmokos į įsipareigojimų neįvykdymo fondą, apskaičiuotos pagal Reglamento (ES) Nr. 575/2013 307–310 straipsnius, sandorio šalies kredito rizikos formose nenurodomos, išskyrus C 34.10 formą, visų pirma atitinkamas eilutes. Paprastai pagal riziką įvertintos įmokų į įsipareigojimų neįvykdymo fondą pozicijų sumos tiesiogiai nurodomos C 02.00 formos 0460 eilutėje.</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Su išvestinėmis finansinėmis priemonėmis susijusios veiklos dydis</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Bendrosios pastabos</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122</w:t>
      </w:r>
      <w:r>
        <w:fldChar w:fldCharType="end"/>
      </w:r>
      <w:r>
        <w:t xml:space="preserve">. Pagal Reglamento (ES) Nr. 575/2013 273a straipsnį įstaiga gali apskaičiuoti savo išvestinių finansinių priemonių pozicijų vertę pagal Reglamento (ES) Nr. 575/2013 trečios dalies II antraštinės dalies 6 skyriaus 4 arba 5 skirsnyje nustatytą metodą, jeigu jos balansinės ir nebalansinės su išvestinėmis finansinėmis priemonėmis susijusios veiklos dydis yra atitinkamai lygus iš anksto nustatytoms riboms arba už jas mažesnis. Kas mėnesį atliekamas atitinkamas vertinimas, naudojant paskutinės mėnesio dienos duomenis. Šioje formoje pateikiama </w:t>
      </w:r>
      <w:r>
        <w:lastRenderedPageBreak/>
        <w:t>informacija apie tų ribų laikymąsi ir apskritai svarbi informacija apie išvestinių finansinių priemonių veiklos dydį.</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123</w:t>
      </w:r>
      <w:r>
        <w:fldChar w:fldCharType="end"/>
      </w:r>
      <w:r>
        <w:t>. 1 mėnuo, 2 mėnuo ir 3 mėnuo – atitinkamai to ketvirčio, kurio duomenys teikiami, pirmasis, antrasis ir paskutinysis mėnesiai. Informacija pateikiama tik už mėnesius, kurie baigiasi po 2021 m. birželio 28 d.</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Nurodymai dėl konkrečių pozicijų</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Skiltys</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ILGOSIOS IŠVESTINIŲ FINANSINIŲ PRIEMONIŲ POZICIJOS</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Reglamento (ES) Nr. 575/2013 273a straipsnio 3 dalis.</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Nurodoma ilgųjų išvestinių finansinių priemonių pozicijų absoliučiųjų rinkos verčių suma paskutinę mėnesio dieną.</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TRUMPOSIOS IŠVESTINIŲ FINANSINIŲ PRIEMONIŲ POZICIJOS</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Reglamento (ES) Nr. 575/2013 273a straipsnio 3 dalis.</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Nurodoma trumpųjų išvestinių finansinių priemonių pozicijų absoliučiųjų rinkos verčių suma paskutinę mėnesio dieną.</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VISO</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273a straipsnio 3 dalies b punktas.</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Ilgųjų išvestinių finansinių priemonių pozicijų absoliučiosios vertės ir trumpųjų išvestinių finansinių priemonių pozicijų absoliučiosios vertės suma.</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Eilutės</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 išvestinėmis finansinėmis priemonėmis susijusios veiklos dydis</w:t>
            </w:r>
          </w:p>
          <w:p w14:paraId="78339108" w14:textId="77777777" w:rsidR="00EF74C7" w:rsidRPr="002A677E" w:rsidRDefault="00EF74C7" w:rsidP="00822842">
            <w:pPr>
              <w:spacing w:beforeLines="60" w:before="144" w:afterLines="60" w:after="144"/>
              <w:rPr>
                <w:rFonts w:ascii="Times New Roman" w:hAnsi="Times New Roman"/>
                <w:bCs/>
                <w:sz w:val="24"/>
              </w:rPr>
            </w:pPr>
            <w:r>
              <w:rPr>
                <w:rFonts w:ascii="Times New Roman" w:hAnsi="Times New Roman"/>
                <w:sz w:val="24"/>
              </w:rPr>
              <w:t xml:space="preserve">Reglamento (ES) Nr. 575/2013 </w:t>
            </w:r>
            <w:r>
              <w:rPr>
                <w:rStyle w:val="InstructionsTabelleberschrift"/>
                <w:rFonts w:ascii="Times New Roman" w:hAnsi="Times New Roman"/>
                <w:b w:val="0"/>
                <w:sz w:val="24"/>
                <w:u w:val="none"/>
              </w:rPr>
              <w:t>273a straipsnio 3 dalis.</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Įtraukiamos visos balansinių ir nebalansinių išvestinių finansinių priemonių pozicijos, išskyrus kredito išvestines finansines priemones, kurios pripažįstamos kaip vidinis apsidraudimas nuo ne prekybos knygos kredito rizikos pozicijų.</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Balansinės ir nebalansinės išvestinės finansinės priemonės</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273a straipsnio 3 dalies a ir b punktai.</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Nurodoma balansinių ir nebalansinių išvestinių finansinių priemonių pozicijų bendra rinkos vertė paskutinę mėnesio dieną.</w:t>
            </w:r>
            <w:r>
              <w:rPr>
                <w:rFonts w:ascii="Times New Roman" w:hAnsi="Times New Roman"/>
                <w:sz w:val="24"/>
              </w:rPr>
              <w:t xml:space="preserve"> Kai tos dienos pozicijos rinkos vertė nėra žinoma, įstaigos renkasi tos dienos pozicijos tikrąją vertę; kai tam tikros pozicijos rinkos vertė ir tikroji vertė tą dieną nėra žinomos, įstaigos renkasi naujausią tos pozicijos rinkos vertę arba tikrąją vertę;</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Kredito išvestinės finansinės priemonės, kurios pripažįstamos kaip vidinis apsidraudimas nuo ne prekybos knygos kredito rizikos pozicijų</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273a straipsnio 3 dalies c punktas.</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Kredito išvestinių finansinių priemonių, kurios pripažįstamos kaip vidinis apsidraudimas nuo ne prekybos knygos kredito rizikos pozicijų, bendra rinkos vertė.</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Visas turtas</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Visas turtas pagal taikomus apskaitos standartus.</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Teikdama konsoliduotas ataskaitas, įstaiga teikia duomenis apie visą turtą atsižvelgdama į rizikos ribojimu pagrįstą konsolidavimą pagal Reglamento (ES) Nr. 575/2013 pirmos dalies II antraštinės dalies 2 skyriaus 2 skirsnį</w:t>
            </w:r>
            <w:r>
              <w:rPr>
                <w:rFonts w:ascii="Times New Roman" w:hAnsi="Times New Roman"/>
                <w:sz w:val="24"/>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Viso turto procentinė dalis</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Koeficientas apskaičiuojamas išvestinių finansinių priemonių veiklos dydį (0010 eilutė) padalijus iš viso turto (0040 eilutė).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 xml:space="preserve">NUKRYPTI LEIDŽIANTI NUOSTATA PAGAL </w:t>
            </w:r>
            <w:r>
              <w:rPr>
                <w:rFonts w:ascii="Times New Roman" w:hAnsi="Times New Roman"/>
                <w:b/>
                <w:sz w:val="24"/>
                <w:u w:val="single"/>
              </w:rPr>
              <w:t>REGLAMENTO (ES) NR.</w:t>
            </w:r>
            <w:r>
              <w:rPr>
                <w:rFonts w:ascii="Times New Roman" w:hAnsi="Times New Roman"/>
                <w:b/>
                <w:sz w:val="24"/>
              </w:rPr>
              <w:t> 575/2013 273a STRAIPSNIO 4 DALĮ</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Ar įvykdytos Reglamento (ES) Nr. 575/2013 273a straipsnio 4 dalies sąlygos, įskaitant kompetentingos institucijos pritarimą?</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273a straipsnio 4 dalis.</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viršijančios ribas, kad sandorio šalies kredito rizikai būtų taikomas supaprastintas metodas, tačiau vis dar taikančios vieną iš jų pagal Reglamento (ES) Nr. 575/2013 273a straipsnio 4 dalį, nurodo (pažymėdamos „Taip / Ne“), ar jos atitinka visas to straipsnio sąlygas.</w:t>
            </w:r>
          </w:p>
          <w:p w14:paraId="6DA86931"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Šį punktą nurodo tik tos įstaigos, kurios taiko nukrypti leidžiančią nuostatą pagal Reglamento (ES) Nr. 575/2013 273a straipsnio 4 dalį.</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Konsoliduotų pozicijų verčių apskaičiavimo metodas</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273a straipsnio 4 dalis.</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Konsoliduotų išvestinių finansinių priemonių pozicijų verčių apskaičiavimo metodas, kuris taip pat taikomas atskirų subjektų lygmeniu pagal Reglamento (ES) Nr. 575/2013 273a straipsnio 4 dalį:</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pradinės pozicijos metodas;</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supaprastintas SA-CCR: supaprastintas standartizuotas sandorio šalies kredito rizikos vertinimo metodas </w:t>
            </w:r>
          </w:p>
          <w:p w14:paraId="6D893F4F"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Šį punktą nurodo tik tos įstaigos, kurios taiko nukrypti leidžiančią nuostatą pagal Reglamento (ES) Nr. 575/2013 273a straipsnio 4 dalį.</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CCR pozicijos pagal metodą</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Bendrosios pastabos</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124</w:t>
      </w:r>
      <w:r>
        <w:fldChar w:fldCharType="end"/>
      </w:r>
      <w:r>
        <w:t>. Įstaigos atskirai pateikia visų CCR pozicijų ir visų CCR pozicijų, išskyrus pagrindinių sandorio šalių pozicijas, kaip apibrėžta C 34.10 formoje, formą.</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Nurodymai dėl konkrečių pozicijų</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Skiltys</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SANDORIO ŠALIŲ SKAIČIUS</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Atskirų sandorio šalių, kurių atžvilgiu įstaiga turi CCR pozicijų, skaičius.</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SANDORIŲ SKAIČIUS</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Sandorių, susijusių su sandorio šalies kredito rizika, skaičius ataskaitinę datą. Atkreipkite dėmesį į tai, kad pagrindinės sandorio šalies sandorių skaičiai neturėtų apimti gaunamų arba netenkamų pinigų srautų, o tik bendras pagrindinės sandorio šalies portfelio pozicijas ataskaitinę datą. Be to, išvestinė finansinė priemonė arba VPĮFS, kurie modeliavimo tikslais padalijami (bent) į dvi ar daugiau dalių, vis tiek laikomi vienu sandoriu.</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TARIAMOSIOS SUMOS</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Išvestinių finansinių priemonių ir VPĮFS tariamųjų sumų prieš užskaitą ir be koregavimų pagal Reglamento (ES) Nr. 575/2013 279b straipsnį suma.</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TEIGIAMA</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272 straipsnio 12 dalis.</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Visų užskaitos grupių, kurių CMV teigiama, kaip apibrėžta Reglamento (ES) Nr. 575/2013 272 straipsnio 12 dalyje, dabartinių rinkos verčių (CMV) suma.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NEIGIAMA</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272 straipsnio 12 dalis.</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Visų užskaitos grupių, kurių CMV neigiama, kaip apibrėžta Reglamento (ES) Nr. 575/2013 272 straipsnio 12 dalyje, absoliučiųjų dabartinių rinkos verčių (CMV) suma.</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KINTAMOJI GARANTINĖ ĮMOKA (VM), GAUTA</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275 straipsnio 2 ir 3 dalys ir 276 straipsnis.</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Visų susitarimų dėl garantinės įmokos, pagal kuriuos gauta kintamoji garantinė įmoka, kintamosios garantinės įmokos sumų (VM) suma, apskaičiuota pagal Reglamento (ES) Nr. 575/2013 276 straipsnį.</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KINTAMOJI GARANTINĖ ĮMOKA (VM), PATEIKTA</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275 straipsnio 2 ir 3 dalys ir 276 straipsnis.</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Visų susitarimų dėl garantinės įmokos, pagal kuriuos pateikta kintamoji garantinė įmoka, kintamosios garantinės įmokos sumų (VM) suma, apskaičiuota pagal Reglamento (ES) Nr. 575/2013 276 straipsnį.</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GRYNOJI NEPRIKLAUSOMA UŽTIKRINIMO PRIEMONĖS SUMA (NICA), GAUTA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272 straipsnio 12a dalis, 275 straipsnio 3 dalis ir 276 straipsnis.</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Visų susitarimų dėl garantinės įmokos, pagal kuriuos gauta grynoji nepriklausoma užtikrinimo priemonės suma (NICA), NICA suma, apskaičiuota pagal Reglamento (ES) Nr. 575/2013 276 straipsnį.</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GRYNOJI NEPRIKLAUSOMA UŽTIKRINIMO PRIEMONĖS SUMA (NICA), PATEIKTA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272 straipsnio 12a dalis, 275 straipsnio 3 dalis ir 276 straipsnis.</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Visų susitarimų dėl garantinės įmokos, pagal kuriuos pateikta grynoji nepriklausoma užtikrinimo priemonės suma (NICA), NICA suma, apskaičiuota pagal Reglamento (ES) Nr. 575/2013 276 straipsnį.</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PAKEITIMO IŠLAIDOS (RC)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Reglamento (ES) Nr. 575/2013 275, 281 ir 282 straipsniai.</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Kiekvienos užskaitos grupės pakeitimo išlaidos (RC) apskaičiuojamos pagal: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Reglamento (ES) Nr. 575/2013 282 straipsnio 3 dalį taikant pradinės rizikos metodą;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Reglamento (ES) Nr. 575/2013 281 straipsnį taikant supaprastintą SA-CCR metodą;</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Reglamento (ES) Nr. 575/2013 275 straipsnį taikant SA-CCR metodą.</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Užskaitos grupių pakeitimo išlaidų sumą įstaiga nurodo atitinkamoje eilutėje.</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GALIMA BŪSIMA POZICIJA (PFE)</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Reglamento (ES) Nr. 575/2013 278, 281 ir 282 straipsniai.</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Kiekvienos užskaitos grupės galima būsima pozicija (PFE) apskaičiuojama pagal: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Reglamento (ES) Nr. 575/2013 282 straipsnio 4 dalį taikant pradinės rizikos metodą;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 Reglamento (ES) Nr. 575/2013 281 straipsnį taikant supaprastintą SA-CCR metodą;</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Reglamento (ES) Nr. 575/2013 278 straipsnį taikant SA-CCR metodą.</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t>Užskaitos grupių visų galimų būsimų pozicijų sumą įstaiga nurodo atitinkamoje eilutėje.</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DABARTINĖ POZICIJA</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Reglamento (ES) Nr. 575/2013 272 straipsnio 17 dalis.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Kiekvienos užskaitos grupės dabartinė pozicija yra Reglamento (ES) Nr. 575/2013 272 straipsnio 17 dalyje apibrėžta vertė.</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Užskaitos grupių visų dabartinių pozicijų sumą įstaiga nurodo atitinkamoje eilutėje.</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FAKTINĖ TIKĖTINA TEIGIAMA POZICIJA (faktinė EPE)</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Reglamento (ES) Nr. 575/2013 272 straipsnio 22 dalis ir 284 straipsnio 3 ir 6 dalys.</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Kiekvienos užskaitos grupės faktinė EPE yra apibrėžta Reglamento (ES) Nr. 575/2013 272 straipsnio 22 dalyje ir apskaičiuojama pagal Reglamento (ES) Nr. 575/2013 284 straipsnio 6 dalį.</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Įstaiga nurodo visų faktinių EPE, taikomų nustatant nuosavų lėšų reikalavimus pagal Reglamento (ES) Nr. 575/2013 284 straipsnio 3 dalį, sumą, t. y. faktinę EPE, apskaičiuotą taikant dabartinius rinkos duomenis, arba faktinę EPE, apskaičiuotą taikant kalibravimą nepalankiausiomis sąlygomis, atsižvelgiant į tai, dėl kurios nuosavų lėšų reikalavimas yra didesnis.</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REGULIUOJAMOS POZICIJOS VERTĖS APSKAIČIAVIMUI NAUDOJAMA ALFA VERTĖ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Reglamento (ES) Nr. 575/2013 274 straipsnio 2 dalis, 282 straipsnio 2 dalis, 281 straipsnio 1 dalis ir 284 straipsnio 4 ir 9 dalys.</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Pagal Reglamento (ES) Nr. 575/2013 282 straipsnio 2 dalį, 281 straipsnio 1 dalį ir 274 straipsnio 2 dalį OEM, supaprastinto SA-CCR ir SA-CCR eilutėse nustatoma, kad α vertė yra 1,4. IMM tikslais α vertė gali būti lygi standartinei 1,4 vertei arba kitokiai vertei, kai kompetentingos institucijos reikalauja didesnės α vertės pagal Reglamento (ES) Nr. 575/2013 284 straipsnio 4 dalį arba leidžia įstaigoms naudoti savo įverčius pagal to reglamento 284 straipsnio 9 dalį.</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POZICIJOS VERTĖ PRIEŠ TAIKANT KRM METODUS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CCR užskaitos grupių pozicijos vertė prieš taikant KRM metodus apskaičiuojama pagal Reglamento (ES) Nr. 575/2013 trečios dalies II antraštinės dalies 4 ir 6 skyriuose nustatytus metodus, atsižvelgiant į užskaitos poveikį, tačiau neatsižvelgiant į jokias kitas kredito rizikos mažinimo priemones (pvz., garantinės įmokos užtikrinimo priemones).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VPĮFS atveju nustatant pozicijos vertę prieš taikant KRM metodus, kai gaunama užtikrinimo priemonė, į užtikrinimo priemonės dalį neatsižvelgiama, todėl pozicijos vertė nesumažėja. Ir priešingai, į VPĮFS užtikrinimo priemonės </w:t>
            </w:r>
            <w:r>
              <w:rPr>
                <w:rFonts w:ascii="Times New Roman" w:hAnsi="Times New Roman"/>
                <w:sz w:val="24"/>
              </w:rPr>
              <w:lastRenderedPageBreak/>
              <w:t xml:space="preserve">dalį atsižvelgiama įprastai nustatant pozicijos vertę prieš taikant KRM metodus, kai pateikiama užtikrinimo priemonė.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Be to, užstatu užtikrintas verslas tvarkomas kaip užstatu neužtikrintas verslas, t. y. netaikomas joks garantinės įmokos poveikis. </w:t>
            </w:r>
          </w:p>
          <w:p w14:paraId="2256FCEC"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Sandorių, kurių atžvilgiu nustatyta specifinė klaidingų sprendimų rizika, pozicijų vertė prieš taikant KRM metodus turi būti nustatoma pagal Reglamento (ES) Nr. 575/2013 291 straipsnį. </w:t>
            </w:r>
          </w:p>
          <w:p w14:paraId="7E319C8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Nustatant pozicijos vertę prieš taikant KRM metodus neatsižvelgiama į patirtų CVA nuostolių atskaitymą pagal Reglamento (ES) Nr. 575/2013 273 straipsnio 6 dalį.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Visų pozicijų verčių prieš taikant KRM metodus sumą įstaiga nurodo atitinkamoje eilutėje.</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lastRenderedPageBreak/>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POZICIJOS VERTĖ PO KRM METODŲ TAIKYMO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CCR užskaitos grupių pozicijos vertė po KRM metodų taikymo apskaičiuojama pagal Reglamento (ES) Nr. 575/2013 trečios dalies II antraštinės dalies 4 ir 6 skyriuose nustatytus metodus, pritaikius KRM metodus pagal to reglamento trečios dalies II antraštinės dalies 4 ir 6 skyrius.</w:t>
            </w:r>
          </w:p>
          <w:p w14:paraId="365B588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Sandorių, kurių atžvilgiu nustatyta specifinė klaidingų sprendimų rizika, pozicijų vertė po KRM metodų taikymo turi būti nustatoma pagal Reglamento (ES) Nr. 575/2013 291 straipsnį. </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Nustatant pozicijos vertę po KRM metodų taikymo neatsižvelgiama į patirtų CVA nuostolių atskaitymą pagal Reglamento (ES) Nr. 575/2013 273 straipsnio 6 dalį.</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Visų pozicijų verčių po KRM metodų taikymo sumą įstaiga nurodo atitinkamoje eilutėje.</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VERTĖ</w:t>
            </w:r>
          </w:p>
          <w:p w14:paraId="75CDF24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CCR užskaitos grupių pozicijų vertė, apskaičiuota pagal Reglamento (ES) Nr. 575/2013 trečios dalies II antraštinės dalies 4 ir 6 skyriuose nustatytus metodus kaip tinkama suma pagal riziką įvertintų pozicijų sumoms apskaičiuoti, t. y. pritaikius KRM metodus pagal Reglamento (ES) Nr. 575/2013 trečios dalies II antraštinės dalies 4 ir 6 skyrius ir atsižvelgus į patirtą kredito vertinimo koregavimo nuostolio atskaitymą pagal to reglamento 273 straipsnio 6 dalį. </w:t>
            </w:r>
          </w:p>
          <w:p w14:paraId="78D55FF1" w14:textId="77777777" w:rsidR="00EF74C7" w:rsidRPr="002A677E" w:rsidRDefault="00EF74C7" w:rsidP="00822842">
            <w:pPr>
              <w:rPr>
                <w:rFonts w:ascii="Times New Roman" w:hAnsi="Times New Roman"/>
                <w:sz w:val="24"/>
              </w:rPr>
            </w:pPr>
            <w:r>
              <w:rPr>
                <w:rFonts w:ascii="Times New Roman" w:hAnsi="Times New Roman"/>
                <w:sz w:val="24"/>
              </w:rPr>
              <w:t>Sandorių, kurių atžvilgiu nustatyta specifinė klaidingų sprendimų rizika, pozicijų vertė turi būti nustatoma pagal Reglamento (ES) Nr. 575/2013 291 straipsnį.</w:t>
            </w:r>
          </w:p>
          <w:p w14:paraId="2CCE970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Tais atvejais, kai vienai sandorio šaliai taikomas daugiau nei vienas CCR metodas, patirtas kredito vertinimo koregavimo nuostolis, atskaitytas sandorio šalies lygmeniu, priskiriamas prie skirtingų pagal kiekvieną CCR metodą nurodytų užskaitos grupių pozicijų vertės, parodant atitinkamų užskaitos grupių pozicijų vertės po KRM metodų taikymo dalį, palyginti su sandorio šalies bendra pozicijų verte po KRM metodų taikymo.</w:t>
            </w:r>
          </w:p>
          <w:p w14:paraId="0C842EAD" w14:textId="77777777" w:rsidR="00EF74C7" w:rsidRPr="002A677E" w:rsidRDefault="00EF74C7" w:rsidP="00822842">
            <w:r>
              <w:rPr>
                <w:rFonts w:ascii="Times New Roman" w:hAnsi="Times New Roman"/>
                <w:sz w:val="24"/>
              </w:rPr>
              <w:t>Visų pozicijų verčių sumą įstaiga nurodo atitinkamoje eilutėje.</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lastRenderedPageBreak/>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kurioms taikytas standartizuotas kredito rizikos vertinimo metodas</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Pozicijų, kurioms taikytas standartizuotas kredito rizikos vertinimo metodas pagal Reglamento (ES) Nr. 575/2013 trečios dalies II antraštinės dalies 2 skyrių, CCR pozicijos vertė.</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kurioms taikytas kredito rizikos IRB metodas</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Pozicijų, kurioms taikytas IRB kredito rizikos vertinimo metodas pagal Reglamento (ES) Nr. 575/2013 trečios dalies II antraštinės dalies 3 skyrių, CCR pozicijos vertė.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PAGAL RIZIKĄ ĮVERTINTŲ POZICIJŲ SUMOS</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Pagal riziką įvertintų CCR pozicijų sumos, kaip apibrėžta Reglamento (ES) Nr. 575/2013 92 straipsnio 3 dalyje, apskaičiuotos pagal trečios dalies II antraštinės dalies 2 ir 3 skyriuose nustatytus metodus.</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Atsižvelgiama į MVĮ ir infrastruktūros rėmimo koeficientus, nustatytus Reglamento (ES) Nr. 575/2013 501 ir 501a straipsniuose.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kurioms taikytas standartizuotas kredito rizikos vertinimo metodas</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CRR pozicijų, kurioms taikytas standartizuotas kredito rizikos vertinimo metodas pagal Reglamento (ES) Nr. 575/2013 trečios dalies II antraštinės dalies 2 skyrių, pagal riziką įvertintų pozicijų suma. </w:t>
            </w:r>
          </w:p>
          <w:p w14:paraId="21C6ADFA" w14:textId="77777777" w:rsidR="00EF74C7" w:rsidRPr="002A677E" w:rsidRDefault="00EF74C7" w:rsidP="00822842">
            <w:pPr>
              <w:rPr>
                <w:rFonts w:ascii="Times New Roman" w:hAnsi="Times New Roman"/>
                <w:sz w:val="24"/>
              </w:rPr>
            </w:pPr>
            <w:r>
              <w:rPr>
                <w:rFonts w:ascii="Times New Roman" w:hAnsi="Times New Roman"/>
                <w:sz w:val="24"/>
              </w:rPr>
              <w:t>Ši suma atitinka sumą, įtrauktiną į CCR pozicijoms skirtą C 07.00 formos 0220 skiltį.</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Pozicijos, kurioms taikytas kredito rizikos IRB metodas</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CRR pozicijų, kurioms taikytas IRB kredito rizikos vertinimo metodas pagal Reglamento (ES) Nr. 575/2013 trečios dalies II antraštinės dalies 3 skyrių, pagal riziką įvertintų pozicijų suma.</w:t>
            </w:r>
          </w:p>
          <w:p w14:paraId="3FB6A074" w14:textId="77777777" w:rsidR="00EF74C7" w:rsidRPr="002A677E" w:rsidRDefault="00EF74C7" w:rsidP="00822842">
            <w:pPr>
              <w:rPr>
                <w:rFonts w:ascii="Times New Roman" w:hAnsi="Times New Roman"/>
                <w:sz w:val="24"/>
              </w:rPr>
            </w:pPr>
            <w:r>
              <w:rPr>
                <w:rFonts w:ascii="Times New Roman" w:hAnsi="Times New Roman"/>
                <w:sz w:val="24"/>
              </w:rPr>
              <w:t>Ši suma atitinka sumą, įtrauktiną į CCR pozicijoms skirtą C 08.01 formos 0260 skiltį.</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REZULTATŲ APATINĖ RIBA</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Įstaigoms, kurioms taikoma rezultatų apatinė riba pagal Reglamento (ES) Nr. 575/2013 92 straipsnio 3 dalį.</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APSKAIČIUOJANT S-TREA NAUDOJAMA POZICIJOS VERTĖ</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 xml:space="preserve">CRR pozicijų, įtrauktų apskaičiuojant standartizuotą bendrą rizikos pozicijos sumą (S-TREA) pagal Reglamento (ES) Nr. 575/2013 92 straipsnio 5 dalį, </w:t>
            </w:r>
            <w:r>
              <w:rPr>
                <w:rStyle w:val="InstructionsTabelleberschrift"/>
                <w:rFonts w:ascii="Times New Roman" w:hAnsi="Times New Roman"/>
                <w:sz w:val="24"/>
              </w:rPr>
              <w:t>pozicijos vertė</w:t>
            </w:r>
            <w:r>
              <w:rPr>
                <w:rFonts w:ascii="Times New Roman" w:hAnsi="Times New Roman"/>
                <w:sz w:val="24"/>
              </w:rPr>
              <w:t>.</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STANDARTIZUOTA BENDRA RIZIKOS POZICIJOS SUMA (S-TREA)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lastRenderedPageBreak/>
              <w:t>CCR pozicijų standartizuota bendra rizikos pozicijos suma (S-TREA), apskaičiuota pagal Reglamento (ES) Nr. 575/2013 92 straipsnio 5 dalį.</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lastRenderedPageBreak/>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PAPILDOMI STRAIPSNIAI. RWEA, SUSIJUSI SU REGLAMENTO (ES) NR. 575/2013 465 STRAIPSNIO 4 DALIES TAIKYMO POVEIKIU</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Reglamento (ES) Nr. 575/2013 465 straipsnio 4 dalis. Nurodomas RWEA vertės, apskaičiuotos netaikant pereinamojo laikotarpio nuostatų, ir RWEA vertės, apskaičiuotos tas nuostatas taikant, skirtumas.</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Eilutė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PRADINĖS RIZIKOS METODAS (IŠVESTINĖMS FINANSINĖMS PRIEMONĖMS)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Išvestinės finansinės priemonės ir ilgalaikiai atsiskaitymo sandoriai, kurių pozicijos vertę įstaiga apskaičiuoja pagal Reglamento (ES) Nr. 575/2013 trečios dalies II antraštinės dalies 6 skyriaus 5 skirsnį. Šį supaprastintą pozicijos vertės apskaičiavimo metodą gali taikyti tik tos įstaigos, kurios atitinka Reglamento (ES) Nr. 575/2013 273a straipsnio 2 arba 4 dalyje nustatytas sąlygas.</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SUPAPRASTINTAS STANDARTIZUOTAS CCR VERTINIMO METODAS (SUPAPRASTINTAS IŠVESTINIŲ FINANSINIŲ PRIEMONIŲ SA-CCR)</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Išvestinės finansinės priemonės ir ilgalaikiai atsiskaitymo sandoriai, kurių pozicijos vertę įstaiga apskaičiuoja pagal Reglamento (ES) Nr. 575/2013 trečios dalies II antraštinės dalies 6 skyriaus 4 skirsnį. Šį supaprastintą standartizuotą pozicijos vertės apskaičiavimo metodą gali taikyti tik tos įstaigos, kurios atitinka Reglamento (ES) Nr. 575/2013 273a straipsnio 1 arba 4 dalyje nustatytas sąlygas.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STANDARTIZUOTAS CCR VERTINIMO METODAS (IŠVESTINIŲ FINANSINIŲ PRIEMONIŲ SA-CCR)</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Išvestinės finansinės priemonės ir ilgalaikiai atsiskaitymo sandoriai, kurių pozicijos vertę įstaiga apskaičiuoja pagal Reglamento (ES) Nr. 575/2013 trečios dalies II antraštinės dalies 6 skyriaus 3 skirsnį.</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IMM (IŠVESTINĖMS FINANSINĖMS PRIEMONĖMS IR VPĮFS)</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Išvestinės finansinės priemonės, ilgalaikiai atsiskaitymo sandoriai ir VPĮFS, kurių pozicijos vertę įstaigai leista apskaičiuoti taikant vidaus modelio metodą (IMM) pagal Reglamento (ES) Nr. 575/2013 trečios dalies II antraštinės dalies 6 skyriaus 6 skirsnį.</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Vertybinių popierių įsigijimo finansavimo sandorių užskaitos grupės</w:t>
            </w:r>
          </w:p>
          <w:p w14:paraId="08069DA3" w14:textId="77777777" w:rsidR="00EF74C7" w:rsidRPr="00652CB8" w:rsidRDefault="00EF74C7" w:rsidP="00822842">
            <w:pPr>
              <w:pStyle w:val="TableMainHeading"/>
              <w:spacing w:before="60"/>
              <w:jc w:val="both"/>
              <w:rPr>
                <w:rFonts w:ascii="Times New Roman" w:hAnsi="Times New Roman"/>
                <w:sz w:val="24"/>
              </w:rPr>
            </w:pPr>
            <w:r w:rsidRPr="00652CB8">
              <w:rPr>
                <w:rFonts w:ascii="Times New Roman" w:hAnsi="Times New Roman"/>
                <w:sz w:val="24"/>
              </w:rPr>
              <w:lastRenderedPageBreak/>
              <w:t>Užskaitos grupės, kurias sudaro tik Reglamento (ES) Nr. 575/2013 4 straipsnio 139 dalyje apibrėžti VPĮFS ir kurių pozicijos vertę įstaigai leista nustatyti taikant IMM.</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VPĮFS, įtraukti į sutartinę kryžminės produktų užskaitos grupę ir dėl to nurodyti 0070 eilutėje, į šią eilutę neįtraukiami.</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Išvestinių finansinių priemonių ir ilgalaikių atsiskaitymo sandorių užskaitos grupės</w:t>
            </w:r>
          </w:p>
          <w:p w14:paraId="0E97A475" w14:textId="77777777" w:rsidR="00EF74C7" w:rsidRPr="00652CB8" w:rsidRDefault="00EF74C7" w:rsidP="00822842">
            <w:pPr>
              <w:pStyle w:val="TableMainHeading"/>
              <w:spacing w:before="60"/>
              <w:jc w:val="both"/>
              <w:rPr>
                <w:rFonts w:ascii="Times New Roman" w:hAnsi="Times New Roman"/>
                <w:sz w:val="24"/>
              </w:rPr>
            </w:pPr>
            <w:r w:rsidRPr="00652CB8">
              <w:rPr>
                <w:rFonts w:ascii="Times New Roman" w:hAnsi="Times New Roman"/>
                <w:sz w:val="24"/>
              </w:rPr>
              <w:t>Užskaitos grupės, kurias sudaro tik Reglamento (ES) Nr. 575/2013 II priede išvardytos išvestinės finansinės priemonės ir Reglamento (ES) Nr. 575/2013 272 straipsnio 2 dalyje apibrėžti ilgalaikiai atsiskaitymo sandoriai, kurių pozicijos vertę įstaigai leista nustatyti taikant IMM.</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Išvestinės finansinės priemonės ir ilgalaikiai atsiskaitymo sandoriai, įtraukti į sutartinės kryžminės produktų užskaitos grupę ir todėl nurodyti 0070 eilutėje, į šią eilutę neįtraukiami.</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Dėl sutartinės kryžminės produktų užskaitos grupių</w:t>
            </w:r>
          </w:p>
          <w:p w14:paraId="118D66FD" w14:textId="77777777" w:rsidR="00EF74C7" w:rsidRPr="002A677E" w:rsidRDefault="00EF74C7" w:rsidP="00822842">
            <w:pPr>
              <w:rPr>
                <w:rFonts w:ascii="Times New Roman" w:hAnsi="Times New Roman"/>
                <w:sz w:val="24"/>
              </w:rPr>
            </w:pPr>
            <w:r>
              <w:rPr>
                <w:rFonts w:ascii="Times New Roman" w:hAnsi="Times New Roman"/>
                <w:sz w:val="24"/>
              </w:rPr>
              <w:t>Reglamento (ES) Nr. 575/2013 272 straipsnio 11 ir 25 dalys.</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Užskaitos grupės, kurias sudaro įvairių kategorijų produktų (Reglamento (ES) Nr. 575/2013 272 straipsnio 11 dalis), t. y. išvestinių finansinių priemonių ir VPĮFS, sandoriai, dėl kurių sudarytas Reglamento (ES) Nr. 575/2013 272 straipsnio 25 dalyje apibrėžtas sutartinės kryžminės produkto užskaitos susitarimas ir kurių pozicijos vertę įstaigai leista nustatyti taikant 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PAPRASTASIS FINANSINIŲ UŽTIKRINIMO PRIEMONIŲ METODAS (VPĮFS) </w:t>
            </w:r>
          </w:p>
          <w:p w14:paraId="1E933FE3" w14:textId="77777777" w:rsidR="00EF74C7" w:rsidRPr="002A677E" w:rsidRDefault="00EF74C7" w:rsidP="00822842">
            <w:pPr>
              <w:rPr>
                <w:rFonts w:ascii="Times New Roman" w:hAnsi="Times New Roman"/>
                <w:sz w:val="24"/>
              </w:rPr>
            </w:pPr>
            <w:r>
              <w:rPr>
                <w:rFonts w:ascii="Times New Roman" w:hAnsi="Times New Roman"/>
                <w:sz w:val="24"/>
              </w:rPr>
              <w:t>Reglamento (ES) Nr. 575/2013 222 straipsnis.</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Atpirkimo sandoriai, vertybinių popierių arba biržos prekių skolinimo arba skolinimosi sandoriai, ilgalaikiai atsiskaitymo sandoriai ir garantinės įmokos skolinimo sandoriai, kurių pozicijos vertę įstaiga nusprendė nustatyti pagal Reglamento (ES) Nr. 575/2013 222 straipsnį, o ne pagal to reglamento trečios dalies II antraštinės dalies 6 skyrių pagal to paties reglamento 271 straipsnio 2 dalį.</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IŠSAMUSIS FINANSINIŲ UŽTIKRINIMO PRIEMONIŲ METODAS (VPĮFS)</w:t>
            </w:r>
          </w:p>
          <w:p w14:paraId="13A72AE5" w14:textId="77777777" w:rsidR="00EF74C7" w:rsidRPr="002A677E" w:rsidRDefault="00EF74C7" w:rsidP="00822842">
            <w:pPr>
              <w:rPr>
                <w:rFonts w:ascii="Times New Roman" w:hAnsi="Times New Roman"/>
                <w:sz w:val="24"/>
              </w:rPr>
            </w:pPr>
            <w:r>
              <w:rPr>
                <w:rFonts w:ascii="Times New Roman" w:hAnsi="Times New Roman"/>
                <w:sz w:val="24"/>
              </w:rPr>
              <w:t>Reglamento (ES) Nr. 575/2013 220 ir 223 straipsniai.</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Atpirkimo sandoriai, vertybinių popierių arba biržos prekių skolinimo arba skolinimosi sandoriai, ilgalaikiai atsiskaitymo sandoriai ir garantinės įmokos skolinimo sandoriai, kurių pozicijos vertę įstaiga nusprendė nustatyti pagal Reglamento (ES) Nr. 575/2013 223 straipsnį, o ne pagal to reglamento trečios dalies II antraštinės dalies 6 skyrių pagal to paties reglamento 271 straipsnio 2 dalį.</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VPĮFS VERTĖS POKYČIO RIZIKA (VAR)</w:t>
            </w:r>
          </w:p>
          <w:p w14:paraId="769E33FD" w14:textId="77777777" w:rsidR="00EF74C7" w:rsidRPr="002A677E" w:rsidRDefault="00EF74C7" w:rsidP="00822842">
            <w:pPr>
              <w:rPr>
                <w:rFonts w:ascii="Times New Roman" w:hAnsi="Times New Roman"/>
                <w:sz w:val="24"/>
              </w:rPr>
            </w:pPr>
            <w:r>
              <w:rPr>
                <w:rFonts w:ascii="Times New Roman" w:hAnsi="Times New Roman"/>
                <w:sz w:val="24"/>
              </w:rPr>
              <w:t>Reglamento (ES) Nr. 575/2013 221 straipsnis.</w:t>
            </w:r>
          </w:p>
          <w:p w14:paraId="2E3D6606"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lastRenderedPageBreak/>
              <w:t xml:space="preserve">Atpirkimo sandoriai, vertybinių popierių arba biržos prekių skolinimo arba skolinimosi sandoriai arba garantinės įmokos skolinimo sandoriai arba kiti kapitalo rinkos sandoriai, išskyrus išvestinių finansinių priemonių sandorius, kurių pozicijos vertė pagal Reglamento (ES) Nr. 575/2013 221 straipsnį ir gavus kompetentingos institucijos leidimą apskaičiuojama taikant vidaus modelio metodą, kurį taikant atsižvelgiama į užtikrinimo priemonės pozicijų, kurioms taikomas pagrindinis užskaitos sandoris, koreliacijos poveikį, taip pat į atitinkamų priemonių likvidumą.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BENDRA SUMA</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Dalis, kurią atitinka: specifinės klaidingų sprendimų rizikos (SWWR) pozicijos</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291 straipsnis.</w:t>
            </w:r>
          </w:p>
          <w:p w14:paraId="41917746" w14:textId="77777777" w:rsidR="00EF74C7" w:rsidRPr="002A677E" w:rsidDel="003E0C6A" w:rsidRDefault="00EF74C7" w:rsidP="00822842">
            <w:pPr>
              <w:keepNext/>
              <w:spacing w:before="60"/>
              <w:rPr>
                <w:rFonts w:ascii="Times New Roman" w:hAnsi="Times New Roman"/>
                <w:bCs/>
                <w:sz w:val="24"/>
              </w:rPr>
            </w:pPr>
            <w:r>
              <w:rPr>
                <w:rStyle w:val="InstructionsTabelleberschrift"/>
                <w:rFonts w:ascii="Times New Roman" w:hAnsi="Times New Roman"/>
                <w:b w:val="0"/>
                <w:sz w:val="24"/>
                <w:u w:val="none"/>
              </w:rPr>
              <w:t>CCR pozicijos, kurių specifinė klaidingų sprendimų rizika (SWWR) nustatyta pagal Reglamento (ES) Nr. 575/2013 291 straipsnį.</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Veiklos pozicijos su garantine įmoka</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272 straipsnio 7 dalis.</w:t>
            </w:r>
          </w:p>
          <w:p w14:paraId="2F61E58D" w14:textId="77777777" w:rsidR="00EF74C7" w:rsidRPr="002A677E" w:rsidDel="003E0C6A" w:rsidRDefault="00EF74C7" w:rsidP="00822842">
            <w:pPr>
              <w:keepNext/>
              <w:spacing w:before="60"/>
              <w:rPr>
                <w:rFonts w:ascii="Times New Roman" w:hAnsi="Times New Roman"/>
                <w:sz w:val="24"/>
              </w:rPr>
            </w:pPr>
            <w:r>
              <w:rPr>
                <w:rStyle w:val="InstructionsTabelleberschrift"/>
                <w:rFonts w:ascii="Times New Roman" w:hAnsi="Times New Roman"/>
                <w:b w:val="0"/>
                <w:sz w:val="24"/>
                <w:u w:val="none"/>
              </w:rPr>
              <w:t>CCR pozicijos su garantine įmoka, t. y. užskaitos grupės, kurioms taikomas susitarimas dėl garantinės įmokos pagal Reglamento (ES) Nr. 575/2013 272 straipsnio 7 dalį.</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Veiklos pozicijos be garantinės įmokos</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CCR pozicijos, neįtrauktos į 0130 punktą.</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t>C 34.03. CCR pozicijos, kurioms taikomi standartizuoti metodai: SA-CCR ir supaprastintas SA-CCR</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Bendrosios pastabos</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125</w:t>
      </w:r>
      <w:r>
        <w:fldChar w:fldCharType="end"/>
      </w:r>
      <w:r>
        <w:t>. Forma naudojama atskirai teikiant informaciją apie CCR pozicijas, apskaičiuotas atitinkamai taikant SA-CCR arba supaprastintą SA-CCR.</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Nurodymai dėl konkrečių pozicijų</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Skiltys</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VALIUTA</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Sandorių, susietų su palūkanų normos rizikos kategorija, atveju nurodoma sandorio valiuta.</w:t>
            </w:r>
          </w:p>
          <w:p w14:paraId="451829C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Sandorių, susietų su užsienio valiutos kurso rizikos kategorija, atveju nurodoma vienos iš dviejų sandorio dalių valiuta. Įstaigos abėcėlės tvarka </w:t>
            </w:r>
            <w:r>
              <w:rPr>
                <w:rFonts w:ascii="Times New Roman" w:hAnsi="Times New Roman"/>
                <w:sz w:val="24"/>
              </w:rPr>
              <w:lastRenderedPageBreak/>
              <w:t xml:space="preserve">įrašo valiutas valiutų pora, pvz., JAV dolerio ir euro atveju į šią skiltį įrašykite EUR, o į 0020 skiltį – USD.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Naudojami valiutų</w:t>
            </w:r>
            <w:hyperlink r:id="rId10" w:history="1">
              <w:r>
                <w:rPr>
                  <w:rFonts w:ascii="Times New Roman" w:hAnsi="Times New Roman"/>
                  <w:sz w:val="24"/>
                </w:rPr>
                <w:t xml:space="preserve"> ISO kodai</w:t>
              </w:r>
            </w:hyperlink>
            <w:r>
              <w:t>.</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lastRenderedPageBreak/>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ANTRA POROS VALIUTA</w:t>
            </w:r>
          </w:p>
          <w:p w14:paraId="03D4A6E7" w14:textId="77777777" w:rsidR="00EF74C7" w:rsidRPr="002A677E" w:rsidRDefault="00EF74C7" w:rsidP="00822842">
            <w:pPr>
              <w:keepNext/>
              <w:spacing w:before="60"/>
              <w:rPr>
                <w:rFonts w:ascii="Times New Roman" w:hAnsi="Times New Roman"/>
                <w:sz w:val="24"/>
              </w:rPr>
            </w:pPr>
            <w:r>
              <w:rPr>
                <w:rFonts w:ascii="Times New Roman" w:hAnsi="Times New Roman"/>
                <w:sz w:val="24"/>
              </w:rPr>
              <w:t>Sandorių, susietų su užsienio valiutos kurso rizikos kategorija, atveju nurodoma kitos sandorio dalies (tos dalies, kuri nurodyta 0010 skiltyje, atžvilgiu) valiuta. Įstaigos abėcėlės tvarka įrašo valiutas valiutų pora, pvz., JAV dolerio ir euro atveju į šią skiltį įrašykite USD, o į 0010 skiltį – EUR.</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Naudojami valiutų</w:t>
            </w:r>
            <w:hyperlink r:id="rId11" w:history="1">
              <w:r>
                <w:rPr>
                  <w:rFonts w:ascii="Times New Roman" w:hAnsi="Times New Roman"/>
                  <w:sz w:val="24"/>
                </w:rPr>
                <w:t xml:space="preserve"> ISO kodai</w:t>
              </w:r>
            </w:hyperlink>
            <w:r>
              <w:t>.</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SANDORIŲ SKAIČIUS</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Žr. nurodymus dėl 0020 skilties C 34.02 formoje.</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TARIAMOSIOS SUMOS</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Žr. nurodymus dėl 0030 skilties C 34.02 formoje.</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TEIGIAMA</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Visų atitinkamos rizikos kategorijos apsidraudimo grupių, kurių CMV teigiama, dabartinių rinkos verčių (CMV) suma.</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Apsidraudimo grupės lygmeniu CMV nustatoma užskaitant vienos apsidraudimo grupės sandorių teigiamas ir neigiamas rinkos vertes kartu su bet kokia turima arba suteikta užtikrinimo priemone.</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NEIGIAMA</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Visų atitinkamos rizikos kategorijos apsidraudimo grupių, kurių CMV neigiama, absoliučiųjų dabartinių rinkos verčių (CMV) suma.</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Apsidraudimo grupės lygmeniu CMV nustatoma užskaitant vienos apsidraudimo grupės sandorių teigiamas ir neigiamas rinkos vertes kartu su bet kokia turima arba suteikta užtikrinimo priemone.</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PAPILDOMAS MOKESTIS</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280a–280f straipsniai ir 281 straipsnio 2 dalis.</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Įstaiga nurodo visų atitinkamos apsidraudimo grupės ir (arba) rizikos kategorijos papildomų mokesčių sumą. </w:t>
            </w:r>
          </w:p>
          <w:p w14:paraId="48AD1D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Kiekvienos rizikos kategorijos papildomas mokestis, naudojamas galimai būsimai užskaitos grupės pozicijai nustatyti pagal Reglamento (ES) Nr. 575/2013 278 straipsnio 1 dalį arba 281 straipsnio 2 dalies f punktą, apskaičiuojamas pagal to reglamento 280a–280f straipsnius. Supaprastinto SA-CCR atveju taikomos Reglamento (ES) Nr. 575/2013 281 straipsnio 2 dalies nuostatos.</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Eilutės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lastRenderedPageBreak/>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RIZIKOS KATEGORIJOS</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277 ir 277a straipsniai.</w:t>
            </w:r>
          </w:p>
          <w:p w14:paraId="578D076E"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Sandoriai klasifikuojami pagal rizikos kategoriją, kuriai jie priklauso pagal Reglamento (ES) Nr. 575/2013 277 straipsnio 1–4 dalis.</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Priskyrimas apsidraudimo grupėms pagal rizikos kategoriją atliekamas pagal Reglamento (ES) Nr. 575/2013 277a straipsnį.</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Supaprastinto SA-CCR atveju taikomos Reglamento (ES) Nr. 575/2013 281 straipsnio 2 dalies nuostatos.</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Dalis, kurią atitinka: susieta su daugiau nei viena rizikos kategorija</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277 straipsnio 3 dalis.</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Išvestinių finansinių priemonių sandoriai, susiję su daugiau kaip vienu reikšmingu rizikos veiksniu, susieti su dviem (0020), trimis (0030) arba daugiau kaip trimis (0040) rizikos kategorijoms, remiantis reikšmingiausiu kiekvienos rizikos kategorijos rizikos veiksniu pagal Reglamento (ES) Nr. 575/2013 277 straipsnio 3 dalį ir EBI TRS, nurodytus to reglamento 277 straipsnio 5 dalyje.</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0070–0110 ir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Didžiausia valiuta ir valiutų pora</w:t>
            </w:r>
          </w:p>
          <w:p w14:paraId="208A8263" w14:textId="77777777" w:rsidR="00EF74C7" w:rsidRPr="002A677E" w:rsidRDefault="00EF74C7" w:rsidP="00822842">
            <w:pPr>
              <w:rPr>
                <w:rFonts w:ascii="Times New Roman" w:hAnsi="Times New Roman"/>
                <w:sz w:val="24"/>
              </w:rPr>
            </w:pPr>
            <w:r>
              <w:rPr>
                <w:rFonts w:ascii="Times New Roman" w:hAnsi="Times New Roman"/>
                <w:sz w:val="24"/>
              </w:rPr>
              <w:t xml:space="preserve">Ši klasifikacija atliekama remiantis įstaigos portfelio CMV atitinkamai pagal SA-CCR taikymo sritį arba supaprastintą SA-CCR metodą sandorių, susietų atitinkamai su palūkanų normos rizikos ir užsienio valiutos kurso rizikos kategorija, atžvilgiu. </w:t>
            </w:r>
          </w:p>
          <w:p w14:paraId="7CB8DC17" w14:textId="77777777" w:rsidR="00EF74C7" w:rsidRPr="002A677E" w:rsidRDefault="00EF74C7" w:rsidP="00822842">
            <w:pPr>
              <w:rPr>
                <w:rFonts w:ascii="Times New Roman" w:hAnsi="Times New Roman"/>
                <w:i/>
                <w:sz w:val="24"/>
              </w:rPr>
            </w:pPr>
            <w:r>
              <w:rPr>
                <w:sz w:val="24"/>
              </w:rPr>
              <w:t>Klasifikavimo tikslais susumuojama absoliučioji pozicijų CMV vertė.</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Išskirtinis susiejimas</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277 straipsnio 1 ir 2 dalys.</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Išvestinių finansinių priemonių sandoriai, susieti išimtinai su viena rizikos kategorija pagal Reglamento (ES) Nr. 575/2013 277 straipsnio 1 ir 2 dalis.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Sandoriai, susieti su skirtingomis rizikos kategorijoms pagal Reglamento (ES) Nr. 575/2013 277 straipsnio 3 dalį, neįtraukiami.</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Vieno pavadinimo sandoriai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Vieno pavadinimo sandoriai, kurie susieti atitinkamai su kredito rizikos ir nuosavybės vertybinių popierių rizikos kategorija.</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Kelių pavadinimų sandoriai</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Kelių pavadinimų sandoriai, kurie susieti atitinkamai su kredito rizikos ir nuosavybės vertybinių popierių rizikos kategorija.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Biržos prekių kainos rizikos kategorijos apsidraudimo grupės</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Išvestinių finansinių priemonių sandoriai, priskirti Reglamento (ES) Nr. 575/2013 277a straipsnio 1 dalies e punkte išvardytomis biržos prekių kainos rizikos kategorijos apsidraudimo grupėms.</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CCR pozicijos, kurioms taikomas pradinės pozicijos metodas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Nurodymai dėl konkrečių pozicijų</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Skiltys</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Nurodymai dėl 0010 ir 0020 skilčių pateikiami C 34.02 formoje.</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TEIGIAMA</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Visų atitinkamos rizikos kategorijos sandorių, kurių CMV teigiama, dabartinių rinkos verčių (CMV) suma.</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NEIGIAMA</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Visų atitinkamos rizikos kategorijos sandorių, kurių CMV neigiama, absoliučiųjų dabartinių rinkos verčių (CMV) suma.</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GALIMA BŪSIMA POZICIJA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Įstaiga nurodo visų tai pačiai rizikos kategorijai priklausančių sandorių PFE sumą.</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Eilutės</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RIZIKOS KATEGORIJOS</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Išvestinių finansinių priemonių sandoriai, susieti su Reglamento (ES) Nr. 575/2013 282 straipsnio 4 dalies b punkte išvardytomis rizikos kategorijomis.</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CCR pozicijos, kurioms taikomas vidaus modelio metodas (IMM)</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Nurodymai dėl konkrečių pozicijų</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Skiltys</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00010–0080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SU GARANTINE ĮMOKA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Žr. nurodymus dėl 0130 eilutės C 34.02 formoje.</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 GARANTINĖS ĮMOKOS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Žr. nurodymus dėl 0140 eilutės C 34.02 formoje.</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SANDORIŲ SKAIČIUS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Žr. nurodymus dėl 0020 skilties C 34.02 formoje.</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TARIAMOSIOS SUMOS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Žr. nurodymus dėl 0030 skilties C 34.02 formoje.</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lastRenderedPageBreak/>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TEIGIAMA</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Visų tai pačiai turto klasei priklausančių sandorių, kurių CMV teigiama, dabartinių rinkos verčių (CMV) suma.</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RINKOS VERTĖ (CMV), NEIGIAMA</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Visų tai pačiai turto klasei priklausančių sandorių, kurių CMV neigiama, absoliučiųjų dabartinių rinkos verčių (CMV) suma.</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DABARTINĖ POZICIJA</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Žr. nurodymus dėl 0120 skilties C 34.02 formoje.</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FAKTINĖ TIKĖTINA TEIGIAMA POZICIJA (faktinė EPE)</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Žr. nurodymus dėl 0130 skilties C 34.02 formoje.</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NEPALANKIAUSIOMIS SĄLYGOMIS</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284 straipsnio 6 dalis ir 292 straipsnio 2 dalis.</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EEPE nepalankiausiomis sąlygomis apskaičiuojama pagal analogiją su EEPE (Reglamento (ES) Nr. 575/2013 284 straipsnio 6 dalis), tačiau taikant kalibravimą nepalankiausiomis sąlygomis pagal Reglamento (ES) Nr. 575/2013 292 straipsnio 2 dalį.</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POZICIJOS VERTĖ</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Žr. nurodymus dėl 0170 skilties C 34.02 formoje.</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Eilutė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Paaiškinimas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BENDRA SUMA </w:t>
            </w:r>
          </w:p>
          <w:p w14:paraId="43496D3B" w14:textId="77777777" w:rsidR="00EF74C7" w:rsidRPr="002A677E" w:rsidRDefault="00EF74C7" w:rsidP="00822842">
            <w:pPr>
              <w:keepNext/>
              <w:spacing w:before="60"/>
              <w:rPr>
                <w:sz w:val="24"/>
              </w:rPr>
            </w:pPr>
            <w:r>
              <w:rPr>
                <w:rFonts w:ascii="Times New Roman" w:hAnsi="Times New Roman"/>
                <w:sz w:val="24"/>
              </w:rPr>
              <w:t>Reglamento (ES) Nr. 575/2013 283 straipsnis.</w:t>
            </w:r>
          </w:p>
          <w:p w14:paraId="72F05A01" w14:textId="77777777" w:rsidR="00EF74C7" w:rsidRPr="002A677E" w:rsidRDefault="00EF74C7" w:rsidP="00822842">
            <w:pPr>
              <w:rPr>
                <w:sz w:val="24"/>
              </w:rPr>
            </w:pPr>
            <w:r>
              <w:rPr>
                <w:rFonts w:ascii="Times New Roman" w:hAnsi="Times New Roman"/>
                <w:sz w:val="24"/>
              </w:rPr>
              <w:t>Įstaiga pateikia atitinkamą informaciją apie išvestines finansines priemones, ilgalaikius atsiskaitymo sandorius ir VPĮFS, kurių atžvilgiu jai buvo leista nustatyti pozicijos vertę, apskaičiuotą taikant vidaus modelio metodą (IMM) pagal Reglamento (ES) Nr. 575/2013 283 straipsnį.</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Dalis, kurią atitinka: specifinės klaidingų sprendimų rizikos (SWWR) pozicijos</w:t>
            </w:r>
          </w:p>
          <w:p w14:paraId="1013C757" w14:textId="77777777" w:rsidR="00EF74C7" w:rsidRPr="002A677E" w:rsidRDefault="00EF74C7" w:rsidP="00822842">
            <w:pPr>
              <w:rPr>
                <w:rFonts w:ascii="Times New Roman" w:hAnsi="Times New Roman"/>
                <w:sz w:val="24"/>
              </w:rPr>
            </w:pPr>
            <w:r>
              <w:rPr>
                <w:rFonts w:ascii="Times New Roman" w:hAnsi="Times New Roman"/>
                <w:sz w:val="24"/>
              </w:rPr>
              <w:t>Žr. nurodymus dėl 0120 eilutės C 34.02 formoje.</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Užskaitos grupės, kurioms taikytas standartizuotas kredito rizikos vertinimo metodas</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Žr. nurodymus dėl 0180 skilties C 34.02 formoje.</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Užskaitos grupės, kurioms taikytas kredito rizikos IRB metodas</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Žr. nurodymus dėl 0190 skilties C 34.02 formoje.</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lastRenderedPageBreak/>
              <w:t>0050–0110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NE BIRŽOS IŠVESTINĖS FINANSINĖS PRIEMONĖS</w:t>
            </w:r>
          </w:p>
          <w:p w14:paraId="0E8A5849" w14:textId="77777777" w:rsidR="00EF74C7" w:rsidRPr="002A677E" w:rsidRDefault="00EF74C7" w:rsidP="00822842">
            <w:pPr>
              <w:rPr>
                <w:rFonts w:ascii="Times New Roman" w:hAnsi="Times New Roman"/>
                <w:sz w:val="24"/>
              </w:rPr>
            </w:pPr>
            <w:r>
              <w:rPr>
                <w:rFonts w:ascii="Times New Roman" w:hAnsi="Times New Roman"/>
                <w:sz w:val="24"/>
              </w:rPr>
              <w:t>Įstaiga pateikia atitinkamą informaciją apie užskaitos grupes, apimančias tik ne biržos išvestines finansines priemones arba ilgalaikius atsiskaitymo sandorius, kurių atžvilgiu jai buvo leista nustatyti pozicijos vertę taikant IMM, suskirstytą pagal skirtingas turto klases pagrindinės finansinės priemonės atžvilgiu (palūkanų norma, užsienio valiuta, kreditas, nuosavybės vertybiniai popieriai, biržos prekė ar kt.).</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0120–0180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BIRŽINĖS IŠVESTINĖS FINANSINĖS PRIEMONĖS</w:t>
            </w:r>
          </w:p>
          <w:p w14:paraId="58D9B48E" w14:textId="77777777" w:rsidR="00EF74C7" w:rsidRPr="002A677E" w:rsidRDefault="00EF74C7" w:rsidP="00822842">
            <w:pPr>
              <w:rPr>
                <w:rFonts w:ascii="Times New Roman" w:hAnsi="Times New Roman"/>
                <w:sz w:val="24"/>
              </w:rPr>
            </w:pPr>
            <w:r>
              <w:rPr>
                <w:rFonts w:ascii="Times New Roman" w:hAnsi="Times New Roman"/>
                <w:sz w:val="24"/>
              </w:rPr>
              <w:t>Įstaiga pateikia atitinkamą informaciją apie užskaitos grupes, apimančias tik biržines išvestines finansines priemones arba ilgalaikius atsiskaitymo sandorius, kurių atžvilgiu jai buvo leista nustatyti pozicijos vertę taikant IMM, suskirstytą pagal skirtingas turto klases pagrindinės finansinės priemonės atžvilgiu (palūkanų norma, užsienio valiuta, kreditas, nuosavybės vertybiniai popieriai, biržos prekė ar kt.).</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0190–0220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VERTYBINIŲ POPIERIŲ ĮSIGIJIMO FINANSAVIMO SANDORIAI</w:t>
            </w:r>
          </w:p>
          <w:p w14:paraId="1CD88A29" w14:textId="77777777" w:rsidR="00EF74C7" w:rsidRPr="002A677E" w:rsidRDefault="00EF74C7" w:rsidP="00822842">
            <w:pPr>
              <w:rPr>
                <w:rFonts w:ascii="Times New Roman" w:hAnsi="Times New Roman"/>
                <w:sz w:val="24"/>
              </w:rPr>
            </w:pPr>
            <w:r>
              <w:rPr>
                <w:rFonts w:ascii="Times New Roman" w:hAnsi="Times New Roman"/>
                <w:sz w:val="24"/>
              </w:rPr>
              <w:t>Įstaiga pateikia atitinkamą informaciją apie užskaitos grupes, apimančias tik VPĮFS, kurių atžvilgiu jai buvo leista nustatyti pozicijos vertę taikant IMM, suskirstytą pagal VPĮFS užtikrinimo priemonės dalies pagrindinės finansinės priemonės rūšį (obligacija, nuosavybės vertybiniai popieriai ar kt.).</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SUTARTINĖS KRYŽMINĖS PRODUKTŲ UŽSKAITOS GRUPĖS</w:t>
            </w:r>
          </w:p>
          <w:p w14:paraId="7F1F09BD" w14:textId="77777777" w:rsidR="00EF74C7" w:rsidRPr="002A677E" w:rsidRDefault="00EF74C7" w:rsidP="00822842">
            <w:pPr>
              <w:rPr>
                <w:rFonts w:ascii="Times New Roman" w:hAnsi="Times New Roman"/>
                <w:sz w:val="24"/>
              </w:rPr>
            </w:pPr>
            <w:r>
              <w:rPr>
                <w:rFonts w:ascii="Times New Roman" w:hAnsi="Times New Roman"/>
                <w:sz w:val="24"/>
              </w:rPr>
              <w:t>Žr. nurodymus dėl 0070 eilutės C 34.02 formoje.</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Dvidešimt didžiausių sandorio šalių</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Bendrosios pastabos</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126</w:t>
      </w:r>
      <w:r>
        <w:fldChar w:fldCharType="end"/>
      </w:r>
      <w:r>
        <w:t>. Įstaigos teikia informaciją apie 20 didžiausių sandorio šalių, kurių atžvilgiu jos turi didžiausias CCR pozicijas. Reitingas nustatomas naudojant visų užskaitos grupių su atitinkamomis sandorio šalimis CCR pozicijų vertes, nurodytas šios formos 0120 skiltyje. Nustatant 20 didžiausių sandorio šalių sąrašą, vis dar atsižvelgiama į grupės vidaus pozicijas arba kitas pozicijas, dėl kurių kyla sandorio šalies kredito rizika, bet kurioms įstaigos priskiria nulinį rizikos koeficientą, apskaičiuodamos nuosavų lėšų reikalavimus pagal Reglamento (ES) Nr. 575/2013 113 straipsnio 6 ir 7 dalis.</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127</w:t>
      </w:r>
      <w:r>
        <w:fldChar w:fldCharType="end"/>
      </w:r>
      <w:r>
        <w:t xml:space="preserve">. Įstaigos, taikančios standartizuotą metodą (SA-CCR) arba vidaus modelio metodą (IMM) CCR pozicijoms apskaičiuoti pagal Reglamento (ES) Nr. 575/2013 trečios dalies II antraštinės dalies 6 skyriaus 3 ir 6 skirsnius, šią formą teikia kas ketvirtį. Įstaigos, taikančios supaprastintą standartizuotą metodą arba pradinės rizikos metodą (OEM) CCR pozicijoms apskaičiuoti pagal Reglamento (ES) Nr. 575/2013 trečios dalies II antraštinės dalies 6 skyriaus 4 ir 5 skirsnius, šią formą teikia kas pusmetį. </w:t>
      </w:r>
      <w:bookmarkStart w:id="46" w:name="_Toc19715818"/>
      <w:r>
        <w:t>Nurodymai dėl konkrečių pozicijų.</w:t>
      </w:r>
      <w:bookmarkEnd w:id="46"/>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lastRenderedPageBreak/>
        <w:t>Nurodymai dėl konkrečių pozicijų</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Skiltys</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PAVADINIMAS</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Sandorio šalies pavadinimas</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KODAS</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Eilutės numerį sudarantis kodas turi būti unikalus kiekvienam subjektui, apie kurį teikiama informacija. Įstaigų ir draudimo įmonių kodas yra LEI kodas. Kitų subjektų kodas yra LEI kodas arba, jei jo nėra, ne LEI kodas. Unikalus kodas visą laiką nuosekliai naudojamas skirtingose formose. Kodas visuomet yra išreikštas tam tikra verte.</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KODO RŪŠIS</w:t>
            </w:r>
          </w:p>
          <w:p w14:paraId="12E4A55E" w14:textId="77777777" w:rsidR="00EF74C7" w:rsidRPr="002A677E" w:rsidRDefault="00EF74C7" w:rsidP="00822842">
            <w:pPr>
              <w:rPr>
                <w:rStyle w:val="FormatvorlageInstructionsTabelleText"/>
                <w:rFonts w:ascii="Calibri" w:hAnsi="Calibri" w:cs="Calibri"/>
              </w:rPr>
            </w:pPr>
            <w:r>
              <w:rPr>
                <w:rFonts w:ascii="Times New Roman" w:hAnsi="Times New Roman"/>
                <w:sz w:val="24"/>
              </w:rPr>
              <w:t xml:space="preserve">Įstaiga nurodo </w:t>
            </w:r>
            <w:r>
              <w:rPr>
                <w:rStyle w:val="FormatvorlageInstructionsTabelleText"/>
                <w:rFonts w:ascii="Times New Roman" w:hAnsi="Times New Roman"/>
                <w:sz w:val="24"/>
              </w:rPr>
              <w:t>0020 skiltyje nurodyto kodo rūšį: LEI kodas arba nacionalinis kodas.</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Kodo rūšis nurodoma visada.</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NACIONALINIS KODAS</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Įstaiga taip pat gali papildomai nurodyti nacionalinį kodą, kai 0020 skiltyje „Kodas“ kaip identifikatorių nurodo LEI kodą.</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SANDORIO ŠALIES SEKTORIUS</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Kiekvienai sandorio šaliai pasirenkamas vienas sektorius pagal šias FINREP ekonomikos sektorių klases (žr. šio įgyvendinimo reglamento V priedo 3 dalį):</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centriniai bankai;</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valdžios sektoriaus institucijos;</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kredito įstaigos;</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investicinės įmonės, kaip apibrėžta Reglamento (ES) 575/2013 4 straipsnio 1 dalies 2 punkte;</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kitos finansų bendrovės (išskyrus investicines įmones);</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 finansų bendrovės.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SANDORIO ŠALIES RŪŠIS</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Įstaiga nurodo sandorio šalies rūšį, kuri gali būti:</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reikalavimus atitinkanti PSŠ: kai sandorio šalis yra reikalavimus atitinkanti pagrindinė sandorio šalis;</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reikalavimų neatitinkanti PSŠ: kai sandorio šalis yra reikalavimų neatitinkanti pagrindinė sandorio šalis;</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ne PSŠ: kai sandorio šalis nėra PSŠ.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lastRenderedPageBreak/>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SANDORIO ŠALIES ĮSISTEIGIMO VIETA</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Nurodomas sandorio šalies įsisteigimo šalies ISO 3166-1-alpha-2 kodas (įskaitant Eurostato „Mokėjimų balanso vadove“ su pakeitimais nurodytus tarptautinių organizacijų ISO pseudokodus).</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SANDORIŲ SKAIČIUS</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Žr. nurodymus dėl 0020 skilties C 34.02 formoje.</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TARIAMOSIOS SUMOS</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Žr. nurodymus dėl 0030 skilties C 34.02 formoje.</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DABARTINĖ RINKOS VERTĖ (CMV), teigiama</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Žr. nurodymus dėl 0040 skilties C 34.02 formoje.</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Jei yra kelios tos pačios sandorio šalies užskaitos grupės, įstaiga nurodo užskaitos grupių, kurių CMV yra teigiama, sumą.</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DABARTINĖ RINKOS VERTĖ (CMV), neigiama</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Žr. nurodymus dėl 0040 skilties C 34.02 formoje.</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Jei yra kelios tos pačios sandorio šalies užskaitos grupės, įstaiga nurodo užskaitos grupių, kurių CMV yra neigiama, absoliučią sumą.</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POZICIJOS VERTĖ PO KRM METODŲ TAIKYMO</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Žr. nurodymus dėl 0160 skilties C 34.02 formoje.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Jei yra kelios tos pačios sandorio šalies užskaitos grupės, įstaiga nurodo užskaitos grupių pozicijos verčių po KRM metodų taikymo sumą.</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POZICIJOS VERTĖ</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Žr. nurodymus dėl 0170 skilties C 34.02 formoje.</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PAGAL RIZIKĄ ĮVERTINTŲ POZICIJŲ SUMOS</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Žr. nurodymus dėl 0200 skilties C 34.02 formoje.</w:t>
            </w:r>
          </w:p>
        </w:tc>
      </w:tr>
    </w:tbl>
    <w:p w14:paraId="4CB615BB" w14:textId="77777777" w:rsidR="00EF74C7" w:rsidRPr="005B029D"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IRB metodas. CCR pozicijos pagal pozicijų klasę ir PD skalę</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Bendrosios pastabos</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128</w:t>
      </w:r>
      <w:r>
        <w:fldChar w:fldCharType="end"/>
      </w:r>
      <w:r>
        <w:t xml:space="preserve">. Šią formą pildo įstaigos, kurios visų CCR pozicijų arba jų dalies pagal riziką įvertintų pozicijų sumoms apskaičiuoti pagal Reglamento (ES) 575/2013 107 straipsnį taiko pažangųjį arba pagrindinį IRB metodą neatsižvelgiant į CCR metodą, taikomą nustatant pozicijų vertes pagal Reglamento (ES) 575/2013 trečios dalies II antraštinės dalies 4 ir 6 skyrius.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129</w:t>
      </w:r>
      <w:r>
        <w:fldChar w:fldCharType="end"/>
      </w:r>
      <w:r>
        <w:t xml:space="preserve">. Formoje atskirai nurodoma visų pozicijų klasių bendra suma ir atskirai kiekviena Reglamento (ES) 575/2013 147 straipsnyje nurodyta pozicijų klasė. Į šią formą neįtraukiamos pozicijos, kurių tarpuskaitą atliekama per PSŠ. </w:t>
      </w:r>
    </w:p>
    <w:p w14:paraId="606463EA" w14:textId="4FB3F052" w:rsidR="00EF74C7" w:rsidRPr="002A677E" w:rsidRDefault="00EF74C7" w:rsidP="00EF74C7">
      <w:pPr>
        <w:pStyle w:val="InstructionsText2"/>
        <w:numPr>
          <w:ilvl w:val="0"/>
          <w:numId w:val="0"/>
        </w:numPr>
        <w:ind w:left="993"/>
      </w:pPr>
      <w:r>
        <w:lastRenderedPageBreak/>
        <w:fldChar w:fldCharType="begin"/>
      </w:r>
      <w:r>
        <w:instrText>seq paragraphs</w:instrText>
      </w:r>
      <w:r>
        <w:fldChar w:fldCharType="separate"/>
      </w:r>
      <w:r>
        <w:t>130</w:t>
      </w:r>
      <w:r>
        <w:fldChar w:fldCharType="end"/>
      </w:r>
      <w:r>
        <w:t>. Kad būtų aišku, ar įstaiga naudoja pačios įstaigos apskaičiuotus LGD įverčius ir (arba) kredito perskaičiavimo koeficientus, apie kiekvieną nurodomą pozicijų klasę pateikiama ši informacija:</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„NE“ = pažymima tada, jei naudojami priežiūros institucijų nustatyti LGD įverčiai ir kredito perskaičiavimo koeficientai (pagrindinis IRB metodas, F–IRB).</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 xml:space="preserve">„TAIP“ = pažymima tada, jei naudojami pačios įstaigos apskaičiuoti LGD įverčiai ir kredito perskaičiavimo koeficientai (pažangusis IRB metodas, A–IRB).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Nurodymai dėl konkrečių pozicijų</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Skiltys</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Pozicijos vertė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t>Pozicijos vertė (žr. C 34.02 formos 0170 skilties nurodymus), suskirstyta pagal nurodytą PD skalę.</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Pozicijų svertinis PD vidurkis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Atskiro įsipareigojančiojo asmens rango PD vidurkis, įvertintas pagal jų atitinkamą pozicijos vertę, kaip nurodyta 0010 skiltyje.</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Įsipareigojančiųjų asmenų skaičius </w:t>
            </w:r>
          </w:p>
          <w:p w14:paraId="75633515" w14:textId="77777777" w:rsidR="00EF74C7" w:rsidRPr="002A677E" w:rsidRDefault="00EF74C7" w:rsidP="00822842">
            <w:pPr>
              <w:rPr>
                <w:rFonts w:ascii="Times New Roman" w:hAnsi="Times New Roman"/>
                <w:sz w:val="24"/>
              </w:rPr>
            </w:pPr>
            <w:r>
              <w:rPr>
                <w:rFonts w:ascii="Times New Roman" w:hAnsi="Times New Roman"/>
                <w:sz w:val="24"/>
              </w:rPr>
              <w:t>Juridinių asmenų arba įsipareigojančiųjų asmenų, kurie priskirti kiekvienam nustatytos PD skalės intervalui ir kuriems buvo suteiktas atskiras reitingas, skaičius, neatsižvelgiant į suteiktų skirtingų paskolų ar pozicijų skaičių.</w:t>
            </w:r>
          </w:p>
          <w:p w14:paraId="79F85080" w14:textId="77777777" w:rsidR="00EF74C7" w:rsidRPr="002A677E" w:rsidRDefault="00EF74C7" w:rsidP="00822842">
            <w:pPr>
              <w:rPr>
                <w:rFonts w:ascii="Times New Roman" w:hAnsi="Times New Roman"/>
                <w:sz w:val="24"/>
              </w:rPr>
            </w:pPr>
            <w:r>
              <w:rPr>
                <w:rFonts w:ascii="Times New Roman" w:hAnsi="Times New Roman"/>
                <w:sz w:val="24"/>
              </w:rPr>
              <w:t>Jeigu skirtingos to paties įsipareigojančiojo asmens pozicijos reitinguojamos atskirai, jos skaičiuojamos atskirai. Tokia padėtis gali susidaryti, jei atskiros to paties įsipareigojančiojo asmens pozicijos priskiriamos skirtingiems įsipareigojančiojo asmens rangams pagal Reglamento (ES) 575/2013 172 straipsnio 1 dalies e punkto antrą sakinį.</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Pozicijų svertinis LGD vidurkis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t>Įsipareigojančiojo asmens rango LGD vidurkis, įvertintas pagal jų atitinkamą pozicijos vertę, kaip nurodyta 0010 skiltyje.</w:t>
            </w:r>
          </w:p>
          <w:p w14:paraId="7080F0A6" w14:textId="080029A0" w:rsidR="00EF74C7" w:rsidRPr="002A677E" w:rsidRDefault="00EF74C7" w:rsidP="00822842">
            <w:pPr>
              <w:rPr>
                <w:rFonts w:ascii="Times New Roman" w:hAnsi="Times New Roman"/>
                <w:sz w:val="24"/>
              </w:rPr>
            </w:pPr>
            <w:r>
              <w:rPr>
                <w:rFonts w:ascii="Times New Roman" w:hAnsi="Times New Roman"/>
                <w:sz w:val="24"/>
              </w:rPr>
              <w:t>Nurodomas LGD atitinka galutinį LGD įvertį, naudojamą apskaičiuojant pagal riziką įvertintų pozicijų sumas, gautas, jei aktualu, atsižvelgus į bet kokį KRM poveikį ir nuosmukio sąlygas, kaip nurodyta Reglamento (ES) 575/2013 trečios dalies II antraštinės dalies 3 ir 4 skyriuose. Visų pirma, jeigu įstaigos taiko IRB metodą, bet nenaudoja pačios įstaigos apskaičiuotų LGD įverčių, finansinės užtikrinimo priemonės rizikos mažinimo poveikis parodomas E*, visiškai koreguotoje pozicijos vertėje, paskui – LGD* pagal Reglamento (ES) 575/2013 230 straipsnį. Jeigu naudojami pačios įstaigos apskaičiuoti LGD įverčiai, atsižvelgiama į Reglamento (ES) 575/2013 175 straipsnį ir 181 straipsnio 1 ir 2 dalis.</w:t>
            </w:r>
          </w:p>
          <w:p w14:paraId="1D9D0798" w14:textId="77777777" w:rsidR="00EF74C7" w:rsidRPr="002A677E" w:rsidRDefault="00EF74C7" w:rsidP="00822842">
            <w:pPr>
              <w:rPr>
                <w:rFonts w:ascii="Times New Roman" w:hAnsi="Times New Roman"/>
                <w:sz w:val="24"/>
              </w:rPr>
            </w:pPr>
            <w:r>
              <w:rPr>
                <w:rFonts w:ascii="Times New Roman" w:hAnsi="Times New Roman"/>
                <w:sz w:val="24"/>
              </w:rPr>
              <w:lastRenderedPageBreak/>
              <w:t>Jeigu pozicijoms taikomas dvigubo įsipareigojimų neįvykdymo vertinimas, nurodomas LGD – tai vertė, pasirinkta pagal Reglamento (ES) Nr. 575/2013 161 straipsnio 4 dalį.</w:t>
            </w:r>
          </w:p>
          <w:p w14:paraId="2C390C4A" w14:textId="77777777"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Pozicijų esant įsipareigojimų neįvykdymui pagal A-IRB metodą atveju atsižvelgiama į Reglamento (ES) Nr. 575/2013 181 straipsnio 1 dalies h punkte išdėstytas nuostatas. Nurodomas LGD atitinka LGD įvertį esant įsipareigojimų neįvykdymui.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Pozicijų vidutinis svertinis terminas (metais)</w:t>
            </w:r>
          </w:p>
          <w:p w14:paraId="32B69B7E"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Įsipareigojančiojo asmens terminų metais </w:t>
            </w:r>
            <w:r>
              <w:rPr>
                <w:rStyle w:val="InstructionsTabelleberschrift"/>
                <w:rFonts w:ascii="Times New Roman" w:hAnsi="Times New Roman"/>
                <w:b w:val="0"/>
                <w:sz w:val="24"/>
                <w:u w:val="none"/>
              </w:rPr>
              <w:t>vidurkis</w:t>
            </w:r>
            <w:r>
              <w:rPr>
                <w:rFonts w:ascii="Times New Roman" w:hAnsi="Times New Roman"/>
                <w:sz w:val="24"/>
              </w:rPr>
              <w:t>, įvertintas pagal jų atitinkamą pozicijos vertę, kaip nurodyta 0010 skiltyje.</w:t>
            </w:r>
          </w:p>
          <w:p w14:paraId="2277F2A3" w14:textId="77777777" w:rsidR="00EF74C7" w:rsidRPr="002A677E" w:rsidRDefault="00EF74C7" w:rsidP="00822842">
            <w:pPr>
              <w:rPr>
                <w:rFonts w:ascii="Times New Roman" w:hAnsi="Times New Roman"/>
                <w:sz w:val="24"/>
              </w:rPr>
            </w:pPr>
            <w:r>
              <w:rPr>
                <w:rFonts w:ascii="Times New Roman" w:hAnsi="Times New Roman"/>
                <w:sz w:val="24"/>
              </w:rPr>
              <w:t xml:space="preserve">Terminas nustatomas pagal Reglamento (ES) Nr. 575/2013 162 straipsnį.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Pagal riziką įvertintų pozicijų sumos</w:t>
            </w:r>
            <w:r>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Pr>
                <w:rFonts w:ascii="Times New Roman" w:hAnsi="Times New Roman"/>
                <w:sz w:val="24"/>
              </w:rPr>
              <w:t xml:space="preserve">Pagal riziką įvertintų pozicijų sumos, kaip apibrėžta Reglamento (ES) 575/2013 92 straipsnio 3 dalyje, pozicijų, kurių rizikos koeficientai apskaičiuojami pagal Reglamento (ES) 575/2013 trečios dalies II antraštinės dalies 3 skyriuje nustatytus reikalavimus ir kurių CCR veiklos pozicijos vertė apskaičiuojama pagal to reglamento trečios dalies II antraštinės dalies 4 ir 6 skyrius, atveju.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Atsižvelgiama į MVĮ ir infrastruktūros rėmimo koeficientus, nustatytus Reglamento (ES) Nr. 575/2013 501 ir 501a straipsniuose.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Pagal riziką įvertintų pozicijų sumų santykis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Bendrų pagal riziką įvertintų pozicijų sumų (nurodytų 0060 skiltyje) ir pozicijos vertės (nurodytos 0010 skiltyje) santykis.</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Eilutės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PD skalė</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CCR pozicijos (nustatytos sandorio šalies lygmeniu) priskiriamos atitinkamam nustatytos PD skalės intervalui, remiantis kiekvienam įsipareigojančiajam asmeniui, priskirtam šiai pozicijos klasei, įvertinta PD (atsižvelgiant į bet kokį pakeitimą dėl garantijos arba kredito išvestinės finansinės priemonės egzistavimo). Įstaigos susieja kiekvieną poziciją su formoje nurodyta PD skale, taip pat atsižvelgdamos į tolydžias skales. Visos pozicijos esant įsipareigojimų neįvykdymui įtraukiamos į 100 % PD atitinkantį intervalą.</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t>C 34.08. CCR pozicijų užtikrinimo priemonių sudėtis</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Bendrosios pastabos</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131</w:t>
      </w:r>
      <w:r>
        <w:fldChar w:fldCharType="end"/>
      </w:r>
      <w:r>
        <w:t xml:space="preserve">. Į šią formą įrašomos užtikrinimo priemonės (pateiktos arba gautos), naudojamos CCR pozicijoms, susijusioms su išvestinių finansinių priemonių </w:t>
      </w:r>
      <w:r>
        <w:lastRenderedPageBreak/>
        <w:t xml:space="preserve">sandoriais, ilgalaikiais atsiskaitymo sandoriais arba VPĮFS, tikrosios vertės, neatsižvelgiant į tai, ar sandorių tarpuskaitą atlieka PSŠ ir ar užtikrinimo priemonė pateikiama pagrindinei sandorio šaliai.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Nurodymai dėl konkrečių pozicijų</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Skiltys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Išvestinių finansinių priemonių sandoriuose naudotos užtikrinimo priemonės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Įstaigos nurodo užtikrinimo priemonę (įskaitant pradinę garantinę įmoką ir kintamosios garantinės įmokos užtikrinimo priemonę), naudojamą CCR pozicijoms, susijusioms su bet kuria iš išvestinių finansinių priemonių, išvardytų Reglamento (ES) 575/2013 II priede, arba ilgalaikiu atsiskaitymo sandoriu, kaip apibrėžta to paties reglamento 272 straipsnio 2 punkte, kuris neatitinka VPĮFS kriterijų.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VPĮFS naudotos užtikrinimo priemonės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Įstaigos nurodo užtikrinimo priemonę (įskaitant pradinę garantinę įmoką ir kintamosios garantinės įmokos užtikrinimo priemonę, taip pat VPĮFS užtikrinimo priemonę), naudojamą CCR pozicijoms, susijusioms su bet kokiu VPĮFS arba ilgalaikiu atsiskaitymo sandoriu, kuris nelaikomas išvestine finansine priemone.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Atskirta</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Reglamento (ES) Nr. 575/2013 300 straipsnio 1 dalis.</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Įstaigos nurodo užtikrinimo priemonę, kuri laikoma kaip neliečiama bankroto atveju, kaip apibrėžta Reglamento (ES) 575/2013 300 straipsnio 1 dalyje, toliau suskirstytą į užtikrinimo priemonę pradinės arba kintamosios garantinės įmokos forma.</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Neatskirta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Reglamento (ES) Nr. 575/2013 300 straipsnio 1 dalis.</w:t>
            </w:r>
          </w:p>
          <w:p w14:paraId="57A510C0" w14:textId="77777777" w:rsidR="00EF74C7" w:rsidRPr="002A677E" w:rsidRDefault="00EF74C7" w:rsidP="00822842">
            <w:pPr>
              <w:rPr>
                <w:rFonts w:ascii="Times New Roman" w:hAnsi="Times New Roman"/>
                <w:sz w:val="24"/>
              </w:rPr>
            </w:pPr>
            <w:r>
              <w:rPr>
                <w:rFonts w:ascii="Times New Roman" w:hAnsi="Times New Roman"/>
                <w:sz w:val="24"/>
              </w:rPr>
              <w:t>Įstaigos nurodo užtikrinimo priemonę, kuri nėra laikoma kaip neliečiama bankroto atveju, kaip apibrėžta Reglamento (ES) 575/2013 300 straipsnio 1 dalyje, toliau suskirstytą į pradinę garantinę įmoką, kintamąją garantinę įmoką ir VPĮFS užtikrinimo priemonę.</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Pradinė garantinė įmoka</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Reglamento (ES) Nr. 575/2013 4 straipsnio 1 dalies 140 punktas</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t>Įstaigos nurodo gautos arba suteiktos užtikrinimo priemonės tikrąją vertę kaip pradinę garantinę įmoką (apibrėžtą Reglamento (ES) 575/2013 4 straipsnio 1 dalies 140 punkte).</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Kintamoji garantinė įmoka</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Įstaigos nurodo užtikrinimo priemonių, gautų arba suteiktų kaip kintamoji garantinė įmoka, tikrąsias vertes.</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lastRenderedPageBreak/>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VPĮFS užtikrinimo priemonė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Įstaigos nurodo užtikrinimo priemonių, kurios yra VPĮFS užtikrinimo priemonės (pvz., VPĮFS užtikrinimo priemonės dalis, kuri nurodoma, kaip gauta, 0130 skiltyje arba, kaip pateikta, 0180 skiltyje), tikrąsias vertes.</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Eilutės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Užtikrinimo priemonės rūšis</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Suskirstymas pagal skirtingas užtikrinimo priemonių rūšis.</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Kredito išvestinių finansinių priemonių pozicijos.</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Nurodymai dėl konkrečių pozicijų</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Skiltys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KREDITO IŠVESTINIŲ FINANSINIŲ PRIEMONIŲ UŽTIKRINIMAS</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Įsigytas arba parduotas kredito išvestinių finansinių priemonių užtikrinimas.</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TARIAMOSIOS SUMOS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Sąlyginių išvestinių finansinių priemonių sumų suma prieš bet kokią užskaitą, suskirstyta pagal produkto rūšį.</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TIKROSIOS VERTĖS</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Tikrųjų verčių, suskirstytų pagal įsigytą ir parduotą užtikrinimą, suma.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Eilutės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Produkto rūšis</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Kredito išvestinių finansinių priemonių produktų rūšių suskirstymas</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Bendra suma</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Visų rūšių produktų suma</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Tikrosios vertės</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Tikrosios vertės, suskirstytos pagal produktų rūšis, taip pat turtas (teigiamos tikrosios vertės) ir įsipareigojimai (neigiamos tikrosios vertės).</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lastRenderedPageBreak/>
        <w:t>C 34.10. PSŠ pozicijos</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Bendrosios pastabos</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132</w:t>
      </w:r>
      <w:r>
        <w:fldChar w:fldCharType="end"/>
      </w:r>
      <w:r>
        <w:t xml:space="preserve">. Įstaigos teikia informaciją apie pagrindinių sandorio šalių, t. y. Reglamento (ES) 575/2013 301 straipsnio 1 dalyje išvardytų sutarčių ir sandorių, pagal kuriuos dar neatsiskaityta su PSŠ, pozicijas ir su PSŠ susijusių sandorių pozicijas pagal to reglamento 300 straipsnio 2 dalį, kurioms nuosavų lėšų reikalavimai apskaičiuojami pagal to reglamento trečios dalies II antraštinės dalies 6 skyriaus 9 skirsnį.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Nurodymai dėl konkrečių pozicijų</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Skiltys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POZICIJOS VERTĖ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Sandorių, kuriems taikomas Reglamento (ES) 575/2013 trečios dalies II antraštinės dalies 6 skyriaus 9 skirsnis, pozicijos vertė, apskaičiuota pagal tame skyriuje, visų pirma jo 9 skirsnyje, nustatytus atitinkamus metodus.</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Nurodoma pozicijos vertė yra suma, svarbi apskaičiuojant nuosavų lėšų reikalavimus pagal Reglamento (ES) 575/2013 trečios dalies II antraštinės dalies 6 skyriaus 9 skirsnį, atsižvelgiant į to reglamento 497 straipsnyje nustatytus reikalavimus tame straipsnyje numatytu pereinamuoju laikotarpiu.</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Pozicija gali būti prekybos pozicija, kaip apibrėžta Reglamento (ES) 575/2013 4 straipsnio 1 dalies 91 punkte.</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SUMOS</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Pagal riziką įvertintų pozicijų sumos, nustatytos pagal Reglamento (ES) 575/2013 trečios dalies II antraštinės dalies 6 skyriaus 9 skirsnį, atsižvelgiant į to reglamento 497 straipsnio reikalavimus tame straipsnyje numatytu pereinamuoju laikotarpiu</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Eilutės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Reikalavimus atitinkanti pagrindinė sandorio šalis (reikalavimus atitinkanti PSŠ)</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Reikalavimus atitinkanti pagrindinė sandorio šalis, apibrėžta Reglamento (ES) 575/2013 4 straipsnio 1 dalies 88 punkte.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Pradinė garantinė įmoka</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Žr. nurodymus dėl C 34.08 formos.</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Šioje formoje pradinė garantinė įmoka neapima įmokų pagrindinei sandorio šaliai pagal nuostolių pasidalijimo paskirstant juos tarpusavyje susitarimus (t. y. tais atvejais, kai PSŠ naudoja pradinę garantinę įmoką, kad pasidalytų nuostolius tarp tarpuskaitos narių, ji laikoma įsipareigojimų neįvykdymo fondo pozicija).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lastRenderedPageBreak/>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anksto finansuotos įsipareigojimų neįvykdymo fondo įmokos</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Reglamento (ES) Nr. 575/2013 308 ir 309 straipsniai; įsipareigojimų neįvykdymo fondas, kaip apibrėžta Reglamento (ES) 575/2013 4 straipsnio 1 dalies 89 punkte; įstaigos mokama įmoka į PSŠ įsipareigojimų neįvykdymo fondą.</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Nefinansuotos įsipareigojimų neįvykdymo fondo įmokos</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Reglamento (ES) Nr. 575/2013 309 ir 310 straipsniai; įsipareigojimų neįvykdymo fondas, kaip apibrėžta Reglamento (ES) 575/2013 4 straipsnio 1 dalies 89 punkte.</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Įstaigos teikia informaciją apie įmokas, kurią tarpuskaitos nario vaidmenį atliekanti įstaiga sutartyje įsipareigojo suteikti pagrindinei sandorio šaliai po to, kai pagrindinė sandorio šalis išnaudoja savo įsipareigojimų neįvykdymo fondo lėšas nuostoliams, kuriuos ji patyrė, vienam arba keliems jos tarpuskaitos nariams neįvykdžius įsipareigojimų, padengti.</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Atskirta</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Žr. nurodymus dėl C 34.08 formos.</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Neatskirta</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Žr. nurodymus dėl C 34.08 formos.</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CCR pozicijų pagal riziką įvertintų pozicijų sumų (RWEA) srautų ataskaitos pagal IMM</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Bendrosios pastabos</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133</w:t>
      </w:r>
      <w:r>
        <w:fldChar w:fldCharType="end"/>
      </w:r>
      <w:r>
        <w:t>. Įstaigos, taikančios IMM visų savo CCR pozicijų arba jų dalies pagal riziką įvertintų pozicijų sumoms apskaičiuoti pagal Reglamento (ES) 575/2013 trečios dalies II antraštinės dalies 6 skyrių, nepriklausomai nuo kredito rizikos metodo, taikyto atitinkamiems rizikos koeficientams nustatyti, pateikia šią formą su srautų ataskaita, kurioje paaiškina išvestinių finansinių priemonių ir VPĮFS pagal IMM taikymo sritį pagal riziką įvertintų pozicijų sumų pokyčius, diferencijuotus pagal pagrindinius veiksnius ir grindžiamus pagrįstais įverčiais.</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134</w:t>
      </w:r>
      <w:r>
        <w:fldChar w:fldCharType="end"/>
      </w:r>
      <w:r>
        <w:t xml:space="preserve">. Įstaigos, kurios šią formą teikia kas ketvirtį, pildo tik 0010 skiltį. Įstaigos, kurios šią formą teikia kasmet, pildo tik 0020 skiltį.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135</w:t>
      </w:r>
      <w:r>
        <w:fldChar w:fldCharType="end"/>
      </w:r>
      <w:r>
        <w:t>. Į šią formą neįtrauktos pagrindinės sandorio šalies pozicijų pagal riziką įvertintų pozicijų sumos (Reglamento (ES) Nr. 575/2013 trečios dalies II antraštinės dalies 6 skyriaus 9 skirsnis).</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Nurodymai dėl konkrečių pozicijų</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Skiltys</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lastRenderedPageBreak/>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SUMOS</w:t>
            </w:r>
          </w:p>
          <w:p w14:paraId="0630F3A5" w14:textId="03B5FB80" w:rsidR="00EF74C7" w:rsidRPr="002A677E" w:rsidRDefault="00EF74C7" w:rsidP="00822842">
            <w:pPr>
              <w:rPr>
                <w:rFonts w:ascii="Times New Roman" w:hAnsi="Times New Roman"/>
                <w:sz w:val="24"/>
              </w:rPr>
            </w:pPr>
            <w:r>
              <w:rPr>
                <w:rFonts w:ascii="Times New Roman" w:hAnsi="Times New Roman"/>
                <w:sz w:val="24"/>
              </w:rPr>
              <w:t xml:space="preserve">Pagal riziką įvertintų pozicijų sumos, kaip apibrėžta Reglamento (ES) 575/2013 92 straipsnio 3 dalyje, pozicijų, kurių rizikos koeficientai apskaičiuojami pagal to reglamento trečios dalies II antraštinės dalies 2 ir 3 skyriuose nustatytus reikalavimus ir kurių pozicijos vertę įstaigoms leidžiama apskaičiuoti taikant IMM metodą pagal to reglamento trečios dalies II antraštinės dalies 6 skyriaus 6 skirsnį, atveju.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Atsižvelgiama į MVĮ ir infrastruktūros rėmimo koeficientus, nustatytus Reglamento (ES) Nr. 575/2013 501 ir 501a straipsniuose.</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Eilutės</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sumos ankstesnio ataskaitinio laikotarpio pabaigoje</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CCR pozicijų, kurioms taikytas IMM, pagal riziką įvertintų pozicijų sumos ankstesnio ataskaitinio laikotarpio pabaigoje.</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Turto dydis</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Pagal riziką įvertintų pozicijų sumos pokyčiai (teigiami arba neigiami) dėl apskaitos knygos dydžio ir sudėties pokyčių, atsirandančių dėl įprastos verslo veiklos (įskaitant naujų įmonių atsiradimą ir pozicijų terminų pasibaigimą), išskyrus apskaitos knygos dydžio pokyčius dėl subjektų įsigijimų ir perleidimų.</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Sandorio šalių kredito kokybė </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Pagal riziką įvertintų pozicijų sumos pokyčiai (teigiami arba neigiami) dėl pagal kredito rizikos sistemą įvertintos įstaigos sandorio šalių kokybės pokyčių, kad ir kokį metodą įstaiga taiko. Į šią eilutę taip pat įtraukiami galimi pagal riziką įvertintų pozicijų sumos pokyčiai dėl IRB modelių, jei įstaiga taiko IRB metodą.</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atnaujinimai (tik IMM)</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Pagal riziką įvertintų pozicijų sumos pokyčiai (teigiami arba neigiami) dėl modelio įgyvendinimo, modelio taikymo srities pakeitimo arba kitų pakeitimų, kuriais siekiama šalinti modelio trūkumus.</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Šioje eilutėje atsižvelgiama tik į IMM modelio pokyčius.</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Metodika ir politika (tik IMM)</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Pagal riziką įvertintų pozicijų sumos pokyčiai (teigiami arba neigiami) dėl metodinių skaičiavimo pakeitimų, atsiradusių dėl reguliavimo politikos pakeitimų, pvz., naujų reglamentų (tik taikant IMM modelį).</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Įsigijimai ir perleidimai</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Pagal riziką įvertintų pozicijų sumos pokyčiai (teigiami arba neigiami) dėl apskaitos knygų dydžių pokyčių dėl subjektų įsigijimų ir perleidimų.</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Užsienio valiutos kursų pokyčiai</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Pagal riziką įvertintų pozicijų sumos pokyčiai (teigiami arba neigiami) dėl pokyčių, atsirandančių dėl užsienio valiutos perskaičiavimo pokyčių.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Kita</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Ši kategorija naudojama siekiant nustatyti pagal riziką įvertintų pozicijų sumos pokyčius (teigiamus arba neigiamus), kurių negalima priskirti prie pirmiau nurodytų kategorijų.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sumos einamojo ataskaitinio laikotarpio pabaigoje</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CCR pozicijų, kurioms taikytas IMM, pagal riziką įvertintų pozicijų sumos einamojo ataskaitinio laikotarpio pabaigoje.</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AA937" w14:textId="77777777" w:rsidR="003F55D6" w:rsidRDefault="003F55D6" w:rsidP="00E26A90">
      <w:pPr>
        <w:spacing w:after="0"/>
      </w:pPr>
      <w:r>
        <w:separator/>
      </w:r>
    </w:p>
  </w:endnote>
  <w:endnote w:type="continuationSeparator" w:id="0">
    <w:p w14:paraId="65FE31F4" w14:textId="77777777" w:rsidR="003F55D6" w:rsidRDefault="003F55D6"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FB42C" w14:textId="77777777" w:rsidR="003F55D6" w:rsidRDefault="003F55D6" w:rsidP="00E26A90">
      <w:pPr>
        <w:spacing w:after="0"/>
      </w:pPr>
      <w:r>
        <w:separator/>
      </w:r>
    </w:p>
  </w:footnote>
  <w:footnote w:type="continuationSeparator" w:id="0">
    <w:p w14:paraId="1070761D" w14:textId="77777777" w:rsidR="003F55D6" w:rsidRDefault="003F55D6"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363F5E"/>
    <w:rsid w:val="003F55D6"/>
    <w:rsid w:val="005B029D"/>
    <w:rsid w:val="00631623"/>
    <w:rsid w:val="00632962"/>
    <w:rsid w:val="00652CB8"/>
    <w:rsid w:val="00793BDE"/>
    <w:rsid w:val="007D3B3D"/>
    <w:rsid w:val="00A6002C"/>
    <w:rsid w:val="00B5223F"/>
    <w:rsid w:val="00B71F25"/>
    <w:rsid w:val="00BD63AA"/>
    <w:rsid w:val="00CB76B5"/>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lt-LT"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lt-LT"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lt-LT"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lt-LT"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lt-LT"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lt-LT"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lt-L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lt-LT"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lt-LT"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lt-LT"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lt-LT"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lt-LT"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lt-LT"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lt-LT"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lt-LT"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lt-LT"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lt-LT"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lt-LT"/>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lt-LT"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FB9A1DBB-E16B-4997-9164-A3F96B45027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26</Pages>
  <Words>8082</Words>
  <Characters>43486</Characters>
  <Application>Microsoft Office Word</Application>
  <DocSecurity>0</DocSecurity>
  <Lines>1144</Lines>
  <Paragraphs>747</Paragraphs>
  <ScaleCrop>false</ScaleCrop>
  <Company>European Banking Authority</Company>
  <LinksUpToDate>false</LinksUpToDate>
  <CharactersWithSpaces>50821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KASTECKIENE Jurgita (DGT)</cp:lastModifiedBy>
  <cp:revision>6</cp:revision>
  <dcterms:created xsi:type="dcterms:W3CDTF">2024-06-19T16:03:00Z</dcterms:created>
  <dcterms:modified xsi:type="dcterms:W3CDTF">2025-01-27T07:43:00Z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2025-01-27T07:10:14Z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b594a17c-f3e7-4df2-a6f0-7d78b6886c32</vt:lpwstr>
  </property>
  <property fmtid="{D5CDD505-2E9C-101B-9397-08002B2CF9AE}" pid="12" name="MSIP_Label_6bd9ddd1-4d20-43f6-abfa-fc3c07406f94_ContentBits">
    <vt:lpwstr>0</vt:lpwstr>
  </property>
</Properties>
</file>