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ANEXO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INSTRUÇÕES RELATIVAS AO REPORTE DO FINANCIAMENTO ESTÁVEL</w:t>
      </w:r>
    </w:p>
    <w:p w14:paraId="7DDB4E33" w14:textId="77777777" w:rsidR="00B46B08" w:rsidRPr="00F87C15" w:rsidRDefault="00B46B08" w:rsidP="00A0098D">
      <w:pPr>
        <w:spacing w:after="240"/>
        <w:jc w:val="both"/>
        <w:rPr>
          <w:rFonts w:ascii="Times New Roman" w:hAnsi="Times New Roman"/>
          <w:sz w:val="24"/>
          <w:szCs w:val="24"/>
        </w:rPr>
      </w:pPr>
    </w:p>
    <w:p w14:paraId="6A13D0FF" w14:textId="46AE6F6D" w:rsidR="00F87C15" w:rsidRDefault="00391EF9">
      <w:pPr>
        <w:pStyle w:val="TOC1"/>
        <w:rPr>
          <w:rFonts w:asciiTheme="minorHAnsi" w:eastAsiaTheme="minorEastAsia" w:hAnsiTheme="minorHAnsi" w:cstheme="minorBidi"/>
          <w:color w:val="auto"/>
          <w:kern w:val="2"/>
          <w:sz w:val="22"/>
          <w:szCs w:val="22"/>
          <w:lang w:val="en-US"/>
          <w14:ligatures w14:val="standardContextual"/>
        </w:rPr>
      </w:pPr>
      <w:r w:rsidRPr="00A0098D">
        <w:rPr>
          <w:rFonts w:ascii="Times New Roman" w:hAnsi="Times New Roman"/>
          <w:b/>
          <w:sz w:val="24"/>
        </w:rPr>
        <w:fldChar w:fldCharType="begin"/>
      </w:r>
      <w:r w:rsidR="00F4754B" w:rsidRPr="00A0098D">
        <w:rPr>
          <w:rFonts w:ascii="Times New Roman" w:hAnsi="Times New Roman"/>
          <w:b/>
          <w:sz w:val="24"/>
        </w:rPr>
        <w:instrText xml:space="preserve"> TOC \o "1-3" \h \z \u </w:instrText>
      </w:r>
      <w:r w:rsidRPr="00A0098D">
        <w:rPr>
          <w:rFonts w:ascii="Times New Roman" w:hAnsi="Times New Roman"/>
          <w:b/>
          <w:sz w:val="24"/>
        </w:rPr>
        <w:fldChar w:fldCharType="separate"/>
      </w:r>
      <w:hyperlink w:anchor="_Toc188450161" w:history="1">
        <w:r w:rsidR="00F87C15" w:rsidRPr="00814CD8">
          <w:rPr>
            <w:rStyle w:val="Hyperlink"/>
            <w:rFonts w:ascii="Times New Roman" w:hAnsi="Times New Roman"/>
            <w:b/>
          </w:rPr>
          <w:t>PARTE I: INSTRUÇÕES GERAIS</w:t>
        </w:r>
        <w:r w:rsidR="00F87C15">
          <w:rPr>
            <w:webHidden/>
          </w:rPr>
          <w:tab/>
        </w:r>
        <w:r w:rsidR="00F87C15">
          <w:rPr>
            <w:webHidden/>
          </w:rPr>
          <w:fldChar w:fldCharType="begin"/>
        </w:r>
        <w:r w:rsidR="00F87C15">
          <w:rPr>
            <w:webHidden/>
          </w:rPr>
          <w:instrText xml:space="preserve"> PAGEREF _Toc188450161 \h </w:instrText>
        </w:r>
        <w:r w:rsidR="00F87C15">
          <w:rPr>
            <w:webHidden/>
          </w:rPr>
        </w:r>
        <w:r w:rsidR="00F87C15">
          <w:rPr>
            <w:webHidden/>
          </w:rPr>
          <w:fldChar w:fldCharType="separate"/>
        </w:r>
        <w:r w:rsidR="00F87C15">
          <w:rPr>
            <w:webHidden/>
          </w:rPr>
          <w:t>2</w:t>
        </w:r>
        <w:r w:rsidR="00F87C15">
          <w:rPr>
            <w:webHidden/>
          </w:rPr>
          <w:fldChar w:fldCharType="end"/>
        </w:r>
      </w:hyperlink>
    </w:p>
    <w:p w14:paraId="2D40E1F0" w14:textId="61519904"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63" w:history="1">
        <w:r w:rsidRPr="00814CD8">
          <w:rPr>
            <w:rStyle w:val="Hyperlink"/>
            <w:rFonts w:ascii="Times New Roman" w:hAnsi="Times New Roman"/>
            <w:b/>
          </w:rPr>
          <w:t>PARTE II: FINANCIAMENTO ESTÁVEL REQUERIDO</w:t>
        </w:r>
        <w:r>
          <w:rPr>
            <w:webHidden/>
          </w:rPr>
          <w:tab/>
        </w:r>
        <w:r>
          <w:rPr>
            <w:webHidden/>
          </w:rPr>
          <w:fldChar w:fldCharType="begin"/>
        </w:r>
        <w:r>
          <w:rPr>
            <w:webHidden/>
          </w:rPr>
          <w:instrText xml:space="preserve"> PAGEREF _Toc188450163 \h </w:instrText>
        </w:r>
        <w:r>
          <w:rPr>
            <w:webHidden/>
          </w:rPr>
        </w:r>
        <w:r>
          <w:rPr>
            <w:webHidden/>
          </w:rPr>
          <w:fldChar w:fldCharType="separate"/>
        </w:r>
        <w:r>
          <w:rPr>
            <w:webHidden/>
          </w:rPr>
          <w:t>4</w:t>
        </w:r>
        <w:r>
          <w:rPr>
            <w:webHidden/>
          </w:rPr>
          <w:fldChar w:fldCharType="end"/>
        </w:r>
      </w:hyperlink>
    </w:p>
    <w:p w14:paraId="2D288E54" w14:textId="6CF77EEF"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64" w:history="1">
        <w:r w:rsidRPr="00814CD8">
          <w:rPr>
            <w:rStyle w:val="Hyperlink"/>
            <w:rFonts w:ascii="Times New Roman" w:hAnsi="Times New Roman"/>
            <w:b/>
          </w:rPr>
          <w:t>1.</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Observações específicas</w:t>
        </w:r>
        <w:r>
          <w:rPr>
            <w:webHidden/>
          </w:rPr>
          <w:tab/>
        </w:r>
        <w:r>
          <w:rPr>
            <w:webHidden/>
          </w:rPr>
          <w:fldChar w:fldCharType="begin"/>
        </w:r>
        <w:r>
          <w:rPr>
            <w:webHidden/>
          </w:rPr>
          <w:instrText xml:space="preserve"> PAGEREF _Toc188450164 \h </w:instrText>
        </w:r>
        <w:r>
          <w:rPr>
            <w:webHidden/>
          </w:rPr>
        </w:r>
        <w:r>
          <w:rPr>
            <w:webHidden/>
          </w:rPr>
          <w:fldChar w:fldCharType="separate"/>
        </w:r>
        <w:r>
          <w:rPr>
            <w:webHidden/>
          </w:rPr>
          <w:t>4</w:t>
        </w:r>
        <w:r>
          <w:rPr>
            <w:webHidden/>
          </w:rPr>
          <w:fldChar w:fldCharType="end"/>
        </w:r>
      </w:hyperlink>
    </w:p>
    <w:p w14:paraId="07E8F3B4" w14:textId="091A57E9"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65" w:history="1">
        <w:r w:rsidRPr="00814CD8">
          <w:rPr>
            <w:rStyle w:val="Hyperlink"/>
            <w:rFonts w:ascii="Times New Roman" w:hAnsi="Times New Roman"/>
            <w:b/>
          </w:rPr>
          <w:t>2.</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Instruções relativas a colunas específicas</w:t>
        </w:r>
        <w:r>
          <w:rPr>
            <w:webHidden/>
          </w:rPr>
          <w:tab/>
        </w:r>
        <w:r>
          <w:rPr>
            <w:webHidden/>
          </w:rPr>
          <w:fldChar w:fldCharType="begin"/>
        </w:r>
        <w:r>
          <w:rPr>
            <w:webHidden/>
          </w:rPr>
          <w:instrText xml:space="preserve"> PAGEREF _Toc188450165 \h </w:instrText>
        </w:r>
        <w:r>
          <w:rPr>
            <w:webHidden/>
          </w:rPr>
        </w:r>
        <w:r>
          <w:rPr>
            <w:webHidden/>
          </w:rPr>
          <w:fldChar w:fldCharType="separate"/>
        </w:r>
        <w:r>
          <w:rPr>
            <w:webHidden/>
          </w:rPr>
          <w:t>8</w:t>
        </w:r>
        <w:r>
          <w:rPr>
            <w:webHidden/>
          </w:rPr>
          <w:fldChar w:fldCharType="end"/>
        </w:r>
      </w:hyperlink>
    </w:p>
    <w:p w14:paraId="0ED9E2F0" w14:textId="5A602898"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66" w:history="1">
        <w:r w:rsidRPr="00814CD8">
          <w:rPr>
            <w:rStyle w:val="Hyperlink"/>
            <w:rFonts w:ascii="Times New Roman" w:hAnsi="Times New Roman"/>
            <w:b/>
          </w:rPr>
          <w:t>3.</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Instruções relativas a linhas específicas</w:t>
        </w:r>
        <w:r>
          <w:rPr>
            <w:webHidden/>
          </w:rPr>
          <w:tab/>
        </w:r>
        <w:r>
          <w:rPr>
            <w:webHidden/>
          </w:rPr>
          <w:fldChar w:fldCharType="begin"/>
        </w:r>
        <w:r>
          <w:rPr>
            <w:webHidden/>
          </w:rPr>
          <w:instrText xml:space="preserve"> PAGEREF _Toc188450166 \h </w:instrText>
        </w:r>
        <w:r>
          <w:rPr>
            <w:webHidden/>
          </w:rPr>
        </w:r>
        <w:r>
          <w:rPr>
            <w:webHidden/>
          </w:rPr>
          <w:fldChar w:fldCharType="separate"/>
        </w:r>
        <w:r>
          <w:rPr>
            <w:webHidden/>
          </w:rPr>
          <w:t>9</w:t>
        </w:r>
        <w:r>
          <w:rPr>
            <w:webHidden/>
          </w:rPr>
          <w:fldChar w:fldCharType="end"/>
        </w:r>
      </w:hyperlink>
    </w:p>
    <w:p w14:paraId="57E3BA8C" w14:textId="529C547B"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67" w:history="1">
        <w:r w:rsidRPr="00814CD8">
          <w:rPr>
            <w:rStyle w:val="Hyperlink"/>
            <w:rFonts w:ascii="Times New Roman" w:hAnsi="Times New Roman"/>
            <w:b/>
          </w:rPr>
          <w:t>PARTE III: FINANCIAMENTO ESTÁVEL DISPONÍVEL</w:t>
        </w:r>
        <w:r>
          <w:rPr>
            <w:webHidden/>
          </w:rPr>
          <w:tab/>
        </w:r>
        <w:r>
          <w:rPr>
            <w:webHidden/>
          </w:rPr>
          <w:fldChar w:fldCharType="begin"/>
        </w:r>
        <w:r>
          <w:rPr>
            <w:webHidden/>
          </w:rPr>
          <w:instrText xml:space="preserve"> PAGEREF _Toc188450167 \h </w:instrText>
        </w:r>
        <w:r>
          <w:rPr>
            <w:webHidden/>
          </w:rPr>
        </w:r>
        <w:r>
          <w:rPr>
            <w:webHidden/>
          </w:rPr>
          <w:fldChar w:fldCharType="separate"/>
        </w:r>
        <w:r>
          <w:rPr>
            <w:webHidden/>
          </w:rPr>
          <w:t>26</w:t>
        </w:r>
        <w:r>
          <w:rPr>
            <w:webHidden/>
          </w:rPr>
          <w:fldChar w:fldCharType="end"/>
        </w:r>
      </w:hyperlink>
    </w:p>
    <w:p w14:paraId="567870E3" w14:textId="77DB4A30"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68" w:history="1">
        <w:r w:rsidRPr="00814CD8">
          <w:rPr>
            <w:rStyle w:val="Hyperlink"/>
            <w:rFonts w:ascii="Times New Roman" w:hAnsi="Times New Roman"/>
            <w:b/>
          </w:rPr>
          <w:t>1.</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Observações específicas</w:t>
        </w:r>
        <w:r>
          <w:rPr>
            <w:webHidden/>
          </w:rPr>
          <w:tab/>
        </w:r>
        <w:r>
          <w:rPr>
            <w:webHidden/>
          </w:rPr>
          <w:fldChar w:fldCharType="begin"/>
        </w:r>
        <w:r>
          <w:rPr>
            <w:webHidden/>
          </w:rPr>
          <w:instrText xml:space="preserve"> PAGEREF _Toc188450168 \h </w:instrText>
        </w:r>
        <w:r>
          <w:rPr>
            <w:webHidden/>
          </w:rPr>
        </w:r>
        <w:r>
          <w:rPr>
            <w:webHidden/>
          </w:rPr>
          <w:fldChar w:fldCharType="separate"/>
        </w:r>
        <w:r>
          <w:rPr>
            <w:webHidden/>
          </w:rPr>
          <w:t>26</w:t>
        </w:r>
        <w:r>
          <w:rPr>
            <w:webHidden/>
          </w:rPr>
          <w:fldChar w:fldCharType="end"/>
        </w:r>
      </w:hyperlink>
    </w:p>
    <w:p w14:paraId="658FA11C" w14:textId="290779CD"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69" w:history="1">
        <w:r w:rsidRPr="00814CD8">
          <w:rPr>
            <w:rStyle w:val="Hyperlink"/>
            <w:rFonts w:ascii="Times New Roman" w:hAnsi="Times New Roman"/>
            <w:b/>
          </w:rPr>
          <w:t>2.</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Instruções relativas a colunas específicas</w:t>
        </w:r>
        <w:r>
          <w:rPr>
            <w:webHidden/>
          </w:rPr>
          <w:tab/>
        </w:r>
        <w:r>
          <w:rPr>
            <w:webHidden/>
          </w:rPr>
          <w:fldChar w:fldCharType="begin"/>
        </w:r>
        <w:r>
          <w:rPr>
            <w:webHidden/>
          </w:rPr>
          <w:instrText xml:space="preserve"> PAGEREF _Toc188450169 \h </w:instrText>
        </w:r>
        <w:r>
          <w:rPr>
            <w:webHidden/>
          </w:rPr>
        </w:r>
        <w:r>
          <w:rPr>
            <w:webHidden/>
          </w:rPr>
          <w:fldChar w:fldCharType="separate"/>
        </w:r>
        <w:r>
          <w:rPr>
            <w:webHidden/>
          </w:rPr>
          <w:t>28</w:t>
        </w:r>
        <w:r>
          <w:rPr>
            <w:webHidden/>
          </w:rPr>
          <w:fldChar w:fldCharType="end"/>
        </w:r>
      </w:hyperlink>
    </w:p>
    <w:p w14:paraId="5224978C" w14:textId="247368C4"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0" w:history="1">
        <w:r w:rsidRPr="00814CD8">
          <w:rPr>
            <w:rStyle w:val="Hyperlink"/>
            <w:rFonts w:ascii="Times New Roman" w:hAnsi="Times New Roman"/>
            <w:b/>
          </w:rPr>
          <w:t>3.</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Instruções relativas a linhas específicas</w:t>
        </w:r>
        <w:r>
          <w:rPr>
            <w:webHidden/>
          </w:rPr>
          <w:tab/>
        </w:r>
        <w:r>
          <w:rPr>
            <w:webHidden/>
          </w:rPr>
          <w:fldChar w:fldCharType="begin"/>
        </w:r>
        <w:r>
          <w:rPr>
            <w:webHidden/>
          </w:rPr>
          <w:instrText xml:space="preserve"> PAGEREF _Toc188450170 \h </w:instrText>
        </w:r>
        <w:r>
          <w:rPr>
            <w:webHidden/>
          </w:rPr>
        </w:r>
        <w:r>
          <w:rPr>
            <w:webHidden/>
          </w:rPr>
          <w:fldChar w:fldCharType="separate"/>
        </w:r>
        <w:r>
          <w:rPr>
            <w:webHidden/>
          </w:rPr>
          <w:t>29</w:t>
        </w:r>
        <w:r>
          <w:rPr>
            <w:webHidden/>
          </w:rPr>
          <w:fldChar w:fldCharType="end"/>
        </w:r>
      </w:hyperlink>
    </w:p>
    <w:p w14:paraId="60D6B0AC" w14:textId="1EE2B0F6"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1" w:history="1">
        <w:r w:rsidRPr="00814CD8">
          <w:rPr>
            <w:rStyle w:val="Hyperlink"/>
            <w:rFonts w:ascii="Times New Roman" w:hAnsi="Times New Roman"/>
            <w:b/>
          </w:rPr>
          <w:t>PARTE IV: FINANCIAMENTO ESTÁVEL REQUERIDO SIMPLIFICADO</w:t>
        </w:r>
        <w:r>
          <w:rPr>
            <w:webHidden/>
          </w:rPr>
          <w:tab/>
        </w:r>
        <w:r>
          <w:rPr>
            <w:webHidden/>
          </w:rPr>
          <w:fldChar w:fldCharType="begin"/>
        </w:r>
        <w:r>
          <w:rPr>
            <w:webHidden/>
          </w:rPr>
          <w:instrText xml:space="preserve"> PAGEREF _Toc188450171 \h </w:instrText>
        </w:r>
        <w:r>
          <w:rPr>
            <w:webHidden/>
          </w:rPr>
        </w:r>
        <w:r>
          <w:rPr>
            <w:webHidden/>
          </w:rPr>
          <w:fldChar w:fldCharType="separate"/>
        </w:r>
        <w:r>
          <w:rPr>
            <w:webHidden/>
          </w:rPr>
          <w:t>37</w:t>
        </w:r>
        <w:r>
          <w:rPr>
            <w:webHidden/>
          </w:rPr>
          <w:fldChar w:fldCharType="end"/>
        </w:r>
      </w:hyperlink>
    </w:p>
    <w:p w14:paraId="27449605" w14:textId="79FF21B7"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2" w:history="1">
        <w:r w:rsidRPr="00814CD8">
          <w:rPr>
            <w:rStyle w:val="Hyperlink"/>
            <w:rFonts w:ascii="Times New Roman" w:hAnsi="Times New Roman"/>
            <w:b/>
          </w:rPr>
          <w:t>1.</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Observações específicas</w:t>
        </w:r>
        <w:r>
          <w:rPr>
            <w:webHidden/>
          </w:rPr>
          <w:tab/>
        </w:r>
        <w:r>
          <w:rPr>
            <w:webHidden/>
          </w:rPr>
          <w:fldChar w:fldCharType="begin"/>
        </w:r>
        <w:r>
          <w:rPr>
            <w:webHidden/>
          </w:rPr>
          <w:instrText xml:space="preserve"> PAGEREF _Toc188450172 \h </w:instrText>
        </w:r>
        <w:r>
          <w:rPr>
            <w:webHidden/>
          </w:rPr>
        </w:r>
        <w:r>
          <w:rPr>
            <w:webHidden/>
          </w:rPr>
          <w:fldChar w:fldCharType="separate"/>
        </w:r>
        <w:r>
          <w:rPr>
            <w:webHidden/>
          </w:rPr>
          <w:t>37</w:t>
        </w:r>
        <w:r>
          <w:rPr>
            <w:webHidden/>
          </w:rPr>
          <w:fldChar w:fldCharType="end"/>
        </w:r>
      </w:hyperlink>
    </w:p>
    <w:p w14:paraId="0D3C0800" w14:textId="61690CE9"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3" w:history="1">
        <w:r w:rsidRPr="00814CD8">
          <w:rPr>
            <w:rStyle w:val="Hyperlink"/>
            <w:rFonts w:ascii="Times New Roman" w:hAnsi="Times New Roman"/>
            <w:b/>
          </w:rPr>
          <w:t>2.</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Instruções relativas a colunas específicas</w:t>
        </w:r>
        <w:r>
          <w:rPr>
            <w:webHidden/>
          </w:rPr>
          <w:tab/>
        </w:r>
        <w:r>
          <w:rPr>
            <w:webHidden/>
          </w:rPr>
          <w:fldChar w:fldCharType="begin"/>
        </w:r>
        <w:r>
          <w:rPr>
            <w:webHidden/>
          </w:rPr>
          <w:instrText xml:space="preserve"> PAGEREF _Toc188450173 \h </w:instrText>
        </w:r>
        <w:r>
          <w:rPr>
            <w:webHidden/>
          </w:rPr>
        </w:r>
        <w:r>
          <w:rPr>
            <w:webHidden/>
          </w:rPr>
          <w:fldChar w:fldCharType="separate"/>
        </w:r>
        <w:r>
          <w:rPr>
            <w:webHidden/>
          </w:rPr>
          <w:t>40</w:t>
        </w:r>
        <w:r>
          <w:rPr>
            <w:webHidden/>
          </w:rPr>
          <w:fldChar w:fldCharType="end"/>
        </w:r>
      </w:hyperlink>
    </w:p>
    <w:p w14:paraId="530B94BB" w14:textId="01B6AA69"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4" w:history="1">
        <w:r w:rsidRPr="00814CD8">
          <w:rPr>
            <w:rStyle w:val="Hyperlink"/>
            <w:rFonts w:ascii="Times New Roman" w:hAnsi="Times New Roman"/>
            <w:b/>
          </w:rPr>
          <w:t>3.</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Instruções relativas a linhas específicas</w:t>
        </w:r>
        <w:r>
          <w:rPr>
            <w:webHidden/>
          </w:rPr>
          <w:tab/>
        </w:r>
        <w:r>
          <w:rPr>
            <w:webHidden/>
          </w:rPr>
          <w:fldChar w:fldCharType="begin"/>
        </w:r>
        <w:r>
          <w:rPr>
            <w:webHidden/>
          </w:rPr>
          <w:instrText xml:space="preserve"> PAGEREF _Toc188450174 \h </w:instrText>
        </w:r>
        <w:r>
          <w:rPr>
            <w:webHidden/>
          </w:rPr>
        </w:r>
        <w:r>
          <w:rPr>
            <w:webHidden/>
          </w:rPr>
          <w:fldChar w:fldCharType="separate"/>
        </w:r>
        <w:r>
          <w:rPr>
            <w:webHidden/>
          </w:rPr>
          <w:t>41</w:t>
        </w:r>
        <w:r>
          <w:rPr>
            <w:webHidden/>
          </w:rPr>
          <w:fldChar w:fldCharType="end"/>
        </w:r>
      </w:hyperlink>
    </w:p>
    <w:p w14:paraId="7E55B4A1" w14:textId="4B821075"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5" w:history="1">
        <w:r w:rsidRPr="00814CD8">
          <w:rPr>
            <w:rStyle w:val="Hyperlink"/>
            <w:rFonts w:ascii="Times New Roman" w:hAnsi="Times New Roman"/>
            <w:b/>
          </w:rPr>
          <w:t>PARTE V: FINANCIAMENTO ESTÁVEL DISPONÍVEL SIMPLIFICADO</w:t>
        </w:r>
        <w:r>
          <w:rPr>
            <w:webHidden/>
          </w:rPr>
          <w:tab/>
        </w:r>
        <w:r>
          <w:rPr>
            <w:webHidden/>
          </w:rPr>
          <w:fldChar w:fldCharType="begin"/>
        </w:r>
        <w:r>
          <w:rPr>
            <w:webHidden/>
          </w:rPr>
          <w:instrText xml:space="preserve"> PAGEREF _Toc188450175 \h </w:instrText>
        </w:r>
        <w:r>
          <w:rPr>
            <w:webHidden/>
          </w:rPr>
        </w:r>
        <w:r>
          <w:rPr>
            <w:webHidden/>
          </w:rPr>
          <w:fldChar w:fldCharType="separate"/>
        </w:r>
        <w:r>
          <w:rPr>
            <w:webHidden/>
          </w:rPr>
          <w:t>48</w:t>
        </w:r>
        <w:r>
          <w:rPr>
            <w:webHidden/>
          </w:rPr>
          <w:fldChar w:fldCharType="end"/>
        </w:r>
      </w:hyperlink>
    </w:p>
    <w:p w14:paraId="38FF7781" w14:textId="2BEA7CD5"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6" w:history="1">
        <w:r w:rsidRPr="00814CD8">
          <w:rPr>
            <w:rStyle w:val="Hyperlink"/>
            <w:rFonts w:ascii="Times New Roman" w:hAnsi="Times New Roman"/>
            <w:b/>
          </w:rPr>
          <w:t>1.</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Observações específicas</w:t>
        </w:r>
        <w:r>
          <w:rPr>
            <w:webHidden/>
          </w:rPr>
          <w:tab/>
        </w:r>
        <w:r>
          <w:rPr>
            <w:webHidden/>
          </w:rPr>
          <w:fldChar w:fldCharType="begin"/>
        </w:r>
        <w:r>
          <w:rPr>
            <w:webHidden/>
          </w:rPr>
          <w:instrText xml:space="preserve"> PAGEREF _Toc188450176 \h </w:instrText>
        </w:r>
        <w:r>
          <w:rPr>
            <w:webHidden/>
          </w:rPr>
        </w:r>
        <w:r>
          <w:rPr>
            <w:webHidden/>
          </w:rPr>
          <w:fldChar w:fldCharType="separate"/>
        </w:r>
        <w:r>
          <w:rPr>
            <w:webHidden/>
          </w:rPr>
          <w:t>48</w:t>
        </w:r>
        <w:r>
          <w:rPr>
            <w:webHidden/>
          </w:rPr>
          <w:fldChar w:fldCharType="end"/>
        </w:r>
      </w:hyperlink>
    </w:p>
    <w:p w14:paraId="3B9862CF" w14:textId="1FFF7914"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7" w:history="1">
        <w:r w:rsidRPr="00814CD8">
          <w:rPr>
            <w:rStyle w:val="Hyperlink"/>
            <w:rFonts w:ascii="Times New Roman" w:hAnsi="Times New Roman"/>
            <w:b/>
          </w:rPr>
          <w:t>2.</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Instruções relativas a colunas específicas</w:t>
        </w:r>
        <w:r>
          <w:rPr>
            <w:webHidden/>
          </w:rPr>
          <w:tab/>
        </w:r>
        <w:r>
          <w:rPr>
            <w:webHidden/>
          </w:rPr>
          <w:fldChar w:fldCharType="begin"/>
        </w:r>
        <w:r>
          <w:rPr>
            <w:webHidden/>
          </w:rPr>
          <w:instrText xml:space="preserve"> PAGEREF _Toc188450177 \h </w:instrText>
        </w:r>
        <w:r>
          <w:rPr>
            <w:webHidden/>
          </w:rPr>
        </w:r>
        <w:r>
          <w:rPr>
            <w:webHidden/>
          </w:rPr>
          <w:fldChar w:fldCharType="separate"/>
        </w:r>
        <w:r>
          <w:rPr>
            <w:webHidden/>
          </w:rPr>
          <w:t>50</w:t>
        </w:r>
        <w:r>
          <w:rPr>
            <w:webHidden/>
          </w:rPr>
          <w:fldChar w:fldCharType="end"/>
        </w:r>
      </w:hyperlink>
    </w:p>
    <w:p w14:paraId="60137BF5" w14:textId="477FC9AE"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8" w:history="1">
        <w:r w:rsidRPr="00814CD8">
          <w:rPr>
            <w:rStyle w:val="Hyperlink"/>
            <w:rFonts w:ascii="Times New Roman" w:hAnsi="Times New Roman"/>
            <w:b/>
          </w:rPr>
          <w:t xml:space="preserve">3. </w:t>
        </w:r>
        <w:r w:rsidR="009B28CA">
          <w:rPr>
            <w:rStyle w:val="Hyperlink"/>
            <w:rFonts w:ascii="Times New Roman" w:hAnsi="Times New Roman"/>
            <w:b/>
          </w:rPr>
          <w:tab/>
        </w:r>
        <w:r w:rsidRPr="00814CD8">
          <w:rPr>
            <w:rStyle w:val="Hyperlink"/>
            <w:rFonts w:ascii="Times New Roman" w:hAnsi="Times New Roman"/>
            <w:b/>
          </w:rPr>
          <w:t>Instruções relativas a linhas específicas</w:t>
        </w:r>
        <w:r>
          <w:rPr>
            <w:webHidden/>
          </w:rPr>
          <w:tab/>
        </w:r>
        <w:r>
          <w:rPr>
            <w:webHidden/>
          </w:rPr>
          <w:fldChar w:fldCharType="begin"/>
        </w:r>
        <w:r>
          <w:rPr>
            <w:webHidden/>
          </w:rPr>
          <w:instrText xml:space="preserve"> PAGEREF _Toc188450178 \h </w:instrText>
        </w:r>
        <w:r>
          <w:rPr>
            <w:webHidden/>
          </w:rPr>
        </w:r>
        <w:r>
          <w:rPr>
            <w:webHidden/>
          </w:rPr>
          <w:fldChar w:fldCharType="separate"/>
        </w:r>
        <w:r>
          <w:rPr>
            <w:webHidden/>
          </w:rPr>
          <w:t>51</w:t>
        </w:r>
        <w:r>
          <w:rPr>
            <w:webHidden/>
          </w:rPr>
          <w:fldChar w:fldCharType="end"/>
        </w:r>
      </w:hyperlink>
    </w:p>
    <w:p w14:paraId="66876142" w14:textId="066CCFFC"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79" w:history="1">
        <w:r w:rsidRPr="00814CD8">
          <w:rPr>
            <w:rStyle w:val="Hyperlink"/>
            <w:rFonts w:ascii="Times New Roman" w:hAnsi="Times New Roman"/>
            <w:b/>
          </w:rPr>
          <w:t>PARTE VI: SÍNTESE DO NSFR</w:t>
        </w:r>
        <w:r>
          <w:rPr>
            <w:webHidden/>
          </w:rPr>
          <w:tab/>
        </w:r>
        <w:r>
          <w:rPr>
            <w:webHidden/>
          </w:rPr>
          <w:fldChar w:fldCharType="begin"/>
        </w:r>
        <w:r>
          <w:rPr>
            <w:webHidden/>
          </w:rPr>
          <w:instrText xml:space="preserve"> PAGEREF _Toc188450179 \h </w:instrText>
        </w:r>
        <w:r>
          <w:rPr>
            <w:webHidden/>
          </w:rPr>
        </w:r>
        <w:r>
          <w:rPr>
            <w:webHidden/>
          </w:rPr>
          <w:fldChar w:fldCharType="separate"/>
        </w:r>
        <w:r>
          <w:rPr>
            <w:webHidden/>
          </w:rPr>
          <w:t>57</w:t>
        </w:r>
        <w:r>
          <w:rPr>
            <w:webHidden/>
          </w:rPr>
          <w:fldChar w:fldCharType="end"/>
        </w:r>
      </w:hyperlink>
    </w:p>
    <w:p w14:paraId="72AB1975" w14:textId="6B467F62"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80" w:history="1">
        <w:r w:rsidRPr="00814CD8">
          <w:rPr>
            <w:rStyle w:val="Hyperlink"/>
            <w:rFonts w:ascii="Times New Roman" w:hAnsi="Times New Roman"/>
            <w:b/>
          </w:rPr>
          <w:t>1.</w:t>
        </w:r>
        <w:r>
          <w:rPr>
            <w:rFonts w:asciiTheme="minorHAnsi" w:eastAsiaTheme="minorEastAsia" w:hAnsiTheme="minorHAnsi" w:cstheme="minorBidi"/>
            <w:color w:val="auto"/>
            <w:kern w:val="2"/>
            <w:sz w:val="22"/>
            <w:szCs w:val="22"/>
            <w:lang w:val="en-US"/>
            <w14:ligatures w14:val="standardContextual"/>
          </w:rPr>
          <w:tab/>
        </w:r>
        <w:r w:rsidRPr="00814CD8">
          <w:rPr>
            <w:rStyle w:val="Hyperlink"/>
            <w:rFonts w:ascii="Times New Roman" w:hAnsi="Times New Roman"/>
            <w:b/>
          </w:rPr>
          <w:t>Observações específicas</w:t>
        </w:r>
        <w:r>
          <w:rPr>
            <w:webHidden/>
          </w:rPr>
          <w:tab/>
        </w:r>
        <w:r>
          <w:rPr>
            <w:webHidden/>
          </w:rPr>
          <w:fldChar w:fldCharType="begin"/>
        </w:r>
        <w:r>
          <w:rPr>
            <w:webHidden/>
          </w:rPr>
          <w:instrText xml:space="preserve"> PAGEREF _Toc188450180 \h </w:instrText>
        </w:r>
        <w:r>
          <w:rPr>
            <w:webHidden/>
          </w:rPr>
        </w:r>
        <w:r>
          <w:rPr>
            <w:webHidden/>
          </w:rPr>
          <w:fldChar w:fldCharType="separate"/>
        </w:r>
        <w:r>
          <w:rPr>
            <w:webHidden/>
          </w:rPr>
          <w:t>57</w:t>
        </w:r>
        <w:r>
          <w:rPr>
            <w:webHidden/>
          </w:rPr>
          <w:fldChar w:fldCharType="end"/>
        </w:r>
      </w:hyperlink>
    </w:p>
    <w:p w14:paraId="28FCA0B5" w14:textId="7DCA493F"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81" w:history="1">
        <w:r w:rsidRPr="00814CD8">
          <w:rPr>
            <w:rStyle w:val="Hyperlink"/>
            <w:rFonts w:ascii="Times New Roman" w:hAnsi="Times New Roman"/>
            <w:b/>
          </w:rPr>
          <w:t xml:space="preserve">2. </w:t>
        </w:r>
        <w:r w:rsidR="009B28CA">
          <w:rPr>
            <w:rStyle w:val="Hyperlink"/>
            <w:rFonts w:ascii="Times New Roman" w:hAnsi="Times New Roman"/>
            <w:b/>
          </w:rPr>
          <w:tab/>
        </w:r>
        <w:r w:rsidRPr="00814CD8">
          <w:rPr>
            <w:rStyle w:val="Hyperlink"/>
            <w:rFonts w:ascii="Times New Roman" w:hAnsi="Times New Roman"/>
            <w:b/>
          </w:rPr>
          <w:t>Instruções relativas a colunas específicas</w:t>
        </w:r>
        <w:r>
          <w:rPr>
            <w:webHidden/>
          </w:rPr>
          <w:tab/>
        </w:r>
        <w:r>
          <w:rPr>
            <w:webHidden/>
          </w:rPr>
          <w:fldChar w:fldCharType="begin"/>
        </w:r>
        <w:r>
          <w:rPr>
            <w:webHidden/>
          </w:rPr>
          <w:instrText xml:space="preserve"> PAGEREF _Toc188450181 \h </w:instrText>
        </w:r>
        <w:r>
          <w:rPr>
            <w:webHidden/>
          </w:rPr>
        </w:r>
        <w:r>
          <w:rPr>
            <w:webHidden/>
          </w:rPr>
          <w:fldChar w:fldCharType="separate"/>
        </w:r>
        <w:r>
          <w:rPr>
            <w:webHidden/>
          </w:rPr>
          <w:t>57</w:t>
        </w:r>
        <w:r>
          <w:rPr>
            <w:webHidden/>
          </w:rPr>
          <w:fldChar w:fldCharType="end"/>
        </w:r>
      </w:hyperlink>
    </w:p>
    <w:p w14:paraId="7EADF553" w14:textId="5A569ADC" w:rsidR="00F87C15" w:rsidRDefault="00F87C15">
      <w:pPr>
        <w:pStyle w:val="TOC1"/>
        <w:rPr>
          <w:rFonts w:asciiTheme="minorHAnsi" w:eastAsiaTheme="minorEastAsia" w:hAnsiTheme="minorHAnsi" w:cstheme="minorBidi"/>
          <w:color w:val="auto"/>
          <w:kern w:val="2"/>
          <w:sz w:val="22"/>
          <w:szCs w:val="22"/>
          <w:lang w:val="en-US"/>
          <w14:ligatures w14:val="standardContextual"/>
        </w:rPr>
      </w:pPr>
      <w:hyperlink w:anchor="_Toc188450182" w:history="1">
        <w:r w:rsidRPr="00814CD8">
          <w:rPr>
            <w:rStyle w:val="Hyperlink"/>
            <w:rFonts w:ascii="Times New Roman" w:hAnsi="Times New Roman"/>
            <w:b/>
          </w:rPr>
          <w:t>3.</w:t>
        </w:r>
        <w:r w:rsidR="009B28CA">
          <w:rPr>
            <w:rStyle w:val="Hyperlink"/>
            <w:rFonts w:ascii="Times New Roman" w:hAnsi="Times New Roman"/>
            <w:b/>
          </w:rPr>
          <w:tab/>
        </w:r>
        <w:r w:rsidRPr="00814CD8">
          <w:rPr>
            <w:rStyle w:val="Hyperlink"/>
            <w:rFonts w:ascii="Times New Roman" w:hAnsi="Times New Roman"/>
            <w:b/>
          </w:rPr>
          <w:t>Instruções relativas a linhas específicas</w:t>
        </w:r>
        <w:r>
          <w:rPr>
            <w:webHidden/>
          </w:rPr>
          <w:tab/>
        </w:r>
        <w:r>
          <w:rPr>
            <w:webHidden/>
          </w:rPr>
          <w:fldChar w:fldCharType="begin"/>
        </w:r>
        <w:r>
          <w:rPr>
            <w:webHidden/>
          </w:rPr>
          <w:instrText xml:space="preserve"> PAGEREF _Toc188450182 \h </w:instrText>
        </w:r>
        <w:r>
          <w:rPr>
            <w:webHidden/>
          </w:rPr>
        </w:r>
        <w:r>
          <w:rPr>
            <w:webHidden/>
          </w:rPr>
          <w:fldChar w:fldCharType="separate"/>
        </w:r>
        <w:r>
          <w:rPr>
            <w:webHidden/>
          </w:rPr>
          <w:t>57</w:t>
        </w:r>
        <w:r>
          <w:rPr>
            <w:webHidden/>
          </w:rPr>
          <w:fldChar w:fldCharType="end"/>
        </w:r>
      </w:hyperlink>
    </w:p>
    <w:p w14:paraId="3A611665" w14:textId="72A96C7B" w:rsidR="000D338D" w:rsidRPr="00A0098D" w:rsidRDefault="00391EF9" w:rsidP="00A0098D">
      <w:pPr>
        <w:pStyle w:val="BodyText1"/>
        <w:rPr>
          <w:rFonts w:ascii="Times New Roman" w:hAnsi="Times New Roman"/>
          <w:sz w:val="24"/>
        </w:rPr>
      </w:pPr>
      <w:r w:rsidRPr="00A0098D">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450161"/>
      <w:r>
        <w:rPr>
          <w:rFonts w:ascii="Times New Roman" w:hAnsi="Times New Roman"/>
          <w:b/>
          <w:sz w:val="24"/>
        </w:rPr>
        <w:lastRenderedPageBreak/>
        <w:t>PARTE I:</w:t>
      </w:r>
      <w:bookmarkEnd w:id="0"/>
      <w:r>
        <w:rPr>
          <w:rFonts w:ascii="Times New Roman" w:hAnsi="Times New Roman"/>
          <w:b/>
          <w:sz w:val="24"/>
        </w:rPr>
        <w:t xml:space="preserve"> INSTRUÇÕES GERAIS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 xml:space="preserve">O presente anexo abrange as instruções relativas aos modelos do rácio de financiamento estável líquido (NSFR, </w:t>
      </w:r>
      <w:r>
        <w:rPr>
          <w:rFonts w:ascii="Times New Roman" w:hAnsi="Times New Roman"/>
          <w:i/>
          <w:iCs/>
          <w:sz w:val="24"/>
        </w:rPr>
        <w:t>net stable funding ratio</w:t>
      </w:r>
      <w:r>
        <w:rPr>
          <w:rFonts w:ascii="Times New Roman" w:hAnsi="Times New Roman"/>
          <w:sz w:val="24"/>
        </w:rPr>
        <w:t>), que contêm informações sobre os elementos de financiamento estável requeridos e disponíveis para efeitos do reporte do NSFR especificado na parte VI, título IV, do Regulamento (UE) n.º 575/2013 (CRR). Os elementos que as instituições não necessitam de preencher estão apresentados a cinzento.</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Nos termos do artigo 415.º, n.º 1, do CRR, as instituições devem reportar o modelo na moeda do reporte, independentemente da denominação efetiva dos ativos, dos passivos e dos elementos extrapatrimoniais. As instituições devem reportar separadamente o modelo nas moedas correspondentes, nos termos do artigo 415.</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2, do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No que respeita ao cálculo do NSFR, o CRR faz referência a fatores de financiamento estável. No contexto das presentes instruções, o termo «fator» refere-se a um número entre 0 e 1 que, multiplicado pelo montante, produz o montante ponderado, ou seja, o valor a que se refere o artigo 428.</w:t>
      </w:r>
      <w:r>
        <w:rPr>
          <w:rFonts w:ascii="Times New Roman" w:hAnsi="Times New Roman"/>
          <w:sz w:val="24"/>
          <w:vertAlign w:val="superscript"/>
        </w:rPr>
        <w:t>o</w:t>
      </w:r>
      <w:r>
        <w:rPr>
          <w:rFonts w:ascii="Times New Roman" w:hAnsi="Times New Roman"/>
          <w:sz w:val="24"/>
        </w:rPr>
        <w:t>-C, n.</w:t>
      </w:r>
      <w:r>
        <w:rPr>
          <w:rFonts w:ascii="Times New Roman" w:hAnsi="Times New Roman"/>
          <w:sz w:val="24"/>
          <w:vertAlign w:val="superscript"/>
        </w:rPr>
        <w:t>o</w:t>
      </w:r>
      <w:r>
        <w:rPr>
          <w:rFonts w:ascii="Times New Roman" w:hAnsi="Times New Roman"/>
          <w:sz w:val="24"/>
        </w:rPr>
        <w:t> 2, do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 fim evitar uma dupla contagem, as instituições não podem reportar ativos ou passivos associados a garantias dadas ou recebidas como margem de variação, nos termos do 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4, e do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2, do CRR, margem inicial e contribuição para o fundo de proteção de uma CCP, nos termos do artigo 428.</w:t>
      </w:r>
      <w:r>
        <w:rPr>
          <w:rFonts w:ascii="Times New Roman" w:hAnsi="Times New Roman"/>
          <w:sz w:val="24"/>
          <w:vertAlign w:val="superscript"/>
        </w:rPr>
        <w:t>o</w:t>
      </w:r>
      <w:r>
        <w:rPr>
          <w:rFonts w:ascii="Times New Roman" w:hAnsi="Times New Roman"/>
          <w:sz w:val="24"/>
        </w:rPr>
        <w:t>-AG, alíneas a) e b), do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Sempre que a autoridade competente tenha concedido autorização para aplicar um tratamento preferencial nos termos do artigo 428.</w:t>
      </w:r>
      <w:r>
        <w:rPr>
          <w:rFonts w:ascii="Times New Roman" w:hAnsi="Times New Roman"/>
          <w:sz w:val="24"/>
          <w:vertAlign w:val="superscript"/>
        </w:rPr>
        <w:t>o</w:t>
      </w:r>
      <w:r>
        <w:rPr>
          <w:rFonts w:ascii="Times New Roman" w:hAnsi="Times New Roman"/>
          <w:sz w:val="24"/>
        </w:rPr>
        <w:t>-H do CRR, os elementos disponibilizados por membros de um grupo ou de um sistema de proteção institucional são reportados numa categoria separada. Os depósitos mantidos no contexto de um sistema de proteção institucional ou de uma rede cooperativa considerados ativos líquidos são reportados como tal nos termos do artigo 428.º-G, do CRR. Os restantes elementos no âmbito de um grupo ou de um sistema de proteção institucional são reportados nas categorias pertinentes.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Para efeitos de reporte, nas colunas denominadas «Montante», é sempre reportado o valor contabilístico, exceto nos casos de contratos de derivados, para os quais as instituições devem ter em conta o justo valor, como especificado no artigo 428.º-D, n.º 2, do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Para efeitos de reporte, por cada uma das moedas sujeitas a reporte separado nos termos do artigo 415.</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2, do CRR, no que respeita aos contratos de derivados a que se refere o artigo 428.</w:t>
      </w:r>
      <w:r>
        <w:rPr>
          <w:rFonts w:ascii="Times New Roman" w:hAnsi="Times New Roman"/>
          <w:sz w:val="24"/>
          <w:vertAlign w:val="superscript"/>
        </w:rPr>
        <w:t>o</w:t>
      </w:r>
      <w:r>
        <w:rPr>
          <w:rFonts w:ascii="Times New Roman" w:hAnsi="Times New Roman"/>
          <w:sz w:val="24"/>
        </w:rPr>
        <w:t>-D, n.</w:t>
      </w:r>
      <w:r>
        <w:rPr>
          <w:rFonts w:ascii="Times New Roman" w:hAnsi="Times New Roman"/>
          <w:sz w:val="24"/>
          <w:vertAlign w:val="superscript"/>
        </w:rPr>
        <w:t>o</w:t>
      </w:r>
      <w:r>
        <w:rPr>
          <w:rFonts w:ascii="Times New Roman" w:hAnsi="Times New Roman"/>
          <w:sz w:val="24"/>
        </w:rPr>
        <w:t> 4, as instituições calculam o justo valor para cada conjunto de compensação na respetiva moeda de liquidação. Para todos os conjuntos de compensação com moedas de liquidação congruentes, é calculado um montante líquido nos termos do 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4, e do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xml:space="preserve"> 2, do CRR, sendo reportado na moeda relevante sujeita a reporte separado. Neste contexto, entende-se por moeda de liquidação a moeda em que foi acordada a liquidação de um conjunto de compensação. O termo «conjunto de compensação» refere-se ao grupo de montantes a receber e a pagar decorrentes de operações de derivados com uma contraparte, independentemente de estes serem ou não denominados numa moeda diferente da </w:t>
      </w:r>
      <w:r>
        <w:rPr>
          <w:rFonts w:ascii="Times New Roman" w:hAnsi="Times New Roman"/>
          <w:sz w:val="24"/>
        </w:rPr>
        <w:lastRenderedPageBreak/>
        <w:t>moeda de liquidação. No caso de uma opcionalidade multidivisas, a instituição de crédito deve fazer uma avaliação da divisa em que a liquidação é suscetível de ocorrer e deve efetuar o reporte apenas nessa divisa.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 montante dos ativos e passivos resultantes de operações de financiamento através de valores mobiliários com uma única contraparte e com o mesmo tipo de garantia subjacente (ativos líquidos de nível 1 ou ativos líquidos que não sejam de nível 1), nos termos do ato delegado a que se refere o artigo 460.º, n.º 1, do CRR, deve ser reportado numa base líquida sempre que seja aplicável o artigo 428.º-E, do CRR. No caso de operações de financiamento através de valores mobiliários com conjuntos de garantias subjacentes, a garantia menos líquida no âmbito desse conjunto de garantias deve ser entendida como a primeira a ser executada.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450162"/>
      <w:r>
        <w:rPr>
          <w:rFonts w:ascii="Times New Roman" w:hAnsi="Times New Roman"/>
          <w:sz w:val="24"/>
        </w:rPr>
        <w:t>Nos termos do artigo 428.</w:t>
      </w:r>
      <w:r>
        <w:rPr>
          <w:rFonts w:ascii="Times New Roman" w:hAnsi="Times New Roman"/>
          <w:sz w:val="24"/>
          <w:vertAlign w:val="superscript"/>
        </w:rPr>
        <w:t>o</w:t>
      </w:r>
      <w:r>
        <w:rPr>
          <w:rFonts w:ascii="Times New Roman" w:hAnsi="Times New Roman"/>
          <w:sz w:val="24"/>
        </w:rPr>
        <w:t>-AI do CRR, as instituições de pequena dimensão e não complexas podem optar, mediante autorização prévia da respetiva autoridade competente, por calcular o seu NSFR de acordo com a metodologia simplificada estabelecida na parte VI, título IV, capítulos 6 e 7, do CRR. As instituições que utilizam esta metodologia simplificada para o cálculo do rácio de financiamento estável líquido devem utilizar os modelos de reporte C 82.00 e C 83.00. Todas as outras instituições devem utilizar os modelos de reporte C 80.00 e C 81.00. Todas as instituições devem utilizar o modelo de reporte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450163"/>
      <w:r>
        <w:rPr>
          <w:rFonts w:ascii="Times New Roman" w:hAnsi="Times New Roman"/>
          <w:b/>
          <w:sz w:val="24"/>
        </w:rPr>
        <w:lastRenderedPageBreak/>
        <w:t>PARTE II: FINANCIAMENTO ESTÁVEL REQUERIDO</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450164"/>
      <w:r>
        <w:rPr>
          <w:rFonts w:ascii="Times New Roman" w:hAnsi="Times New Roman"/>
          <w:b/>
          <w:sz w:val="24"/>
        </w:rPr>
        <w:t>Observações específicas</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As instituições devem reportar na categoria adequada todos os ativos dos quais continuem a ser beneficiárias efetivas, mesmo que estes não sejam contabilizados no respetivo balanço. Os ativos dos quais as instituições não continuem a ser beneficiárias efetivas não são reportados, mesmo que estes ativos sejam contabilizados no respetivo balanço. No caso de acordos de revenda (</w:t>
      </w:r>
      <w:r>
        <w:rPr>
          <w:rFonts w:ascii="Times New Roman" w:hAnsi="Times New Roman"/>
          <w:i/>
          <w:iCs/>
          <w:sz w:val="24"/>
        </w:rPr>
        <w:t>reverse repos</w:t>
      </w:r>
      <w:r>
        <w:rPr>
          <w:rFonts w:ascii="Times New Roman" w:hAnsi="Times New Roman"/>
          <w:sz w:val="24"/>
        </w:rPr>
        <w:t xml:space="preserve">), sempre que os ativos tomados de empréstimo não sejam contabilizados no balanço, mas o banco que os recebeu continue a ser seu beneficiário efetivo, apenas a componente de numerário, ou a componente de garantia, caso seja aplicável um fator de financiamento estável requerido (RSF, </w:t>
      </w:r>
      <w:r>
        <w:rPr>
          <w:rFonts w:ascii="Times New Roman" w:hAnsi="Times New Roman"/>
          <w:i/>
          <w:iCs/>
          <w:sz w:val="24"/>
        </w:rPr>
        <w:t>required stable funding</w:t>
      </w:r>
      <w:r>
        <w:rPr>
          <w:rFonts w:ascii="Times New Roman" w:hAnsi="Times New Roman"/>
          <w:sz w:val="24"/>
        </w:rPr>
        <w:t>), deve ser reportada.</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Nos termos do artigo 428.</w:t>
      </w:r>
      <w:r>
        <w:rPr>
          <w:rFonts w:ascii="Times New Roman" w:hAnsi="Times New Roman"/>
          <w:sz w:val="24"/>
          <w:vertAlign w:val="superscript"/>
        </w:rPr>
        <w:t>o</w:t>
      </w:r>
      <w:r>
        <w:rPr>
          <w:rFonts w:ascii="Times New Roman" w:hAnsi="Times New Roman"/>
          <w:sz w:val="24"/>
        </w:rPr>
        <w:t>-P do CRR, salvo indicação em contrário na parte VI, título IV, capítulo 4, do mesmo regulamento, o montante de financiamento estável requerido é calculado multiplicando o montante dos ativos e dos elementos extrapatrimoniais pelos fatores de financiamento estável requerido.</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Os ativos que sejam elegíveis como ativos líquidos de elevada qualidade (HQLA) de acordo com o Regulamento Delegado (UE) 2015/61 são reportados como tal, independentemente de satisfazerem ou não os requisitos operacionais a que se refere o artigo 8.º desse regulamento delegado. Esses ativos são reportados em colunas específicas, independentemente do seu prazo de vencimento residual.</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ativos e os elementos extrapatrimoniais não HQLA são reportados com uma desagregação por prazo de vencimento residual, de acordo com o artigo 428.</w:t>
      </w:r>
      <w:r>
        <w:rPr>
          <w:rFonts w:ascii="Times New Roman" w:hAnsi="Times New Roman"/>
          <w:sz w:val="24"/>
          <w:vertAlign w:val="superscript"/>
        </w:rPr>
        <w:t>o</w:t>
      </w:r>
      <w:r>
        <w:rPr>
          <w:rFonts w:ascii="Times New Roman" w:hAnsi="Times New Roman"/>
          <w:sz w:val="24"/>
        </w:rPr>
        <w:t>-Q do CRR. Os escalões de prazo de vencimento dos montantes, os fatores‑padrão e os fatores aplicáveis são os seguintes:</w:t>
      </w:r>
    </w:p>
    <w:p w14:paraId="2D0B8398" w14:textId="77777777" w:rsidR="00DF08E7" w:rsidRPr="00A0098D" w:rsidRDefault="00DF08E7" w:rsidP="00A0098D">
      <w:pPr>
        <w:pStyle w:val="InstructionsText2"/>
        <w:numPr>
          <w:ilvl w:val="2"/>
          <w:numId w:val="24"/>
        </w:numPr>
        <w:rPr>
          <w:sz w:val="24"/>
        </w:rPr>
      </w:pPr>
      <w:r>
        <w:rPr>
          <w:sz w:val="24"/>
        </w:rPr>
        <w:t>prazo de vencimento residual inferior a seis meses ou sem prazo de vencimento fixo,</w:t>
      </w:r>
    </w:p>
    <w:p w14:paraId="2DC4313E" w14:textId="77777777" w:rsidR="00DF08E7" w:rsidRPr="00A0098D" w:rsidRDefault="00DF08E7" w:rsidP="00A0098D">
      <w:pPr>
        <w:pStyle w:val="InstructionsText2"/>
        <w:numPr>
          <w:ilvl w:val="2"/>
          <w:numId w:val="24"/>
        </w:numPr>
        <w:rPr>
          <w:sz w:val="24"/>
        </w:rPr>
      </w:pPr>
      <w:r>
        <w:rPr>
          <w:sz w:val="24"/>
        </w:rPr>
        <w:t>prazo de vencimento residual igual ou superior a seis meses mas inferior a um ano,</w:t>
      </w:r>
    </w:p>
    <w:p w14:paraId="5AA1D4E3" w14:textId="77777777" w:rsidR="00DF08E7" w:rsidRPr="00A0098D" w:rsidRDefault="00DF08E7" w:rsidP="00A0098D">
      <w:pPr>
        <w:pStyle w:val="InstructionsText2"/>
        <w:numPr>
          <w:ilvl w:val="2"/>
          <w:numId w:val="24"/>
        </w:numPr>
        <w:rPr>
          <w:sz w:val="24"/>
        </w:rPr>
      </w:pPr>
      <w:r>
        <w:rPr>
          <w:sz w:val="24"/>
        </w:rPr>
        <w:t>prazo de vencimento residual igual ou superior a um ano.</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428.º-Q, n.º 3, ao calcularem o prazo de vencimento residual dos ativos não HQLA e dos elementos extrapatrimoniais, as instituições têm em conta as opções, partindo do pressuposto de que o emitente ou a contraparte irá exercer qualquer opção para prorrogar o prazo de vencimento do ativo. Para as opções que possam ser exercidas ao critério da instituição, a instituição e a autoridade competente têm em conta os fatores de reputação que podem limitar a capacidade de a instituição não exercer a opção, em particular as expectativas dos mercados e dos clientes no sentido de as instituições deverem prorrogar o prazo de vencimento de determinados ativos à data do respetivo vencimento.</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lastRenderedPageBreak/>
        <w:t>Para alguns elementos, as instituições devem reportar os ativos em conformidade com o caráter e/ou o prazo do ónus desses ativos, de acordo com o disposto no artigo 428.</w:t>
      </w:r>
      <w:r>
        <w:rPr>
          <w:rFonts w:ascii="Times New Roman" w:hAnsi="Times New Roman"/>
          <w:sz w:val="24"/>
          <w:vertAlign w:val="superscript"/>
        </w:rPr>
        <w:t>o</w:t>
      </w:r>
      <w:r>
        <w:rPr>
          <w:rFonts w:ascii="Times New Roman" w:hAnsi="Times New Roman"/>
          <w:sz w:val="24"/>
        </w:rPr>
        <w:t>-P, n.</w:t>
      </w:r>
      <w:r>
        <w:rPr>
          <w:rFonts w:ascii="Times New Roman" w:hAnsi="Times New Roman"/>
          <w:sz w:val="24"/>
          <w:vertAlign w:val="superscript"/>
        </w:rPr>
        <w:t>os</w:t>
      </w:r>
      <w:r>
        <w:rPr>
          <w:rFonts w:ascii="Times New Roman" w:hAnsi="Times New Roman"/>
          <w:sz w:val="24"/>
        </w:rPr>
        <w:t> 4, 5 e 6, do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O fluxograma de decisão para o modelo de reporte C 80.00 faz parte das instruções para especificar a hierarquia de prioridade dos critérios de avaliação para a afetação de cada elemento comunicado, a fim de garantir um reporte homogéneo e comparável. Recorrer ao fluxograma de decisão, por si só, não é suficiente, ou seja, as instituições devem cumprir sempre o resto das instruções. Por razões de simplicidade, o fluxograma de decisão não tem em conta os elementos «totais», «subtotais» e «dos quais»; contudo, tal não significa que estes não devam também ser comunicados.</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428.º-P, n.º 5, do CRR, caso a instituição reutilize ou volte a dar como garantia um ativo que foi tomado de empréstimo, inclusive no âmbito de operações de financiamento através de valores mobiliários, e que esse ativo seja contabilizado como elemento extrapatrimonial, a operação através da qual o ativo foi tomado de empréstimo é tratada como onerada, desde que a operação não possa vencer sem que a instituição devolva o ativo tomado de empréstimo. O prazo de vencimento residual deste ónus deve ser o maior entre: i) o prazo de vencimento residual da operação em que os ativos que foram tomados de empréstimo, e ii) o prazo de vencimento residual da operação em que os ativos foram dados novamente como garantia.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Decisão</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Ação</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Conjuntos de compensação de contratos de derivados com um justo valor negativo calculado sem ter em consideração as garantias dadas nem apagamentos e recebimentos de liquidação relativos a variações das avaliações a preços de mercado de tais contratos?</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Um ativo ou um elemento extrapatrimonial dado como margem inicial para contratos de derivados?</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Um ativo ou um elemento extrapatrimonial dado como contribuição para o fundo de proteção de uma CCP?</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Um elemento do qual a instituição continua a ser beneficiária efetiva?</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Um ativo associado a uma garantia dada como margem de variação para contratos de derivados?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 reportar.</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Ativos não produtivos ou valores mobiliários em </w:t>
            </w:r>
            <w:r>
              <w:rPr>
                <w:rFonts w:ascii="Times New Roman" w:hAnsi="Times New Roman"/>
                <w:sz w:val="24"/>
              </w:rPr>
              <w:lastRenderedPageBreak/>
              <w:t>incumprimento?</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Sim</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Montantes a receber à data da negociação?</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Ativos interdependentes?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 ID 1.5</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Ativos no âmbito de um grupo ou de um sistema de proteção institucional para os quais a autoridade competente autorizou o tratamento preferencial?</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Ativos de bancos centrais?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 ID 1.1</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Ativos líquidos?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Ativos líquidos onerados por um prazo de vencimento residual igual ou superior a um ano que fazem parte de um conjunto de cobertura (</w:t>
            </w:r>
            <w:r>
              <w:rPr>
                <w:rFonts w:ascii="Times New Roman" w:hAnsi="Times New Roman"/>
                <w:i/>
                <w:iCs/>
                <w:sz w:val="24"/>
              </w:rPr>
              <w:t>cover pool</w:t>
            </w:r>
            <w:r>
              <w:rPr>
                <w:rFonts w:ascii="Times New Roman" w:hAnsi="Times New Roman"/>
                <w:sz w:val="24"/>
              </w:rPr>
              <w:t>)?</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dos ID 1.2.1 a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Valores mobiliários na forma de ativos ilíquidos?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 ID 1.3</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Produtos patrimoniais de financiamento de transações?</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Ativos de derivados para efeitos do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Empréstimos?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Empréstimos onerados por um prazo de vencimento residual igual ou superior a um ano que fazem parte de um conjunto de cobertura?</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Empréstimos classificados como depósitos operacionais?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Operações de financiamento através de valores mobiliários com clientes financeiros?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 ID 1.4.2</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Outros empréstimos e adiantamentos a clientes financeiros?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 ID 1.4.5 ou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Mercadorias negociadas fisicamente?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Afetar a um elemento relevante do ID 1.9.1</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Qualquer outro ativo não considerado nas categorias acima?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 reportar.</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Uma posição em risco extrapatrimonial?</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 reportar.</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Exposição não produtiva?</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Facilidades autorizadas?</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Facilidades autorizadas para as quais a autoridade competente autorizou o tratamento preferencial?</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Elemento extrapatrimonial de financiamento de transações?</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Outras posições em risco extrapatrimoniais para as quais a autoridade competente tenha determinado o fator de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Não reportar.</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450165"/>
      <w:r>
        <w:rPr>
          <w:rFonts w:ascii="Times New Roman" w:hAnsi="Times New Roman"/>
          <w:b/>
          <w:sz w:val="24"/>
        </w:rPr>
        <w:t>Instruções relativas a colunas específicas</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Montante dos ativos não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 instituições devem reportar nas colunas 0010-0030, salvo indicação em contrário na parte VI, título IV, capítulo 4, do CRR, o montante dos ativos e dos elementos extrapatrimoniais a que se refere a parte VI, título IV, capítulo 4, secção 2, do mesmo regulamento, para cada escalão de prazo de vencimento.</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 montante é reportado nas colunas 0010-0030 quando o elemento correspondente não for elegível como ativo líquido nos termos do Regulamento Delegado (UE) 2015/61, independentemente de satisfazer ou não os requisitos a que se refere o artigo 8.º desse regulamento delegado.</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Montante dos ativos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Ver instruções das colunas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O montante é reportado na coluna 0040 quando o elemento correspondente for elegível como ativo líquido de alta qualidade nos termos do Regulamento Delegado (UE) 2015/61, independentemente de satisfazer ou não os requisitos operacionais a que se refere o artigo 8.º desse regulamento delegado.</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Fator-padrão de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Parte VI, título IV, capítulo 4, secção 2, do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Nas colunas 0050-0080, os fatores-padrão são os especificados por predefinição na parte VI, título IV, capítulo 4, do CRR, que determinam a parte do montante dos ativos e dos elementos extrapatrimoniais que constitui financiamento estável requerido. São fornecidos a título meramente informativo e não têm de ser preenchidos pelas instituições.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Fator de RSF aplicável</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Parte VI, título IV, capítulo 4, secção 2, do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 xml:space="preserve">As instituições devem reportar nas colunas 0090-0120 o fator aplicado aos elementos a que se refere a parte VI, título IV, capítulo 4, do CRR. Os fatores aplicáveis podem resultar em valores médios ponderados e devem ser comunicados em termos decimais (ou seja, 1,00 para um ponderador aplicável </w:t>
            </w:r>
            <w:r>
              <w:rPr>
                <w:rFonts w:ascii="Times New Roman" w:hAnsi="Times New Roman"/>
                <w:sz w:val="24"/>
              </w:rPr>
              <w:lastRenderedPageBreak/>
              <w:t>de 100 por cento, ou 0,50 para um ponderador aplicável de 50 por cento). Os fatores aplicáveis podem refletir, mas não se limitam a, prerrogativas específicas das empresas e autoridades nacionais.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Financiamento estável requerido:</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instituições devem reportar na coluna 0130 o financiamento estável requerido de acordo com a parte VI, título IV, capítulo 4, do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Este valor é calculado através da seguinte fórmula:</w:t>
            </w:r>
            <w:r>
              <w:rPr>
                <w:rFonts w:ascii="Times New Roman" w:hAnsi="Times New Roman"/>
                <w:sz w:val="24"/>
              </w:rPr>
              <w:br/>
              <w:t>c0130 = SOMA {(c0010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450166"/>
      <w:r>
        <w:rPr>
          <w:rFonts w:ascii="Times New Roman" w:hAnsi="Times New Roman"/>
          <w:b/>
          <w:sz w:val="24"/>
        </w:rPr>
        <w:t>Instruções relativas a linhas específicas</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FINANCIAMENTO ESTÁVEL REQUERIDO</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 VI, título IV, capítulo 4, do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 instituições devem reportar aqui os elementos sujeitos ao fator de financiamento estável requerido, de acordo com a parte VI, título IV, capítulo 4, do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de ativos de bancos centrais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alíneas c) e d), e artigo 428.</w:t>
            </w:r>
            <w:r>
              <w:rPr>
                <w:rFonts w:ascii="Times New Roman" w:hAnsi="Times New Roman"/>
                <w:sz w:val="24"/>
                <w:vertAlign w:val="superscript"/>
              </w:rPr>
              <w:t>o</w:t>
            </w:r>
            <w:r>
              <w:rPr>
                <w:rFonts w:ascii="Times New Roman" w:hAnsi="Times New Roman"/>
                <w:sz w:val="24"/>
              </w:rPr>
              <w:t>-AD, alínea d), do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os ativos de bancos centrais.</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Pode ser aplicado um fator de financiamento estável requerido reduzido, de acordo com o artigo 428.</w:t>
            </w:r>
            <w:r>
              <w:rPr>
                <w:rFonts w:ascii="Times New Roman" w:hAnsi="Times New Roman"/>
                <w:sz w:val="24"/>
                <w:vertAlign w:val="superscript"/>
              </w:rPr>
              <w:t>o</w:t>
            </w:r>
            <w:r>
              <w:rPr>
                <w:rFonts w:ascii="Times New Roman" w:hAnsi="Times New Roman"/>
                <w:sz w:val="24"/>
              </w:rPr>
              <w:t>-P, n.</w:t>
            </w:r>
            <w:r>
              <w:rPr>
                <w:rFonts w:ascii="Times New Roman" w:hAnsi="Times New Roman"/>
                <w:sz w:val="24"/>
                <w:vertAlign w:val="superscript"/>
              </w:rPr>
              <w:t>o</w:t>
            </w:r>
            <w:r>
              <w:rPr>
                <w:rFonts w:ascii="Times New Roman" w:hAnsi="Times New Roman"/>
                <w:sz w:val="24"/>
              </w:rPr>
              <w:t> 7, do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Numerário, reservas e exposições de ativos HQLA sobre bancos centrais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instituições devem reportar aqui o numerário e as reservas detidas em bancos centrais, incluindo as reservas excedentárias. As instituições também devem reportar aqui quaisquer outras exposições sobre bancos centrais que sejam consideradas ativos líquidos nos termos do Regulamento Delegado (UE) 2015/61, independentemente de estes satisfazerem ou não os requisitos operacionais a que se refere o artigo 8.º desse regulamento delegado.</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reservas mínimas que não sejam consideradas ativos líquidos nos termos do Regulamento Delegado (UE) 2015/61 devem ser reportadas na coluna pertinente relativa aos ativos não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1.1.1.1 Não onerados ou onerados por um prazo de vencimento residual </w:t>
            </w:r>
            <w:r>
              <w:rPr>
                <w:rFonts w:ascii="Times New Roman" w:hAnsi="Times New Roman"/>
                <w:b/>
                <w:sz w:val="24"/>
                <w:u w:val="thick" w:color="000000"/>
              </w:rPr>
              <w:lastRenderedPageBreak/>
              <w:t>inferior a seis meses</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 montante reportado em 1.1.1 relativo a ativos não onerados ou onerados por um prazo de vencimento residual inferior a seis meses.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Onerados por um prazo de vencimento residual igual ou superior a seis meses mas inferior a um ano</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 montante reportado no elemento 1.1.1 relativo a ativos onerados por um prazo de vencimento residual igual ou superior a seis meses mas inferior a um ano.</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Onerados por um prazo de vencimento residual igual ou superior a um ano</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O montante reportado em 1.1.1 relativo a ativos onerados por um prazo de vencimento residual igual ou superior a um ano.</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Outras exposições de ativos não HQLA sobre bancos centrais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os créditos sobre bancos centrais não reportados no elemento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de ativos líquidos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alíneas a) e b), até ao artigo 428.</w:t>
            </w:r>
            <w:r>
              <w:rPr>
                <w:rFonts w:ascii="Times New Roman" w:hAnsi="Times New Roman"/>
                <w:sz w:val="24"/>
                <w:vertAlign w:val="superscript"/>
              </w:rPr>
              <w:t>o</w:t>
            </w:r>
            <w:r>
              <w:rPr>
                <w:rFonts w:ascii="Times New Roman" w:hAnsi="Times New Roman"/>
                <w:sz w:val="24"/>
              </w:rPr>
              <w:t>-AE do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instituições devem reportar aqui os ativos líquidos nos termos do Regulamento Delegado (UE) 2015/61, independentemente de estes satisfazerem ou não os requisitos operacionais a que se refere o artigo 8.º desse regulamento delegado.</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Ativos de nível 1 elegíveis para uma margem de avaliação do LCR de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As instituições devem reportar aqui os ativos que sejam elegíveis como ativos líquidos de nível 1 e as ações ou unidades de participação em OIC que sejam elegíveis para uma margem de avaliação de 0 % nos termos do Regulamento Delegado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Não onerados ou onerados por um prazo de vencimento residual inferior a seis meses</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O montante reportado em 1.2.1 relativo a ativos não onerados ou onerados por um prazo de vencimento residual inferior a seis meses.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Onerados por um prazo de vencimento residual igual ou superior a seis meses mas inferior a um ano</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1.2.1 relativo a ativos onerados por um prazo de vencimento residual igual ou superior a seis meses mas inferior a um ano.</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Onerados por um prazo de vencimento residual igual ou superior a um ano</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em 1.2.1 relativo a ativos onerados por um prazo de vencimento residual igual ou superior a um ano.</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Ativos de nível 1 elegíveis para uma margem de avaliação do LCR de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As instituições devem reportar aqui as ações ou unidades de participação em OIC que sejam elegíveis para uma margem de avaliação de 5 % nos termos do Regulamento Delegado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Não onerados ou onerados por um prazo de vencimento residual inferior a seis meses</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em 1.2.2 relativo a ativos não onerados ou onerados por um prazo de vencimento residual inferior a seis meses.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Onerados por um prazo de vencimento residual igual ou superior a seis meses mas inferior a um ano</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1.2.2 relativo a ativos onerados por um prazo de vencimento residual igual ou superior a seis meses mas inferior a um ano.</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Onerados por um prazo de vencimento residual igual ou superior a um ano</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em 1.2.2 relativo a ativos onerados por um prazo de vencimento residual igual ou superior a um ano.</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Ativos de nível 1 elegíveis para uma margem de avaliação do LCR de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As instituições devem reportar aqui os ativos que são elegíveis como obrigações cobertas de qualidade extremamente elevada de nível 1 nos termos do Regulamento Delegado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Não onerados ou onerados por um prazo de vencimento residual inferior a seis meses</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em 1.2.3 relativo a ativos não onerados ou onerados por um prazo de vencimento residual inferior a seis meses.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Onerados por um prazo de vencimento residual igual ou superior a seis meses mas inferior a um ano</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1.2.3 relativo a ativos onerados por um prazo de vencimento residual igual ou superior a seis meses mas inferior a um ano.</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Onerados por um prazo de vencimento residual igual ou superior a um ano</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em 1.2.3 relativo a ativos onerados por um prazo de vencimento residual igual ou superior a um ano.</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Ativos de nível 1 elegíveis para uma margem de avaliação do LCR de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As instituições devem reportar aqui as ações ou unidades de participação em OIC que sejam elegíveis para uma margem de avaliação de 12 % nos termos do Regulamento Delegado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Não onerados ou onerados por um prazo de vencimento residual inferior a seis meses</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O montante reportado em 1.2.4 relativo a ativos não onerados ou onerados por um prazo de vencimento residual inferior a seis meses.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Onerados por um prazo de vencimento residual igual ou superior a seis meses mas inferior a um ano</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1.2.4 relativo a ativos onerados por um prazo de vencimento residual igual ou superior a seis meses mas inferior a um ano.</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Onerados por um prazo de vencimento residual igual ou superior a um ano</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1.2.4 onerado por um prazo de vencimento residual igual ou superior a um ano.</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Ativos de nível 2A elegíveis para margem de avaliação do LCR de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As instituições devem reportar aqui os ativos que sejam elegíveis como ativos de nível 2A nos termos do Regulamento Delegado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Não onerados ou onerados por um prazo de vencimento residual inferior a seis meses</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em 1.2.5 relativo a ativos não onerados ou onerados por um prazo de vencimento residual inferior a seis meses.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Onerados por um prazo de vencimento residual igual ou superior a seis meses mas inferior a um ano</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1.2.5 onerado por um prazo de vencimento residual igual ou superior a seis meses mas inferior a um ano.</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Onerados por um prazo de vencimento residual igual ou superior a um ano</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1.2.5 relativo a ativos onerados por um prazo de vencimento residual igual ou superior a um ano.</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Ativos de nível 2A elegíveis para margem de avaliação do LCR de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As instituições devem reportar aqui as ações ou unidades de participação em OIC que sejam elegíveis para uma margem de avaliação de 20 % nos termos do Regulamento Delegado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Não onerados ou onerados por um prazo de vencimento residual inferior a seis meses</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O montante reportado em 1.2.6 relativo a ativos não onerados ou onerados por um prazo de vencimento residual inferior a seis meses.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Onerados por um prazo de vencimento residual igual ou superior a seis meses mas inferior a um ano</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1.2.6 relativo a ativos onerados por um prazo de vencimento residual igual ou superior a seis meses mas inferior a um ano.</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Onerados por um prazo de vencimento residual igual ou superior a um ano</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1.2.6 relativo a ativos onerados por um prazo de vencimento residual igual ou superior a um ano.</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Titularizações de nível 2B elegíveis para uma margem de avaliação do LCR de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as titularizações de nível 2B que sejam elegíveis para uma margem de avaliação de 25 % nos termos do Regulamento Delegado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Não onerados ou onerados por um prazo de vencimento residual inferior a seis meses</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1.2.7 relativo a ativos não onerados ou onerados por um prazo de vencimento residual inferior a seis meses.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Onerados por um prazo de vencimento residual igual ou superior a seis meses mas inferior a um ano</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1.2.7 relativo a ativos onerados por um prazo de vencimento residual igual ou superior a seis meses mas inferior a um ano.</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Onerados por um prazo de vencimento residual igual ou superior a um ano</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1.2.7 relativo a ativos onerados por um prazo de vencimento residual igual ou superior a um ano.</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Ativos de nível 2B elegíveis para margem de avaliação do LCR de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as obrigações cobertas de elevada qualidade e as ações ou unidades de participação em OIC que sejam elegíveis para uma margem de avaliação de 30 % nos termos do Regulamento Delegado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Não onerados ou onerados por um prazo de vencimento residual inferior a seis meses</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O montante reportado em 1.2.8 relativo a ativos não onerados ou onerados por um prazo de vencimento residual inferior a seis meses.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Onerados por um prazo de vencimento residual igual ou superior a seis meses mas inferior a um ano</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1.2.8 relativo a ativos onerados por um prazo de vencimento residual igual ou superior a seis meses mas inferior a um ano.</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Onerados por um prazo de vencimento residual igual ou superior a um ano</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1.2.8 relativo a ativos onerados por um prazo de vencimento residual igual ou superior a um ano.</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Ativos de nível 2B elegíveis para margem de avaliação do LCR de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As instituições devem reportar aqui as titularizações de nível 2B e as ações ou unidades de participação em OIC que sejam elegíveis para uma margem de avaliação de 35 % nos termos do Regulamento Delegado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Não onerados ou onerados por um prazo de vencimento residual inferior a seis meses</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1.2.9 relativo a ativos não onerados ou onerados por um prazo de vencimento residual inferior a seis meses.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Onerados por um prazo de vencimento residual igual ou superior a seis meses mas inferior a um ano</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1.2.9 relativo a ativos onerados por um prazo de vencimento residual igual ou superior a seis meses mas inferior a um ano.</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Onerados por um prazo de vencimento residual igual ou superior a um ano</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1.2.9 relativo a ativos onerados por um prazo de vencimento residual igual ou superior a um ano.</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Ativos de nível 2B elegíveis para margem de avaliação do LCR de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as ações ou unidades de participação em OIC que sejam elegíveis para uma margem de avaliação de 40 % nos termos do Regulamento Delegado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Não onerados ou onerados por um prazo de vencimento residual inferior a seis meses</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1.2.10 relativo a ativos não onerados ou onerados por um prazo de vencimento residual inferior a seis meses.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Onerados por um prazo de vencimento residual igual ou superior a seis meses mas inferior a um ano</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1.2.10 relativo a ativos onerados por um prazo de vencimento residual igual ou superior a seis meses mas inferior a um ano.</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Onerados por um prazo de vencimento residual igual ou superior a um ano</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1.2.10 relativo a ativos onerados por um prazo de vencimento residual igual ou superior a um ano.</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Ativos de nível 2B elegíveis para margem de avaliação do LCR de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os ativos de nível 2B nos termos do Regulamento Delegado (UE) 2015/61, excluindo as titularizações de nível 2B e as obrigações cobertas de elevada qualidade.</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Ativos não onerados ou onerados por um prazo de vencimento residual inferior a um ano</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1.2.11 relativo a ativos não onerados ou onerados por um prazo de vencimento residual inferior a um ano.</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Onerados por um prazo de vencimento residual igual ou superior a um ano</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1.2.11 relativo a ativos onerados por um prazo de vencimento residual igual ou superior a um ano.</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Ativos de nível 2B elegíveis para margem de avaliação do LCR de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as ações ou unidades de participação em OIC que sejam elegíveis para uma margem de avaliação de 55 % nos termos do Regulamento Delegado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Os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4, da Diretiva 2009/65/CE ou por obrigações cobertas que satisfaçam os requisitos de </w:t>
            </w:r>
            <w:r>
              <w:rPr>
                <w:rFonts w:ascii="Times New Roman" w:hAnsi="Times New Roman"/>
                <w:sz w:val="24"/>
              </w:rPr>
              <w:lastRenderedPageBreak/>
              <w:t>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 não são reportados aqui, mas sim no elemento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Ativos não onerados ou onerados por um prazo de vencimento residual inferior a um ano</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 montante reportado no elemento 1.2.12 relativo a ativos não onerados ou onerados por um prazo de vencimento residual inferior a um ano.</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Onerados por um prazo de vencimento residual igual ou superior a um ano</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 montante reportado em 1.2.12 relativo a ativos onerados por um prazo de vencimento residual igual ou superior a um ano.</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HQLA onerados por um prazo de vencimento residual igual ou superior a um ano que façam parte de um conjunto de cobertura</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428.º-AG, alínea h), do CRR; o montante reportado no elemento 1.2 relativo a ativos onerados por um prazo de vencimento residual igual ou superior a um ano que façam parte de um conjunto de cobertura financiado por obrigações cobertas a que se refere o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da Diretiva 2009/65/CE ou por obrigações cobertas que satisfaçam os requisitos de elegibilidade para o tratamento previsto no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ou n.</w:t>
            </w:r>
            <w:r>
              <w:rPr>
                <w:rFonts w:ascii="Times New Roman" w:hAnsi="Times New Roman"/>
                <w:sz w:val="24"/>
                <w:vertAlign w:val="superscript"/>
              </w:rPr>
              <w:t>o</w:t>
            </w:r>
            <w:r>
              <w:rPr>
                <w:rFonts w:ascii="Times New Roman" w:hAnsi="Times New Roman"/>
                <w:sz w:val="24"/>
              </w:rPr>
              <w:t> 5, do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de valores mobiliários (exceto ativos líquidos)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428.º-AG, alíneas e) e f), do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os valores mobiliários que não estejam em incumprimento nos termos do artigo 178.º do CRR e que não sejam ativos líquidos nos termos do Regulamento Delegado (UE) 2015/61, independentemente de estes satisfazerem ou não os requisitos operacionais aí estabelecidos.</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Valores mobiliários não HQLA e títulos de capital negociados em bolsa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-AG, alíneas e) e f), e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1, alínea b), do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1.3 relativo a valores mobiliários não HQLA (exceto títulos de capital não negociados em bolsa), excluindo os valores mobiliários reportados no elemento 1.3.3. Os títulos de capital negociados em bolsa devem ser reportados no escalão de prazos de vencimento igual ou superior a um ano.</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Ativos não onerados ou onerados por um prazo de vencimento residual inferior a um ano</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O montante reportado no elemento 1.3.1 relativo a ativos não onerados ou onerados por um prazo de vencimento residual inferior a um ano.</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Onerados por um prazo de vencimento residual igual ou superior a um ano</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O montante reportado em 1.3.1 relativo a ativos onerados por um prazo de vencimento residual igual ou superior a um ano.</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Títulos de capital não HQLA não negociados em bolsa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1, alínea b), do CRR; o montante reportado no elemento 1.3 relativo a títulos de capital não negociados em bolsa, excluindo os valores mobiliários reportados no elemento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Valores mobiliários não HQLA onerados por um prazo de vencimento residual igual ou superior a um ano que façam parte de um conjunto de cobertura</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Artigo 428.º-AG, alínea h), do CRR; o montante reportado no elemento 1.3 relativo a ativos onerados por um prazo de vencimento residual igual ou superior a um ano que façam parte de um conjunto de cobertura financiado por obrigações cobertas a que se refere o artigo 52.º, n.º 4, da Diretiva 2009/65/CE ou por obrigações cobertas que satisfaçam os requisitos de elegibilidade para o tratamento previsto no artigo 129.º, n.º 4 ou n.º 5, do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de empréstimos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os montantes devidos em resultado de empréstimos que não estejam em incumprimento nos termos do artigo 178.º do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Nos termos do artigo 428.º-Q, n.º 4, do CRR, para a amortização de empréstimos com prazo de vencimento contratual igual ou superior a um ano, qualquer parte que vença dentro de menos de seis meses e qualquer parte que vença entre seis meses e menos de um ano é tratada, respetivamente, como tendo um prazo de vencimento residual inferior a seis meses e igual ou superior a seis meses e inferior a um ano.</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Depósitos operacionais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-AD, alínea b), e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1, alínea b), do CRR; o montante reportado no elemento 1.4 relativo a depósitos considerados operacionais nos termos do Regulamento Delegado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Operações de financiamento através de valores mobiliários com clientes financeiros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-E, 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 g), e artigo 428.</w:t>
            </w:r>
            <w:r>
              <w:rPr>
                <w:rFonts w:ascii="Times New Roman" w:hAnsi="Times New Roman"/>
                <w:sz w:val="24"/>
                <w:vertAlign w:val="superscript"/>
              </w:rPr>
              <w:t>o</w:t>
            </w:r>
            <w:r>
              <w:rPr>
                <w:rFonts w:ascii="Times New Roman" w:hAnsi="Times New Roman"/>
                <w:sz w:val="24"/>
              </w:rPr>
              <w:t>-S, n.</w:t>
            </w:r>
            <w:r>
              <w:rPr>
                <w:rFonts w:ascii="Times New Roman" w:hAnsi="Times New Roman"/>
                <w:sz w:val="24"/>
                <w:vertAlign w:val="superscript"/>
              </w:rPr>
              <w:t>o</w:t>
            </w:r>
            <w:r>
              <w:rPr>
                <w:rFonts w:ascii="Times New Roman" w:hAnsi="Times New Roman"/>
                <w:sz w:val="24"/>
              </w:rPr>
              <w:t xml:space="preserve"> 1, alínea </w:t>
            </w:r>
            <w:r>
              <w:rPr>
                <w:rFonts w:ascii="Times New Roman" w:hAnsi="Times New Roman"/>
                <w:sz w:val="24"/>
              </w:rPr>
              <w:lastRenderedPageBreak/>
              <w:t>b), do CRR; o montante reportado no elemento 1.4 relativo a montantes devidos em resultado de operações de financiamento através de valores mobiliários com clientes financeiros.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Garantidos por ativos de nível 1 elegíveis para uma margem de avaliação do LCR de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 g), artigo 428.</w:t>
            </w:r>
            <w:r>
              <w:rPr>
                <w:rFonts w:ascii="Times New Roman" w:hAnsi="Times New Roman"/>
                <w:sz w:val="24"/>
                <w:vertAlign w:val="superscript"/>
              </w:rPr>
              <w:t>o</w:t>
            </w:r>
            <w:r>
              <w:rPr>
                <w:rFonts w:ascii="Times New Roman" w:hAnsi="Times New Roman"/>
                <w:sz w:val="24"/>
              </w:rPr>
              <w:t>-AD, alínea d), e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1, alínea b), do CRR; o montante reportado no elemento 1.4.2 relativo a operações garantidas por ativos de nível 1 considerados elegíveis para uma margem de avaliação de 0 % nos termos do Regulamento Delegado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Não onerados ou onerados por um prazo de vencimento residual inferior a seis meses</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1.4.2.1 relativo a ativos não onerados ou onerados por um prazo de vencimento residual inferior a seis meses.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Onerados por um prazo de vencimento residual igual ou superior a seis meses mas inferior a um ano</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1.4.2.1 relativo a ativos onerados por um prazo de vencimento residual igual ou superior a seis meses mas inferior a um ano.</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Onerados por um prazo de vencimento residual igual ou superior a um ano</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1.4.2.1 relativo a ativos onerados por um prazo de vencimento residual igual ou superior a um ano.</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Garantidos por outros ativos</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-S, n.</w:t>
            </w:r>
            <w:r>
              <w:rPr>
                <w:rFonts w:ascii="Times New Roman" w:hAnsi="Times New Roman"/>
                <w:sz w:val="24"/>
                <w:vertAlign w:val="superscript"/>
              </w:rPr>
              <w:t>o</w:t>
            </w:r>
            <w:r>
              <w:rPr>
                <w:rFonts w:ascii="Times New Roman" w:hAnsi="Times New Roman"/>
                <w:sz w:val="24"/>
              </w:rPr>
              <w:t> 1, alínea b), artigo 428.</w:t>
            </w:r>
            <w:r>
              <w:rPr>
                <w:rFonts w:ascii="Times New Roman" w:hAnsi="Times New Roman"/>
                <w:sz w:val="24"/>
                <w:vertAlign w:val="superscript"/>
              </w:rPr>
              <w:t>o</w:t>
            </w:r>
            <w:r>
              <w:rPr>
                <w:rFonts w:ascii="Times New Roman" w:hAnsi="Times New Roman"/>
                <w:sz w:val="24"/>
              </w:rPr>
              <w:t>-AD, alínea d), e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1, alínea b), do CRR; o montante reportado no elemento 1.4.2 relativo a transações garantidas por ativos (exceto ativos de nível 1) considerados elegíveis para uma margem de avaliação de 0 % nos termos do Regulamento Delegado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Não onerados ou onerados por um prazo de vencimento residual inferior a seis meses</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1.4.2.2 relativo a ativos não onerados ou onerados por um prazo de vencimento residual inferior a seis meses.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Onerados por um prazo de vencimento residual igual ou superior a seis meses mas inferior a um ano</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lastRenderedPageBreak/>
              <w:t>O montante reportado no elemento 1.4.2.2 relativo a ativos onerados por um prazo de vencimento residual igual ou superior a seis meses mas inferior a um ano.</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Onerados por um prazo de vencimento residual igual ou superior a um ano</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O montante reportado em 1.4.2.2 relativo a ativos onerados por um prazo de vencimento residual igual ou superior a um ano.</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Outros empréstimos e adiantamentos a clientes financeiros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428.º-V, alínea a), e artigo 428.º-AD, alínea d), subalínea iii), do CRR; o montante reportado no elemento 1.4 resultante de outros empréstimos e adiantamentos a clientes financeiros não reportados nos elementos 1.4.1 e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Ativos onerados por um prazo de vencimento residual igual ou superior a um ano que fazem parte de um conjunto de cobertura</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428.º-AG, alínea h), do CRR; o montante reportado no elemento 1.4 relativo a ativos onerados por um prazo de vencimento residual igual ou superior a um ano que façam parte de um conjunto de cobertura financiado por obrigações cobertas a que se refere o artigo 52.º, n.º 4, da Diretiva 2009/65/CE ou por obrigações cobertas que satisfaçam os requisitos de elegibilidade para o tratamento previsto no artigo 129.º, n.º 4 ou n.º 5, do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Empréstimos a clientes não financeiros (exceto bancos centrais) nos casos em que seja atribuído a esses empréstimos um ponderador de risco igual ou inferior a 35 %</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428.º-AD, alínea c), e artigo 428.º-AF do CRR; o montante reportado no elemento 1.4 relativo a empréstimos garantidos por hipotecas sobre imóveis de habitação ou empréstimos à habitação totalmente garantidos por um prestador de proteção elegível a que se refere o artigo 129.</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1, alínea e), do CRR, ou empréstimos, excluindo empréstimos a clientes financeiros e os empréstimos a que se referem os artigos 428.</w:t>
            </w:r>
            <w:r>
              <w:rPr>
                <w:rFonts w:ascii="Times New Roman" w:hAnsi="Times New Roman"/>
                <w:sz w:val="24"/>
                <w:vertAlign w:val="superscript"/>
              </w:rPr>
              <w:t>o</w:t>
            </w:r>
            <w:r>
              <w:rPr>
                <w:rFonts w:ascii="Times New Roman" w:hAnsi="Times New Roman"/>
                <w:sz w:val="24"/>
              </w:rPr>
              <w:t>-R a 428.</w:t>
            </w:r>
            <w:r>
              <w:rPr>
                <w:rFonts w:ascii="Times New Roman" w:hAnsi="Times New Roman"/>
                <w:sz w:val="24"/>
                <w:vertAlign w:val="superscript"/>
              </w:rPr>
              <w:t>o</w:t>
            </w:r>
            <w:r>
              <w:rPr>
                <w:rFonts w:ascii="Times New Roman" w:hAnsi="Times New Roman"/>
                <w:sz w:val="24"/>
              </w:rPr>
              <w:t>-AD do CRR, desde que não tenha sido atribuído a esses empréstimos um ponderador de risco não superior a 35 %, de acordo com a parte III, título II, capítulo 2, do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Designadamente, hipotecas sobre imóveis de habitação</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O montante reportado no elemento 1.4.5 relativo a posições em risco garantidas por hipotecas sobre imóveis de habitação.</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Não onerados ou onerados por um prazo de vencimento residual inferior a seis meses</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O montante reportado em 1.4.5 relativo a ativos não onerados ou onerados por um prazo de vencimento residual inferior a seis meses.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Onerados por um prazo de vencimento residual igual ou superior a seis meses mas inferior a um ano</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1.4.5 relativo a ativos onerados por um prazo de vencimento residual igual ou superior a seis meses mas inferior a um ano.</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Onerados por um prazo de vencimento residual igual ou superior a um ano</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1.4.5 relativo a ativos onerados por um prazo de vencimento residual igual ou superior a um ano.</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Outros empréstimos a clientes não financeiros (exceto bancos centrais)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428.º-AD, alínea c), e artigo 428.º-AG, alínea c), do CRR; o montante reportado no elemento 1.4.5 relativo a empréstimos a clientes não financeiros (exceto bancos centrais) com um ponderador de risco superior a 35 %, de acordo com a parte III, título II, capítulo 2, do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Designadamente, hipotecas sobre imóveis de habitação</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1.4.6 relativo a posições em risco garantidas por hipotecas sobre imóveis de habitação.</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Ativos não onerados ou onerados por um prazo de vencimento residual inferior a um ano</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1.4.6 relativo a ativos não onerados ou onerados por um prazo de vencimento residual inferior a um ano.</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Onerados por um prazo de vencimento residual igual ou superior a um ano</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1.4.6 relativo a ativos onerados por um prazo de vencimento residual igual ou superior a um ano.</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Produtos patrimoniais de financiamento de transações</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428.º-V, alínea b), artigo 428.º-AD, alínea e), e artigo 428.º-AG, alínea d), do CRR; o montante relacionado com produtos patrimoniais de financiamento de transações.</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de ativos interdependentes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-F e 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 f), do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As instituições devem reportar aqui os ativos classificados como interdependentes em relação a passivos nos termos do artigo 428.º-F do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Poupanças regulamentadas centralizadas</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a), do CRR; o montante reportado no elemento 1.5 relativo a poupanças regulamentadas centralizadas.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Empréstimos de fomento e facilidades de crédito e de liquidez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b), do CRR; o montante reportado no elemento 1.5 relativo a empréstimos de fomento e facilidades de crédito e de liquidez.</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Obrigações cobertas elegíveis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c), do CRR; o montante reportado no elemento 1.5 relativo a obrigações cobertas elegíveis.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Atividades de compensação de derivados por conta de clientes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d), do CRR; o montante reportado no elemento 1.5 relativo a atividades de compensação de derivados por conta de clientes.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Outros</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1, do CRR; o montante reportado no elemento 1.5 relativo a ativos não referidos nos elementos 1.5.1 a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de ativos no âmbito de um grupo ou de um sistema de proteção institucional se sujeitos a um tratamento preferencial</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os ativos para os quais a autoridade competente autorizou o tratamento preferencial de acordo com o artigo 428.º-H do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de derivados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-D, artigo 428.</w:t>
            </w:r>
            <w:r>
              <w:rPr>
                <w:rFonts w:ascii="Times New Roman" w:hAnsi="Times New Roman"/>
                <w:sz w:val="24"/>
                <w:vertAlign w:val="superscript"/>
              </w:rPr>
              <w:t>o</w:t>
            </w:r>
            <w:r>
              <w:rPr>
                <w:rFonts w:ascii="Times New Roman" w:hAnsi="Times New Roman"/>
                <w:sz w:val="24"/>
              </w:rPr>
              <w:t>-S, n.</w:t>
            </w:r>
            <w:r>
              <w:rPr>
                <w:rFonts w:ascii="Times New Roman" w:hAnsi="Times New Roman"/>
                <w:sz w:val="24"/>
                <w:vertAlign w:val="superscript"/>
              </w:rPr>
              <w:t>o</w:t>
            </w:r>
            <w:r>
              <w:rPr>
                <w:rFonts w:ascii="Times New Roman" w:hAnsi="Times New Roman"/>
                <w:sz w:val="24"/>
              </w:rPr>
              <w:t> 2, artigo 428.</w:t>
            </w:r>
            <w:r>
              <w:rPr>
                <w:rFonts w:ascii="Times New Roman" w:hAnsi="Times New Roman"/>
                <w:sz w:val="24"/>
                <w:vertAlign w:val="superscript"/>
              </w:rPr>
              <w:t>o</w:t>
            </w:r>
            <w:r>
              <w:rPr>
                <w:rFonts w:ascii="Times New Roman" w:hAnsi="Times New Roman"/>
                <w:sz w:val="24"/>
              </w:rPr>
              <w:t>-AG, alínea a), e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2, do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 montante de financiamento estável requerido resultante de derivados.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Financiamento estável requerido para passivos derivados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1.7 correspondente ao justo valor absoluto dos conjuntos de compensação com um justo valor negativo calculado de acordo com o artigo 428.</w:t>
            </w:r>
            <w:r>
              <w:rPr>
                <w:rFonts w:ascii="Times New Roman" w:hAnsi="Times New Roman"/>
                <w:sz w:val="24"/>
                <w:vertAlign w:val="superscript"/>
              </w:rPr>
              <w:t>o</w:t>
            </w:r>
            <w:r>
              <w:rPr>
                <w:rFonts w:ascii="Times New Roman" w:hAnsi="Times New Roman"/>
                <w:sz w:val="24"/>
              </w:rPr>
              <w:t>-S, n.</w:t>
            </w:r>
            <w:r>
              <w:rPr>
                <w:rFonts w:ascii="Times New Roman" w:hAnsi="Times New Roman"/>
                <w:sz w:val="24"/>
                <w:vertAlign w:val="superscript"/>
              </w:rPr>
              <w:t>o</w:t>
            </w:r>
            <w:r>
              <w:rPr>
                <w:rFonts w:ascii="Times New Roman" w:hAnsi="Times New Roman"/>
                <w:sz w:val="24"/>
              </w:rPr>
              <w:t> 2, do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Ativos de derivados para efeitos do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428.º-D do CRR; o montante reportado no elemento 1.7, calculado como a diferença positiva entre os conjuntos de compensação calculados de acordo com o 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2, do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Margem inicial dada</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428.º-AG, alínea a), do CRR; o montante reportado no elemento 1.7 relativo à margem inicial para contratos de derivados.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de contribuições para o fundo de proteção de uma CCP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428.º-AG, alínea b), do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As instituições devem reportar aqui os elementos dados como contribuição para o fundo de proteção de uma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de outros ativos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quaisquer ativos não referidos nos elementos 1.1 a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Mercadorias comercializadas fisicamente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Artigo 428.º-AG, alínea g), do CRR; o montante reportado no elemento 1.9 relativo a mercadorias comercializadas fisicamente.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Este elemento não inclui os derivados de mercadorias abrangidos pelo elemento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Ativos não onerados ou onerados por um prazo de vencimento residual inferior a um ano</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1.9.1 relativo a ativos não onerados ou onerados por um prazo de vencimento residual inferior a um ano.</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Onerados por um prazo de vencimento residual igual ou superior a um ano</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1.9.1 relativo a ativos onerados por um prazo de vencimento residual igual ou superior a um ano.</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Montantes a receber à data da negociação</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 e), do CRR; o montante reportado no elemento 1.9 relativo a montantes a receber à data da negociação.</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Ativos não produtivos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xml:space="preserve"> 1, alínea b), do CRR; o montante reportado no </w:t>
            </w:r>
            <w:r>
              <w:rPr>
                <w:rFonts w:ascii="Times New Roman" w:hAnsi="Times New Roman"/>
                <w:sz w:val="24"/>
              </w:rPr>
              <w:lastRenderedPageBreak/>
              <w:t>elemento 1.9 relativo a ativos não produtivos.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Outros ativos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1, alínea b), do CRR; o montante reportado no elemento 1.9 relativo a ativos não referidos nos elementos 1.9.1 a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de elementos extrapatrimoniais</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 montante dos elementos extrapatrimoniais não referidos nos elementos 1.1 a 1.9 que estejam sujeitos aos requisitos de financiamento estável requerido.</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Facilidades autorizadas no âmbito de um grupo ou de um sistema de proteção institucional se sujeitas a um tratamento preferencial</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1.10 relativo a facilidades autorizadas para as quais as autoridades competentes autorizaram um tratamento preferencial de acordo com o artigo 428.º-H do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Facilidades autorizadas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-S, n.</w:t>
            </w:r>
            <w:r>
              <w:rPr>
                <w:rFonts w:ascii="Times New Roman" w:hAnsi="Times New Roman"/>
                <w:sz w:val="24"/>
                <w:vertAlign w:val="superscript"/>
              </w:rPr>
              <w:t>o</w:t>
            </w:r>
            <w:r>
              <w:rPr>
                <w:rFonts w:ascii="Times New Roman" w:hAnsi="Times New Roman"/>
                <w:sz w:val="24"/>
              </w:rPr>
              <w:t> 1, alínea c), do CRR; o montante reportado no elemento 1.10 relativo a facilidades autorizadas nos termos do Regulamento Delegado (UE) 2015/61 que não são reportadas no elemento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Elementos extrapatrimoniais de financiamento de transações</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-S, n.</w:t>
            </w:r>
            <w:r>
              <w:rPr>
                <w:rFonts w:ascii="Times New Roman" w:hAnsi="Times New Roman"/>
                <w:sz w:val="24"/>
                <w:vertAlign w:val="superscript"/>
              </w:rPr>
              <w:t>o</w:t>
            </w:r>
            <w:r>
              <w:rPr>
                <w:rFonts w:ascii="Times New Roman" w:hAnsi="Times New Roman"/>
                <w:sz w:val="24"/>
              </w:rPr>
              <w:t> 1, alínea d), artigo 428.</w:t>
            </w:r>
            <w:r>
              <w:rPr>
                <w:rFonts w:ascii="Times New Roman" w:hAnsi="Times New Roman"/>
                <w:sz w:val="24"/>
                <w:vertAlign w:val="superscript"/>
              </w:rPr>
              <w:t>o</w:t>
            </w:r>
            <w:r>
              <w:rPr>
                <w:rFonts w:ascii="Times New Roman" w:hAnsi="Times New Roman"/>
                <w:sz w:val="24"/>
              </w:rPr>
              <w:t>-U e artigo 428.</w:t>
            </w:r>
            <w:r>
              <w:rPr>
                <w:rFonts w:ascii="Times New Roman" w:hAnsi="Times New Roman"/>
                <w:sz w:val="24"/>
                <w:vertAlign w:val="superscript"/>
              </w:rPr>
              <w:t>o</w:t>
            </w:r>
            <w:r>
              <w:rPr>
                <w:rFonts w:ascii="Times New Roman" w:hAnsi="Times New Roman"/>
                <w:sz w:val="24"/>
              </w:rPr>
              <w:t>-V, alínea c), do CRR; o montante reportado no elemento 1.10 relativo a produtos extrapatrimoniais relacionados com o financiamento de transações a que se refere o anexo I do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Elementos extrapatrimoniais não produtivos</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-AH, n.</w:t>
            </w:r>
            <w:r>
              <w:rPr>
                <w:rFonts w:ascii="Times New Roman" w:hAnsi="Times New Roman"/>
                <w:sz w:val="24"/>
                <w:vertAlign w:val="superscript"/>
              </w:rPr>
              <w:t>o</w:t>
            </w:r>
            <w:r>
              <w:rPr>
                <w:rFonts w:ascii="Times New Roman" w:hAnsi="Times New Roman"/>
                <w:sz w:val="24"/>
              </w:rPr>
              <w:t> 1, alínea b), do CRR; o montante reportado no elemento 1.10 relativo a exposições extrapatrimoniais não produtivas.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Outras posições em risco extrapatrimoniais para as quais a autoridade competente tenha determinado fatores de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O montante reportado no elemento 1.10 correspondente a posições em risco extrapatrimoniais para as quais a autoridade competente tenha determinado fatores de RSF nos termos do artigo 428.</w:t>
            </w:r>
            <w:r>
              <w:rPr>
                <w:rFonts w:ascii="Times New Roman" w:hAnsi="Times New Roman"/>
                <w:sz w:val="24"/>
                <w:vertAlign w:val="superscript"/>
              </w:rPr>
              <w:t>o</w:t>
            </w:r>
            <w:r>
              <w:rPr>
                <w:rFonts w:ascii="Times New Roman" w:hAnsi="Times New Roman"/>
                <w:sz w:val="24"/>
              </w:rPr>
              <w:t>-AQ, n.</w:t>
            </w:r>
            <w:r>
              <w:rPr>
                <w:rFonts w:ascii="Times New Roman" w:hAnsi="Times New Roman"/>
                <w:sz w:val="24"/>
                <w:vertAlign w:val="superscript"/>
              </w:rPr>
              <w:t>o</w:t>
            </w:r>
            <w:r>
              <w:rPr>
                <w:rFonts w:ascii="Times New Roman" w:hAnsi="Times New Roman"/>
                <w:sz w:val="24"/>
              </w:rPr>
              <w:t> 10, do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450167"/>
      <w:r>
        <w:rPr>
          <w:rFonts w:ascii="Times New Roman" w:hAnsi="Times New Roman"/>
          <w:b/>
          <w:sz w:val="24"/>
        </w:rPr>
        <w:lastRenderedPageBreak/>
        <w:t>PARTE III: FINANCIAMENTO ESTÁVEL DISPONÍVEL</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450168"/>
      <w:r>
        <w:rPr>
          <w:rFonts w:ascii="Times New Roman" w:hAnsi="Times New Roman"/>
          <w:b/>
          <w:sz w:val="24"/>
        </w:rPr>
        <w:t>Observações específicas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passivos e fundos próprios devem ser reportados com uma desagregação pelo respetivo prazo de vencimento residual, de acordo com o artigo 428.</w:t>
      </w:r>
      <w:r>
        <w:rPr>
          <w:rFonts w:ascii="Times New Roman" w:hAnsi="Times New Roman"/>
          <w:sz w:val="24"/>
          <w:vertAlign w:val="superscript"/>
        </w:rPr>
        <w:t>o</w:t>
      </w:r>
      <w:r>
        <w:rPr>
          <w:rFonts w:ascii="Times New Roman" w:hAnsi="Times New Roman"/>
          <w:sz w:val="24"/>
        </w:rPr>
        <w:t xml:space="preserve">-J do CRR. Os escalões de prazo de vencimento dos montantes, os fatores-padrão de financiamento estável disponível (ASF, </w:t>
      </w:r>
      <w:r>
        <w:rPr>
          <w:rFonts w:ascii="Times New Roman" w:hAnsi="Times New Roman"/>
          <w:i/>
          <w:iCs/>
          <w:sz w:val="24"/>
        </w:rPr>
        <w:t>available stable funding</w:t>
      </w:r>
      <w:r>
        <w:rPr>
          <w:rFonts w:ascii="Times New Roman" w:hAnsi="Times New Roman"/>
          <w:sz w:val="24"/>
        </w:rPr>
        <w:t>) e os fatores de ASF aplicáveis são os seguintes:</w:t>
      </w:r>
    </w:p>
    <w:p w14:paraId="1F3E313C" w14:textId="77777777" w:rsidR="000D128D" w:rsidRPr="00A0098D" w:rsidRDefault="000D128D" w:rsidP="00A0098D">
      <w:pPr>
        <w:pStyle w:val="InstructionsText2"/>
        <w:numPr>
          <w:ilvl w:val="2"/>
          <w:numId w:val="24"/>
        </w:numPr>
        <w:rPr>
          <w:sz w:val="24"/>
        </w:rPr>
      </w:pPr>
      <w:r>
        <w:rPr>
          <w:sz w:val="24"/>
        </w:rPr>
        <w:t>prazo de vencimento residual inferior a seis meses ou sem prazo de vencimento fixo,</w:t>
      </w:r>
    </w:p>
    <w:p w14:paraId="2FF39CD8" w14:textId="77777777" w:rsidR="000D128D" w:rsidRPr="00A0098D" w:rsidRDefault="000D128D" w:rsidP="00A0098D">
      <w:pPr>
        <w:pStyle w:val="InstructionsText2"/>
        <w:numPr>
          <w:ilvl w:val="2"/>
          <w:numId w:val="24"/>
        </w:numPr>
        <w:rPr>
          <w:sz w:val="24"/>
        </w:rPr>
      </w:pPr>
      <w:r>
        <w:rPr>
          <w:sz w:val="24"/>
        </w:rPr>
        <w:t>prazo de vencimento residual igual ou superior a seis meses mas inferior a um ano,</w:t>
      </w:r>
    </w:p>
    <w:p w14:paraId="2FD4E056" w14:textId="77777777" w:rsidR="000D128D" w:rsidRPr="00A0098D" w:rsidRDefault="000D128D" w:rsidP="00A0098D">
      <w:pPr>
        <w:pStyle w:val="InstructionsText2"/>
        <w:numPr>
          <w:ilvl w:val="2"/>
          <w:numId w:val="24"/>
        </w:numPr>
        <w:rPr>
          <w:sz w:val="24"/>
        </w:rPr>
      </w:pPr>
      <w:r>
        <w:rPr>
          <w:sz w:val="24"/>
        </w:rPr>
        <w:t xml:space="preserve">prazo de vencimento residual igual ou superior a um ano.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passivos com um prazo de vencimento residual igual ou superior a um ano ficam sujeitos a um fator de ASF de 100 %, salvo indicação em contrário nos artigos 428.</w:t>
      </w:r>
      <w:r>
        <w:rPr>
          <w:rFonts w:ascii="Times New Roman" w:hAnsi="Times New Roman"/>
          <w:sz w:val="24"/>
          <w:vertAlign w:val="superscript"/>
        </w:rPr>
        <w:t>o</w:t>
      </w:r>
      <w:r>
        <w:rPr>
          <w:rFonts w:ascii="Times New Roman" w:hAnsi="Times New Roman"/>
          <w:sz w:val="24"/>
        </w:rPr>
        <w:t>-K a 428.</w:t>
      </w:r>
      <w:r>
        <w:rPr>
          <w:rFonts w:ascii="Times New Roman" w:hAnsi="Times New Roman"/>
          <w:sz w:val="24"/>
          <w:vertAlign w:val="superscript"/>
        </w:rPr>
        <w:t>o</w:t>
      </w:r>
      <w:r>
        <w:rPr>
          <w:rFonts w:ascii="Times New Roman" w:hAnsi="Times New Roman"/>
          <w:sz w:val="24"/>
        </w:rPr>
        <w:t>-N do CRR, de acordo com o artigo 428.</w:t>
      </w:r>
      <w:r>
        <w:rPr>
          <w:rFonts w:ascii="Times New Roman" w:hAnsi="Times New Roman"/>
          <w:sz w:val="24"/>
          <w:vertAlign w:val="superscript"/>
        </w:rPr>
        <w:t>o</w:t>
      </w:r>
      <w:r>
        <w:rPr>
          <w:rFonts w:ascii="Times New Roman" w:hAnsi="Times New Roman"/>
          <w:sz w:val="24"/>
        </w:rPr>
        <w:t>-O do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Todos os depósitos à ordem devem ser reportados na escala de prazos referente aos passivos com um prazo de vencimento residual inferior a seis meses.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w:t>
      </w:r>
      <w:r>
        <w:rPr>
          <w:rFonts w:ascii="Times New Roman" w:hAnsi="Times New Roman"/>
          <w:sz w:val="24"/>
          <w:vertAlign w:val="superscript"/>
        </w:rPr>
        <w:t>o</w:t>
      </w:r>
      <w:r>
        <w:rPr>
          <w:rFonts w:ascii="Times New Roman" w:hAnsi="Times New Roman"/>
          <w:sz w:val="24"/>
        </w:rPr>
        <w:t>-J, n.</w:t>
      </w:r>
      <w:r>
        <w:rPr>
          <w:rFonts w:ascii="Times New Roman" w:hAnsi="Times New Roman"/>
          <w:sz w:val="24"/>
          <w:vertAlign w:val="superscript"/>
        </w:rPr>
        <w:t>o</w:t>
      </w:r>
      <w:r>
        <w:rPr>
          <w:rFonts w:ascii="Times New Roman" w:hAnsi="Times New Roman"/>
          <w:sz w:val="24"/>
        </w:rPr>
        <w:t> 2, do CRR, as instituições têm em conta as opções existentes para determinar o prazo de vencimento residual dos passivos ou dos fundos próprios. Devem fazê-lo partindo do pressuposto de que a contraparte exercerá as opções de compra na data mais próxima possível. Para as opções que possam ser exercidas ao critério da instituição, a instituição e as autoridades competentes têm em conta os fatores de reputação que podem limitar a capacidade de a instituição não exercer a opção, em particular as expectativas do mercado no sentido de as instituições deverem resgatar determinados passivos antes do termo do respetivo prazo de vencimento.</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Além disso, conforme estabelecido no artigo 428.</w:t>
      </w:r>
      <w:r>
        <w:rPr>
          <w:rFonts w:ascii="Times New Roman" w:hAnsi="Times New Roman"/>
          <w:sz w:val="24"/>
          <w:vertAlign w:val="superscript"/>
        </w:rPr>
        <w:t>o</w:t>
      </w:r>
      <w:r>
        <w:rPr>
          <w:rFonts w:ascii="Times New Roman" w:hAnsi="Times New Roman"/>
          <w:sz w:val="24"/>
        </w:rPr>
        <w:t>-AP do CRR, os elementos de fundos próprios adicionais de nível 1, os elementos de fundos próprios de nível 2 e quaisquer outros instrumentos de fundos próprios com opções explícitas ou embutidas que, se exercidas (mesmo que ainda não estejam exercidas na data de referência do reporte), reduziriam o prazo de vencimento residual efetivo na data de referência do reporte para menos de um ano, não recebem um fator de ASF de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w:t>
      </w:r>
      <w:r>
        <w:rPr>
          <w:rFonts w:ascii="Times New Roman" w:hAnsi="Times New Roman"/>
          <w:sz w:val="24"/>
          <w:vertAlign w:val="superscript"/>
        </w:rPr>
        <w:t>o</w:t>
      </w:r>
      <w:r>
        <w:rPr>
          <w:rFonts w:ascii="Times New Roman" w:hAnsi="Times New Roman"/>
          <w:sz w:val="24"/>
        </w:rPr>
        <w:t>-AK, n.</w:t>
      </w:r>
      <w:r>
        <w:rPr>
          <w:rFonts w:ascii="Times New Roman" w:hAnsi="Times New Roman"/>
          <w:sz w:val="24"/>
          <w:vertAlign w:val="superscript"/>
        </w:rPr>
        <w:t>o</w:t>
      </w:r>
      <w:r>
        <w:rPr>
          <w:rFonts w:ascii="Times New Roman" w:hAnsi="Times New Roman"/>
          <w:sz w:val="24"/>
        </w:rPr>
        <w:t xml:space="preserve"> 3, do CRR, as instituições tratam os depósitos com prazo de pré-aviso fixo de acordo com o respetivo prazo de pré-aviso e os depósitos a prazo de acordo com o respetivo prazo de vencimento residual. </w:t>
      </w:r>
      <w:r>
        <w:t>Em derrogação do n.º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t>, para determinarem o prazo de vencimento residual dos depósitos de retalho a prazo, as instituições não podem ter em conta as opções de levantamento antecipado caso o depositante tenha de pagar uma penalização significativa por levantamentos antecipados efetuados antes de decorrido um ano, penalização essa que é estabelecida no artigo 25.º, n.º 4, do Regulamento Delegado (UE) 2015/61.</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O fluxograma de decisão para o modelo de reporte C 81.00 faz parte das instruções para especificar a hierarquia de prioridade dos critérios de avaliação para a afetação de cada elemento reportado, a fim de garantir um reporte homogéneo e comparável. Recorrer ao fluxograma de decisão, por si só, não é suficiente, ou seja, as instituições devem cumprir sempre o resto das instruções. Por razões de simplicidade, o fluxograma de decisão não tem em conta os elementos «totais», «subtotais» e «dos quais»; contudo, tal não significa que estes não devam também ser comunicados.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Decisão</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Ação</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Fundos próprios principais de nível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Fundos próprios adicionais de nível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Fundos próprios de nível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Outros instrumentos de fundos próprios?</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Um passivo associado a uma garantia recebida como margem de variação para contratos de derivados?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 reportar.</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Montantes a pagar à data da negociação?</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Passivos interdependentes?</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 ID 2.8</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Passivos e facilidades autorizadas no âmbito de um grupo ou de um sistema de proteção institucional para os quais a autoridade competente autorizou um tratamento preferencial?</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Passivos de derivados para efeitos do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Passivos por impostos diferidos?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Interesses minoritários?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Depósitos de retalho estáveis?</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Outros depósitos de retalho?</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Passivos cuja contraparte não pode ser determinada?</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Passivos provenientes de bancos centrais?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Afetar ao ID 2.5.1 ou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Passivos provenientes de clientes financeiros?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Afetar a um elemento relevante do ID 2.5.3</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Passivos provenientes de clientes não financeiros (exceto bancos centrais)?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Afetar ao elemento relevante do ID 2.3</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Quaisquer outros passivos não considerados nas categorias acima?</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Não reportar.</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450169"/>
      <w:r>
        <w:rPr>
          <w:rFonts w:ascii="Times New Roman" w:hAnsi="Times New Roman"/>
          <w:b/>
          <w:sz w:val="24"/>
        </w:rPr>
        <w:t>Instruções relativas a colunas específicas</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Montante</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As instituições devem reportar nas colunas 0010-0030 o montante dos passivos e dos fundos próprios afetados ao escalão de prazo de vencimento residual aplicável.</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Fator-padrão de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lastRenderedPageBreak/>
              <w:t>Nas colunas 0040-0060, os fatores-padrão são os especificados por predefinição na parte VI, título IV, capítulo 3, do CRR, que determinam a parte do montante dos passivos e dos fundos próprios que constitui financiamento estável disponível. São fornecidos a título meramente informativo e não têm de ser preenchidos pelas instituições.</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Fator de ASF aplicável</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Parte VI, título IV, capítulo 2 e capítulo 3, do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As instituições devem reportar nas colunas 0070-0090 os fatores de ASF aplicáveis da parte VI, título IV, capítulo 3, do CRR como ponderadores que, multiplicados pelo montante dos passivos ou dos fundos próprios, determinam o montante do financiamento estável disponível relevante. Os fatores aplicáveis podem resultar em valores médios ponderados e devem ser comunicados em termos decimais (ou seja, 1,00 para um ponderador aplicável de 100 por cento, ou 0,50 para um ponderador aplicável de 50 por cento). Os fatores aplicáveis podem refletir, mas não se limitam a, prerrogativas específicas das empresas e autoridades nacionais.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Financiamento estável disponível</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As instituições devem reportar na coluna 0100 o valor do financiamento estável disponível de acordo com a definição estabelecida no artigo 428.</w:t>
            </w:r>
            <w:r>
              <w:rPr>
                <w:rFonts w:ascii="Times New Roman" w:hAnsi="Times New Roman"/>
                <w:sz w:val="24"/>
                <w:vertAlign w:val="superscript"/>
              </w:rPr>
              <w:t>o</w:t>
            </w:r>
            <w:r>
              <w:rPr>
                <w:rFonts w:ascii="Times New Roman" w:hAnsi="Times New Roman"/>
                <w:sz w:val="24"/>
              </w:rPr>
              <w:t>-AJ do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Este valor é calculado através da seguinte fórmula:</w:t>
            </w:r>
            <w:r>
              <w:rPr>
                <w:rFonts w:ascii="Times New Roman" w:hAnsi="Times New Roman"/>
                <w:sz w:val="24"/>
              </w:rPr>
              <w:br/>
              <w:t>c0100 = SOMA (c0010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450170"/>
      <w:r>
        <w:rPr>
          <w:rFonts w:ascii="Times New Roman" w:hAnsi="Times New Roman"/>
          <w:b/>
          <w:sz w:val="24"/>
        </w:rPr>
        <w:t>Instruções relativas a linhas específicas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FINANCIAMENTO ESTÁVEL DISPONÍVEL</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 VI, título IV, capítulo 3, do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de elementos e instrumentos de fundos próprios</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 instituições devem reportar aqui a soma dos elementos reportados em 2.1.1 a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Fundos próprios principais de nível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Artigo 428.º-O, alínea a), do CRR; os elementos de fundos próprios principais de nível 1 antes da aplicação dos filtros prudenciais, das deduções e das isenções ou alternativas estipulados nos artigos 32.º a 36.º, 48.º, 49.º e 79.º do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Fundos próprios adicionais de nível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-O, alínea b), e 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3, alínea d), do CRR; os elementos de fundos próprios adicionais de nível 1 antes da aplicação das deduções e das isenções estipuladas nos artigos 56.º e 79.º do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Fundos próprios de nível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-O, alínea c), e 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3, alínea d), do CRR; os elementos de fundos próprios de nível 2 antes da aplicação das deduções e das isenções estipuladas nos artigos 66.º e 79.º do CRR e com prazo de vencimento residual igual ou superior a um ano na data de referência do reporte.</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Outros instrumentos de fundos próprios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-O, alínea d), e 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3, alínea d), do CRR; outros instrumentos de fundos próprios com prazo de vencimento residual igual ou superior a um ano na data de referência do reporte.</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de depósitos de retalho</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 instituições devem reportar aqui a soma dos elementos reportados em 2.2.1 e 2.2.2. Este elemento inclui passivos não garantidos e passivos garantidos.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Designadamente, obrigações de retalho</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428.º-I do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instituições devem reportar aqui obrigações e outros títulos de dívida emitidos que sejam vendidos exclusivamente no mercado retalhista e detidos numa conta de retalho. Estas obrigações de retalho são também reportadas na categoria correspondente de depósitos de retalho como «depósitos de retalho estáveis» ou «outros depósitos de retalho», respetivamente, nos elementos 2.2.1 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Depósitos de retalho estáveis</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428.º-N do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respetivamente, em conformidade com o artigo 24.º, n.</w:t>
            </w:r>
            <w:r>
              <w:rPr>
                <w:rFonts w:ascii="Times New Roman" w:hAnsi="Times New Roman"/>
                <w:sz w:val="24"/>
                <w:vertAlign w:val="superscript"/>
              </w:rPr>
              <w:t>os</w:t>
            </w:r>
            <w:r>
              <w:rPr>
                <w:rFonts w:ascii="Times New Roman" w:hAnsi="Times New Roman"/>
                <w:sz w:val="24"/>
              </w:rPr>
              <w:t> 2 e 3, do Regulamento Delegado (UE) 2015/61, e quando:</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Estes depósitos não preenchem os critérios para uma taxa de saída mais elevada em conformidade com o artigo 25.º, n.</w:t>
            </w:r>
            <w:r>
              <w:rPr>
                <w:rFonts w:ascii="Times New Roman" w:hAnsi="Times New Roman"/>
                <w:sz w:val="24"/>
                <w:vertAlign w:val="superscript"/>
              </w:rPr>
              <w:t>os</w:t>
            </w:r>
            <w:r>
              <w:rPr>
                <w:rFonts w:ascii="Times New Roman" w:hAnsi="Times New Roman"/>
                <w:sz w:val="24"/>
              </w:rPr>
              <w:t xml:space="preserve"> 2, 3 ou 5, do Regulamento </w:t>
            </w:r>
            <w:r>
              <w:rPr>
                <w:rFonts w:ascii="Times New Roman" w:hAnsi="Times New Roman"/>
                <w:sz w:val="24"/>
              </w:rPr>
              <w:lastRenderedPageBreak/>
              <w:t>Delegado (UE) 2015/61 da Comissão, caso em que devem ser reportados como «outros depósitos de retalho»; ou</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Estes depósitos não foram recebidos em países terceiros nos quais é aplicada uma saída mais elevada em conformidade com o artigo 25.º, n.º 5, do Regulamento Delegado (UE) 2015/61, caso em que devem ser reportados como «outros depósitos de retalho».</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Designadamente, com uma penalização significativa sujeita a levantamento antecipado</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428.º-J, n.º 3, do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Depósitos de retalho estáveis que podem ser levantados antecipadamente antes de um ano, mediante o pagamento de uma penalização avaliada como significativa nos termos do disposto no artigo 25.</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do Regulamento Delegado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Outros depósitos de retalho</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428.º-M do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o montante dos outros depósitos de retalho não considerados «depósitos de retalho estáveis» para efeitos do elemento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Designadamente, com uma penalização significativa sujeita a levantamento antecipado</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«Outros depósitos de retalho» que podem ser levantados antecipadamente antes de um ano, mediante o pagamento de uma penalização avaliada como significativa em consonância com o disposto no artigo 25.º, n.º 4, do Regulamento Delegado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de outros clientes não financeiros (exceto bancos centrais)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428.º-L do CRR; passivos provenientes de outros clientes não financeiros por grosso (exceto bancos centrais).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aqui a soma dos elementos 2.3.1 a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Designadamente, operações de financiamento através de valores mobiliários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-E, 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 g), e artigo 428.</w:t>
            </w:r>
            <w:r>
              <w:rPr>
                <w:rFonts w:ascii="Times New Roman" w:hAnsi="Times New Roman"/>
                <w:sz w:val="24"/>
                <w:vertAlign w:val="superscript"/>
              </w:rPr>
              <w:t>o</w:t>
            </w:r>
            <w:r>
              <w:rPr>
                <w:rFonts w:ascii="Times New Roman" w:hAnsi="Times New Roman"/>
                <w:sz w:val="24"/>
              </w:rPr>
              <w:t>-S, n.</w:t>
            </w:r>
            <w:r>
              <w:rPr>
                <w:rFonts w:ascii="Times New Roman" w:hAnsi="Times New Roman"/>
                <w:sz w:val="24"/>
                <w:vertAlign w:val="superscript"/>
              </w:rPr>
              <w:t>o</w:t>
            </w:r>
            <w:r>
              <w:rPr>
                <w:rFonts w:ascii="Times New Roman" w:hAnsi="Times New Roman"/>
                <w:sz w:val="24"/>
              </w:rPr>
              <w:t> 1, alínea b), do CRR; o montante reportado no elemento 2.3 relativo a montantes devidos em resultado de operações de financiamento através de valores mobiliários com clientes não financeiros.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Designadamente, depósitos operacionais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O montante reportado no elemento 2.3 que é indicado sob a forma de </w:t>
            </w:r>
            <w:r>
              <w:rPr>
                <w:rFonts w:ascii="Times New Roman" w:hAnsi="Times New Roman"/>
                <w:sz w:val="24"/>
              </w:rPr>
              <w:lastRenderedPageBreak/>
              <w:t>depósitos operacionais e que é obrigatório para a prestação de serviços operacionais nos termos do artigo 27.º do Regulamento Delegado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Passivos provenientes da administração central de um Estado-Membro ou de um país terceiro</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Artigo 428.º-L, alínea b), subalínea i), do CRR; o montante reportado no elemento 2.3 proveniente da administração central de um Estado-Membro ou de um país terceiro.</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Passivos provenientes das administrações regionais ou das autoridades locais de um Estado-Membro ou de um país terceiro</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Artigo 428.º-L, alínea b), subalínea ii), do CRR; o montante reportado no elemento 2.3 proveniente das administrações regionais ou das autoridades locais de um Estado-Membro ou de um país terceiro.</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Passivos provenientes de entidades do setor público de um Estado-Membro ou de um país terceiro</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Artigo 428.º-L, alínea b), subalínea iii), do CRR; o montante reportado no elemento 2.3 proveniente de entidades do setor público de um Estado‑Membro ou de um país terceiro.</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Passivos provenientes de bancos multilaterais de desenvolvimento e de organizações internacionais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Artigo 428.º-L, alínea b), subalínea iv), do CRR; o montante reportado no elemento 2.3 proveniente de bancos multilaterais de desenvolvimento e de organizações internacionais.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Passivos provenientes de clientes empresariais não financeiros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-L, alínea b), subalínea v), do CRR; o montante reportado no elemento 2.3 proveniente de clientes empresariais não financeiros.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Passivos provenientes de cooperativas de crédito, sociedades de investimento pessoais e corretores de depósitos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Artigo 428.º-L, alínea b), subalínea vi), do CRR; o montante reportado no elemento 2.3 proveniente de cooperativas de crédito, sociedades de investimento pessoais e corretores de depósitos.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ASF de passivos e facilidades autorizadas no âmbito de um grupo ou de um sistema de proteção institucional se sujeitos a um tratamento preferencial</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Artigo 428.º-H do CRR As instituições devem reportar aqui o montante dos passivos e das facilidades autorizadas para os quais a autoridade competente </w:t>
            </w:r>
            <w:r>
              <w:rPr>
                <w:rFonts w:ascii="Times New Roman" w:hAnsi="Times New Roman"/>
                <w:sz w:val="24"/>
              </w:rPr>
              <w:lastRenderedPageBreak/>
              <w:t>autorizou a aplicação do tratamento preferencial a que se refere o artigo 428.º-H do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de clientes financeiros e dos bancos centrais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aqui a soma dos elementos reportados em 2.5.1 a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Designadamente, depósitos à ordem efetuados por membros da rede em instituições centrais</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428.º-G do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centrais de um sistema de proteção institucional ou de redes cooperativas devem reportar os depósitos à ordem recebidos de instituições pertencentes a esse sistema de proteção institucional ou rede corporativa que são tratados como ativos líquidos pela instituição depositante de acordo com o artigo 16.º do Regulamento Delegado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Passivos provenientes do BCE ou do banco central de um Estado-Membro</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3, alínea c), subalínea i), e artigo 428.</w:t>
            </w:r>
            <w:r>
              <w:rPr>
                <w:rFonts w:ascii="Times New Roman" w:hAnsi="Times New Roman"/>
                <w:sz w:val="24"/>
                <w:vertAlign w:val="superscript"/>
              </w:rPr>
              <w:t>o</w:t>
            </w:r>
            <w:r>
              <w:rPr>
                <w:rFonts w:ascii="Times New Roman" w:hAnsi="Times New Roman"/>
                <w:sz w:val="24"/>
              </w:rPr>
              <w:t>-L, alínea c), subalínea i), do CRR; passivos provenientes do BCE ou do banco central de um Estado-Membro, independentemente de estarem ou não relacionados com operações de financiamento através de valores mobiliários.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Passivos provenientes do banco central de um país terceiro</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3, alínea c), subalínea ii), e artigo 428.</w:t>
            </w:r>
            <w:r>
              <w:rPr>
                <w:rFonts w:ascii="Times New Roman" w:hAnsi="Times New Roman"/>
                <w:sz w:val="24"/>
                <w:vertAlign w:val="superscript"/>
              </w:rPr>
              <w:t>o</w:t>
            </w:r>
            <w:r>
              <w:rPr>
                <w:rFonts w:ascii="Times New Roman" w:hAnsi="Times New Roman"/>
                <w:sz w:val="24"/>
              </w:rPr>
              <w:t>-L, alínea c), subalínea ii), do CRR; passivos provenientes do banco central de um país terceiro, independentemente de estarem ou não relacionados com operações de financiamento através de valores mobiliários.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Passivos provenientes de clientes financeiros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Artigo 428.º-K, n.º 3, alínea c), subalínea iii), e artigo 428.º-L, alínea c), subalínea iii), do CRR; passivos provenientes de clientes financeiros, independentemente de estarem ou não relacionados com operações de financiamento através de valores mobiliários.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Depósitos operacionais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428.º-L, alínea a), do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As instituições devem reportar aqui a parte dos depósitos operacionais de clientes financeiros, em conformidade com o artigo 27.º do Regulamento Delegado (UE) 2015/61, que é obrigatória para a prestação de serviços operacionais. Os depósitos decorrentes de uma relação bancária correspondente ou da prestação de serviços de corretagem principal devem </w:t>
            </w:r>
            <w:r>
              <w:rPr>
                <w:rFonts w:ascii="Times New Roman" w:hAnsi="Times New Roman"/>
                <w:sz w:val="24"/>
              </w:rPr>
              <w:lastRenderedPageBreak/>
              <w:t>ser considerados depósitos não operacionais, de acordo com o artigo 27.</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5, do Regulamento Delegado (UE) 2015/61, e devem ser reportados no elemento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Os depósitos operacionais na aceção do artigo 27.</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1, alínea c), do Regulamento Delegado (UE) 2015/61 da Comissão não são reportados aqui, mas sim no elemento 2.3. «ASF de outros clientes não financeiros (exceto bancos centrais)».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 parte dos depósitos operacionais que exceda o montante necessário para a prestação de serviços operacionais não é reportada aqui, mas sim no elemento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Depósitos operacionais em excesso</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aqui a parte dos depósitos operacionais de clientes financeiros que exceda a parte obrigatória para a prestação de serviços operacionais.</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Os depósitos operacionais na aceção do artigo 27.</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1, alínea c), do Regulamento Delegado (UE) 2015/61 da Comissão não são reportados aqui, mas sim no elemento 2.3. «ASF de outros clientes não financeiros (exceto bancos centrais)».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Outros passivos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aqui os passivos provenientes de clientes financeiros que não sejam depósitos operacionais cuja contraparte pode ser identificada.</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parte dos depósitos operacionais que exceda a parte obrigatória para a prestação de serviços operacionais não é reportada aqui, mas sim no elemento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de passivos cuja contraparte não pode ser determinada</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3, alínea d), e artigo 428.</w:t>
            </w:r>
            <w:r>
              <w:rPr>
                <w:rFonts w:ascii="Times New Roman" w:hAnsi="Times New Roman"/>
                <w:sz w:val="24"/>
                <w:vertAlign w:val="superscript"/>
              </w:rPr>
              <w:t>o</w:t>
            </w:r>
            <w:r>
              <w:rPr>
                <w:rFonts w:ascii="Times New Roman" w:hAnsi="Times New Roman"/>
                <w:sz w:val="24"/>
              </w:rPr>
              <w:t>-L, alínea d), do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aqui os passivos cuja contraparte não pode ser determinada, incluindo os valores mobiliários emitidos cujo detentor não pode ser identificado.</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de passivos de derivados líquidos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 diferença negativa entre os conjuntos de compensação, calculada nos termos do 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4, do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de passivos interdependentes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As instituições devem reportar aqui os passivos classificados como </w:t>
            </w:r>
            <w:r>
              <w:rPr>
                <w:rFonts w:ascii="Times New Roman" w:hAnsi="Times New Roman"/>
                <w:sz w:val="24"/>
              </w:rPr>
              <w:lastRenderedPageBreak/>
              <w:t>interdependentes em relação a ativos, nos termos do artigo 428.º-F do CRR. As instituições devem reportar aqui a soma dos elementos 2.8.1 a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Poupanças regulamentadas centralizadas</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Passivos associados a poupanças regulamentadas centralizadas que são tratados como interdependentes em relação a ativos, de acordo com 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a), do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Empréstimos de fomento e facilidades de crédito e de liquidez relevantes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Passivos associados a empréstimos de fomento e facilidades de crédito e liquidez classificados como interdependentes em relação a ativos, de acordo com 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b), do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Obrigações cobertas elegíveis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Passivos associados a obrigações cobertas que são tratados como interdependentes em relação a ativos, de acordo com 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c), do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Atividades de compensação de derivados por conta de clientes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Passivos associados a atividades de compensação de derivados por conta de clientes que são tratados como interdependentes em relação a ativos, de acordo com 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d), do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Outros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Passivos que satisfazem todas as condições estabelecidas no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1, do CRR e as condições para serem tratados como interdependentes em relação a ativos, de acordo com 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1.</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de outros passivos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aqui a soma dos elementos reportados em 2.9.1 a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Montantes a pagar à data da negociação</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428.º-K, n.º 3, alínea a), do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aqui os montantes a pagar à data da negociação por aquisições de instrumentos financeiros, moedas estrangeiras e mercadorias cuja liquidação esteja prevista dentro do ciclo de liquidação normal ou do período que seja habitual para a bolsa ou tipo de operações relevante, ou cuja liquidação não tenha sido efetuada, mas ainda seja expectável que venha a ocorrer.</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Passivos por impostos diferidos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428.º-K, n.º 1, alínea a), do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aqui os passivos por impostos deferidos e devem considerar como prazo de vencimento residual a data mais próxima possível em que os seus montantes podem ser realizados.</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Interesses minoritários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w:t>
            </w:r>
            <w:r>
              <w:rPr>
                <w:rFonts w:ascii="Times New Roman" w:hAnsi="Times New Roman"/>
                <w:sz w:val="24"/>
              </w:rPr>
              <w:t> 1, alínea b), do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aqui os interesses minoritários e devem considerar como prazo de vencimento residual o prazo do instrumento.</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Outros passivos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-K, n.</w:t>
            </w:r>
            <w:r>
              <w:rPr>
                <w:rFonts w:ascii="Times New Roman" w:hAnsi="Times New Roman"/>
                <w:sz w:val="24"/>
                <w:vertAlign w:val="superscript"/>
              </w:rPr>
              <w:t>os</w:t>
            </w:r>
            <w:r>
              <w:rPr>
                <w:rFonts w:ascii="Times New Roman" w:hAnsi="Times New Roman"/>
                <w:sz w:val="24"/>
              </w:rPr>
              <w:t> 1 e 3, do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aqui outros passivos, incluindo posições curtas e posições com prazo de vencimento indeterminado.</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450171"/>
      <w:r>
        <w:rPr>
          <w:rFonts w:ascii="Times New Roman" w:hAnsi="Times New Roman"/>
          <w:b/>
          <w:sz w:val="24"/>
        </w:rPr>
        <w:lastRenderedPageBreak/>
        <w:t>PARTE IV: FINANCIAMENTO ESTÁVEL REQUERIDO SIMPLIFICADO</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450172"/>
      <w:r>
        <w:rPr>
          <w:rFonts w:ascii="Times New Roman" w:hAnsi="Times New Roman"/>
          <w:b/>
          <w:sz w:val="24"/>
        </w:rPr>
        <w:t>Observações específicas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As instituições devem reportar na categoria adequada todos os ativos dos quais continuem a ser beneficiárias efetivas, mesmo que estes não sejam contabilizados no respetivo balanço. Os ativos dos quais as instituições não continuem a ser beneficiárias efetivas não são reportados, mesmo que estes ativos sejam contabilizados no respetivo balanço.</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Nos termos do artigo 428.</w:t>
      </w:r>
      <w:r>
        <w:rPr>
          <w:rFonts w:ascii="Times New Roman" w:hAnsi="Times New Roman"/>
          <w:sz w:val="24"/>
          <w:vertAlign w:val="superscript"/>
        </w:rPr>
        <w:t>o</w:t>
      </w:r>
      <w:r>
        <w:rPr>
          <w:rFonts w:ascii="Times New Roman" w:hAnsi="Times New Roman"/>
          <w:sz w:val="24"/>
        </w:rPr>
        <w:t>-AQ do CRR, salvo indicação em contrário na parte VI, título IV, capítulo 7, do mesmo regulamento, o montante de financiamento estável requerido é calculado multiplicando o montante dos ativos e dos elementos extrapatrimoniais pelos fatores de financiamento estável requerido.</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Os ativos que sejam elegíveis como ativos líquidos de elevada qualidade (HQLA) de acordo com o Regulamento Delegado (UE) 2015/61 são reportados como tal, independentemente de satisfazerem ou não os requisitos operacionais a que se refere o artigo 8.º desse regulamento delegado. Esses ativos são reportados em colunas específicas, independentemente do seu prazo de vencimento residual.</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ativos e os elementos extrapatrimoniais não HQLA são reportados com uma desagregação pelo respetivo prazo de vencimento residual, de acordo com o artigo 428.</w:t>
      </w:r>
      <w:r>
        <w:rPr>
          <w:rFonts w:ascii="Times New Roman" w:hAnsi="Times New Roman"/>
          <w:sz w:val="24"/>
          <w:vertAlign w:val="superscript"/>
        </w:rPr>
        <w:t>o</w:t>
      </w:r>
      <w:r>
        <w:rPr>
          <w:rFonts w:ascii="Times New Roman" w:hAnsi="Times New Roman"/>
          <w:sz w:val="24"/>
        </w:rPr>
        <w:t>-AR do CRR. Os escalões de prazo de vencimento dos montantes, os fatores-padrão e os fatores aplicáveis são os seguintes:</w:t>
      </w:r>
    </w:p>
    <w:p w14:paraId="7E776733" w14:textId="77777777" w:rsidR="00A66401" w:rsidRPr="00A0098D" w:rsidRDefault="00A66401" w:rsidP="00A0098D">
      <w:pPr>
        <w:pStyle w:val="InstructionsText2"/>
        <w:numPr>
          <w:ilvl w:val="2"/>
          <w:numId w:val="24"/>
        </w:numPr>
        <w:rPr>
          <w:sz w:val="24"/>
        </w:rPr>
      </w:pPr>
      <w:r>
        <w:rPr>
          <w:sz w:val="24"/>
        </w:rPr>
        <w:t>prazo de vencimento residual inferior a um ano ou sem prazo de vencimento fixo,</w:t>
      </w:r>
    </w:p>
    <w:p w14:paraId="45BEFB0D" w14:textId="77777777" w:rsidR="00A66401" w:rsidRPr="00A0098D" w:rsidRDefault="00A66401" w:rsidP="00A0098D">
      <w:pPr>
        <w:pStyle w:val="InstructionsText2"/>
        <w:numPr>
          <w:ilvl w:val="2"/>
          <w:numId w:val="24"/>
        </w:numPr>
        <w:rPr>
          <w:sz w:val="24"/>
        </w:rPr>
      </w:pPr>
      <w:r>
        <w:rPr>
          <w:sz w:val="24"/>
        </w:rPr>
        <w:t>prazo de vencimento residual igual ou superior a um ano.</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Ao calcularem o prazo de vencimento residual dos ativos e dos elementos extrapatrimoniais não HQLA, as instituições têm em conta as opções, partindo do pressuposto de que o emitente ou a contraparte irá exercer as opções para prorrogar o prazo de vencimento do ativo. Para as opções que possam ser exercidas ao critério da instituição, a instituição e a autoridade competente têm em conta os fatores de reputação que podem limitar a capacidade de a instituição não exercer a opção, em particular as expectativas dos mercados e dos clientes no sentido de as instituições deverem prorrogar o prazo de vencimento de determinados ativos à data do respetivo vencimento.</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Para alguns elementos, as instituições devem reportar os ativos em conformidade com o caráter e/ou o prazo do ónus desses ativos, de acordo com o disposto no artigo 428.</w:t>
      </w:r>
      <w:r>
        <w:rPr>
          <w:rFonts w:ascii="Times New Roman" w:hAnsi="Times New Roman"/>
          <w:sz w:val="24"/>
          <w:vertAlign w:val="superscript"/>
        </w:rPr>
        <w:t>o</w:t>
      </w:r>
      <w:r>
        <w:rPr>
          <w:rFonts w:ascii="Times New Roman" w:hAnsi="Times New Roman"/>
          <w:sz w:val="24"/>
        </w:rPr>
        <w:t>-AQ, n.</w:t>
      </w:r>
      <w:r>
        <w:rPr>
          <w:rFonts w:ascii="Times New Roman" w:hAnsi="Times New Roman"/>
          <w:sz w:val="24"/>
          <w:vertAlign w:val="superscript"/>
        </w:rPr>
        <w:t>os</w:t>
      </w:r>
      <w:r>
        <w:rPr>
          <w:rFonts w:ascii="Times New Roman" w:hAnsi="Times New Roman"/>
          <w:sz w:val="24"/>
        </w:rPr>
        <w:t> 4, 5 e 6, do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O fluxograma de decisão para o modelo de reporte C 82.00 faz parte das instruções para especificar a hierarquia de prioridade dos critérios de avaliação para a afetação de cada elemento reportado, a fim de garantir um reporte homogéneo e comparável. Recorrer ao fluxograma de decisão, por si só, não é suficiente, ou seja, as instituições devem cumprir sempre o resto das instruções. Por razões de simplicidade, o </w:t>
      </w:r>
      <w:r>
        <w:rPr>
          <w:rFonts w:ascii="Times New Roman" w:hAnsi="Times New Roman"/>
          <w:sz w:val="24"/>
        </w:rPr>
        <w:lastRenderedPageBreak/>
        <w:t xml:space="preserve">fluxograma de decisão não tem em conta os totais e os subtotais; contudo, tal não significa que estes não devam também ser comunicados.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Nos termos do artigo 428.º-AQ, n.º 5, do CRR, caso a instituição reutilize ou volte a dar como garantia um ativo que foi tomado de empréstimo, inclusive no âmbito de operações de financiamento através de valores mobiliários, e que seja contabilizado como elemento extrapatrimonial, a operação através da qual o ativo foi tomado de empréstimo é tratada como onerada na medida em que a operação não possa vencer sem que a instituição devolva o ativo tomado de empréstimo.</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Decisão</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Ação</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Conjuntos de compensação de contratos de derivados com um justo valor negativo calculado sem ter em consideração as garantias dadas nem apagamentos e recebimentos de liquidação relativos a variações das avaliações a preços de mercado de tais contratos?</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Um ativo ou um elemento extrapatrimonial dado como margem inicial para contratos de derivados?</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Um ativo ou um elemento extrapatrimonial dado como contribuição para o fundo de proteção de uma CCP?</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Um elemento do qual a instituição continua a ser beneficiária efetiva?</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Um ativo associado a uma garantia dada como margem inicial ou margem de variação para contratos de derivados ou como contribuição para o fundo de proteção de uma CCP?</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Não reportar.</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Ativos não produtivos ou valores mobiliários em incumprimento?</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Montantes a receber à data da negociação?</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Ativos interdependentes?</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Afetar a um elemento relevante do ID 1.5</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Ativos no âmbito de um grupo ou de um sistema de proteção institucional para os quais a autoridade competente autorizou o tratamento preferencial?</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Ativos de bancos centrais?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Afetar a um elemento relevante do ID 1.1</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Ativos líquidos?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Afetar a um elemento relevante dos ID 1.2.1 a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Valores mobiliários na forma de ativos ilíquidos?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Produtos patrimoniais de financiamento de transações?</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Ativos de derivados para efeitos do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Empréstimos?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Empréstimos a clientes não financeiros?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Empréstimos a clientes financeiros?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Não</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Qualquer outro ativo não considerado nas categorias acima?</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Não reportar.</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Uma posição em risco extrapatrimonial?</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Não reportar.</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Exposição não produtiva?</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Facilidades autorizadas?</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Facilidades autorizadas para as quais a autoridade competente autorizou o tratamento preferencial?</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Elemento extrapatrimonial de financiamento de transações?</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Outras posições em risco extrapatrimoniais para as quais a autoridade competente tenha determinado o fator de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Não reportar.</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450173"/>
      <w:r>
        <w:rPr>
          <w:rFonts w:ascii="Times New Roman" w:hAnsi="Times New Roman"/>
          <w:b/>
          <w:sz w:val="24"/>
        </w:rPr>
        <w:t>Instruções relativas a colunas específicas</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Montante dos ativos não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 instituições devem reportar nas colunas 0010-0020, salvo indicação em contrário na parte VI, título IV, capítulo 7, do CRR, o montante dos ativos e dos elementos extrapatrimoniais a que se refere a parte VI, título IV, capítulo 7, secção 2, do mesmo regulamento.</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 montante é reportado nas colunas 0010-0020 quando o elemento correspondente não for elegível como ativo líquido nos termos do Regulamento Delegado (UE) 2015/61, independentemente de satisfazer ou não os requisitos a que se refere o artigo 8.º desse regulamento delegado.</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Montante dos ativos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Ver instruções das colunas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O montante é reportado na coluna 0030 quando o elemento correspondente for elegível como ativo líquido nos termos do Regulamento Delegado (UE) 2015/61, independentemente de satisfazer ou não os requisitos a que se refere o artigo 8.º desse regulamento delegado.</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Fator-padrão de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Parte VI, título IV, capítulo 7, secção 2, do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Nas colunas 0040-0060, os fatores-padrão são os especificados por predefinição na parte VI, título IV, capítulo 7, do CRR, que determinam a parte do montante dos ativos e dos elementos extrapatrimoniais que constitui </w:t>
            </w:r>
            <w:r>
              <w:rPr>
                <w:rFonts w:ascii="Times New Roman" w:hAnsi="Times New Roman"/>
                <w:sz w:val="24"/>
              </w:rPr>
              <w:lastRenderedPageBreak/>
              <w:t>financiamento estável requerido. São fornecidos a título meramente informativo e não têm de ser preenchidos pelas instituições.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Fator de RSF aplicável</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Capítulo 2 e capítulo 7 do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As instituições devem reportar nas colunas 0070-0900 o fator aplicado aos elementos a que se refere a parte VI, título IV, capítulo 7, do CRR. Os fatores aplicáveis podem resultar em valores médios ponderados e devem ser comunicados em termos decimais (ou seja, 1,00 para um ponderador aplicável de 100 por cento, ou 0,50 para um ponderador aplicável de 50 por cento). Os fatores aplicáveis podem refletir, mas não se limitam a, prerrogativas específicas das empresas e autoridades nacionais.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Financiamento estável requerido:</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As instituições devem reportar na coluna 0100 o financiamento estável requerido de acordo com a parte VI, título IV, capítulo 7, do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Este valor é calculado através da seguinte fórmula:</w:t>
            </w:r>
            <w:r>
              <w:rPr>
                <w:rFonts w:ascii="Times New Roman" w:hAnsi="Times New Roman"/>
                <w:sz w:val="24"/>
              </w:rPr>
              <w:br/>
              <w:t>c0100 = SOMA (c0010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450174"/>
      <w:r>
        <w:rPr>
          <w:rFonts w:ascii="Times New Roman" w:hAnsi="Times New Roman"/>
          <w:b/>
          <w:sz w:val="24"/>
        </w:rPr>
        <w:t>Instruções relativas a linhas específicas</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FINANCIAMENTO ESTÁVEL REQUERIDO</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 instituições devem reportar aqui os elementos sujeitos ao fator de financiamento estável requerido, de acordo com a parte VI, título IV, capítulo 7, do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de ativos de bancos centrais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-AS, n.</w:t>
            </w:r>
            <w:r>
              <w:rPr>
                <w:rFonts w:ascii="Times New Roman" w:hAnsi="Times New Roman"/>
                <w:sz w:val="24"/>
                <w:vertAlign w:val="superscript"/>
              </w:rPr>
              <w:t>o</w:t>
            </w:r>
            <w:r>
              <w:rPr>
                <w:rFonts w:ascii="Times New Roman" w:hAnsi="Times New Roman"/>
                <w:sz w:val="24"/>
              </w:rPr>
              <w:t> 1, alíneas b) e c), e artigo 428.</w:t>
            </w:r>
            <w:r>
              <w:rPr>
                <w:rFonts w:ascii="Times New Roman" w:hAnsi="Times New Roman"/>
                <w:sz w:val="24"/>
                <w:vertAlign w:val="superscript"/>
              </w:rPr>
              <w:t>o</w:t>
            </w:r>
            <w:r>
              <w:rPr>
                <w:rFonts w:ascii="Times New Roman" w:hAnsi="Times New Roman"/>
                <w:sz w:val="24"/>
              </w:rPr>
              <w:t>-AD, alínea d), do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os ativos de bancos centrais.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Pode ser aplicado um fator de RSF reduzido, de acordo com o artigo 428.</w:t>
            </w:r>
            <w:r>
              <w:rPr>
                <w:rFonts w:ascii="Times New Roman" w:hAnsi="Times New Roman"/>
                <w:sz w:val="24"/>
                <w:vertAlign w:val="superscript"/>
              </w:rPr>
              <w:t>o</w:t>
            </w:r>
            <w:r>
              <w:rPr>
                <w:rFonts w:ascii="Times New Roman" w:hAnsi="Times New Roman"/>
                <w:sz w:val="24"/>
              </w:rPr>
              <w:t>-AQ, n.</w:t>
            </w:r>
            <w:r>
              <w:rPr>
                <w:rFonts w:ascii="Times New Roman" w:hAnsi="Times New Roman"/>
                <w:sz w:val="24"/>
                <w:vertAlign w:val="superscript"/>
              </w:rPr>
              <w:t>o</w:t>
            </w:r>
            <w:r>
              <w:rPr>
                <w:rFonts w:ascii="Times New Roman" w:hAnsi="Times New Roman"/>
                <w:sz w:val="24"/>
              </w:rPr>
              <w:t> 7, do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Numerário, reservas e exposições de ativos HQLA sobre bancos centrais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As instituições devem reportar aqui o numerário e as reservas detidas em bancos centrais, incluindo as reservas excedentárias. As instituições também devem reportar aqui as exposições sobre bancos centrais que sejam consideradas ativos líquidos nos termos do Regulamento Delegado (UE) 2015/61, independentemente de satisfazerem ou não os requisitos </w:t>
            </w:r>
            <w:r>
              <w:rPr>
                <w:rFonts w:ascii="Times New Roman" w:hAnsi="Times New Roman"/>
                <w:sz w:val="24"/>
              </w:rPr>
              <w:lastRenderedPageBreak/>
              <w:t>operacionais a que se refere o artigo 8.º desse regulamento delegado.</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reservas mínimas que não sejam consideradas ativos líquidos nos termos do Regulamento Delegado (UE) 2015/61 devem ser reportadas na coluna pertinente relativa aos ativos não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Outras exposições de ativos não HQLA sobre bancos centrais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aqui os créditos sobre bancos centrais não reportados no elemento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de ativos líquidos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Artigos 428.º-AR a 428.º-AV e artigo 428.º-AX do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instituições devem reportar aqui os ativos líquidos nos termos do Regulamento Delegado (UE) 2015/61, independentemente de estes satisfazerem ou não os requisitos operacionais a que se refere o artigo 8.º desse regulamento delegado.</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Ativos de nível 1 elegíveis para uma margem de avaliação do LCR de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As instituições devem reportar aqui os ativos que sejam elegíveis como ativos de nível 1 nos termos do artigo 10.º do Regulamento Delegado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Não onerados ou onerados por um prazo de vencimento residual inferior a seis meses</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1.2.1 relativo a ativos não onerados ou onerados por um prazo de vencimento residual inferior a seis meses.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Onerados por um prazo de vencimento residual igual ou superior a seis meses mas inferior a um ano</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1.2.1 relativo a ativos onerados por um prazo de vencimento residual igual ou superior a seis meses mas inferior a um ano.</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Onerados por um prazo de vencimento residual igual ou superior a um ano</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1.2.1 relativo a ativos onerados por um prazo de vencimento residual igual ou superior a um ano.</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Ativos de nível 1 elegíveis para uma margem de avaliação do LCR de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As instituições devem reportar aqui os ativos de nível 1 que sejam elegíveis para uma margem de avaliação de 7 % nos termos do Regulamento Delegado </w:t>
            </w:r>
            <w:r>
              <w:rPr>
                <w:rFonts w:ascii="Times New Roman" w:hAnsi="Times New Roman"/>
                <w:sz w:val="24"/>
              </w:rPr>
              <w:lastRenderedPageBreak/>
              <w:t>(UE) 2015/61, bem como as ações ou unidades de participação em OIC que sejam elegíveis para uma margem de avaliação de 5 % nos termos desse regulamento delegado.</w:t>
            </w:r>
            <w:r>
              <w:rPr>
                <w:rFonts w:ascii="Times New Roman" w:hAnsi="Times New Roman"/>
                <w:sz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Não onerados ou onerados por um prazo de vencimento residual inferior a seis meses</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1.2.2 relativo a ativos não onerados ou onerados por um prazo de vencimento residual inferior a seis meses.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Onerados por um prazo de vencimento residual igual ou superior a seis meses mas inferior a um ano</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1.2.2 relativo a ativos onerados por um prazo de vencimento residual igual ou superior a seis meses mas inferior a um ano.</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Onerados por um prazo de vencimento residual igual ou superior a um ano</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no elemento 1.2.2 relativo a ativos onerados por um prazo de vencimento residual igual ou superior a um ano.</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Ativos de nível 2A elegíveis para uma margem de avaliação do LCR de 15 % e ações ou unidades de participação em OIC elegíveis para margens de avaliação do LCR de 0 % a 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As instituições devem reportar aqui os ativos que sejam elegíveis como ativos de nível 2A nos termos do Regulamento Delegado (UE) 2015/61, bem como as ações ou unidades de participação em OIC que sejam elegíveis para margens de avaliação do LCR de 0 % a 20 % nos termos desse regulamento delegado.</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Não onerados ou onerados por um prazo de vencimento residual inferior a seis meses</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 montante reportado em 1.2.5 relativo a ativos não onerados ou onerados por um prazo de vencimento residual inferior a seis meses.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Onerados por um prazo de vencimento residual igual ou superior a seis meses mas inferior a um ano</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1.2.5 relativo a ativos onerados por um prazo de vencimento residual igual ou superior a seis meses mas inferior a um ano.</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Onerados por um prazo de vencimento residual igual ou superior a um ano</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O montante reportado em 1.2.5 relativo a ativos onerados por um prazo de </w:t>
            </w:r>
            <w:r>
              <w:rPr>
                <w:rFonts w:ascii="Times New Roman" w:hAnsi="Times New Roman"/>
                <w:sz w:val="24"/>
              </w:rPr>
              <w:lastRenderedPageBreak/>
              <w:t>vencimento residual igual ou superior a um ano.</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Ativos de nível 2B elegíveis para uma margem de avaliação do LCR de 25 % e ações ou unidades de participação em OIC elegíveis para margens de avaliação de 30 % a 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As instituições devem reportar aqui os ativos de nível 2B que sejam elegíveis para uma margem de avaliação de 25 % nos termos do Regulamento Delegado (UE) 2015/61, bem como as ações ou unidades de participação em OIC que sejam elegíveis para margens de avaliação de 30 % a 55 % nos termos desse regulamento delegado.</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Ativos não onerados ou onerados por um prazo de vencimento residual inferior a um ano</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1.2.4 relativo a ativos não onerados ou onerados por um prazo de vencimento residual inferior a um ano.</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Onerados por um prazo de vencimento residual igual ou superior a um ano</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em 1.2.4 relativo a ativos onerados por um prazo de vencimento residual igual ou superior a um ano.</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de valores mobiliários (exceto ativos líquidos)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-AW, alínea b), artigo 428.</w:t>
            </w:r>
            <w:r>
              <w:rPr>
                <w:rFonts w:ascii="Times New Roman" w:hAnsi="Times New Roman"/>
                <w:sz w:val="24"/>
                <w:vertAlign w:val="superscript"/>
              </w:rPr>
              <w:t>o</w:t>
            </w:r>
            <w:r>
              <w:rPr>
                <w:rFonts w:ascii="Times New Roman" w:hAnsi="Times New Roman"/>
                <w:sz w:val="24"/>
              </w:rPr>
              <w:t>-AY, alínea d) e artigo 428.</w:t>
            </w:r>
            <w:r>
              <w:rPr>
                <w:rFonts w:ascii="Times New Roman" w:hAnsi="Times New Roman"/>
                <w:sz w:val="24"/>
                <w:vertAlign w:val="superscript"/>
              </w:rPr>
              <w:t>o</w:t>
            </w:r>
            <w:r>
              <w:rPr>
                <w:rFonts w:ascii="Times New Roman" w:hAnsi="Times New Roman"/>
                <w:sz w:val="24"/>
              </w:rPr>
              <w:t>-AZ, n.</w:t>
            </w:r>
            <w:r>
              <w:rPr>
                <w:rFonts w:ascii="Times New Roman" w:hAnsi="Times New Roman"/>
                <w:sz w:val="24"/>
                <w:vertAlign w:val="superscript"/>
              </w:rPr>
              <w:t>o</w:t>
            </w:r>
            <w:r>
              <w:rPr>
                <w:rFonts w:ascii="Times New Roman" w:hAnsi="Times New Roman"/>
                <w:sz w:val="24"/>
              </w:rPr>
              <w:t> 1, alínea b), do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os valores mobiliários que não estejam em incumprimento nos termos do artigo 178.º do CRR e que não sejam ativos líquidos nos termos do Regulamento Delegado (UE) 2015/61, independentemente de estes satisfazerem ou não os requisitos operacionais aí estabelecidos.</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Ativos não onerados ou onerados por um prazo de vencimento residual inferior a um ano</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1.3 relativo a ativos não onerados ou onerados por um prazo de vencimento residual inferior a um ano.</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Onerados por um prazo de vencimento residual igual ou superior a um ano</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1.3 relativo a ativos onerados por um prazo de vencimento residual igual ou superior a um ano.</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de empréstimos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As instituições devem reportar aqui os montantes devidos em resultado de </w:t>
            </w:r>
            <w:r>
              <w:rPr>
                <w:rFonts w:ascii="Times New Roman" w:hAnsi="Times New Roman"/>
                <w:sz w:val="24"/>
              </w:rPr>
              <w:lastRenderedPageBreak/>
              <w:t>empréstimos que não estejam em incumprimento nos termos do artigo 178.º do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Nos termos do artigo 428.º-AR, n.º 4, do CRR, para a amortização de empréstimos com prazo de vencimento contratual residual igual ou superior a um ano, qualquer parte que vença dentro de menos de seis meses e qualquer parte que vença entre seis meses e menos de um ano é tratada, respetivamente, como tendo um prazo de vencimento residual inferior a seis meses e igual ou superior a seis meses e inferior a um ano.</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Empréstimos a clientes não financeiros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O montante reportado no elemento 1.4 relativo a empréstimos a clientes não financeiros.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Não onerados ou onerados por um prazo de vencimento residual inferior a um ano</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428.º-AW, alínea a), e artigo 428.º-AY, alínea b), do CRR; o montante reportado no elemento 1.4.1 relativo a ativos não onerados ou onerados por um prazo de vencimento residual inferior a um ano.</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Onerados por um prazo de vencimento residual igual ou superior a um ano</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-AZ, n.</w:t>
            </w:r>
            <w:r>
              <w:rPr>
                <w:rFonts w:ascii="Times New Roman" w:hAnsi="Times New Roman"/>
                <w:sz w:val="24"/>
                <w:vertAlign w:val="superscript"/>
              </w:rPr>
              <w:t>o</w:t>
            </w:r>
            <w:r>
              <w:rPr>
                <w:rFonts w:ascii="Times New Roman" w:hAnsi="Times New Roman"/>
                <w:sz w:val="24"/>
              </w:rPr>
              <w:t> 1, alínea b), do CRR; o montante reportado no elemento 1.4.1 relativo a ativos onerados por um prazo de vencimento residual igual ou superior a um ano.</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Empréstimos a clientes financeiros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1.4 relativo a empréstimos a clientes financeiros.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Não onerados ou onerados por um prazo de vencimento residual inferior a um ano</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-AW, alínea a) e artigo 428.</w:t>
            </w:r>
            <w:r>
              <w:rPr>
                <w:rFonts w:ascii="Times New Roman" w:hAnsi="Times New Roman"/>
                <w:sz w:val="24"/>
                <w:vertAlign w:val="superscript"/>
              </w:rPr>
              <w:t>o</w:t>
            </w:r>
            <w:r>
              <w:rPr>
                <w:rFonts w:ascii="Times New Roman" w:hAnsi="Times New Roman"/>
                <w:sz w:val="24"/>
              </w:rPr>
              <w:t>-AZ, n.</w:t>
            </w:r>
            <w:r>
              <w:rPr>
                <w:rFonts w:ascii="Times New Roman" w:hAnsi="Times New Roman"/>
                <w:sz w:val="24"/>
                <w:vertAlign w:val="superscript"/>
              </w:rPr>
              <w:t>o</w:t>
            </w:r>
            <w:r>
              <w:rPr>
                <w:rFonts w:ascii="Times New Roman" w:hAnsi="Times New Roman"/>
                <w:sz w:val="24"/>
              </w:rPr>
              <w:t> 1, alínea b), do CRR; o montante reportado no elemento 1.4.2 relativo a ativos não onerados ou onerados por um prazo de vencimento residual inferior a um ano.</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Onerados por um prazo de vencimento residual igual ou superior a um ano</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-AZ, n.</w:t>
            </w:r>
            <w:r>
              <w:rPr>
                <w:rFonts w:ascii="Times New Roman" w:hAnsi="Times New Roman"/>
                <w:sz w:val="24"/>
                <w:vertAlign w:val="superscript"/>
              </w:rPr>
              <w:t>o</w:t>
            </w:r>
            <w:r>
              <w:rPr>
                <w:rFonts w:ascii="Times New Roman" w:hAnsi="Times New Roman"/>
                <w:sz w:val="24"/>
              </w:rPr>
              <w:t> 1, alínea b), do CRR; o montante reportado no elemento 1.4.2 relativo a ativos onerados por um prazo de vencimento residual igual ou superior a um ano.</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Produtos patrimoniais de financiamento de transações</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Artigo 428.º-AW, alínea b) e artigo 428.º-AY, alínea c), do CRR; o montante reportado no elemento 1.4 resultante de produtos patrimoniais de financiamento de transações.</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de ativos interdependentes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-F e artigo 428.</w:t>
            </w:r>
            <w:r>
              <w:rPr>
                <w:rFonts w:ascii="Times New Roman" w:hAnsi="Times New Roman"/>
                <w:sz w:val="24"/>
                <w:vertAlign w:val="superscript"/>
              </w:rPr>
              <w:t>o</w:t>
            </w:r>
            <w:r>
              <w:rPr>
                <w:rFonts w:ascii="Times New Roman" w:hAnsi="Times New Roman"/>
                <w:sz w:val="24"/>
              </w:rPr>
              <w:t>-R, n.</w:t>
            </w:r>
            <w:r>
              <w:rPr>
                <w:rFonts w:ascii="Times New Roman" w:hAnsi="Times New Roman"/>
                <w:sz w:val="24"/>
                <w:vertAlign w:val="superscript"/>
              </w:rPr>
              <w:t>o</w:t>
            </w:r>
            <w:r>
              <w:rPr>
                <w:rFonts w:ascii="Times New Roman" w:hAnsi="Times New Roman"/>
                <w:sz w:val="24"/>
              </w:rPr>
              <w:t> 1, alínea f), do CRR; as instituições devem reportar aqui os ativos classificados como interdependentes em relação a passivos, nos termos do artigo 428.º-F do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de ativos no âmbito de um grupo ou de um sistema de proteção institucional se sujeitos a um tratamento preferencial</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os ativos para os quais a autoridade competente autorizou a aplicação do tratamento preferencial a que se refere o artigo 428.º-H do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de derivados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-D, artigo 428.</w:t>
            </w:r>
            <w:r>
              <w:rPr>
                <w:rFonts w:ascii="Times New Roman" w:hAnsi="Times New Roman"/>
                <w:sz w:val="24"/>
                <w:vertAlign w:val="superscript"/>
              </w:rPr>
              <w:t>o</w:t>
            </w:r>
            <w:r>
              <w:rPr>
                <w:rFonts w:ascii="Times New Roman" w:hAnsi="Times New Roman"/>
                <w:sz w:val="24"/>
              </w:rPr>
              <w:t>-AT, n.</w:t>
            </w:r>
            <w:r>
              <w:rPr>
                <w:rFonts w:ascii="Times New Roman" w:hAnsi="Times New Roman"/>
                <w:sz w:val="24"/>
                <w:vertAlign w:val="superscript"/>
              </w:rPr>
              <w:t>o</w:t>
            </w:r>
            <w:r>
              <w:rPr>
                <w:rFonts w:ascii="Times New Roman" w:hAnsi="Times New Roman"/>
                <w:sz w:val="24"/>
              </w:rPr>
              <w:t> 2, artigo 428.</w:t>
            </w:r>
            <w:r>
              <w:rPr>
                <w:rFonts w:ascii="Times New Roman" w:hAnsi="Times New Roman"/>
                <w:sz w:val="24"/>
                <w:vertAlign w:val="superscript"/>
              </w:rPr>
              <w:t>o</w:t>
            </w:r>
            <w:r>
              <w:rPr>
                <w:rFonts w:ascii="Times New Roman" w:hAnsi="Times New Roman"/>
                <w:sz w:val="24"/>
              </w:rPr>
              <w:t>-AY, alínea a) e artigo 428.</w:t>
            </w:r>
            <w:r>
              <w:rPr>
                <w:rFonts w:ascii="Times New Roman" w:hAnsi="Times New Roman"/>
                <w:sz w:val="24"/>
                <w:vertAlign w:val="superscript"/>
              </w:rPr>
              <w:t>o</w:t>
            </w:r>
            <w:r>
              <w:rPr>
                <w:rFonts w:ascii="Times New Roman" w:hAnsi="Times New Roman"/>
                <w:sz w:val="24"/>
              </w:rPr>
              <w:t>-AZ, n.</w:t>
            </w:r>
            <w:r>
              <w:rPr>
                <w:rFonts w:ascii="Times New Roman" w:hAnsi="Times New Roman"/>
                <w:sz w:val="24"/>
                <w:vertAlign w:val="superscript"/>
              </w:rPr>
              <w:t>o</w:t>
            </w:r>
            <w:r>
              <w:rPr>
                <w:rFonts w:ascii="Times New Roman" w:hAnsi="Times New Roman"/>
                <w:sz w:val="24"/>
              </w:rPr>
              <w:t> 2, do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 montante de financiamento estável requerido resultante de derivados.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Financiamento estável requerido para passivos derivados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428.º-AT, n.º 2, do CRR; o montante reportado no elemento 1.7 correspondente ao justo valor absoluto dos conjuntos de compensação com um justo valor negativo calculado de acordo com o artigo 428.</w:t>
            </w:r>
            <w:r>
              <w:rPr>
                <w:rFonts w:ascii="Times New Roman" w:hAnsi="Times New Roman"/>
                <w:sz w:val="24"/>
                <w:vertAlign w:val="superscript"/>
              </w:rPr>
              <w:t>o</w:t>
            </w:r>
            <w:r>
              <w:rPr>
                <w:rFonts w:ascii="Times New Roman" w:hAnsi="Times New Roman"/>
                <w:sz w:val="24"/>
              </w:rPr>
              <w:t>-AT, n.</w:t>
            </w:r>
            <w:r>
              <w:rPr>
                <w:rFonts w:ascii="Times New Roman" w:hAnsi="Times New Roman"/>
                <w:sz w:val="24"/>
                <w:vertAlign w:val="superscript"/>
              </w:rPr>
              <w:t>o</w:t>
            </w:r>
            <w:r>
              <w:rPr>
                <w:rFonts w:ascii="Times New Roman" w:hAnsi="Times New Roman"/>
                <w:sz w:val="24"/>
              </w:rPr>
              <w:t> 2, do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Ativos de derivados para efeitos do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428.º-D; o montante reportado no elemento 1.7, calculado como a diferença positiva entre os conjuntos de compensação calculados de acordo com o artigo 428.</w:t>
            </w:r>
            <w:r>
              <w:rPr>
                <w:rFonts w:ascii="Times New Roman" w:hAnsi="Times New Roman"/>
                <w:sz w:val="24"/>
                <w:vertAlign w:val="superscript"/>
              </w:rPr>
              <w:t>o</w:t>
            </w:r>
            <w:r>
              <w:rPr>
                <w:rFonts w:ascii="Times New Roman" w:hAnsi="Times New Roman"/>
                <w:sz w:val="24"/>
              </w:rPr>
              <w:t>-AZ, n.</w:t>
            </w:r>
            <w:r>
              <w:rPr>
                <w:rFonts w:ascii="Times New Roman" w:hAnsi="Times New Roman"/>
                <w:sz w:val="24"/>
                <w:vertAlign w:val="superscript"/>
              </w:rPr>
              <w:t>o</w:t>
            </w:r>
            <w:r>
              <w:rPr>
                <w:rFonts w:ascii="Times New Roman" w:hAnsi="Times New Roman"/>
                <w:sz w:val="24"/>
              </w:rPr>
              <w:t> 2, do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Margem inicial dada</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428.º-AY, alínea a), do CRR; o montante reportado no elemento 1.7 relativo à margem inicial para contratos de derivados.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de contribuições para o fundo de proteção de uma CCP</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428.º-AY, alínea a), do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As instituições devem reportar aqui os elementos dados como contribuição para o fundo de proteção de uma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de outros ativos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quaisquer ativos não referidos nos elementos 1.1 a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de elementos extrapatrimoniais</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As instituições devem reportar aqui o montante dos elementos extrapatrimoniais não referidos nos elementos 1.1 a 1.8 que estejam sujeitos aos requisitos de financiamento estável requerido.</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Facilidades autorizadas no âmbito de um grupo ou de um sistema de proteção institucional se sujeitas a um tratamento preferencial</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1.10 relativo a facilidades autorizadas para as quais a autoridade competente autorizou a aplicação do tratamento preferencial a que se refere o artigo 428.º-H do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Facilidades autorizadas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Artigo 428.º-AT, n.º 1, do CRR; o montante reportado no elemento 1.10 correspondente a facilidades autorizadas nos termos do Regulamento Delegado (UE) 2015/61 não consideradas no elemento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Elementos extrapatrimoniais de financiamento de transações</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Artigo 428.º-AU, alínea b), do CRR; o montante reportado no elemento 1.10 correspondente a produtos extrapatrimoniais relacionados com o financiamento de transações a que se refere o anexo I do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Elementos extrapatrimoniais não produtivos</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 montante reportado no elemento 1.10 relativo a exposições não produtivas.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Outras posições em risco extrapatrimoniais determinadas pelas autoridades competentes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O montante reportado no elemento 1.10 correspondente a posições em risco extrapatrimoniais para as quais a autoridade competente tenha determinado fatores de RSF nos termos do artigo 428.</w:t>
            </w:r>
            <w:r>
              <w:rPr>
                <w:rFonts w:ascii="Times New Roman" w:hAnsi="Times New Roman"/>
                <w:sz w:val="24"/>
                <w:vertAlign w:val="superscript"/>
              </w:rPr>
              <w:t>o</w:t>
            </w:r>
            <w:r>
              <w:rPr>
                <w:rFonts w:ascii="Times New Roman" w:hAnsi="Times New Roman"/>
                <w:sz w:val="24"/>
              </w:rPr>
              <w:t>-AQ, n.</w:t>
            </w:r>
            <w:r>
              <w:rPr>
                <w:rFonts w:ascii="Times New Roman" w:hAnsi="Times New Roman"/>
                <w:sz w:val="24"/>
                <w:vertAlign w:val="superscript"/>
              </w:rPr>
              <w:t>o</w:t>
            </w:r>
            <w:r>
              <w:rPr>
                <w:rFonts w:ascii="Times New Roman" w:hAnsi="Times New Roman"/>
                <w:sz w:val="24"/>
              </w:rPr>
              <w:t> 10, do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450175"/>
      <w:r>
        <w:rPr>
          <w:rFonts w:ascii="Times New Roman" w:hAnsi="Times New Roman"/>
          <w:b/>
          <w:sz w:val="24"/>
        </w:rPr>
        <w:lastRenderedPageBreak/>
        <w:t>PARTE V: FINANCIAMENTO ESTÁVEL DISPONÍVEL SIMPLIFICADO</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450176"/>
      <w:r>
        <w:rPr>
          <w:rFonts w:ascii="Times New Roman" w:hAnsi="Times New Roman"/>
          <w:b/>
          <w:sz w:val="24"/>
        </w:rPr>
        <w:t>Observações específicas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passivos e fundos próprios devem ser reportados com uma desagregação por prazo de vencimento contratual residual, de acordo com o artigo 428.</w:t>
      </w:r>
      <w:r>
        <w:rPr>
          <w:rFonts w:ascii="Times New Roman" w:hAnsi="Times New Roman"/>
          <w:sz w:val="24"/>
          <w:vertAlign w:val="superscript"/>
        </w:rPr>
        <w:t>o</w:t>
      </w:r>
      <w:r>
        <w:rPr>
          <w:rFonts w:ascii="Times New Roman" w:hAnsi="Times New Roman"/>
          <w:sz w:val="24"/>
        </w:rPr>
        <w:t xml:space="preserve">-AK do CRR. Os escalões de prazo de vencimento dos montantes, os fatores-padrão de financiamento estável disponível (ASF, </w:t>
      </w:r>
      <w:r>
        <w:rPr>
          <w:rFonts w:ascii="Times New Roman" w:hAnsi="Times New Roman"/>
          <w:i/>
          <w:iCs/>
          <w:sz w:val="24"/>
        </w:rPr>
        <w:t>available stable funding</w:t>
      </w:r>
      <w:r>
        <w:rPr>
          <w:rFonts w:ascii="Times New Roman" w:hAnsi="Times New Roman"/>
          <w:sz w:val="24"/>
        </w:rPr>
        <w:t>) e os fatores de ASF aplicáveis são os seguintes:</w:t>
      </w:r>
    </w:p>
    <w:p w14:paraId="089E7122" w14:textId="77777777" w:rsidR="00676422" w:rsidRPr="00A0098D" w:rsidRDefault="00676422" w:rsidP="00A0098D">
      <w:pPr>
        <w:pStyle w:val="InstructionsText2"/>
        <w:numPr>
          <w:ilvl w:val="2"/>
          <w:numId w:val="24"/>
        </w:numPr>
        <w:rPr>
          <w:sz w:val="24"/>
        </w:rPr>
      </w:pPr>
      <w:r>
        <w:rPr>
          <w:sz w:val="24"/>
        </w:rPr>
        <w:t>prazo de vencimento residual inferior a um ano ou sem prazo de vencimento fixo,</w:t>
      </w:r>
    </w:p>
    <w:p w14:paraId="4166EC4F" w14:textId="77777777" w:rsidR="00676422" w:rsidRPr="00A0098D" w:rsidRDefault="00676422" w:rsidP="00A0098D">
      <w:pPr>
        <w:pStyle w:val="InstructionsText2"/>
        <w:numPr>
          <w:ilvl w:val="2"/>
          <w:numId w:val="24"/>
        </w:numPr>
        <w:rPr>
          <w:sz w:val="24"/>
        </w:rPr>
      </w:pPr>
      <w:r>
        <w:rPr>
          <w:sz w:val="24"/>
        </w:rPr>
        <w:t>prazo de vencimento residual igual ou superior a um ano.</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passivos com um prazo de vencimento residual igual ou superior a um ano ficam sujeitos a um fator de ASF de 100 %, salvo indicação em contrário nos artigos 428.</w:t>
      </w:r>
      <w:r>
        <w:rPr>
          <w:rFonts w:ascii="Times New Roman" w:hAnsi="Times New Roman"/>
          <w:sz w:val="24"/>
          <w:vertAlign w:val="superscript"/>
        </w:rPr>
        <w:t>o</w:t>
      </w:r>
      <w:r>
        <w:rPr>
          <w:rFonts w:ascii="Times New Roman" w:hAnsi="Times New Roman"/>
          <w:sz w:val="24"/>
        </w:rPr>
        <w:t>-AL a 428.</w:t>
      </w:r>
      <w:r>
        <w:rPr>
          <w:rFonts w:ascii="Times New Roman" w:hAnsi="Times New Roman"/>
          <w:sz w:val="24"/>
          <w:vertAlign w:val="superscript"/>
        </w:rPr>
        <w:t>o</w:t>
      </w:r>
      <w:r>
        <w:rPr>
          <w:rFonts w:ascii="Times New Roman" w:hAnsi="Times New Roman"/>
          <w:sz w:val="24"/>
        </w:rPr>
        <w:t>-AO do CRR, de acordo com o artigo 428.</w:t>
      </w:r>
      <w:r>
        <w:rPr>
          <w:rFonts w:ascii="Times New Roman" w:hAnsi="Times New Roman"/>
          <w:sz w:val="24"/>
          <w:vertAlign w:val="superscript"/>
        </w:rPr>
        <w:t>o</w:t>
      </w:r>
      <w:r>
        <w:rPr>
          <w:rFonts w:ascii="Times New Roman" w:hAnsi="Times New Roman"/>
          <w:sz w:val="24"/>
        </w:rPr>
        <w:t>-AP do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Todos os depósitos à ordem devem ser reportados na escala de prazos referente aos passivos com um prazo de vencimento residual inferior a um ano.</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w:t>
      </w:r>
      <w:r>
        <w:rPr>
          <w:rFonts w:ascii="Times New Roman" w:hAnsi="Times New Roman"/>
          <w:sz w:val="24"/>
          <w:vertAlign w:val="superscript"/>
        </w:rPr>
        <w:t>o</w:t>
      </w:r>
      <w:r>
        <w:rPr>
          <w:rFonts w:ascii="Times New Roman" w:hAnsi="Times New Roman"/>
          <w:sz w:val="24"/>
        </w:rPr>
        <w:t>-AK, n.</w:t>
      </w:r>
      <w:r>
        <w:rPr>
          <w:rFonts w:ascii="Times New Roman" w:hAnsi="Times New Roman"/>
          <w:sz w:val="24"/>
          <w:vertAlign w:val="superscript"/>
        </w:rPr>
        <w:t>o</w:t>
      </w:r>
      <w:r>
        <w:rPr>
          <w:rFonts w:ascii="Times New Roman" w:hAnsi="Times New Roman"/>
          <w:sz w:val="24"/>
        </w:rPr>
        <w:t> 2, do CRR, as instituições têm em conta as opções existentes para determinar o prazo de vencimento residual dos passivos ou dos fundos próprios. Devem fazê-lo partindo do pressuposto de que a contraparte exercerá as opções de compra na data mais próxima possível. Para as opções que possam ser exercidas ao critério da instituição, a instituição e as autoridades competentes têm em conta os fatores de reputação que podem limitar a capacidade de a instituição não exercer a opção, em particular as expectativas do mercado no sentido de as instituições deverem resgatar determinados passivos antes do termo do respetivo prazo de vencimento.</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Além disso, conforme estabelecido no artigo 428.</w:t>
      </w:r>
      <w:r>
        <w:rPr>
          <w:rFonts w:ascii="Times New Roman" w:hAnsi="Times New Roman"/>
          <w:sz w:val="24"/>
          <w:vertAlign w:val="superscript"/>
        </w:rPr>
        <w:t>o</w:t>
      </w:r>
      <w:r>
        <w:rPr>
          <w:rFonts w:ascii="Times New Roman" w:hAnsi="Times New Roman"/>
          <w:sz w:val="24"/>
        </w:rPr>
        <w:t>-AP do CRR, os elementos de fundos próprios adicionais de nível 1, os elementos de fundos próprios de nível 2 e quaisquer outros instrumentos de fundos próprios com opções explícitas ou embutidas que, se exercidas (mesmo que ainda não estejam exercidas na data de referência do reporte), reduziriam o prazo de vencimento residual efetivo na data de referência do reporte para menos de um ano, não recebem um fator de ASF de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w:t>
      </w:r>
      <w:r>
        <w:rPr>
          <w:rFonts w:ascii="Times New Roman" w:hAnsi="Times New Roman"/>
          <w:sz w:val="24"/>
          <w:vertAlign w:val="superscript"/>
        </w:rPr>
        <w:t>o</w:t>
      </w:r>
      <w:r>
        <w:rPr>
          <w:rFonts w:ascii="Times New Roman" w:hAnsi="Times New Roman"/>
          <w:sz w:val="24"/>
        </w:rPr>
        <w:t>-AK, n.</w:t>
      </w:r>
      <w:r>
        <w:rPr>
          <w:rFonts w:ascii="Times New Roman" w:hAnsi="Times New Roman"/>
          <w:sz w:val="24"/>
          <w:vertAlign w:val="superscript"/>
        </w:rPr>
        <w:t>o</w:t>
      </w:r>
      <w:r>
        <w:rPr>
          <w:rFonts w:ascii="Times New Roman" w:hAnsi="Times New Roman"/>
          <w:sz w:val="24"/>
        </w:rPr>
        <w:t xml:space="preserve"> 3, do CRR, as instituições tratam os depósitos com prazos de pré-aviso fixo de acordo com o respetivo prazo de pré-aviso e os depósitos a prazo de acordo com o respetivo prazo de vencimento residual. </w:t>
      </w:r>
      <w:r>
        <w:t>Em derrogação do n.º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t>, para determinarem o prazo de vencimento residual dos depósitos de retalho a prazo, as instituições não podem ter em conta as opções de levantamento antecipado caso o depositante tenha de pagar uma penalização significativa por levantamentos antecipados efetuados antes de decorrido um ano, penalização essa que é estabelecida no artigo 25.º, n.º 4, do Regulamento Delegado (UE) 2015/61.</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 fluxograma de decisão para o modelo de reporte C 83.00 faz parte das instruções para especificar a hierarquia de prioridade dos critérios de avaliação para a afetação de </w:t>
      </w:r>
      <w:r>
        <w:rPr>
          <w:rFonts w:ascii="Times New Roman" w:hAnsi="Times New Roman"/>
          <w:sz w:val="24"/>
        </w:rPr>
        <w:lastRenderedPageBreak/>
        <w:t>cada elemento reportado, a fim de garantir um reporte homogéneo e comparável. Recorrer ao fluxograma de decisão, por si só, não é suficiente, ou seja, as instituições devem cumprir sempre o resto das instruções. Por razões de simplicidade, o fluxograma de decisão não tem em conta os totais e os subtotais; contudo, tal não significa que estes não devam também ser comunicados.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Elemento</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Decisão</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Ação</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Fundos próprios principais de nível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Fundos próprios adicionais de nível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Fundos próprios de nível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Outros instrumentos de fundos próprios?</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Um passivo associado a uma garantia recebida como margem de variação para contratos de derivados?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 reportar.</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Montantes a pagar à data da negociação?</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Passivos interdependentes?</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Passivos e facilidades autorizadas no âmbito de um grupo ou de um sistema de proteção institucional para os quais a autoridade competente autorizou um tratamento preferencial?</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Passivos de derivados para efeitos do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Passivos por impostos diferidos?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Interesse minoritário?</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Depósitos de retalho estáveis?</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Outros depósitos de retalho?</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Depósitos operacionais provenientes de clientes financeiros ou não financeiros?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Passivos cuja contraparte não pode ser determinada?</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Passivos provenientes de bancos centrais?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Passivos provenientes de clientes financeiros?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Passivos provenientes de clientes não financeiros (exceto bancos centrais)?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Quaisquer outros passivos não considerados nas categorias acima?</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Sim</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Não reportar.</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450177"/>
      <w:r>
        <w:rPr>
          <w:rFonts w:ascii="Times New Roman" w:hAnsi="Times New Roman"/>
          <w:b/>
          <w:sz w:val="24"/>
        </w:rPr>
        <w:t>Instruções relativas a colunas específicas</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Montante</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nas colunas 0010-0020 o montante dos passivos e dos fundos próprios afetados ao escalão de prazo de vencimento residual aplicável.</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Fator-padrão de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Parte VI, título IV, capítulo 6, secção 2, do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Nas colunas 0030-0040, os fatores-padrão são os especificados por predefinição na parte VI, título IV, capítulo 8, do CRR, que determinam a </w:t>
            </w:r>
            <w:r>
              <w:rPr>
                <w:rFonts w:ascii="Times New Roman" w:hAnsi="Times New Roman"/>
                <w:sz w:val="24"/>
              </w:rPr>
              <w:lastRenderedPageBreak/>
              <w:t>parte do montante dos passivos e dos fundos próprios que constitui financiamento estável disponível. São fornecidos a título meramente informativo e não têm de ser preenchidos pelas instituições.</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Fator de ASF aplicável</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Parte VI, título IV, capítulo 2 e capítulo 6, do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nas colunas 0050-0060 os fatores de ASF aplicáveis da parte VI, título IV, capítulo 6, do CRR como ponderadores que, multiplicados pelo montante dos passivos ou dos fundos próprios, determinam o montante do financiamento estável disponível relevante. Os ponderadores aplicáveis devem ser comunicados em termos decimais (ou seja, 1,00 para um ponderador aplicável de 100 por cento, ou 0,50 para um ponderador aplicável de 50 por cento). Os fatores aplicáveis podem refletir, mas não se limitam a, prerrogativas específicas das empresas e autoridades nacionais.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Financiamento estável disponível</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As instituições devem reportar na coluna 0070 o valor do financiamento estável disponível de acordo com a definição estabelecida no artigo 428.</w:t>
            </w:r>
            <w:r>
              <w:rPr>
                <w:rFonts w:ascii="Times New Roman" w:hAnsi="Times New Roman"/>
                <w:sz w:val="24"/>
                <w:vertAlign w:val="superscript"/>
              </w:rPr>
              <w:t>o</w:t>
            </w:r>
            <w:r>
              <w:rPr>
                <w:rFonts w:ascii="Times New Roman" w:hAnsi="Times New Roman"/>
                <w:sz w:val="24"/>
              </w:rPr>
              <w:t>-AJ do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Este valor é calculado através da seguinte fórmula:</w:t>
            </w:r>
            <w:r>
              <w:rPr>
                <w:rFonts w:ascii="Times New Roman" w:hAnsi="Times New Roman"/>
                <w:sz w:val="24"/>
              </w:rPr>
              <w:br/>
              <w:t>c0070 = SOMA (c0010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450178"/>
      <w:r>
        <w:rPr>
          <w:rFonts w:ascii="Times New Roman" w:hAnsi="Times New Roman"/>
          <w:b/>
          <w:sz w:val="24"/>
        </w:rPr>
        <w:t>3. Instruções relativas a linhas específicas</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FINANCIAMENTO ESTÁVEL DISPONÍVEL</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Parte VI, título IV, capítulo 6, do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de elementos e instrumentos de fundos próprios</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Fundos próprios principais de nível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428.º-AP, alínea a), do CRR; os elementos de fundos próprios principais de nível 1 antes da aplicação dos filtros prudenciais, das deduções e das isenções ou alternativas estipulados nos artigos 32.º a 36.º, 48.º, 49.º e 79.º do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Fundos próprios adicionais de nível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428.º-AP, alínea b), do CRR; os elementos de fundos próprios adicionais de nível 1 antes da aplicação das deduções e das isenções estipuladas nos artigos 56.º e 79.º do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lastRenderedPageBreak/>
              <w:t>Nível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428.º-AP, alínea c), do CRR; os elementos de fundos próprios de nível 2 antes da aplicação das deduções e das isenções estipuladas nos artigos 66.º e 79.º do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Outros instrumentos de capital</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-AP, alínea d) e 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3, alínea d), do CRR; outros instrumentos de fundos próprios não referidos em nenhuma das categorias supramencionadas.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de depósitos de retalho</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os seguintes elementos:</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Obrigações e outros títulos de dívida emitidos que sejam vendidos exclusivamente no mercado retalhista e detidos numa conta de retalho. Estas obrigações de retalho são também reportadas na categoria correspondente de depósitos de retalho como «depósitos de retalho estáveis» ou «outros depósitos de retalho», respetivamente, nos elementos 2.2.1 e 2.2.2; ver artigo 428.</w:t>
            </w:r>
            <w:r>
              <w:rPr>
                <w:rFonts w:ascii="Times New Roman" w:hAnsi="Times New Roman"/>
                <w:sz w:val="24"/>
                <w:vertAlign w:val="superscript"/>
              </w:rPr>
              <w:t>o</w:t>
            </w:r>
            <w:r>
              <w:rPr>
                <w:rFonts w:ascii="Times New Roman" w:hAnsi="Times New Roman"/>
                <w:sz w:val="24"/>
              </w:rPr>
              <w:t>-AJ, n.o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Depósitos de retalho com prazo de vencimento igual ou superior a um ano que possam ser levantados antecipadamente, mediante o pagamento de uma penalização avaliada como significativa, reportados na categoria correspondente de depósitos de retalho como «depósitos de retalho estáveis» ou «outros depósitos de retalho», respetivamente, nos elementos 2.2.1 e 2.2.2, de acordo com o artigo 25.º, n.º 4, do Regulamento Delegado (UE) 2015/61; ver artigo 428.</w:t>
            </w:r>
            <w:r>
              <w:rPr>
                <w:rFonts w:ascii="Times New Roman" w:hAnsi="Times New Roman"/>
                <w:sz w:val="24"/>
                <w:vertAlign w:val="superscript"/>
              </w:rPr>
              <w:t>o</w:t>
            </w:r>
            <w:r>
              <w:rPr>
                <w:rFonts w:ascii="Times New Roman" w:hAnsi="Times New Roman"/>
                <w:sz w:val="24"/>
              </w:rPr>
              <w:t>-AK, n.</w:t>
            </w:r>
            <w:r>
              <w:rPr>
                <w:rFonts w:ascii="Times New Roman" w:hAnsi="Times New Roman"/>
                <w:sz w:val="24"/>
                <w:vertAlign w:val="superscript"/>
              </w:rPr>
              <w:t>o</w:t>
            </w:r>
            <w:r>
              <w:rPr>
                <w:rFonts w:ascii="Times New Roman" w:hAnsi="Times New Roman"/>
                <w:sz w:val="24"/>
              </w:rPr>
              <w:t> 3, do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Este elemento inclui passivos não garantidos e passivos garantidos.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Depósitos de retalho estáveis</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428.º-AO do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respetivamente, em conformidade com o artigo 24.º, n.</w:t>
            </w:r>
            <w:r>
              <w:rPr>
                <w:rFonts w:ascii="Times New Roman" w:hAnsi="Times New Roman"/>
                <w:sz w:val="24"/>
                <w:vertAlign w:val="superscript"/>
              </w:rPr>
              <w:t>os</w:t>
            </w:r>
            <w:r>
              <w:rPr>
                <w:rFonts w:ascii="Times New Roman" w:hAnsi="Times New Roman"/>
                <w:sz w:val="24"/>
              </w:rPr>
              <w:t> 2 e 3, do Regulamento Delegado (UE) 2015/61, e quando:</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Estes depósitos não preenchem os critérios para uma taxa de saída mais elevada em conformidade com o artigo 25.º, n.</w:t>
            </w:r>
            <w:r>
              <w:rPr>
                <w:rFonts w:ascii="Times New Roman" w:hAnsi="Times New Roman"/>
                <w:sz w:val="24"/>
                <w:vertAlign w:val="superscript"/>
              </w:rPr>
              <w:t>os</w:t>
            </w:r>
            <w:r>
              <w:rPr>
                <w:rFonts w:ascii="Times New Roman" w:hAnsi="Times New Roman"/>
                <w:sz w:val="24"/>
              </w:rPr>
              <w:t> 2, 3 ou 5, do Regulamento Delegado (UE) 2015/61 da Comissão, caso em que devem ser reportados como «outros depósitos de retalho»; ou</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lastRenderedPageBreak/>
              <w:t>Estes depósitos não foram recebidos em países terceiros nos quais é aplicada uma saída mais elevada em conformidade com o artigo 25.º, n.º 5, do Regulamento Delegado (UE) 2015/61, caso em que devem ser reportados como «outros depósitos de retalho».</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Outros depósitos de retalho</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428.º-AN do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o montante dos outros depósitos de retalho não considerados como «depósitos de retalho estáveis» para efeitos do elemento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de outros clientes não financeiros (exceto bancos centrais)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os passivos provenientes de clientes não financeiros por grosso (exceto bancos centrais) que incluam:</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Passivos provenientes da administração central de um Estado‑Membro ou de um país terceiro; ver artigo 428.º-AM, alínea b), subalínea i), do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Passivos provenientes das administrações regionais ou das autoridades locais de um Estado-Membro ou de um país terceiro; ver artigo 428.º-AM, alínea b), subalínea ii), do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Passivos provenientes de entidades do setor público de um Estado‑Membro ou de um país terceiro; ver artigo 428.º-AM, alínea b), subalínea iii), do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Passivos provenientes de bancos multilaterais de desenvolvimento e de organizações internacionais; ver artigo 428.º-AM, alínea b), subalínea iv), do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Passivos provenientes de clientes empresariais não financeiros; ver artigo 428.º-AM, alínea b), subalínea v), do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Passivos provenientes de cooperativas de crédito, sociedades de investimento pessoais e corretores de depósitos; ver artigo 428.º-AM, alínea b), subalínea vi), do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de depósitos operacionais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428.º-AM, alínea a), do CRR; depósitos recebidos para a prestação de serviços operacionais que cumprem os critérios para serem considerados depósitos operacionais previstos no artigo 27.º do Regulamento Delegado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2.5 ASF de passivos e facilidades autorizadas no âmbito de um grupo ou de um sistema de proteção institucional se sujeitos a um tratamento </w:t>
            </w:r>
            <w:r>
              <w:rPr>
                <w:rFonts w:ascii="Times New Roman" w:hAnsi="Times New Roman"/>
                <w:b/>
                <w:sz w:val="24"/>
                <w:u w:val="single"/>
              </w:rPr>
              <w:lastRenderedPageBreak/>
              <w:t>preferencial</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aqui os passivos e das facilidades autorizadas para os quais a autoridade competente autorizou a aplicação do tratamento preferencial a que se refere o artigo 428.º-H do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ASF de clientes financeiros e dos bancos centrais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os seguintes passivos: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Passivos provenientes do BCE ou do banco central de um Estado‑Membro (ver artigo 428.º-AL, n.º 3, alínea c), do CRR):</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passivos provenientes do BCE ou do banco central de um Estado-Membro, independentemente de estarem ou não relacionados com operações de financiamento através de valores mobiliários; ver 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3, alínea c), subalínea i), do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passivos provenientes do banco central de um país terceiro; passivos provenientes do banco central de um país terceiro, independentemente de estarem ou não relacionados com operações de financiamento através de valores mobiliários; ver artigo 428.º-AL, n.º 3, alínea c), subalínea ii), do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passivos provenientes de clientes financeiros; passivos provenientes de clientes financeiros, independentemente de serem ou não operações de financiamento através de valores mobiliários; ver 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3, alínea c), subalínea iii), do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Passivos provenientes de clientes financeiros e de bancos centrais, com um prazo de vencimento residual igual ou superior a um ano; ver artigo 428.º‑AP, alínea e), do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de passivos cuja contraparte não pode ser determinada</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3, alínea d), e artigo 428.</w:t>
            </w:r>
            <w:r>
              <w:rPr>
                <w:rFonts w:ascii="Times New Roman" w:hAnsi="Times New Roman"/>
                <w:sz w:val="24"/>
                <w:vertAlign w:val="superscript"/>
              </w:rPr>
              <w:t>o</w:t>
            </w:r>
            <w:r>
              <w:rPr>
                <w:rFonts w:ascii="Times New Roman" w:hAnsi="Times New Roman"/>
                <w:sz w:val="24"/>
              </w:rPr>
              <w:t>-AP, alínea e), do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As instituições devem reportar aqui os passivos cuja contraparte não pode ser determinada, incluindo os valores mobiliários emitidos cujo detentor não pode ser identificado.</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de passivos interdependentes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os seguintes passivos: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Passivos classificados como interdependentes em relação a ativos, nos termos do artigo 428.º-F do CRR; ver também o 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3, alínea b), do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Passivos associados a poupanças regulamentadas centralizadas que são tratados como interdependentes em relação a ativos, de acordo com o artigo </w:t>
            </w:r>
            <w:r>
              <w:rPr>
                <w:rFonts w:ascii="Times New Roman" w:hAnsi="Times New Roman"/>
                <w:sz w:val="24"/>
              </w:rPr>
              <w:lastRenderedPageBreak/>
              <w:t>428.º-F, n.º 2, alínea a), do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Passivos associados a empréstimos de fomento e facilidades de crédito e liquidez que são tratados como interdependentes em relação a ativos, de acordo com 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xml:space="preserve"> 2, alínea b), do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Passivos associados a obrigações cobertas que são tratados como interdependentes em relação a ativos, de acordo com o artigo 428.º-F, n.º 2, alínea c), do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Passivos associados a atividades de compensação de derivados por conta de clientes que são tratados como interdependentes em relação a ativos, de acordo com o artigo 428.</w:t>
            </w:r>
            <w:r>
              <w:rPr>
                <w:rFonts w:ascii="Times New Roman" w:hAnsi="Times New Roman"/>
                <w:sz w:val="24"/>
                <w:vertAlign w:val="superscript"/>
              </w:rPr>
              <w:t>o</w:t>
            </w:r>
            <w:r>
              <w:rPr>
                <w:rFonts w:ascii="Times New Roman" w:hAnsi="Times New Roman"/>
                <w:sz w:val="24"/>
              </w:rPr>
              <w:t>-F, n.</w:t>
            </w:r>
            <w:r>
              <w:rPr>
                <w:rFonts w:ascii="Times New Roman" w:hAnsi="Times New Roman"/>
                <w:sz w:val="24"/>
                <w:vertAlign w:val="superscript"/>
              </w:rPr>
              <w:t>o</w:t>
            </w:r>
            <w:r>
              <w:rPr>
                <w:rFonts w:ascii="Times New Roman" w:hAnsi="Times New Roman"/>
                <w:sz w:val="24"/>
              </w:rPr>
              <w:t> 2, alínea d), do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Passivos que satisfazem as condições estabelecidas no artigo 428.º-F, n.º 1, do CRR e as condições para serem considerados como interdependentes em relação a ativos, de acordo com o mesmo artigo.</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de outros passivos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As instituições devem reportar os seguintes elementos:</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Montantes a pagar à data da negociação por aquisições de instrumentos financeiros, moedas estrangeiras e mercadorias cuja liquidação esteja prevista dentro do ciclo de liquidação normal ou do período que seja habitual para a bolsa ou tipo de operações relevante, ou cuja liquidação não tenha sido efetuada, mas seja expectável que ainda venha a ocorrer; ver artigo 428.º-AL, n.º 3, alínea a), do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Passivos por impostos diferidos; a data mais próxima possível em que os seus montantes podem ser realizados deve ser utilizada como prazo de vencimento residual; ver artigo 428.º-AL, n.º 1, alínea a), do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Interesses minoritários; o prazo do instrumento deve ser utilizado como prazo de vencimento residual; ver 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1, alínea b), do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Outros passivos sem prazo de vencimento fixo, incluindo posições curtas e posições com prazo de vencimento indeterminado, salvo indicação em contrário na presente secção; ver 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1, do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A diferença negativa entre os conjuntos de compensação, calculada nos termos do artigo 428.º-AL, n.º 4, do CRR; todos os passivos de derivados devem ser reportados como se tivessem um prazo de vencimento residual inferior a um ano;</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Quaisquer outros passivos não referidos nos artigos 428.º-AL a 428.º-AP do CRR; todos os elementos de fundos próprios são reportados no elemento 2.1, independentemente do seu prazo de vencimento residual; ver também o artigo 428.</w:t>
            </w:r>
            <w:r>
              <w:rPr>
                <w:rFonts w:ascii="Times New Roman" w:hAnsi="Times New Roman"/>
                <w:sz w:val="24"/>
                <w:vertAlign w:val="superscript"/>
              </w:rPr>
              <w:t>o</w:t>
            </w:r>
            <w:r>
              <w:rPr>
                <w:rFonts w:ascii="Times New Roman" w:hAnsi="Times New Roman"/>
                <w:sz w:val="24"/>
              </w:rPr>
              <w:t>-AL, n.</w:t>
            </w:r>
            <w:r>
              <w:rPr>
                <w:rFonts w:ascii="Times New Roman" w:hAnsi="Times New Roman"/>
                <w:sz w:val="24"/>
                <w:vertAlign w:val="superscript"/>
              </w:rPr>
              <w:t>o</w:t>
            </w:r>
            <w:r>
              <w:rPr>
                <w:rFonts w:ascii="Times New Roman" w:hAnsi="Times New Roman"/>
                <w:sz w:val="24"/>
              </w:rPr>
              <w:t> 3, alínea d), do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450179"/>
      <w:r>
        <w:rPr>
          <w:rFonts w:ascii="Times New Roman" w:hAnsi="Times New Roman"/>
          <w:b/>
          <w:sz w:val="24"/>
        </w:rPr>
        <w:lastRenderedPageBreak/>
        <w:t>PARTE VI: SÍNTESE DO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450180"/>
      <w:r>
        <w:rPr>
          <w:rFonts w:ascii="Times New Roman" w:hAnsi="Times New Roman"/>
          <w:b/>
          <w:sz w:val="24"/>
        </w:rPr>
        <w:t>Observações específicas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O objetivo do presente modelo é fornecer informações sobre o rácio de financiamento estável líquido, tanto para as instituições que devem reportar o NSFR global (modelos de reporte C 80.00 e C 81.00) como para as instituições que devem reportar o NSFR simplificado (modelos de reporte C 82.00 e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Nos termos do artigo 428.º-B, n.º 1, do CRR, o requisito de financiamento estável líquido estabelecido no artigo 413.º, n.º 1, do CRR é igual ao rácio entre o financiamento estável disponível da instituição, a que se referem os capítulos 3 e 6, e o financiamento estável requerido da instituição, a que se referem os capítulos 4 e 7, e é expresso sob forma de percentagem. As regras para o cálculo do rácio são estabelecidas no capítulo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Os elementos das linhas 0010 a 0210 são iguais aos elementos equivalentes reportados nos modelos de reporte C 80.00 a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450181"/>
      <w:r>
        <w:rPr>
          <w:rFonts w:ascii="Times New Roman" w:hAnsi="Times New Roman"/>
          <w:b/>
          <w:sz w:val="24"/>
        </w:rPr>
        <w:t>2. Instruções relativas a colunas específicas</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Montante</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na coluna 0010 o montante dos ativos, dos elementos extrapatrimoniais, dos passivos e dos fundos próprios afetados à soma de todos os escalões de prazo de vencimento residual aplicável e de HQLA. Os elementos a reportar são os elementos antes da aplicação dos fatores de ASF e de RSF relevantes.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Financiamento estável requerido</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As instituições devem reportar na coluna 0020 o financiamento estável requerido, calculado de acordo com a parte VI, título IV, capítulos 4 e 7, do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Financiamento estável disponível</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As instituições devem reportar na coluna 0030 o financiamento estável disponível, calculado de acordo com a parte VI, título IV, capítulos 3 e 6, do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Rácio</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As instituições devem reportar na coluna 0040 o rácio NSFR, de acordo com o artigo 428.</w:t>
            </w:r>
            <w:r>
              <w:rPr>
                <w:rFonts w:ascii="Times New Roman" w:hAnsi="Times New Roman"/>
                <w:sz w:val="24"/>
                <w:vertAlign w:val="superscript"/>
              </w:rPr>
              <w:t>o</w:t>
            </w:r>
            <w:r>
              <w:rPr>
                <w:rFonts w:ascii="Times New Roman" w:hAnsi="Times New Roman"/>
                <w:sz w:val="24"/>
              </w:rPr>
              <w:t>-B, n.</w:t>
            </w:r>
            <w:r>
              <w:rPr>
                <w:rFonts w:ascii="Times New Roman" w:hAnsi="Times New Roman"/>
                <w:sz w:val="24"/>
                <w:vertAlign w:val="superscript"/>
              </w:rPr>
              <w:t>o</w:t>
            </w:r>
            <w:r>
              <w:rPr>
                <w:rFonts w:ascii="Times New Roman" w:hAnsi="Times New Roman"/>
                <w:sz w:val="24"/>
              </w:rPr>
              <w:t> 1, do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8450182"/>
      <w:r>
        <w:rPr>
          <w:rFonts w:ascii="Times New Roman" w:hAnsi="Times New Roman"/>
          <w:b/>
          <w:sz w:val="24"/>
        </w:rPr>
        <w:t>3. Instruções relativas a linhas específicas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lastRenderedPageBreak/>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Referências jurídicas e instruções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FINANCIAMENTO ESTÁVEL REQUERIDO</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Elemento 1 dos modelos de reporte C 80.00 e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RSF de ativos de bancos centrais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1.1 dos modelos de reporte C 80.00 e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RSF de ativos líquidos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1.2 dos modelos de reporte C 80.00 e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RSF de valores mobiliários (exceto ativos líquidos)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1.3 dos modelos de reporte C 80.00 e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RSF de empréstimos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1.4 dos modelos de reporte C 80.00 e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RSF de ativos interdependentes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1.5 dos modelos de reporte C 80.00 e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RSF de ativos no âmbito de um grupo ou de um sistema de proteção institucional se sujeitos a um tratamento preferencial</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1.6 dos modelos de reporte C 80.00 e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RSF de derivados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1.7 dos modelos de reporte C 80.00 e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RSF de contribuições para o fundo de proteção de uma CCP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1.8 dos modelos de reporte C 80.00 e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RSF de outros ativos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1.9 dos modelos de reporte C 80.00 e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RSF de elementos extrapatrimoniais</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1.10 dos modelos de reporte C 80.00 e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FINANCIAMENTO ESTÁVEL DISPONÍVEL</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 dos modelos de reporte C 81.00 e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ASF de elementos e instrumentos de fundos próprios</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2.1 dos modelos de reporte C 81.00 e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de depósitos de retalho</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2.2 dos modelos de reporte C 81.00 e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de outros clientes não financeiros (exceto bancos centrais)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2.3 (exceto 2.3.0.2) do modelo de reporte C 81.00 e do modelo de reporte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de depósitos operacionais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Elementos 2.3.0.2 e 2.5.3.1 do modelo de reporte C 81.00 e elemento 2.4 do modelo de reporte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de passivos no âmbito de um grupo ou regime de proteção institucional se sujeitas a um tratamento preferencial</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2.4 do modelo de reporte C 81.00 e elemento 2.5 do modelo de reporte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de clientes financeiros e dos bancos centrais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2.5 (exceto 2.5.3.1) do modelos de reporte C 81.00 e elemento 2.6 do modelo de reporte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de passivos cuja contraparte não pode ser determinada</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2.6 do modelo de reporte C 81.00 e elemento 2.7 do modelo de reporte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de passivos interdependentes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 2.8 do modelo de reporte C 81.00 e do modelo de reporte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ASF de outros passivos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Elementos 2.7 e 2.9 do modelo de reporte C 81.00 e elemento 2.9 do modelo de reporte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calculado de acordo com o artigo 428.</w:t>
            </w:r>
            <w:r>
              <w:rPr>
                <w:rFonts w:ascii="Times New Roman" w:hAnsi="Times New Roman"/>
                <w:sz w:val="24"/>
                <w:vertAlign w:val="superscript"/>
              </w:rPr>
              <w:t>o</w:t>
            </w:r>
            <w:r>
              <w:rPr>
                <w:rFonts w:ascii="Times New Roman" w:hAnsi="Times New Roman"/>
                <w:sz w:val="24"/>
              </w:rPr>
              <w:t>-B, n.</w:t>
            </w:r>
            <w:r>
              <w:rPr>
                <w:rFonts w:ascii="Times New Roman" w:hAnsi="Times New Roman"/>
                <w:sz w:val="24"/>
                <w:vertAlign w:val="superscript"/>
              </w:rPr>
              <w:t>o</w:t>
            </w:r>
            <w:r>
              <w:rPr>
                <w:rFonts w:ascii="Times New Roman" w:hAnsi="Times New Roman"/>
                <w:sz w:val="24"/>
              </w:rPr>
              <w:t> 1, do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1524921">
    <w:abstractNumId w:val="0"/>
  </w:num>
  <w:num w:numId="2" w16cid:durableId="1020401025">
    <w:abstractNumId w:val="8"/>
  </w:num>
  <w:num w:numId="3" w16cid:durableId="1220359540">
    <w:abstractNumId w:val="17"/>
  </w:num>
  <w:num w:numId="4" w16cid:durableId="350999">
    <w:abstractNumId w:val="6"/>
  </w:num>
  <w:num w:numId="5" w16cid:durableId="1472409219">
    <w:abstractNumId w:val="3"/>
  </w:num>
  <w:num w:numId="6" w16cid:durableId="1646205461">
    <w:abstractNumId w:val="35"/>
  </w:num>
  <w:num w:numId="7" w16cid:durableId="717323069">
    <w:abstractNumId w:val="1"/>
  </w:num>
  <w:num w:numId="8" w16cid:durableId="1703553700">
    <w:abstractNumId w:val="25"/>
  </w:num>
  <w:num w:numId="9" w16cid:durableId="1037776169">
    <w:abstractNumId w:val="33"/>
  </w:num>
  <w:num w:numId="10" w16cid:durableId="1550067856">
    <w:abstractNumId w:val="20"/>
  </w:num>
  <w:num w:numId="11" w16cid:durableId="1038704024">
    <w:abstractNumId w:val="29"/>
  </w:num>
  <w:num w:numId="12" w16cid:durableId="465240970">
    <w:abstractNumId w:val="15"/>
  </w:num>
  <w:num w:numId="13" w16cid:durableId="2145464639">
    <w:abstractNumId w:val="32"/>
  </w:num>
  <w:num w:numId="14" w16cid:durableId="786630254">
    <w:abstractNumId w:val="5"/>
  </w:num>
  <w:num w:numId="15" w16cid:durableId="145778830">
    <w:abstractNumId w:val="26"/>
  </w:num>
  <w:num w:numId="16" w16cid:durableId="1048803917">
    <w:abstractNumId w:val="14"/>
  </w:num>
  <w:num w:numId="17" w16cid:durableId="248586632">
    <w:abstractNumId w:val="22"/>
  </w:num>
  <w:num w:numId="18" w16cid:durableId="1240141118">
    <w:abstractNumId w:val="11"/>
  </w:num>
  <w:num w:numId="19" w16cid:durableId="2090734875">
    <w:abstractNumId w:val="28"/>
  </w:num>
  <w:num w:numId="20" w16cid:durableId="2017685921">
    <w:abstractNumId w:val="24"/>
  </w:num>
  <w:num w:numId="21" w16cid:durableId="1714574236">
    <w:abstractNumId w:val="21"/>
  </w:num>
  <w:num w:numId="22" w16cid:durableId="568346008">
    <w:abstractNumId w:val="30"/>
  </w:num>
  <w:num w:numId="23" w16cid:durableId="1811943121">
    <w:abstractNumId w:val="4"/>
  </w:num>
  <w:num w:numId="24" w16cid:durableId="1190412579">
    <w:abstractNumId w:val="13"/>
  </w:num>
  <w:num w:numId="25" w16cid:durableId="302320682">
    <w:abstractNumId w:val="31"/>
  </w:num>
  <w:num w:numId="26" w16cid:durableId="1309288002">
    <w:abstractNumId w:val="18"/>
  </w:num>
  <w:num w:numId="27" w16cid:durableId="467014583">
    <w:abstractNumId w:val="10"/>
  </w:num>
  <w:num w:numId="28" w16cid:durableId="1284505659">
    <w:abstractNumId w:val="9"/>
  </w:num>
  <w:num w:numId="29" w16cid:durableId="660937226">
    <w:abstractNumId w:val="16"/>
  </w:num>
  <w:num w:numId="30" w16cid:durableId="68427544">
    <w:abstractNumId w:val="34"/>
  </w:num>
  <w:num w:numId="31" w16cid:durableId="307828225">
    <w:abstractNumId w:val="27"/>
  </w:num>
  <w:num w:numId="32" w16cid:durableId="1844779699">
    <w:abstractNumId w:val="36"/>
  </w:num>
  <w:num w:numId="33" w16cid:durableId="416245967">
    <w:abstractNumId w:val="19"/>
  </w:num>
  <w:num w:numId="34" w16cid:durableId="335157686">
    <w:abstractNumId w:val="12"/>
  </w:num>
  <w:num w:numId="35" w16cid:durableId="619992480">
    <w:abstractNumId w:val="7"/>
  </w:num>
  <w:num w:numId="36" w16cid:durableId="774054003">
    <w:abstractNumId w:val="2"/>
  </w:num>
  <w:num w:numId="37" w16cid:durableId="4850189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28CA"/>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87C15"/>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t-P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2.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39C959B9-4FE7-4044-A6C1-4E77E13BA65A}"/>
</file>

<file path=customXml/itemProps5.xml><?xml version="1.0" encoding="utf-8"?>
<ds:datastoreItem xmlns:ds="http://schemas.openxmlformats.org/officeDocument/2006/customXml" ds:itemID="{799D301E-0D8C-4A29-BA1B-20A4751276F6}"/>
</file>

<file path=customXml/itemProps6.xml><?xml version="1.0" encoding="utf-8"?>
<ds:datastoreItem xmlns:ds="http://schemas.openxmlformats.org/officeDocument/2006/customXml" ds:itemID="{15E99FAF-169B-4AA7-B3B6-B20C9DE46B20}"/>
</file>

<file path=docProps/app.xml><?xml version="1.0" encoding="utf-8"?>
<Properties xmlns="http://schemas.openxmlformats.org/officeDocument/2006/extended-properties" xmlns:vt="http://schemas.openxmlformats.org/officeDocument/2006/docPropsVTypes">
  <Template>Normal.dotm</Template>
  <TotalTime>37</TotalTime>
  <Pages>59</Pages>
  <Words>18321</Words>
  <Characters>94175</Characters>
  <Application>Microsoft Office Word</Application>
  <DocSecurity>0</DocSecurity>
  <Lines>2853</Lines>
  <Paragraphs>1844</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110652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MOURA Sara (DGT)</cp:lastModifiedBy>
  <cp:revision>11</cp:revision>
  <cp:lastPrinted>2015-04-10T08:05:00Z</cp:lastPrinted>
  <dcterms:created xsi:type="dcterms:W3CDTF">2020-12-02T15:13:00Z</dcterms:created>
  <dcterms:modified xsi:type="dcterms:W3CDTF">2025-01-22T13:56:00Z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2025-01-22T13:55:56Z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57e3d163-11ca-4f75-9299-705478d6c675</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