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Pr="002E7605" w:rsidRDefault="00632962" w:rsidP="00632962">
      <w:pPr>
        <w:jc w:val="center"/>
        <w:rPr>
          <w:rFonts w:ascii="Times New Roman" w:hAnsi="Times New Roman"/>
          <w:sz w:val="24"/>
          <w:szCs w:val="22"/>
        </w:rPr>
      </w:pPr>
      <w:r w:rsidRPr="002E7605">
        <w:rPr>
          <w:rFonts w:ascii="Times New Roman" w:hAnsi="Times New Roman"/>
          <w:sz w:val="24"/>
        </w:rPr>
        <w:t>BG</w:t>
      </w:r>
    </w:p>
    <w:p w14:paraId="2A25A977" w14:textId="77777777" w:rsidR="00074AC8" w:rsidRPr="002E7605" w:rsidRDefault="00074AC8" w:rsidP="00632962">
      <w:pPr>
        <w:rPr>
          <w:rFonts w:ascii="Times New Roman" w:hAnsi="Times New Roman"/>
          <w:sz w:val="24"/>
        </w:rPr>
      </w:pPr>
    </w:p>
    <w:p w14:paraId="01E2F594" w14:textId="77777777" w:rsidR="00074AC8" w:rsidRPr="002E7605" w:rsidRDefault="00074AC8" w:rsidP="00074AC8">
      <w:pPr>
        <w:jc w:val="center"/>
        <w:rPr>
          <w:rFonts w:ascii="Times New Roman" w:hAnsi="Times New Roman"/>
          <w:sz w:val="24"/>
        </w:rPr>
      </w:pPr>
      <w:r w:rsidRPr="002E7605">
        <w:rPr>
          <w:rFonts w:ascii="Times New Roman" w:hAnsi="Times New Roman"/>
          <w:sz w:val="24"/>
        </w:rPr>
        <w:t>ПРИЛОЖЕНИЕ II</w:t>
      </w:r>
    </w:p>
    <w:p w14:paraId="7AF3DCD8" w14:textId="77777777" w:rsidR="00074AC8" w:rsidRPr="002E7605" w:rsidRDefault="00074AC8" w:rsidP="00074AC8">
      <w:pPr>
        <w:jc w:val="center"/>
        <w:rPr>
          <w:rFonts w:ascii="Times New Roman" w:hAnsi="Times New Roman"/>
          <w:sz w:val="24"/>
        </w:rPr>
      </w:pPr>
      <w:r w:rsidRPr="002E7605">
        <w:rPr>
          <w:rFonts w:ascii="Times New Roman" w:hAnsi="Times New Roman"/>
          <w:sz w:val="24"/>
        </w:rPr>
        <w:t>„ПРИЛОЖЕНИЕ II</w:t>
      </w:r>
    </w:p>
    <w:p w14:paraId="786C3F82" w14:textId="77777777" w:rsidR="00074AC8" w:rsidRPr="002E7605" w:rsidRDefault="00074AC8" w:rsidP="00074AC8">
      <w:pPr>
        <w:jc w:val="center"/>
        <w:rPr>
          <w:rFonts w:ascii="Times New Roman" w:hAnsi="Times New Roman"/>
          <w:b/>
          <w:sz w:val="24"/>
        </w:rPr>
      </w:pPr>
      <w:r w:rsidRPr="002E7605">
        <w:rPr>
          <w:rFonts w:ascii="Times New Roman" w:hAnsi="Times New Roman"/>
          <w:b/>
          <w:sz w:val="24"/>
        </w:rPr>
        <w:t>УКАЗАНИЯ ЗА ДОКЛАДВАНЕ НА ИНФОРМАЦИЯ ЗА СОБСТВЕНИТЕ СРЕДСТВА И КАПИТАЛОВИТЕ ИЗИСКВАНИЯ</w:t>
      </w:r>
    </w:p>
    <w:p w14:paraId="6BCD4480" w14:textId="77777777" w:rsidR="00074AC8" w:rsidRPr="002E7605" w:rsidRDefault="00074AC8" w:rsidP="00074AC8">
      <w:pPr>
        <w:jc w:val="center"/>
        <w:rPr>
          <w:rFonts w:ascii="Times New Roman" w:hAnsi="Times New Roman"/>
          <w:b/>
          <w:sz w:val="24"/>
          <w:lang w:eastAsia="de-DE"/>
        </w:rPr>
      </w:pPr>
    </w:p>
    <w:p w14:paraId="3CC9E074" w14:textId="77777777" w:rsidR="00074AC8" w:rsidRPr="002E7605" w:rsidRDefault="00074AC8" w:rsidP="00074AC8">
      <w:pPr>
        <w:rPr>
          <w:rFonts w:ascii="Times New Roman" w:hAnsi="Times New Roman"/>
          <w:sz w:val="24"/>
        </w:rPr>
      </w:pPr>
    </w:p>
    <w:p w14:paraId="27B4A905" w14:textId="77777777" w:rsidR="00074AC8" w:rsidRPr="002E7605" w:rsidRDefault="00074AC8" w:rsidP="00074AC8">
      <w:pPr>
        <w:pStyle w:val="Heading2"/>
        <w:rPr>
          <w:rFonts w:ascii="Times New Roman" w:hAnsi="Times New Roman"/>
        </w:rPr>
      </w:pPr>
      <w:bookmarkStart w:id="0" w:name="_Toc360188322"/>
      <w:bookmarkStart w:id="1" w:name="_Toc473560870"/>
      <w:bookmarkStart w:id="2" w:name="_Toc151714358"/>
      <w:r w:rsidRPr="002E7605">
        <w:rPr>
          <w:rFonts w:ascii="Times New Roman" w:hAnsi="Times New Roman"/>
        </w:rPr>
        <w:t>ЧАСТ II: УКАЗАНИЯ ОТНОСНО ОБРАЗЦИТЕ</w:t>
      </w:r>
      <w:bookmarkEnd w:id="0"/>
      <w:bookmarkEnd w:id="1"/>
      <w:bookmarkEnd w:id="2"/>
    </w:p>
    <w:p w14:paraId="58C4E75A" w14:textId="77777777" w:rsidR="00074AC8" w:rsidRPr="002E7605" w:rsidRDefault="00074AC8" w:rsidP="00074AC8">
      <w:pPr>
        <w:rPr>
          <w:lang w:eastAsia="x-none"/>
        </w:rPr>
      </w:pPr>
    </w:p>
    <w:p w14:paraId="14EC4CED" w14:textId="77777777" w:rsidR="00074AC8" w:rsidRPr="002E7605" w:rsidRDefault="00074AC8" w:rsidP="00074AC8">
      <w:r w:rsidRPr="002E7605">
        <w:t>(…)</w:t>
      </w:r>
    </w:p>
    <w:p w14:paraId="6B9B322A" w14:textId="77777777" w:rsidR="00E26A90" w:rsidRPr="002E7605" w:rsidRDefault="00E26A90"/>
    <w:p w14:paraId="1A7CCECF" w14:textId="77777777" w:rsidR="00EF74C7" w:rsidRPr="002E7605"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2E7605">
        <w:rPr>
          <w:rFonts w:ascii="Times New Roman" w:hAnsi="Times New Roman"/>
          <w:sz w:val="24"/>
        </w:rPr>
        <w:t>Кредитен риск от контрагента</w:t>
      </w:r>
      <w:bookmarkEnd w:id="3"/>
      <w:bookmarkEnd w:id="4"/>
    </w:p>
    <w:p w14:paraId="41169173"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2E7605">
        <w:rPr>
          <w:rFonts w:ascii="Times New Roman" w:hAnsi="Times New Roman"/>
          <w:sz w:val="24"/>
        </w:rPr>
        <w:t>Обхват на образците за кредитен риск от контрагента</w:t>
      </w:r>
      <w:bookmarkEnd w:id="11"/>
      <w:bookmarkEnd w:id="12"/>
      <w:bookmarkEnd w:id="13"/>
    </w:p>
    <w:p w14:paraId="19D6AFBD" w14:textId="47A5FE99"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119</w:t>
      </w:r>
      <w:r w:rsidRPr="002E7605">
        <w:fldChar w:fldCharType="end"/>
      </w:r>
      <w:r w:rsidRPr="002E7605">
        <w:t>. Образците за кредитен риск от контрагента обхващат информация за експозициите към кредитен риск от контрагента в изпълнение на трета част, дял II, глави 4 и 6 от Регламент (ЕС) № 575/2013.</w:t>
      </w:r>
    </w:p>
    <w:p w14:paraId="5C2099A9" w14:textId="470C3ABA"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120</w:t>
      </w:r>
      <w:r w:rsidRPr="002E7605">
        <w:fldChar w:fldCharType="end"/>
      </w:r>
      <w:r w:rsidRPr="002E7605">
        <w:t xml:space="preserve">. Образците изключват капиталовите изисквания за риска от корекция на кредитната оценка (член 92, параграф 3, буква г) и трета част, дял VI от Регламент (ЕС) № 575/2013), които се докладват в образеца за риска от корекция на кредитната оценка. </w:t>
      </w:r>
    </w:p>
    <w:p w14:paraId="69B3C47B" w14:textId="3B35D766"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121</w:t>
      </w:r>
      <w:r w:rsidRPr="002E7605">
        <w:fldChar w:fldCharType="end"/>
      </w:r>
      <w:r w:rsidRPr="002E7605">
        <w:t>. Експозициите към кредитен риск от контрагента на централни контрагенти (трета част, дял II, глава 4 и глава 6, раздел 9 от Регламент (ЕС) № 575/2013) следва да бъдат включени в данните за кредитен риск от контрагента, освен ако не е посочено друго. Изчислените в съответствие с членове 307—310 от Регламент (ЕС) № 575/2013 вноски в гаранционния фонд обаче не се докладват в образците за кредитен риск от контрагента, с изключение на образец C 34.10, по-специално съответните редове. Обикновено рисково претеглените размери на експозиции на вноските в гаранционния фонд се докладват директно в образец C 02.00, ред 0460.</w:t>
      </w:r>
    </w:p>
    <w:p w14:paraId="30858597"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sidRPr="002E7605">
        <w:rPr>
          <w:rFonts w:ascii="Times New Roman" w:hAnsi="Times New Roman"/>
          <w:sz w:val="24"/>
        </w:rPr>
        <w:t>C 34.01 — Размер на операциите с деривати</w:t>
      </w:r>
      <w:bookmarkEnd w:id="14"/>
      <w:bookmarkEnd w:id="15"/>
    </w:p>
    <w:p w14:paraId="0D62C2B5"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sidRPr="002E7605">
        <w:rPr>
          <w:rFonts w:ascii="Times New Roman" w:hAnsi="Times New Roman"/>
          <w:sz w:val="24"/>
        </w:rPr>
        <w:t>Общи бележки</w:t>
      </w:r>
      <w:bookmarkEnd w:id="16"/>
      <w:bookmarkEnd w:id="17"/>
      <w:bookmarkEnd w:id="18"/>
    </w:p>
    <w:p w14:paraId="20D44CDB" w14:textId="375893F1"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122</w:t>
      </w:r>
      <w:r w:rsidRPr="002E7605">
        <w:fldChar w:fldCharType="end"/>
      </w:r>
      <w:r w:rsidRPr="002E7605">
        <w:t xml:space="preserve">. В съответствие с член 273а от Регламент (ЕС) № 575/2013 институцията може да изчисли стойността на експозицията на позициите си в деривати в съответствие с метода, предвиден в трета част, дял II, глава 6, раздел 4 или 5 от Регламент (ЕС) № 575/2013, при условие че размерът на балансовите и задбалансовите ѝ операции с деривати е равен или по-малък от съответно предварително определените прагове. Съответната оценка се извършва </w:t>
      </w:r>
      <w:r w:rsidRPr="002E7605">
        <w:lastRenderedPageBreak/>
        <w:t>ежемесечно, като се използват данните към последния ден на месеца. В този образец се представя информацията за спазването на тези прагове и в по-общ план— важна информация за размера на операциите с деривати.</w:t>
      </w:r>
    </w:p>
    <w:p w14:paraId="0B9542C1" w14:textId="25E74705"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123</w:t>
      </w:r>
      <w:r w:rsidRPr="002E7605">
        <w:fldChar w:fldCharType="end"/>
      </w:r>
      <w:r w:rsidRPr="002E7605">
        <w:t>. Месец 1, месец 2 и месец 3 се отнасят съответно за първия, втория и последния месец на тримесечието, за което се докладва. Информацията се докладва само за края на месеците, приключващи след 28 юни 2021 г.</w:t>
      </w:r>
    </w:p>
    <w:p w14:paraId="782EADBE"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sidRPr="002E7605">
        <w:rPr>
          <w:rFonts w:ascii="Times New Roman" w:hAnsi="Times New Roman"/>
          <w:sz w:val="24"/>
        </w:rPr>
        <w:t>Указания относно конкретни позиции</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E7605" w14:paraId="0475E41A" w14:textId="77777777" w:rsidTr="00822842">
        <w:tc>
          <w:tcPr>
            <w:tcW w:w="851" w:type="dxa"/>
            <w:gridSpan w:val="2"/>
            <w:shd w:val="clear" w:color="auto" w:fill="CCCCCC"/>
          </w:tcPr>
          <w:p w14:paraId="31CC44BD" w14:textId="77777777" w:rsidR="00EF74C7" w:rsidRPr="002E7605" w:rsidRDefault="00EF74C7" w:rsidP="00822842">
            <w:pPr>
              <w:spacing w:beforeLines="60" w:before="144" w:afterLines="60" w:after="144"/>
              <w:rPr>
                <w:rFonts w:ascii="Times New Roman" w:hAnsi="Times New Roman"/>
                <w:b/>
                <w:sz w:val="24"/>
              </w:rPr>
            </w:pPr>
            <w:r w:rsidRPr="002E7605">
              <w:rPr>
                <w:rFonts w:ascii="Times New Roman" w:hAnsi="Times New Roman"/>
                <w:b/>
                <w:sz w:val="24"/>
              </w:rPr>
              <w:t>Колони</w:t>
            </w:r>
          </w:p>
        </w:tc>
      </w:tr>
      <w:tr w:rsidR="00EF74C7" w:rsidRPr="002E7605" w14:paraId="39875704" w14:textId="77777777" w:rsidTr="00822842">
        <w:tc>
          <w:tcPr>
            <w:tcW w:w="851" w:type="dxa"/>
          </w:tcPr>
          <w:p w14:paraId="39BC59F7"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0010,0040, 0070</w:t>
            </w:r>
          </w:p>
        </w:tc>
        <w:tc>
          <w:tcPr>
            <w:tcW w:w="8108" w:type="dxa"/>
          </w:tcPr>
          <w:p w14:paraId="09D42C21"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ДЪЛГИ ПОЗИЦИИ В ДЕРИВАТИ</w:t>
            </w:r>
          </w:p>
          <w:p w14:paraId="2BADA7D6" w14:textId="77777777" w:rsidR="00EF74C7" w:rsidRPr="002E7605" w:rsidRDefault="00EF74C7" w:rsidP="00822842">
            <w:pPr>
              <w:spacing w:beforeLines="60" w:before="144" w:afterLines="60" w:after="144"/>
              <w:rPr>
                <w:rStyle w:val="InstructionsTabelleberschrift"/>
                <w:rFonts w:ascii="Times New Roman" w:hAnsi="Times New Roman"/>
                <w:b w:val="0"/>
                <w:sz w:val="24"/>
              </w:rPr>
            </w:pPr>
            <w:r w:rsidRPr="002E7605">
              <w:rPr>
                <w:rStyle w:val="InstructionsTabelleberschrift"/>
                <w:rFonts w:ascii="Times New Roman" w:hAnsi="Times New Roman"/>
                <w:sz w:val="24"/>
              </w:rPr>
              <w:t>Член 273a, параграф 3 от Регламент (ЕС) № 575/2013.</w:t>
            </w:r>
          </w:p>
          <w:p w14:paraId="400C78E9"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Докладва се сборът от абсолютните пазарни стойности на дългите позиции в деривати към последната дата на месеца.</w:t>
            </w:r>
          </w:p>
        </w:tc>
      </w:tr>
      <w:tr w:rsidR="00EF74C7" w:rsidRPr="002E7605" w14:paraId="76F76EF8" w14:textId="77777777" w:rsidTr="00822842">
        <w:tc>
          <w:tcPr>
            <w:tcW w:w="851" w:type="dxa"/>
          </w:tcPr>
          <w:p w14:paraId="1821FC2A"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0020, 0050,</w:t>
            </w:r>
          </w:p>
          <w:p w14:paraId="6AD38436"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0080</w:t>
            </w:r>
          </w:p>
        </w:tc>
        <w:tc>
          <w:tcPr>
            <w:tcW w:w="8108" w:type="dxa"/>
          </w:tcPr>
          <w:p w14:paraId="4F840B38"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КЪСИ ПОЗИЦИИ В ДЕРИВАТИ</w:t>
            </w:r>
          </w:p>
          <w:p w14:paraId="17AF4A13" w14:textId="77777777" w:rsidR="00EF74C7" w:rsidRPr="002E7605" w:rsidRDefault="00EF74C7" w:rsidP="00822842">
            <w:pPr>
              <w:spacing w:beforeLines="60" w:before="144" w:afterLines="60" w:after="144"/>
              <w:rPr>
                <w:rStyle w:val="InstructionsTabelleberschrift"/>
                <w:rFonts w:ascii="Times New Roman" w:hAnsi="Times New Roman"/>
                <w:b w:val="0"/>
                <w:sz w:val="24"/>
              </w:rPr>
            </w:pPr>
            <w:r w:rsidRPr="002E7605">
              <w:rPr>
                <w:rStyle w:val="InstructionsTabelleberschrift"/>
                <w:rFonts w:ascii="Times New Roman" w:hAnsi="Times New Roman"/>
                <w:sz w:val="24"/>
              </w:rPr>
              <w:t>Член 273a, параграф 3 от Регламент (ЕС) № 575/2013.</w:t>
            </w:r>
          </w:p>
          <w:p w14:paraId="3AB96F81"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Докладва се сборът от абсолютните пазарни стойности на късите позиции в деривати към последната дата на месеца.</w:t>
            </w:r>
          </w:p>
        </w:tc>
      </w:tr>
      <w:tr w:rsidR="00EF74C7" w:rsidRPr="002E7605" w14:paraId="03A14C37" w14:textId="77777777" w:rsidTr="00822842">
        <w:tc>
          <w:tcPr>
            <w:tcW w:w="851" w:type="dxa"/>
          </w:tcPr>
          <w:p w14:paraId="0D690866"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0030, 0060,</w:t>
            </w:r>
          </w:p>
          <w:p w14:paraId="1173DE8A"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0090</w:t>
            </w:r>
          </w:p>
        </w:tc>
        <w:tc>
          <w:tcPr>
            <w:tcW w:w="8108" w:type="dxa"/>
          </w:tcPr>
          <w:p w14:paraId="252D116D"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ОБЩО</w:t>
            </w:r>
          </w:p>
          <w:p w14:paraId="4D024C67"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Fonts w:ascii="Times New Roman" w:hAnsi="Times New Roman"/>
                <w:sz w:val="24"/>
              </w:rPr>
              <w:t>Член 273а, параграф 3, буква б) от Регламент (ЕС) № 575/2013</w:t>
            </w:r>
          </w:p>
          <w:p w14:paraId="6C39E208"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Сборът от абсолютната стойност на дългите позиции в деривати и абсолютната стойност на късите позиции в деривати.</w:t>
            </w:r>
          </w:p>
        </w:tc>
      </w:tr>
    </w:tbl>
    <w:p w14:paraId="5DF57E78" w14:textId="77777777" w:rsidR="00EF74C7" w:rsidRPr="002E7605"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E7605" w14:paraId="1158449C" w14:textId="77777777" w:rsidTr="00822842">
        <w:tc>
          <w:tcPr>
            <w:tcW w:w="9039" w:type="dxa"/>
            <w:gridSpan w:val="2"/>
            <w:shd w:val="clear" w:color="auto" w:fill="CCCCCC"/>
          </w:tcPr>
          <w:p w14:paraId="2E01AD0B" w14:textId="77777777" w:rsidR="00EF74C7" w:rsidRPr="002E7605" w:rsidRDefault="00EF74C7" w:rsidP="00822842">
            <w:pPr>
              <w:spacing w:beforeLines="60" w:before="144" w:afterLines="60" w:after="144"/>
              <w:rPr>
                <w:rFonts w:ascii="Times New Roman" w:hAnsi="Times New Roman"/>
                <w:b/>
                <w:sz w:val="24"/>
              </w:rPr>
            </w:pPr>
            <w:r w:rsidRPr="002E7605">
              <w:rPr>
                <w:rFonts w:ascii="Times New Roman" w:hAnsi="Times New Roman"/>
                <w:b/>
                <w:sz w:val="24"/>
              </w:rPr>
              <w:t>Редове</w:t>
            </w:r>
          </w:p>
        </w:tc>
      </w:tr>
      <w:tr w:rsidR="00EF74C7" w:rsidRPr="002E7605" w14:paraId="2C6F42AE" w14:textId="77777777" w:rsidTr="00822842">
        <w:tc>
          <w:tcPr>
            <w:tcW w:w="852" w:type="dxa"/>
          </w:tcPr>
          <w:p w14:paraId="024CBE56"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0010</w:t>
            </w:r>
          </w:p>
        </w:tc>
        <w:tc>
          <w:tcPr>
            <w:tcW w:w="8187" w:type="dxa"/>
          </w:tcPr>
          <w:p w14:paraId="552E9C6B"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Размер на операциите с деривати</w:t>
            </w:r>
          </w:p>
          <w:p w14:paraId="78339108" w14:textId="77777777" w:rsidR="00EF74C7" w:rsidRPr="002E7605" w:rsidRDefault="00EF74C7" w:rsidP="00822842">
            <w:pPr>
              <w:spacing w:beforeLines="60" w:before="144" w:afterLines="60" w:after="144"/>
              <w:rPr>
                <w:rFonts w:ascii="Times New Roman" w:hAnsi="Times New Roman"/>
                <w:bCs/>
                <w:sz w:val="24"/>
              </w:rPr>
            </w:pPr>
            <w:r w:rsidRPr="002E7605">
              <w:rPr>
                <w:rFonts w:ascii="Times New Roman" w:hAnsi="Times New Roman"/>
                <w:sz w:val="24"/>
              </w:rPr>
              <w:t>Член 273a, параграф 3 от Регламент (ЕС) № 575/2013</w:t>
            </w:r>
          </w:p>
          <w:p w14:paraId="6D4FE0C8"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Style w:val="InstructionsTabelleberschrift"/>
                <w:rFonts w:ascii="Times New Roman" w:hAnsi="Times New Roman"/>
                <w:b w:val="0"/>
                <w:sz w:val="24"/>
                <w:u w:val="none"/>
              </w:rPr>
              <w:t>Включват се всички балансови и задбалансови деривати, с изключение на кредитни деривати, признати за вътрешно хеджиране срещу експозиции към кредитен риск в банковия портфейл.</w:t>
            </w:r>
          </w:p>
        </w:tc>
      </w:tr>
      <w:tr w:rsidR="00EF74C7" w:rsidRPr="002E7605" w14:paraId="579E43BD" w14:textId="77777777" w:rsidTr="00822842">
        <w:tc>
          <w:tcPr>
            <w:tcW w:w="852" w:type="dxa"/>
          </w:tcPr>
          <w:p w14:paraId="435DE7F3"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 xml:space="preserve">0020 </w:t>
            </w:r>
          </w:p>
        </w:tc>
        <w:tc>
          <w:tcPr>
            <w:tcW w:w="8187" w:type="dxa"/>
          </w:tcPr>
          <w:p w14:paraId="04982DD9"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Балансови и задбалансови деривати</w:t>
            </w:r>
          </w:p>
          <w:p w14:paraId="5D2385C4"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Fonts w:ascii="Times New Roman" w:hAnsi="Times New Roman"/>
                <w:sz w:val="24"/>
              </w:rPr>
              <w:t>Член 273а, параграф 3, букви а) и б) от Регламент (ЕС) № 575/2013</w:t>
            </w:r>
          </w:p>
          <w:p w14:paraId="36CFA94A"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Style w:val="InstructionsTabelleberschrift"/>
                <w:rFonts w:ascii="Times New Roman" w:hAnsi="Times New Roman"/>
                <w:b w:val="0"/>
                <w:sz w:val="24"/>
                <w:u w:val="none"/>
              </w:rPr>
              <w:t>Докладва се общата пазарна стойност на балансовите и задбалансовите позиции в деривати към последния ден на месеца.</w:t>
            </w:r>
            <w:r w:rsidRPr="002E7605">
              <w:rPr>
                <w:rFonts w:ascii="Times New Roman" w:hAnsi="Times New Roman"/>
                <w:sz w:val="24"/>
              </w:rPr>
              <w:t xml:space="preserve"> Когато пазарната стойност на дадена позиция не е налична към тази дата, институциите използват справедлива стойност за позицията към тази дата; когато пазарната стойност и справедливата стойност на дадена позиция не са налични към тази дата, </w:t>
            </w:r>
            <w:r w:rsidRPr="002E7605">
              <w:rPr>
                <w:rFonts w:ascii="Times New Roman" w:hAnsi="Times New Roman"/>
                <w:sz w:val="24"/>
              </w:rPr>
              <w:lastRenderedPageBreak/>
              <w:t>институциите приемат за тази позиция най-актуалната ѝ пазарна стойност или справедлива стойност.</w:t>
            </w:r>
          </w:p>
        </w:tc>
      </w:tr>
      <w:tr w:rsidR="00EF74C7" w:rsidRPr="002E7605" w14:paraId="0D0ADD9F" w14:textId="77777777" w:rsidTr="00822842">
        <w:tc>
          <w:tcPr>
            <w:tcW w:w="852" w:type="dxa"/>
          </w:tcPr>
          <w:p w14:paraId="6D998AEA"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lastRenderedPageBreak/>
              <w:t xml:space="preserve">0030 </w:t>
            </w:r>
          </w:p>
        </w:tc>
        <w:tc>
          <w:tcPr>
            <w:tcW w:w="8187" w:type="dxa"/>
          </w:tcPr>
          <w:p w14:paraId="36732A5F" w14:textId="77777777" w:rsidR="00EF74C7" w:rsidRPr="002E7605" w:rsidRDefault="00EF74C7" w:rsidP="00822842">
            <w:pPr>
              <w:spacing w:beforeLines="60" w:before="144" w:afterLines="60" w:after="144"/>
              <w:rPr>
                <w:rFonts w:ascii="Times New Roman" w:hAnsi="Times New Roman"/>
                <w:b/>
                <w:sz w:val="24"/>
                <w:u w:val="single"/>
              </w:rPr>
            </w:pPr>
            <w:r w:rsidRPr="002E7605">
              <w:rPr>
                <w:rFonts w:ascii="Times New Roman" w:hAnsi="Times New Roman"/>
                <w:b/>
                <w:sz w:val="24"/>
                <w:u w:val="single"/>
              </w:rPr>
              <w:t>(−) Кредитни деривати, признати за вътрешно хеджиране срещу експозиции към кредитен риск в банковия портфейл</w:t>
            </w:r>
          </w:p>
          <w:p w14:paraId="7B2D3F9F"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Fonts w:ascii="Times New Roman" w:hAnsi="Times New Roman"/>
                <w:sz w:val="24"/>
              </w:rPr>
              <w:t>Член 273а, параграф 3, буква в) от Регламент (ЕС) № 575/2013</w:t>
            </w:r>
          </w:p>
          <w:p w14:paraId="11EEB10C"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Общата пазарна стойност на кредитните деривати, признати за вътрешно хеджиране срещу експозиции към кредитен риск в банковия портфейл.</w:t>
            </w:r>
          </w:p>
        </w:tc>
      </w:tr>
      <w:tr w:rsidR="00EF74C7" w:rsidRPr="002E7605" w14:paraId="35FDB40E" w14:textId="77777777" w:rsidTr="00822842">
        <w:tc>
          <w:tcPr>
            <w:tcW w:w="852" w:type="dxa"/>
          </w:tcPr>
          <w:p w14:paraId="74E4E271"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0040</w:t>
            </w:r>
          </w:p>
        </w:tc>
        <w:tc>
          <w:tcPr>
            <w:tcW w:w="8187" w:type="dxa"/>
          </w:tcPr>
          <w:p w14:paraId="0BD00669"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Общо активи</w:t>
            </w:r>
          </w:p>
          <w:p w14:paraId="46929946"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Style w:val="InstructionsTabelleberschrift"/>
                <w:rFonts w:ascii="Times New Roman" w:hAnsi="Times New Roman"/>
                <w:b w:val="0"/>
                <w:sz w:val="24"/>
                <w:u w:val="none"/>
              </w:rPr>
              <w:t>Общия размер на активите в съответствие с приложимите счетоводни стандарти.</w:t>
            </w:r>
          </w:p>
          <w:p w14:paraId="010EF5F0" w14:textId="77777777" w:rsidR="00EF74C7" w:rsidRPr="002E7605" w:rsidRDefault="00EF74C7" w:rsidP="00822842">
            <w:pPr>
              <w:spacing w:beforeLines="60" w:before="144" w:afterLines="60" w:after="144"/>
              <w:rPr>
                <w:rStyle w:val="InstructionsTabelleberschrift"/>
                <w:rFonts w:ascii="Times New Roman" w:hAnsi="Times New Roman"/>
                <w:b w:val="0"/>
                <w:sz w:val="24"/>
              </w:rPr>
            </w:pPr>
            <w:r w:rsidRPr="002E7605">
              <w:rPr>
                <w:rFonts w:ascii="Times New Roman" w:hAnsi="Times New Roman"/>
                <w:sz w:val="24"/>
              </w:rPr>
              <w:t>При докладване на консолидирана основа институцията посочва общия размер на активите според обхвата на пруденциалната консолидация съгласно първа част, дял II, глава 2, раздел 2 от Регламент (ЕС) № 575/2013.</w:t>
            </w:r>
          </w:p>
        </w:tc>
      </w:tr>
      <w:tr w:rsidR="00EF74C7" w:rsidRPr="002E7605" w14:paraId="4D325D16" w14:textId="77777777" w:rsidTr="00822842">
        <w:tc>
          <w:tcPr>
            <w:tcW w:w="852" w:type="dxa"/>
          </w:tcPr>
          <w:p w14:paraId="60F15BF2"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0050</w:t>
            </w:r>
          </w:p>
        </w:tc>
        <w:tc>
          <w:tcPr>
            <w:tcW w:w="8187" w:type="dxa"/>
          </w:tcPr>
          <w:p w14:paraId="26613692"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Процент от oбщите активи</w:t>
            </w:r>
          </w:p>
          <w:p w14:paraId="7A7748D7" w14:textId="77777777" w:rsidR="00EF74C7" w:rsidRPr="002E7605" w:rsidRDefault="00EF74C7" w:rsidP="00822842">
            <w:pPr>
              <w:spacing w:beforeLines="60" w:before="144" w:afterLines="60" w:after="144"/>
              <w:rPr>
                <w:rFonts w:ascii="Times New Roman" w:hAnsi="Times New Roman"/>
                <w:b/>
                <w:sz w:val="24"/>
              </w:rPr>
            </w:pPr>
            <w:r w:rsidRPr="002E7605">
              <w:rPr>
                <w:rStyle w:val="InstructionsTabelleberschrift"/>
                <w:rFonts w:ascii="Times New Roman" w:hAnsi="Times New Roman"/>
                <w:b w:val="0"/>
                <w:sz w:val="24"/>
                <w:u w:val="none"/>
              </w:rPr>
              <w:t xml:space="preserve">Съотношението се изчислява, като размерът на операциите с деривати (ред 0010) се разделя на общия размер на активите (ред 0040). </w:t>
            </w:r>
          </w:p>
        </w:tc>
      </w:tr>
      <w:tr w:rsidR="00EF74C7" w:rsidRPr="002E7605" w14:paraId="0399B49B" w14:textId="77777777" w:rsidTr="00822842">
        <w:tc>
          <w:tcPr>
            <w:tcW w:w="9039" w:type="dxa"/>
            <w:gridSpan w:val="2"/>
            <w:shd w:val="clear" w:color="auto" w:fill="A6A6A6" w:themeFill="background1" w:themeFillShade="A6"/>
          </w:tcPr>
          <w:p w14:paraId="2029EDEF" w14:textId="77777777" w:rsidR="00EF74C7" w:rsidRPr="002E7605" w:rsidRDefault="00EF74C7" w:rsidP="00822842">
            <w:pPr>
              <w:spacing w:beforeLines="60" w:before="144" w:afterLines="60" w:after="144"/>
              <w:rPr>
                <w:rFonts w:ascii="Times New Roman" w:hAnsi="Times New Roman"/>
                <w:b/>
                <w:sz w:val="24"/>
              </w:rPr>
            </w:pPr>
            <w:r w:rsidRPr="002E7605">
              <w:rPr>
                <w:rFonts w:ascii="Times New Roman" w:hAnsi="Times New Roman"/>
                <w:b/>
                <w:sz w:val="24"/>
              </w:rPr>
              <w:t>ДЕРОГАЦИЯ В СЪОТВЕТСТВИЕ С ЧЛЕН 273А, ПАРАГРАФ 4 ОТ РЕГЛАМЕНТ (ЕС) № 575/2013</w:t>
            </w:r>
          </w:p>
        </w:tc>
      </w:tr>
      <w:tr w:rsidR="00EF74C7" w:rsidRPr="002E7605" w14:paraId="70D864E0" w14:textId="77777777" w:rsidTr="00822842">
        <w:trPr>
          <w:trHeight w:val="3003"/>
        </w:trPr>
        <w:tc>
          <w:tcPr>
            <w:tcW w:w="852" w:type="dxa"/>
          </w:tcPr>
          <w:p w14:paraId="3AB25C6D"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0060</w:t>
            </w:r>
          </w:p>
        </w:tc>
        <w:tc>
          <w:tcPr>
            <w:tcW w:w="8187" w:type="dxa"/>
          </w:tcPr>
          <w:p w14:paraId="67908B53"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Изпълнени ли са условията по член 273а, параграф 4 от Регламент (ЕС) № 575/2013, включително относно одобрението от компетентния орган?</w:t>
            </w:r>
          </w:p>
          <w:p w14:paraId="2F3DE52A"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Fonts w:ascii="Times New Roman" w:hAnsi="Times New Roman"/>
                <w:sz w:val="24"/>
              </w:rPr>
              <w:t>Член 273a, параграф 4 от Регламент (ЕС) № 575/2013</w:t>
            </w:r>
          </w:p>
          <w:p w14:paraId="748D5951"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Fonts w:ascii="Times New Roman" w:hAnsi="Times New Roman"/>
                <w:sz w:val="24"/>
              </w:rPr>
              <w:t>Институциите, които надхвърлят праговете за използване на опростен подход за кредитен риск от контрагента, но все още използват един от тях въз основа на член 273а, параграф 4 от Регламент (ЕС) № 575/2013, посочват (с Да/Не) дали отговарят на всички условия по този член.</w:t>
            </w:r>
          </w:p>
          <w:p w14:paraId="6DA86931" w14:textId="77777777" w:rsidR="00EF74C7" w:rsidRPr="002E7605" w:rsidRDefault="00EF74C7" w:rsidP="00822842">
            <w:pPr>
              <w:spacing w:beforeLines="60" w:before="144" w:afterLines="60" w:after="144"/>
              <w:rPr>
                <w:rFonts w:ascii="Times New Roman" w:hAnsi="Times New Roman"/>
                <w:b/>
                <w:sz w:val="24"/>
              </w:rPr>
            </w:pPr>
            <w:r w:rsidRPr="002E7605">
              <w:rPr>
                <w:rFonts w:ascii="Times New Roman" w:hAnsi="Times New Roman"/>
                <w:sz w:val="24"/>
              </w:rPr>
              <w:t>Тази позиция се докладва само от институциите, които прилагат дерогацията в съответствие с член 273а, параграф 4 от Регламент (ЕС) № 575/2013.</w:t>
            </w:r>
          </w:p>
        </w:tc>
      </w:tr>
      <w:tr w:rsidR="00EF74C7" w:rsidRPr="002E7605" w14:paraId="454EB33C" w14:textId="77777777" w:rsidTr="00822842">
        <w:tc>
          <w:tcPr>
            <w:tcW w:w="852" w:type="dxa"/>
          </w:tcPr>
          <w:p w14:paraId="38A2CAC1"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0070</w:t>
            </w:r>
          </w:p>
        </w:tc>
        <w:tc>
          <w:tcPr>
            <w:tcW w:w="8187" w:type="dxa"/>
          </w:tcPr>
          <w:p w14:paraId="58491ECF"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Метод за изчисляване на стойностите на експозициите на консолидирано равнище</w:t>
            </w:r>
          </w:p>
          <w:p w14:paraId="082FDD18"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Fonts w:ascii="Times New Roman" w:hAnsi="Times New Roman"/>
                <w:sz w:val="24"/>
              </w:rPr>
              <w:t>Член 273a, параграф 4 от Регламент (ЕС) № 575/2013</w:t>
            </w:r>
          </w:p>
          <w:p w14:paraId="2F4198CB"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Fonts w:ascii="Times New Roman" w:hAnsi="Times New Roman"/>
                <w:sz w:val="24"/>
              </w:rPr>
              <w:t>Методът за изчисляване на стойностите на експозициите на позициите в деривати на консолидирано равнище, който се използва и на равнище отделно предприятие в съответствие с член 273а, параграф 4 от Регламент (ЕС) № 575/2013:</w:t>
            </w:r>
          </w:p>
          <w:p w14:paraId="028F6AA2"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Style w:val="InstructionsTabelleberschrift"/>
                <w:rFonts w:ascii="Times New Roman" w:hAnsi="Times New Roman"/>
                <w:b w:val="0"/>
                <w:sz w:val="24"/>
                <w:u w:val="none"/>
              </w:rPr>
              <w:t>- МПЕ: Метод на първоначалната експозиция</w:t>
            </w:r>
          </w:p>
          <w:p w14:paraId="52FA75E2" w14:textId="77777777" w:rsidR="00EF74C7" w:rsidRPr="002E7605" w:rsidRDefault="00EF74C7" w:rsidP="00822842">
            <w:pPr>
              <w:spacing w:beforeLines="60" w:before="144" w:afterLines="60" w:after="144"/>
              <w:rPr>
                <w:rStyle w:val="InstructionsTabelleberschrift"/>
                <w:rFonts w:ascii="Times New Roman" w:hAnsi="Times New Roman"/>
                <w:b w:val="0"/>
                <w:sz w:val="24"/>
                <w:u w:val="none"/>
              </w:rPr>
            </w:pPr>
            <w:r w:rsidRPr="002E7605">
              <w:rPr>
                <w:rStyle w:val="InstructionsTabelleberschrift"/>
                <w:rFonts w:ascii="Times New Roman" w:hAnsi="Times New Roman"/>
                <w:b w:val="0"/>
                <w:sz w:val="24"/>
                <w:u w:val="none"/>
              </w:rPr>
              <w:t xml:space="preserve">- Опростен СПКРК: Опростен стандартизиран подход за кредитния риск от контрагента </w:t>
            </w:r>
          </w:p>
          <w:p w14:paraId="6D893F4F" w14:textId="77777777" w:rsidR="00EF74C7" w:rsidRPr="002E7605" w:rsidRDefault="00EF74C7" w:rsidP="00822842">
            <w:pPr>
              <w:spacing w:beforeLines="60" w:before="144" w:afterLines="60" w:after="144"/>
              <w:rPr>
                <w:rFonts w:ascii="Times New Roman" w:hAnsi="Times New Roman"/>
                <w:b/>
                <w:sz w:val="24"/>
              </w:rPr>
            </w:pPr>
            <w:r w:rsidRPr="002E7605">
              <w:rPr>
                <w:rFonts w:ascii="Times New Roman" w:hAnsi="Times New Roman"/>
                <w:sz w:val="24"/>
              </w:rPr>
              <w:lastRenderedPageBreak/>
              <w:t>Тази позиция се докладва само от институциите, които прилагат дерогацията в съответствие с член 273а, параграф 4 от Регламент (ЕС) № 575/2013.</w:t>
            </w:r>
          </w:p>
        </w:tc>
      </w:tr>
    </w:tbl>
    <w:p w14:paraId="773ED03F"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sidRPr="002E7605">
        <w:rPr>
          <w:rFonts w:ascii="Times New Roman" w:hAnsi="Times New Roman"/>
          <w:sz w:val="24"/>
        </w:rPr>
        <w:lastRenderedPageBreak/>
        <w:t>C 34.02 — Експозиции към кредитен риск от контрагента по подход</w:t>
      </w:r>
      <w:bookmarkEnd w:id="22"/>
      <w:bookmarkEnd w:id="23"/>
      <w:r w:rsidRPr="002E7605">
        <w:rPr>
          <w:rFonts w:ascii="Times New Roman" w:hAnsi="Times New Roman"/>
          <w:sz w:val="24"/>
        </w:rPr>
        <w:t xml:space="preserve"> </w:t>
      </w:r>
    </w:p>
    <w:p w14:paraId="3FC7FDB8"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sidRPr="002E7605">
        <w:rPr>
          <w:rFonts w:ascii="Times New Roman" w:hAnsi="Times New Roman"/>
          <w:sz w:val="24"/>
        </w:rPr>
        <w:t>Общи бележки</w:t>
      </w:r>
      <w:bookmarkEnd w:id="24"/>
      <w:bookmarkEnd w:id="25"/>
    </w:p>
    <w:p w14:paraId="765D46FE" w14:textId="20A30CC8"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124</w:t>
      </w:r>
      <w:r w:rsidRPr="002E7605">
        <w:fldChar w:fldCharType="end"/>
      </w:r>
      <w:r w:rsidRPr="002E7605">
        <w:t>. Институциите докладват образеца поотделно за всички експозиции към КРК и за всички експозиции към КРК, с изключение на експозициите към централни контрагенти (ЦК) съгласно определението за целите на образец C 34.10.</w:t>
      </w:r>
    </w:p>
    <w:p w14:paraId="73798597"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sidRPr="002E7605">
        <w:rPr>
          <w:rFonts w:ascii="Times New Roman" w:hAnsi="Times New Roman"/>
          <w:sz w:val="24"/>
        </w:rPr>
        <w:t>Указания относно конкретни позиции</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Колони</w:t>
            </w:r>
          </w:p>
        </w:tc>
      </w:tr>
      <w:tr w:rsidR="00EF74C7" w:rsidRPr="002E7605" w14:paraId="5AF62E03" w14:textId="77777777" w:rsidTr="00822842">
        <w:trPr>
          <w:trHeight w:val="680"/>
        </w:trPr>
        <w:tc>
          <w:tcPr>
            <w:tcW w:w="1384" w:type="dxa"/>
          </w:tcPr>
          <w:p w14:paraId="0ECB7AE7" w14:textId="77777777" w:rsidR="00EF74C7" w:rsidRPr="002E7605" w:rsidRDefault="00EF74C7" w:rsidP="00822842">
            <w:pPr>
              <w:pStyle w:val="Applicationdirecte"/>
              <w:spacing w:before="0" w:after="0"/>
            </w:pPr>
            <w:r w:rsidRPr="002E7605">
              <w:t>0010</w:t>
            </w:r>
          </w:p>
        </w:tc>
        <w:tc>
          <w:tcPr>
            <w:tcW w:w="7655" w:type="dxa"/>
            <w:vAlign w:val="center"/>
          </w:tcPr>
          <w:p w14:paraId="2F369CA7"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БРОЙ КОНТРАГЕНТИ</w:t>
            </w:r>
          </w:p>
          <w:p w14:paraId="5D247700" w14:textId="77777777" w:rsidR="00EF74C7" w:rsidRPr="002E7605" w:rsidRDefault="00EF74C7" w:rsidP="00822842">
            <w:pPr>
              <w:autoSpaceDE w:val="0"/>
              <w:autoSpaceDN w:val="0"/>
              <w:adjustRightInd w:val="0"/>
              <w:spacing w:before="60"/>
              <w:rPr>
                <w:rFonts w:ascii="Times New Roman" w:hAnsi="Times New Roman"/>
                <w:i/>
                <w:sz w:val="24"/>
              </w:rPr>
            </w:pPr>
            <w:r w:rsidRPr="002E7605">
              <w:rPr>
                <w:rFonts w:ascii="Times New Roman" w:hAnsi="Times New Roman"/>
                <w:sz w:val="24"/>
              </w:rPr>
              <w:t>Брой на отделните контрагенти, към които институцията има експозиции към КРК.</w:t>
            </w:r>
          </w:p>
        </w:tc>
      </w:tr>
      <w:tr w:rsidR="00EF74C7" w:rsidRPr="002E7605" w14:paraId="47187F35" w14:textId="77777777" w:rsidTr="00822842">
        <w:trPr>
          <w:trHeight w:val="416"/>
        </w:trPr>
        <w:tc>
          <w:tcPr>
            <w:tcW w:w="1384" w:type="dxa"/>
          </w:tcPr>
          <w:p w14:paraId="31502253" w14:textId="77777777" w:rsidR="00EF74C7" w:rsidRPr="002E7605" w:rsidRDefault="00EF74C7" w:rsidP="00822842">
            <w:pPr>
              <w:pStyle w:val="Applicationdirecte"/>
              <w:spacing w:before="0" w:after="0"/>
            </w:pPr>
            <w:r w:rsidRPr="002E7605">
              <w:t>0020</w:t>
            </w:r>
          </w:p>
        </w:tc>
        <w:tc>
          <w:tcPr>
            <w:tcW w:w="7655" w:type="dxa"/>
            <w:vAlign w:val="center"/>
          </w:tcPr>
          <w:p w14:paraId="6A419FF1"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БРОЙ СДЕЛКИ</w:t>
            </w:r>
          </w:p>
          <w:p w14:paraId="72A1DFED" w14:textId="77777777" w:rsidR="00EF74C7" w:rsidRPr="002E7605" w:rsidRDefault="00EF74C7" w:rsidP="00822842">
            <w:pPr>
              <w:autoSpaceDE w:val="0"/>
              <w:autoSpaceDN w:val="0"/>
              <w:adjustRightInd w:val="0"/>
              <w:spacing w:before="60"/>
              <w:rPr>
                <w:rFonts w:ascii="Times New Roman" w:hAnsi="Times New Roman"/>
                <w:sz w:val="24"/>
              </w:rPr>
            </w:pPr>
            <w:r w:rsidRPr="002E7605">
              <w:rPr>
                <w:rFonts w:ascii="Times New Roman" w:hAnsi="Times New Roman"/>
                <w:sz w:val="24"/>
              </w:rPr>
              <w:t>Брой сделки, изложени на кредитен риск от контрагента към датата на докладване. Да се отбележи, че данните за сделките с ЦК не следва да включват входящите или изходящите потоци, а общите позиции в портфейла на ЦК към датата на докладване. Освен това дериватен инструмент или СФЦК с две или повече рамена (най-малко) продължава да се счита за една сделка за целите на моделирането.</w:t>
            </w:r>
          </w:p>
        </w:tc>
      </w:tr>
      <w:tr w:rsidR="00EF74C7" w:rsidRPr="002E7605" w14:paraId="095C33EA" w14:textId="77777777" w:rsidTr="00822842">
        <w:trPr>
          <w:trHeight w:val="680"/>
        </w:trPr>
        <w:tc>
          <w:tcPr>
            <w:tcW w:w="1384" w:type="dxa"/>
          </w:tcPr>
          <w:p w14:paraId="11D4F4B1" w14:textId="77777777" w:rsidR="00EF74C7" w:rsidRPr="002E7605" w:rsidRDefault="00EF74C7" w:rsidP="00822842">
            <w:pPr>
              <w:pStyle w:val="Applicationdirecte"/>
              <w:spacing w:before="0" w:after="0"/>
            </w:pPr>
            <w:r w:rsidRPr="002E7605">
              <w:t>0030</w:t>
            </w:r>
          </w:p>
        </w:tc>
        <w:tc>
          <w:tcPr>
            <w:tcW w:w="7655" w:type="dxa"/>
            <w:vAlign w:val="center"/>
          </w:tcPr>
          <w:p w14:paraId="31BBD503"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УСЛОВНИ СТОЙНОСТИ</w:t>
            </w:r>
          </w:p>
          <w:p w14:paraId="0DE79C19"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Сборът от условните стойности за деривати и СФЦК преди нетиране и без корекции в съответствие с член 279б от Регламент (ЕС) № 575/2013.</w:t>
            </w:r>
          </w:p>
        </w:tc>
      </w:tr>
      <w:tr w:rsidR="00EF74C7" w:rsidRPr="002E7605" w14:paraId="5C1FBFBA" w14:textId="77777777" w:rsidTr="00822842">
        <w:trPr>
          <w:trHeight w:val="680"/>
        </w:trPr>
        <w:tc>
          <w:tcPr>
            <w:tcW w:w="1384" w:type="dxa"/>
          </w:tcPr>
          <w:p w14:paraId="314060C4" w14:textId="77777777" w:rsidR="00EF74C7" w:rsidRPr="002E7605" w:rsidRDefault="00EF74C7" w:rsidP="00822842">
            <w:pPr>
              <w:pStyle w:val="Applicationdirecte"/>
              <w:spacing w:before="0" w:after="0"/>
            </w:pPr>
            <w:r w:rsidRPr="002E7605">
              <w:t>0040</w:t>
            </w:r>
          </w:p>
        </w:tc>
        <w:tc>
          <w:tcPr>
            <w:tcW w:w="7655" w:type="dxa"/>
            <w:vAlign w:val="center"/>
          </w:tcPr>
          <w:p w14:paraId="0DCD00FE"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ПОЛОЖИТЕЛНА</w:t>
            </w:r>
          </w:p>
          <w:p w14:paraId="0CABD62F"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272, точка 12 от Регламент (ЕС) № 575/2013</w:t>
            </w:r>
          </w:p>
          <w:p w14:paraId="37448E9C"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xml:space="preserve">Сборът от текущите пазарни стойности (CMV) на всички нетиращи съвкупности с положителна текуща пазарна стойност съгласно определението в член 272, параграф 12 от Регламент (ЕС) № 575/2013. </w:t>
            </w:r>
          </w:p>
        </w:tc>
      </w:tr>
      <w:tr w:rsidR="00EF74C7" w:rsidRPr="002E7605" w14:paraId="267FA73E" w14:textId="77777777" w:rsidTr="00822842">
        <w:trPr>
          <w:trHeight w:val="680"/>
        </w:trPr>
        <w:tc>
          <w:tcPr>
            <w:tcW w:w="1384" w:type="dxa"/>
          </w:tcPr>
          <w:p w14:paraId="490B203B" w14:textId="77777777" w:rsidR="00EF74C7" w:rsidRPr="002E7605" w:rsidRDefault="00EF74C7" w:rsidP="00822842">
            <w:pPr>
              <w:pStyle w:val="Applicationdirecte"/>
              <w:spacing w:before="0" w:after="0"/>
            </w:pPr>
            <w:r w:rsidRPr="002E7605">
              <w:t>0050</w:t>
            </w:r>
          </w:p>
        </w:tc>
        <w:tc>
          <w:tcPr>
            <w:tcW w:w="7655" w:type="dxa"/>
            <w:vAlign w:val="center"/>
          </w:tcPr>
          <w:p w14:paraId="4AE05338"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ОТРИЦАТЕЛНА</w:t>
            </w:r>
          </w:p>
          <w:p w14:paraId="1AE578BE"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272, точка 12 от Регламент (ЕС) № 575/2013</w:t>
            </w:r>
          </w:p>
          <w:p w14:paraId="7055CBFD" w14:textId="77777777" w:rsidR="00EF74C7" w:rsidRPr="002E7605" w:rsidRDefault="00EF74C7" w:rsidP="00822842">
            <w:pPr>
              <w:keepNext/>
              <w:spacing w:before="60"/>
              <w:rPr>
                <w:rStyle w:val="InstructionsTabelleberschrift"/>
                <w:rFonts w:ascii="Times New Roman" w:hAnsi="Times New Roman"/>
                <w:sz w:val="24"/>
              </w:rPr>
            </w:pPr>
            <w:r w:rsidRPr="002E7605">
              <w:rPr>
                <w:rFonts w:ascii="Times New Roman" w:hAnsi="Times New Roman"/>
                <w:sz w:val="24"/>
              </w:rPr>
              <w:t>Сборът от абсолютните текущи пазарни стойности (CMV) на всички нетиращи съвкупности с отрицателна текуща пазарна стойност съгласно определението в член 272, параграф 12 от Регламент (ЕС) № 575/2013.</w:t>
            </w:r>
          </w:p>
        </w:tc>
      </w:tr>
      <w:tr w:rsidR="00EF74C7" w:rsidRPr="002E7605" w14:paraId="0BB7F6EF" w14:textId="77777777" w:rsidTr="00822842">
        <w:trPr>
          <w:trHeight w:val="680"/>
        </w:trPr>
        <w:tc>
          <w:tcPr>
            <w:tcW w:w="1384" w:type="dxa"/>
          </w:tcPr>
          <w:p w14:paraId="0A3FB298" w14:textId="77777777" w:rsidR="00EF74C7" w:rsidRPr="002E7605" w:rsidRDefault="00EF74C7" w:rsidP="00822842">
            <w:pPr>
              <w:pStyle w:val="Fait"/>
            </w:pPr>
            <w:r w:rsidRPr="002E7605">
              <w:lastRenderedPageBreak/>
              <w:t>0060</w:t>
            </w:r>
          </w:p>
        </w:tc>
        <w:tc>
          <w:tcPr>
            <w:tcW w:w="7655" w:type="dxa"/>
            <w:vAlign w:val="center"/>
          </w:tcPr>
          <w:p w14:paraId="48B3261E" w14:textId="77777777" w:rsidR="00EF74C7" w:rsidRPr="002E7605" w:rsidRDefault="00EF74C7" w:rsidP="00822842">
            <w:pPr>
              <w:keepNext/>
              <w:spacing w:before="60"/>
              <w:rPr>
                <w:rStyle w:val="InstructionsTabelleberschrift"/>
                <w:rFonts w:ascii="Times New Roman" w:hAnsi="Times New Roman"/>
                <w:b w:val="0"/>
                <w:bCs w:val="0"/>
                <w:sz w:val="24"/>
              </w:rPr>
            </w:pPr>
            <w:r w:rsidRPr="002E7605">
              <w:rPr>
                <w:rStyle w:val="InstructionsTabelleberschrift"/>
                <w:rFonts w:ascii="Times New Roman" w:hAnsi="Times New Roman"/>
                <w:sz w:val="24"/>
              </w:rPr>
              <w:t>ВАРИАЦИОНЕН МАРЖИН, ПОЛУЧЕН</w:t>
            </w:r>
          </w:p>
          <w:p w14:paraId="1BCA2FE2"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275, параграфи 2 и 3 и член 276 от Регламент (ЕС) № 575/2013</w:t>
            </w:r>
          </w:p>
          <w:p w14:paraId="369BA28E"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Сборът от стойностите на вариационните маржини (VM) по всички маржин споразумения, за които е получен вариационен маржин, изчислен в съответствие с член 276 от Регламент (ЕС) № 575/2013.</w:t>
            </w:r>
          </w:p>
        </w:tc>
      </w:tr>
      <w:tr w:rsidR="00EF74C7" w:rsidRPr="002E7605" w14:paraId="6C721687" w14:textId="77777777" w:rsidTr="00822842">
        <w:trPr>
          <w:trHeight w:val="680"/>
        </w:trPr>
        <w:tc>
          <w:tcPr>
            <w:tcW w:w="1384" w:type="dxa"/>
          </w:tcPr>
          <w:p w14:paraId="2B88DE08" w14:textId="77777777" w:rsidR="00EF74C7" w:rsidRPr="002E7605" w:rsidRDefault="00EF74C7" w:rsidP="00822842">
            <w:pPr>
              <w:pStyle w:val="Fait"/>
            </w:pPr>
            <w:r w:rsidRPr="002E7605">
              <w:t>0070</w:t>
            </w:r>
          </w:p>
        </w:tc>
        <w:tc>
          <w:tcPr>
            <w:tcW w:w="7655" w:type="dxa"/>
            <w:vAlign w:val="center"/>
          </w:tcPr>
          <w:p w14:paraId="3CBA9D04" w14:textId="77777777" w:rsidR="00EF74C7" w:rsidRPr="002E7605" w:rsidRDefault="00EF74C7" w:rsidP="00822842">
            <w:pPr>
              <w:keepNext/>
              <w:spacing w:before="60"/>
              <w:rPr>
                <w:rStyle w:val="InstructionsTabelleberschrift"/>
                <w:rFonts w:ascii="Times New Roman" w:hAnsi="Times New Roman"/>
                <w:b w:val="0"/>
                <w:bCs w:val="0"/>
                <w:sz w:val="24"/>
              </w:rPr>
            </w:pPr>
            <w:r w:rsidRPr="002E7605">
              <w:rPr>
                <w:rStyle w:val="InstructionsTabelleberschrift"/>
                <w:rFonts w:ascii="Times New Roman" w:hAnsi="Times New Roman"/>
                <w:sz w:val="24"/>
              </w:rPr>
              <w:t>ВАРИАЦИОНЕН МАРЖИН, ПРЕДОСТАВЕН</w:t>
            </w:r>
          </w:p>
          <w:p w14:paraId="5E268090"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275, параграфи 2 и 3 и член 276 от Регламент (ЕС) № 575/2013</w:t>
            </w:r>
          </w:p>
          <w:p w14:paraId="061EF38D" w14:textId="77777777" w:rsidR="00EF74C7" w:rsidRPr="002E7605" w:rsidRDefault="00EF74C7" w:rsidP="00822842">
            <w:pPr>
              <w:keepNext/>
              <w:spacing w:before="60"/>
              <w:rPr>
                <w:rStyle w:val="InstructionsTabelleberschrift"/>
                <w:rFonts w:ascii="Times New Roman" w:hAnsi="Times New Roman"/>
                <w:sz w:val="24"/>
              </w:rPr>
            </w:pPr>
            <w:r w:rsidRPr="002E7605">
              <w:rPr>
                <w:rFonts w:ascii="Times New Roman" w:hAnsi="Times New Roman"/>
                <w:sz w:val="24"/>
              </w:rPr>
              <w:t>Сборът от стойностите на вариационните маржини (VM) по всички маржин споразумения, за които е предоставен вариационен маржин, изчислен в съответствие с член 276 от Регламент (ЕС) № 575/2013.</w:t>
            </w:r>
          </w:p>
        </w:tc>
      </w:tr>
      <w:tr w:rsidR="00EF74C7" w:rsidRPr="002E7605" w14:paraId="4403BF45" w14:textId="77777777" w:rsidTr="00822842">
        <w:trPr>
          <w:trHeight w:val="680"/>
        </w:trPr>
        <w:tc>
          <w:tcPr>
            <w:tcW w:w="1384" w:type="dxa"/>
          </w:tcPr>
          <w:p w14:paraId="6FD71C9F" w14:textId="77777777" w:rsidR="00EF74C7" w:rsidRPr="002E7605" w:rsidRDefault="00EF74C7" w:rsidP="00822842">
            <w:pPr>
              <w:pStyle w:val="Applicationdirecte"/>
              <w:spacing w:before="0" w:after="0"/>
            </w:pPr>
            <w:r w:rsidRPr="002E7605">
              <w:t>0080</w:t>
            </w:r>
          </w:p>
        </w:tc>
        <w:tc>
          <w:tcPr>
            <w:tcW w:w="7655" w:type="dxa"/>
            <w:vAlign w:val="center"/>
          </w:tcPr>
          <w:p w14:paraId="2A71E90A"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НЕТНO НЕЗАВИСИМO ОБЕЗПЕЧЕНИЕ, ПОЛУЧЕНО </w:t>
            </w:r>
          </w:p>
          <w:p w14:paraId="6F05E00C"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272, параграф 12а, член 275, параграф 3 и член 276 от Регламент (ЕС) № 575/2013</w:t>
            </w:r>
          </w:p>
          <w:p w14:paraId="4F712E22"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Сборът от стойностите на нетните независими обезпечения (NICA) по всички маржин споразумения, за които е получено нетно независимо обезпечение, изчислен в съответствие с член 276 от Регламент (ЕС) № 575/2013.</w:t>
            </w:r>
          </w:p>
        </w:tc>
      </w:tr>
      <w:tr w:rsidR="00EF74C7" w:rsidRPr="002E7605" w14:paraId="6199258D" w14:textId="77777777" w:rsidTr="00822842">
        <w:trPr>
          <w:trHeight w:val="680"/>
        </w:trPr>
        <w:tc>
          <w:tcPr>
            <w:tcW w:w="1384" w:type="dxa"/>
          </w:tcPr>
          <w:p w14:paraId="5ECD89A4" w14:textId="77777777" w:rsidR="00EF74C7" w:rsidRPr="002E7605" w:rsidRDefault="00EF74C7" w:rsidP="00822842">
            <w:pPr>
              <w:pStyle w:val="Applicationdirecte"/>
              <w:spacing w:before="0" w:after="0"/>
            </w:pPr>
            <w:r w:rsidRPr="002E7605">
              <w:t>0090</w:t>
            </w:r>
          </w:p>
        </w:tc>
        <w:tc>
          <w:tcPr>
            <w:tcW w:w="7655" w:type="dxa"/>
            <w:vAlign w:val="center"/>
          </w:tcPr>
          <w:p w14:paraId="0E262EAD"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НЕТНO НЕЗАВИСИМO ОБЕЗПЕЧЕНИЕ, ПРЕДОСТАВЕНО </w:t>
            </w:r>
          </w:p>
          <w:p w14:paraId="69D94B02"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272, параграф 12а, член 275, параграф 3 и член 276 от Регламент (ЕС) № 575/2013</w:t>
            </w:r>
          </w:p>
          <w:p w14:paraId="501F735A" w14:textId="77777777" w:rsidR="00EF74C7" w:rsidRPr="002E7605" w:rsidRDefault="00EF74C7" w:rsidP="00822842">
            <w:pPr>
              <w:spacing w:before="60"/>
              <w:rPr>
                <w:rStyle w:val="InstructionsTabelleberschrift"/>
                <w:rFonts w:ascii="Times New Roman" w:hAnsi="Times New Roman"/>
                <w:sz w:val="24"/>
              </w:rPr>
            </w:pPr>
            <w:r w:rsidRPr="002E7605">
              <w:rPr>
                <w:rFonts w:ascii="Times New Roman" w:hAnsi="Times New Roman"/>
                <w:sz w:val="24"/>
              </w:rPr>
              <w:t>Сборът от стойностите на нетните независими обезпечения (NICA) по всички маржин споразумения, за които е предоставено нетно независимо обезпечение, изчислен в съответствие с член 276 от Регламент (ЕС) № 575/2013.</w:t>
            </w:r>
          </w:p>
        </w:tc>
      </w:tr>
      <w:tr w:rsidR="00EF74C7" w:rsidRPr="002E7605" w14:paraId="1D70BDB1" w14:textId="77777777" w:rsidTr="00822842">
        <w:trPr>
          <w:trHeight w:val="680"/>
        </w:trPr>
        <w:tc>
          <w:tcPr>
            <w:tcW w:w="1384" w:type="dxa"/>
          </w:tcPr>
          <w:p w14:paraId="4B42749A" w14:textId="77777777" w:rsidR="00EF74C7" w:rsidRPr="002E7605" w:rsidRDefault="00EF74C7" w:rsidP="00822842">
            <w:pPr>
              <w:pStyle w:val="Applicationdirecte"/>
              <w:spacing w:before="0" w:after="0"/>
            </w:pPr>
            <w:r w:rsidRPr="002E7605">
              <w:t>0100</w:t>
            </w:r>
          </w:p>
        </w:tc>
        <w:tc>
          <w:tcPr>
            <w:tcW w:w="7655" w:type="dxa"/>
            <w:vAlign w:val="center"/>
          </w:tcPr>
          <w:p w14:paraId="4F8024BE"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РАЗМЕННА СТОЙНОСТ </w:t>
            </w:r>
          </w:p>
          <w:p w14:paraId="020E5CFA" w14:textId="77777777" w:rsidR="00EF74C7" w:rsidRPr="002E7605" w:rsidRDefault="00EF74C7" w:rsidP="00822842">
            <w:pPr>
              <w:spacing w:before="60"/>
              <w:rPr>
                <w:rFonts w:ascii="Times New Roman" w:eastAsia="Calibri" w:hAnsi="Times New Roman"/>
                <w:sz w:val="24"/>
              </w:rPr>
            </w:pPr>
            <w:r w:rsidRPr="002E7605">
              <w:rPr>
                <w:rFonts w:ascii="Times New Roman" w:hAnsi="Times New Roman"/>
                <w:sz w:val="24"/>
              </w:rPr>
              <w:t>Членове 275, 281 и 282 от Регламент (ЕС) № 575/2013</w:t>
            </w:r>
          </w:p>
          <w:p w14:paraId="7C118F06" w14:textId="77777777" w:rsidR="00EF74C7" w:rsidRPr="002E7605" w:rsidRDefault="00EF74C7" w:rsidP="00822842">
            <w:pPr>
              <w:pStyle w:val="TableMainHeading"/>
              <w:spacing w:before="0" w:after="0"/>
              <w:jc w:val="both"/>
              <w:rPr>
                <w:rFonts w:ascii="Times New Roman" w:hAnsi="Times New Roman"/>
                <w:sz w:val="24"/>
                <w:szCs w:val="24"/>
              </w:rPr>
            </w:pPr>
            <w:r w:rsidRPr="002E7605">
              <w:rPr>
                <w:rFonts w:ascii="Times New Roman" w:hAnsi="Times New Roman"/>
                <w:sz w:val="24"/>
              </w:rPr>
              <w:t xml:space="preserve">Разменната стойност (RC) за нетираща съвкупност се изчислява в съответствие с: </w:t>
            </w:r>
          </w:p>
          <w:p w14:paraId="48A8DFD4"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 член 282, параграф 3 от Регламент (ЕС) № 575/2013 за метода на първоначалната експозиция, </w:t>
            </w:r>
          </w:p>
          <w:p w14:paraId="119FA228"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член 281 от Регламент (ЕС) № 575/2013 за опростения СПКРК,</w:t>
            </w:r>
          </w:p>
          <w:p w14:paraId="341C9FB7"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член 275 от Регламент (ЕС) № 575/2013 за СПКРК.</w:t>
            </w:r>
          </w:p>
          <w:p w14:paraId="4927F863"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Институцията докладват сбора на разменните стойности на нетиращите съвкупности в съответния ред.</w:t>
            </w:r>
          </w:p>
        </w:tc>
      </w:tr>
      <w:tr w:rsidR="00EF74C7" w:rsidRPr="002E7605" w14:paraId="6A436014" w14:textId="77777777" w:rsidTr="00822842">
        <w:trPr>
          <w:trHeight w:val="680"/>
        </w:trPr>
        <w:tc>
          <w:tcPr>
            <w:tcW w:w="1384" w:type="dxa"/>
          </w:tcPr>
          <w:p w14:paraId="0929ECF8" w14:textId="77777777" w:rsidR="00EF74C7" w:rsidRPr="002E7605" w:rsidRDefault="00EF74C7" w:rsidP="00822842">
            <w:pPr>
              <w:pStyle w:val="Applicationdirecte"/>
              <w:spacing w:before="0" w:after="0"/>
            </w:pPr>
            <w:r w:rsidRPr="002E7605">
              <w:t>0110</w:t>
            </w:r>
          </w:p>
        </w:tc>
        <w:tc>
          <w:tcPr>
            <w:tcW w:w="7655" w:type="dxa"/>
            <w:vAlign w:val="center"/>
          </w:tcPr>
          <w:p w14:paraId="2874AC61"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ПОТЕНЦИАЛНА БЪДЕЩА ЕКСПОЗИЦИЯ (ПБЕ)</w:t>
            </w:r>
          </w:p>
          <w:p w14:paraId="1F05C741" w14:textId="77777777" w:rsidR="00EF74C7" w:rsidRPr="002E7605" w:rsidRDefault="00EF74C7" w:rsidP="00822842">
            <w:pPr>
              <w:spacing w:before="60"/>
              <w:rPr>
                <w:rFonts w:ascii="Times New Roman" w:eastAsia="Calibri" w:hAnsi="Times New Roman"/>
                <w:sz w:val="24"/>
              </w:rPr>
            </w:pPr>
            <w:r w:rsidRPr="002E7605">
              <w:rPr>
                <w:rFonts w:ascii="Times New Roman" w:hAnsi="Times New Roman"/>
                <w:sz w:val="24"/>
              </w:rPr>
              <w:t>Членове 278, 281 и 282 от Регламент (ЕС) № 575/2013</w:t>
            </w:r>
          </w:p>
          <w:p w14:paraId="3BB9BD10"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Потенциалната бъдеща експозиция (PFE) за нетираща съвкупност се изчислява в съответствие с: </w:t>
            </w:r>
          </w:p>
          <w:p w14:paraId="5F96EE58"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lastRenderedPageBreak/>
              <w:t xml:space="preserve">- член 282, параграф 4 от Регламент (ЕС) № 575/2013 за метода на първоначалната експозиция, </w:t>
            </w:r>
          </w:p>
          <w:p w14:paraId="3C429683"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член 281 от Регламент (ЕС) № 575/2013 за опростения СПКРК,</w:t>
            </w:r>
          </w:p>
          <w:p w14:paraId="6194F2AF"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член 278 от Регламент (ЕС) № 575/2013 за СПКРК.</w:t>
            </w:r>
          </w:p>
          <w:p w14:paraId="2A2F0E46" w14:textId="77777777" w:rsidR="00EF74C7" w:rsidRPr="002E7605" w:rsidRDefault="00EF74C7" w:rsidP="00822842">
            <w:pPr>
              <w:spacing w:before="60"/>
              <w:rPr>
                <w:rFonts w:ascii="Times New Roman" w:hAnsi="Times New Roman"/>
                <w:i/>
                <w:sz w:val="24"/>
              </w:rPr>
            </w:pPr>
            <w:r w:rsidRPr="002E7605">
              <w:rPr>
                <w:rFonts w:ascii="Times New Roman" w:hAnsi="Times New Roman"/>
                <w:sz w:val="24"/>
              </w:rPr>
              <w:t>Институцията докладват сбора на всички потенциални бъдещи експозиции на нетиращите съвкупности в съответния ред.</w:t>
            </w:r>
          </w:p>
        </w:tc>
      </w:tr>
      <w:tr w:rsidR="00EF74C7" w:rsidRPr="002E7605" w14:paraId="77C5A8CC" w14:textId="77777777" w:rsidTr="00822842">
        <w:trPr>
          <w:trHeight w:val="680"/>
        </w:trPr>
        <w:tc>
          <w:tcPr>
            <w:tcW w:w="1384" w:type="dxa"/>
          </w:tcPr>
          <w:p w14:paraId="35C9D880" w14:textId="77777777" w:rsidR="00EF74C7" w:rsidRPr="002E7605" w:rsidRDefault="00EF74C7" w:rsidP="00822842">
            <w:pPr>
              <w:pStyle w:val="Applicationdirecte"/>
              <w:spacing w:before="0" w:after="0"/>
            </w:pPr>
            <w:r w:rsidRPr="002E7605">
              <w:lastRenderedPageBreak/>
              <w:t>0120</w:t>
            </w:r>
          </w:p>
        </w:tc>
        <w:tc>
          <w:tcPr>
            <w:tcW w:w="7655" w:type="dxa"/>
            <w:vAlign w:val="center"/>
          </w:tcPr>
          <w:p w14:paraId="1B837C4C"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ЕКСПОЗИЦИЯ</w:t>
            </w:r>
          </w:p>
          <w:p w14:paraId="1E442243"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Член 272, точка 17 от Регламент (ЕС) № 575/2013 </w:t>
            </w:r>
          </w:p>
          <w:p w14:paraId="36E33616"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Текущата експозиция по всяка нетираща съвкупност е стойността, определена в член 272, параграф 17 от Регламент (ЕС) № 575/2013.</w:t>
            </w:r>
          </w:p>
          <w:p w14:paraId="459ECA5A"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Институцията докладват сбора на всички текущи експозиции на нетиращите съвкупности в съответния ред.</w:t>
            </w:r>
          </w:p>
        </w:tc>
      </w:tr>
      <w:tr w:rsidR="00EF74C7" w:rsidRPr="002E7605" w14:paraId="1B8ACD23" w14:textId="77777777" w:rsidTr="00822842">
        <w:trPr>
          <w:trHeight w:val="680"/>
        </w:trPr>
        <w:tc>
          <w:tcPr>
            <w:tcW w:w="1384" w:type="dxa"/>
          </w:tcPr>
          <w:p w14:paraId="74E98C99" w14:textId="77777777" w:rsidR="00EF74C7" w:rsidRPr="002E7605" w:rsidRDefault="00EF74C7" w:rsidP="00822842">
            <w:pPr>
              <w:pStyle w:val="Applicationdirecte"/>
              <w:spacing w:before="0" w:after="0"/>
            </w:pPr>
            <w:r w:rsidRPr="002E7605">
              <w:t>0130</w:t>
            </w:r>
          </w:p>
        </w:tc>
        <w:tc>
          <w:tcPr>
            <w:tcW w:w="7655" w:type="dxa"/>
            <w:vAlign w:val="center"/>
          </w:tcPr>
          <w:p w14:paraId="3EC3B867"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ЕФЕКТИВНА ОЧАКВАНА ПОЛОЖИТЕЛНА ЕКСПОЗИЦИЯ (ЕОПЕ)</w:t>
            </w:r>
          </w:p>
          <w:p w14:paraId="758613C4" w14:textId="77777777" w:rsidR="00EF74C7" w:rsidRPr="002E7605" w:rsidRDefault="00EF74C7" w:rsidP="00822842">
            <w:pPr>
              <w:spacing w:before="60"/>
              <w:rPr>
                <w:rFonts w:ascii="Times New Roman" w:eastAsia="Calibri" w:hAnsi="Times New Roman"/>
                <w:sz w:val="24"/>
              </w:rPr>
            </w:pPr>
            <w:r w:rsidRPr="002E7605">
              <w:rPr>
                <w:rFonts w:ascii="Times New Roman" w:hAnsi="Times New Roman"/>
                <w:sz w:val="24"/>
              </w:rPr>
              <w:t>Член 272, точка 22 и член 284, параграфи 3 и 6 от Регламент (ЕС) № 575/2013</w:t>
            </w:r>
          </w:p>
          <w:p w14:paraId="33B149EE" w14:textId="77777777" w:rsidR="00EF74C7" w:rsidRPr="002E7605" w:rsidRDefault="00EF74C7" w:rsidP="00822842">
            <w:pPr>
              <w:pStyle w:val="Default"/>
              <w:spacing w:after="120"/>
              <w:jc w:val="both"/>
              <w:rPr>
                <w:rFonts w:ascii="Times New Roman" w:hAnsi="Times New Roman" w:cs="Times New Roman"/>
                <w:color w:val="auto"/>
              </w:rPr>
            </w:pPr>
            <w:r w:rsidRPr="002E7605">
              <w:rPr>
                <w:rFonts w:ascii="Times New Roman" w:hAnsi="Times New Roman"/>
                <w:color w:val="auto"/>
              </w:rPr>
              <w:t>Ефективната очаквана положителна експозиция (ЕОПЕ) за всяка нетираща съвкупност е определена в член 272, параграф 22 от Регламент (ЕС) № 575/2013 и се изчислява в съответствие с член 284, параграф 6 от Регламент (ЕС) № 575/2013.</w:t>
            </w:r>
          </w:p>
          <w:p w14:paraId="336DEF87" w14:textId="77777777" w:rsidR="00EF74C7" w:rsidRPr="002E7605" w:rsidRDefault="00EF74C7" w:rsidP="00822842">
            <w:pPr>
              <w:spacing w:before="60"/>
              <w:rPr>
                <w:rFonts w:ascii="Times New Roman" w:eastAsia="Calibri" w:hAnsi="Times New Roman"/>
                <w:sz w:val="24"/>
              </w:rPr>
            </w:pPr>
            <w:r w:rsidRPr="002E7605">
              <w:rPr>
                <w:rFonts w:ascii="Times New Roman" w:hAnsi="Times New Roman"/>
                <w:sz w:val="24"/>
              </w:rPr>
              <w:t>Институцията докладват сбора на всички ефективни очаквани положителни експозиции, приложени за определяне на капиталовите изисквания в съответствие с член 284, параграф 3 от Регламент (ЕС) № 575/2013, т.е. или EEPE, изчислена въз основа на текущи пазарни данни, или EEPE, изчислена чрез стрес калибриране — в зависимост от това при кое от двете капиталовите изисквания са по-високи.</w:t>
            </w:r>
          </w:p>
        </w:tc>
      </w:tr>
      <w:tr w:rsidR="00EF74C7" w:rsidRPr="002E7605" w14:paraId="663F4BA2" w14:textId="77777777" w:rsidTr="00822842">
        <w:trPr>
          <w:trHeight w:val="680"/>
        </w:trPr>
        <w:tc>
          <w:tcPr>
            <w:tcW w:w="1384" w:type="dxa"/>
          </w:tcPr>
          <w:p w14:paraId="36EC68F2" w14:textId="77777777" w:rsidR="00EF74C7" w:rsidRPr="002E7605" w:rsidRDefault="00EF74C7" w:rsidP="00822842">
            <w:pPr>
              <w:pStyle w:val="Applicationdirecte"/>
              <w:spacing w:before="0" w:after="0"/>
            </w:pPr>
            <w:r w:rsidRPr="002E7605">
              <w:t>0140</w:t>
            </w:r>
          </w:p>
        </w:tc>
        <w:tc>
          <w:tcPr>
            <w:tcW w:w="7655" w:type="dxa"/>
            <w:vAlign w:val="center"/>
          </w:tcPr>
          <w:p w14:paraId="2682CC5B"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АЛФА, ИЗПОЛЗВАНА ЗА ИЗЧИСЛЯВАНЕ НА РЕГУЛАТОРНАТА СТОЙНОСТ НА ЕКСПОЗИЦИЯТА </w:t>
            </w:r>
          </w:p>
          <w:p w14:paraId="02E67AA1" w14:textId="77777777" w:rsidR="00EF74C7" w:rsidRPr="002E7605" w:rsidRDefault="00EF74C7" w:rsidP="00822842">
            <w:pPr>
              <w:spacing w:before="60"/>
              <w:rPr>
                <w:rFonts w:ascii="Times New Roman" w:hAnsi="Times New Roman"/>
                <w:i/>
                <w:sz w:val="24"/>
              </w:rPr>
            </w:pPr>
            <w:r w:rsidRPr="002E7605">
              <w:rPr>
                <w:rFonts w:ascii="Times New Roman" w:hAnsi="Times New Roman"/>
                <w:sz w:val="24"/>
              </w:rPr>
              <w:t>Член 274, параграф 2, член 282, параграф 2, член 281, параграф 1 и член 284, параграфи 4 и 9 от Регламент (ЕС) № 575/2013</w:t>
            </w:r>
          </w:p>
          <w:p w14:paraId="5EFB3579" w14:textId="77777777" w:rsidR="00EF74C7" w:rsidRPr="002E7605" w:rsidRDefault="00EF74C7" w:rsidP="00822842">
            <w:pPr>
              <w:spacing w:before="60"/>
              <w:rPr>
                <w:rFonts w:ascii="Times New Roman" w:eastAsia="Calibri" w:hAnsi="Times New Roman"/>
                <w:i/>
                <w:sz w:val="24"/>
              </w:rPr>
            </w:pPr>
            <w:r w:rsidRPr="002E7605">
              <w:rPr>
                <w:rFonts w:ascii="Times New Roman" w:hAnsi="Times New Roman"/>
                <w:sz w:val="24"/>
              </w:rPr>
              <w:t>Стойността на α се определя като 1,4 в редовете за МПЕ, опростения СПКРК и СПКРК в съответствие с член 282, параграф 2, член 281, параграф 1 и член 274, параграф 2 от Регламент (ЕС) № 575/2013. За целите на МВМ стойността на α може по подразбиране да бъде 1,4 или друга, когато компетентните органи изискват по-висока α в съответствие с член 284, параграф 4 от Регламент (ЕС) № 575/2013 или разрешават на институциите да използват свои собствени оценки в съответствие с член 284, параграф 9 от същия регламент.</w:t>
            </w:r>
          </w:p>
        </w:tc>
      </w:tr>
      <w:tr w:rsidR="00EF74C7" w:rsidRPr="002E7605" w14:paraId="04AA2156" w14:textId="77777777" w:rsidTr="00822842">
        <w:trPr>
          <w:trHeight w:val="680"/>
        </w:trPr>
        <w:tc>
          <w:tcPr>
            <w:tcW w:w="1384" w:type="dxa"/>
          </w:tcPr>
          <w:p w14:paraId="25456D2E" w14:textId="77777777" w:rsidR="00EF74C7" w:rsidRPr="002E7605" w:rsidRDefault="00EF74C7" w:rsidP="00822842">
            <w:pPr>
              <w:pStyle w:val="Applicationdirecte"/>
              <w:spacing w:before="0" w:after="0"/>
            </w:pPr>
            <w:r w:rsidRPr="002E7605">
              <w:t>0150</w:t>
            </w:r>
          </w:p>
        </w:tc>
        <w:tc>
          <w:tcPr>
            <w:tcW w:w="7655" w:type="dxa"/>
          </w:tcPr>
          <w:p w14:paraId="737A43B1"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 xml:space="preserve">СТОЙНОСТ НА ЕКСПОЗИЦИЯТА ПРЕДИ РЕДУЦИРАНЕ НА КРЕДИТНИЯ РИСК </w:t>
            </w:r>
          </w:p>
          <w:p w14:paraId="3483D02B"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 xml:space="preserve">За нетиращите съвкупности по КРК стойността на експозицията преди редуциране на кредитния риск се изчислява в съответствие с методите, </w:t>
            </w:r>
            <w:r w:rsidRPr="002E7605">
              <w:rPr>
                <w:rFonts w:ascii="Times New Roman" w:hAnsi="Times New Roman"/>
                <w:sz w:val="24"/>
              </w:rPr>
              <w:lastRenderedPageBreak/>
              <w:t xml:space="preserve">изложени в трета част, дял II, глави 4 и 6 от Регламент (ЕС) № 575/2013, като се взема предвид ефектът от нетирането, но не се вземат предвид всички други техники за редуциране на кредитния риск (например маржин обезпечения). </w:t>
            </w:r>
          </w:p>
          <w:p w14:paraId="3FD5C6A1"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 xml:space="preserve">При СФЦК рамото на ценните книжа не се взима предвид при определянето на стойността на експозицията преди редуциране на кредитния риск, когато е получено обезпечение, и следователно не намалява стойността на експозицията. Обратно, рамото на ценните книжа при СФЦК се взима предвид при обичайното определяне на стойността на експозицията преди редуциране на кредитния риск, когато е предоставено обезпечение. </w:t>
            </w:r>
          </w:p>
          <w:p w14:paraId="0731F37F"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 xml:space="preserve">Освен това обезпечените сделки се третират като необезпечени, т.е. без да се прилага ефектът на обезпечаването под формата на марж. </w:t>
            </w:r>
          </w:p>
          <w:p w14:paraId="2256FCEC"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За сделки, при които е установен специфичен утежняващ риск, стойността на експозицията преди редуциране на кредитния риск трябва да бъде определена в съответствие с член 291 от Регламент (ЕС) № 575/2013. </w:t>
            </w:r>
          </w:p>
          <w:p w14:paraId="7E319C88"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В стойността на експозицията преди редуциране на кредитния риск не се отчита приспадането на понесената загуба във връзка с ККО в съответствие с член 273, параграф 6 от Регламент (ЕС) № 575/2013. </w:t>
            </w:r>
          </w:p>
          <w:p w14:paraId="504F1374" w14:textId="77777777" w:rsidR="00EF74C7" w:rsidRPr="002E7605" w:rsidRDefault="00EF74C7" w:rsidP="00822842">
            <w:pPr>
              <w:spacing w:before="60"/>
              <w:rPr>
                <w:rFonts w:ascii="Times New Roman" w:hAnsi="Times New Roman"/>
                <w:i/>
                <w:sz w:val="24"/>
              </w:rPr>
            </w:pPr>
            <w:r w:rsidRPr="002E7605">
              <w:rPr>
                <w:rFonts w:ascii="Times New Roman" w:hAnsi="Times New Roman"/>
                <w:sz w:val="24"/>
              </w:rPr>
              <w:t>Институцията докладват сбора на всички стойности на експозициите преди редуциране на кредитния риск в съответния ред.</w:t>
            </w:r>
          </w:p>
        </w:tc>
      </w:tr>
      <w:tr w:rsidR="00EF74C7" w:rsidRPr="002E7605" w14:paraId="79D7A4AF" w14:textId="77777777" w:rsidTr="00822842">
        <w:trPr>
          <w:trHeight w:val="680"/>
        </w:trPr>
        <w:tc>
          <w:tcPr>
            <w:tcW w:w="1384" w:type="dxa"/>
          </w:tcPr>
          <w:p w14:paraId="0DCD8BB4" w14:textId="77777777" w:rsidR="00EF74C7" w:rsidRPr="002E7605" w:rsidRDefault="00EF74C7" w:rsidP="00822842">
            <w:pPr>
              <w:pStyle w:val="Applicationdirecte"/>
              <w:spacing w:before="0" w:after="0"/>
            </w:pPr>
            <w:r w:rsidRPr="002E7605">
              <w:lastRenderedPageBreak/>
              <w:t>0160</w:t>
            </w:r>
          </w:p>
        </w:tc>
        <w:tc>
          <w:tcPr>
            <w:tcW w:w="7655" w:type="dxa"/>
          </w:tcPr>
          <w:p w14:paraId="2175395B"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 xml:space="preserve">СТОЙНОСТ НА ЕКСПОЗИЦИЯТА СЛЕД РКР </w:t>
            </w:r>
          </w:p>
          <w:p w14:paraId="29261E0B"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За нетиращите съвкупности по КРК стойността на експозицията след редуциране на кредитния риск се изчислява в съответствие с методите, изложени в трета част, дял II, глави 4 и 6 от Регламент (ЕС) № 575/2013, след прилагане на техники за редуциране на кредитния риск, приложими в съответствие с трета част, дял II, глави 4 и 6 от същия регламент.</w:t>
            </w:r>
          </w:p>
          <w:p w14:paraId="365B5880"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За сделки, при които е установен специфичен утежняващ риск, стойността на експозицията след редуциране на кредитния риск трябва да бъде определена в съответствие с член 291 от Регламент (ЕС) № 575/2013. </w:t>
            </w:r>
          </w:p>
          <w:p w14:paraId="695EEB6F"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В стойността на експозицията след редуциране на кредитния риск не се отчита приспадането на понесената загуба във връзка с ККО в съответствие с член 273, параграф 6 от Регламент (ЕС) № 575/2013.</w:t>
            </w:r>
          </w:p>
          <w:p w14:paraId="797ADF5B" w14:textId="77777777" w:rsidR="00EF74C7" w:rsidRPr="002E7605" w:rsidRDefault="00EF74C7" w:rsidP="00822842">
            <w:pPr>
              <w:spacing w:before="60"/>
              <w:rPr>
                <w:rFonts w:ascii="Times New Roman" w:hAnsi="Times New Roman"/>
                <w:i/>
                <w:sz w:val="24"/>
              </w:rPr>
            </w:pPr>
            <w:r w:rsidRPr="002E7605">
              <w:rPr>
                <w:rFonts w:ascii="Times New Roman" w:hAnsi="Times New Roman"/>
                <w:sz w:val="24"/>
              </w:rPr>
              <w:t>Институцията докладват сбора на всички стойности на експозициите след редуциране на кредитния риск в съответния ред.</w:t>
            </w:r>
          </w:p>
        </w:tc>
      </w:tr>
      <w:tr w:rsidR="00EF74C7" w:rsidRPr="002E7605" w14:paraId="45FF5B7E" w14:textId="77777777" w:rsidTr="00822842">
        <w:trPr>
          <w:trHeight w:val="680"/>
        </w:trPr>
        <w:tc>
          <w:tcPr>
            <w:tcW w:w="1384" w:type="dxa"/>
          </w:tcPr>
          <w:p w14:paraId="60D5CCE0" w14:textId="77777777" w:rsidR="00EF74C7" w:rsidRPr="002E7605" w:rsidRDefault="00EF74C7" w:rsidP="00822842">
            <w:pPr>
              <w:pStyle w:val="Applicationdirecte"/>
              <w:spacing w:before="0" w:after="0"/>
            </w:pPr>
            <w:r w:rsidRPr="002E7605">
              <w:t>0170</w:t>
            </w:r>
          </w:p>
        </w:tc>
        <w:tc>
          <w:tcPr>
            <w:tcW w:w="7655" w:type="dxa"/>
            <w:vAlign w:val="center"/>
          </w:tcPr>
          <w:p w14:paraId="05219E98"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СТОЙНОСТ НА ЕКСПОЗИЦИЯТА</w:t>
            </w:r>
          </w:p>
          <w:p w14:paraId="75CDF24D"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 xml:space="preserve">Изчислената в съответствие с предвидените в трета част, дял II, глави 4 и 6 от Регламент (ЕС) № 575/2013 стойност на експозицията за нетиращите съвкупности по КРК, която е съответната стойност за изчисляване на рисково претегления размер на експозициите, т.е. след прилагане на техники за редуциране на кредитния риск, приложими в съответствие с трета част, дял II, глави 4 и 6 от Регламент (ЕС) </w:t>
            </w:r>
            <w:r w:rsidRPr="002E7605">
              <w:rPr>
                <w:rFonts w:ascii="Times New Roman" w:hAnsi="Times New Roman"/>
                <w:sz w:val="24"/>
              </w:rPr>
              <w:lastRenderedPageBreak/>
              <w:t xml:space="preserve">№ 575/2013, и отчитане на приспадането на понесената загуба във връзка с корекцията на кредитната оценка съгласно член 273, параграф 6 от Регламент (ЕС) № 575/2013. </w:t>
            </w:r>
          </w:p>
          <w:p w14:paraId="78D55FF1" w14:textId="77777777" w:rsidR="00EF74C7" w:rsidRPr="002E7605" w:rsidRDefault="00EF74C7" w:rsidP="00822842">
            <w:pPr>
              <w:rPr>
                <w:rFonts w:ascii="Times New Roman" w:hAnsi="Times New Roman"/>
                <w:sz w:val="24"/>
              </w:rPr>
            </w:pPr>
            <w:r w:rsidRPr="002E7605">
              <w:rPr>
                <w:rFonts w:ascii="Times New Roman" w:hAnsi="Times New Roman"/>
                <w:sz w:val="24"/>
              </w:rPr>
              <w:t>Стойността на експозицията за сделки, при които е установен специфичен утежняващ риск, трябва да бъде определена в съответствие с член 291 от Регламент (ЕС) № 575/2013.</w:t>
            </w:r>
          </w:p>
          <w:p w14:paraId="2CCE9704"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Когато за един и същ контрагент се използват няколко подхода за определяне на КРК, понесената загуба поради ККО, която се приспада за всеки контрагент, се отнася към стойността на експозицията на различните нетиращи съвкупности по всеки подход за КРК, което отразява дела на стойността на експозицията на съответните нетиращи съвкупности след редуциране на кредитния риск към общата стойност на експозицията към контрагента след редуциране на кредитния риск.</w:t>
            </w:r>
          </w:p>
          <w:p w14:paraId="0C842EAD" w14:textId="77777777" w:rsidR="00EF74C7" w:rsidRPr="002E7605" w:rsidRDefault="00EF74C7" w:rsidP="00822842">
            <w:r w:rsidRPr="002E7605">
              <w:rPr>
                <w:rFonts w:ascii="Times New Roman" w:hAnsi="Times New Roman"/>
                <w:sz w:val="24"/>
              </w:rPr>
              <w:t>Институцията докладват сбора на всички стойности на експозициите в съответния ред.</w:t>
            </w:r>
          </w:p>
        </w:tc>
      </w:tr>
      <w:tr w:rsidR="00EF74C7" w:rsidRPr="002E7605" w14:paraId="06C4F9AA" w14:textId="77777777" w:rsidTr="00822842">
        <w:trPr>
          <w:trHeight w:val="680"/>
        </w:trPr>
        <w:tc>
          <w:tcPr>
            <w:tcW w:w="1384" w:type="dxa"/>
          </w:tcPr>
          <w:p w14:paraId="7065D6E6" w14:textId="77777777" w:rsidR="00EF74C7" w:rsidRPr="002E7605" w:rsidRDefault="00EF74C7" w:rsidP="00822842">
            <w:pPr>
              <w:pStyle w:val="Applicationdirecte"/>
              <w:spacing w:before="0" w:after="0"/>
            </w:pPr>
            <w:r w:rsidRPr="002E7605">
              <w:lastRenderedPageBreak/>
              <w:t>0180</w:t>
            </w:r>
          </w:p>
        </w:tc>
        <w:tc>
          <w:tcPr>
            <w:tcW w:w="7655" w:type="dxa"/>
          </w:tcPr>
          <w:p w14:paraId="0DF22580"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Позиции, третирани по стандартизирания подход за кредитен риск</w:t>
            </w:r>
          </w:p>
          <w:p w14:paraId="1D95615D" w14:textId="77777777" w:rsidR="00EF74C7" w:rsidRPr="002E7605" w:rsidRDefault="00EF74C7" w:rsidP="00822842">
            <w:pPr>
              <w:spacing w:before="60"/>
              <w:rPr>
                <w:rFonts w:ascii="Times New Roman" w:hAnsi="Times New Roman"/>
                <w:i/>
                <w:sz w:val="24"/>
              </w:rPr>
            </w:pPr>
            <w:r w:rsidRPr="002E7605">
              <w:rPr>
                <w:rFonts w:ascii="Times New Roman" w:hAnsi="Times New Roman"/>
                <w:sz w:val="24"/>
              </w:rPr>
              <w:t>Стойност на експозицията към КРК на позициите, които се третират по стандартизирания подход за кредитен риск в съответствие с трета част, дял II, глава 2 от Регламент (ЕС) № 575/2013.</w:t>
            </w:r>
          </w:p>
        </w:tc>
      </w:tr>
      <w:tr w:rsidR="00EF74C7" w:rsidRPr="002E7605" w14:paraId="16278C7D" w14:textId="77777777" w:rsidTr="00822842">
        <w:trPr>
          <w:trHeight w:val="557"/>
        </w:trPr>
        <w:tc>
          <w:tcPr>
            <w:tcW w:w="1384" w:type="dxa"/>
          </w:tcPr>
          <w:p w14:paraId="4DAAB02B" w14:textId="77777777" w:rsidR="00EF74C7" w:rsidRPr="002E7605" w:rsidRDefault="00EF74C7" w:rsidP="00822842">
            <w:pPr>
              <w:pStyle w:val="Applicationdirecte"/>
              <w:spacing w:before="0" w:after="0"/>
            </w:pPr>
            <w:r w:rsidRPr="002E7605">
              <w:t>0190</w:t>
            </w:r>
          </w:p>
        </w:tc>
        <w:tc>
          <w:tcPr>
            <w:tcW w:w="7655" w:type="dxa"/>
          </w:tcPr>
          <w:p w14:paraId="2835516A"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Позиции, третирани по вътрешнорейтинговия подход за кредитен риск</w:t>
            </w:r>
          </w:p>
          <w:p w14:paraId="208129A6" w14:textId="77777777" w:rsidR="00EF74C7" w:rsidRPr="002E7605" w:rsidRDefault="00EF74C7" w:rsidP="00822842">
            <w:pPr>
              <w:rPr>
                <w:rFonts w:ascii="Times New Roman" w:hAnsi="Times New Roman"/>
                <w:sz w:val="24"/>
              </w:rPr>
            </w:pPr>
            <w:r w:rsidRPr="002E7605">
              <w:rPr>
                <w:rFonts w:ascii="Times New Roman" w:hAnsi="Times New Roman"/>
                <w:sz w:val="24"/>
              </w:rPr>
              <w:t xml:space="preserve">Стойност на експозицията към КРК на позициите, които се третират по вътрешнорейтинговия подход за кредитен риск в съответствие с трета част, дял II, глава 3 от Регламент (ЕС) № 575/2013. </w:t>
            </w:r>
          </w:p>
        </w:tc>
      </w:tr>
      <w:tr w:rsidR="00EF74C7" w:rsidRPr="002E7605" w14:paraId="1D9862B5" w14:textId="77777777" w:rsidTr="00822842">
        <w:trPr>
          <w:trHeight w:val="680"/>
        </w:trPr>
        <w:tc>
          <w:tcPr>
            <w:tcW w:w="1384" w:type="dxa"/>
          </w:tcPr>
          <w:p w14:paraId="06456052" w14:textId="77777777" w:rsidR="00EF74C7" w:rsidRPr="002E7605" w:rsidRDefault="00EF74C7" w:rsidP="00822842">
            <w:pPr>
              <w:pStyle w:val="Applicationdirecte"/>
              <w:spacing w:before="0" w:after="0"/>
            </w:pPr>
            <w:r w:rsidRPr="002E7605">
              <w:t>0200</w:t>
            </w:r>
          </w:p>
        </w:tc>
        <w:tc>
          <w:tcPr>
            <w:tcW w:w="7655" w:type="dxa"/>
          </w:tcPr>
          <w:p w14:paraId="2E8CD327"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РИСКОВО ПРЕТЕГЛЕНИ РАЗМЕРИ НА ЕКСПОЗИЦИИТЕ</w:t>
            </w:r>
          </w:p>
          <w:p w14:paraId="6B8D3CD5" w14:textId="6159F38D"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Рисково претеглените експозиции за КРК съгласно определението в член 92, параграф 3 от Регламент (ЕС) № 575/2013, изчислени в съответствие с методите, изложени в трета част, дял II, глави 2 и 3.</w:t>
            </w:r>
          </w:p>
          <w:p w14:paraId="2463A407" w14:textId="77777777" w:rsidR="00EF74C7" w:rsidRPr="002E7605" w:rsidRDefault="00EF74C7" w:rsidP="00822842">
            <w:pPr>
              <w:rPr>
                <w:rFonts w:ascii="Times New Roman" w:hAnsi="Times New Roman"/>
                <w:sz w:val="24"/>
              </w:rPr>
            </w:pPr>
            <w:r w:rsidRPr="002E7605">
              <w:rPr>
                <w:rFonts w:ascii="Times New Roman" w:hAnsi="Times New Roman"/>
                <w:sz w:val="24"/>
              </w:rPr>
              <w:t xml:space="preserve">Посочените в членове 501 и 501а от Регламент (ЕС) № 575/2013 коефициенти за подпомагане на МСП и на финансирането на инфраструктура се взимат предвид. </w:t>
            </w:r>
          </w:p>
        </w:tc>
      </w:tr>
      <w:tr w:rsidR="00EF74C7" w:rsidRPr="002E7605"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E7605" w:rsidRDefault="00EF74C7" w:rsidP="00822842">
            <w:pPr>
              <w:pStyle w:val="Applicationdirecte"/>
              <w:spacing w:before="0"/>
              <w:jc w:val="left"/>
            </w:pPr>
            <w:r w:rsidRPr="002E7605">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Позиции, третирани по стандартизирания подход за кредитен риск</w:t>
            </w:r>
          </w:p>
          <w:p w14:paraId="6E572F83"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Стойност на експозицията към КРК на позициите, които се третират по стандартизирания подход за кредитен риск в съответствие с трета част, дял II, глава 2 от Регламент (ЕС) № 575/2013. </w:t>
            </w:r>
          </w:p>
          <w:p w14:paraId="21C6ADFA" w14:textId="77777777" w:rsidR="00EF74C7" w:rsidRPr="002E7605" w:rsidRDefault="00EF74C7" w:rsidP="00822842">
            <w:pPr>
              <w:rPr>
                <w:rFonts w:ascii="Times New Roman" w:hAnsi="Times New Roman"/>
                <w:sz w:val="24"/>
              </w:rPr>
            </w:pPr>
            <w:r w:rsidRPr="002E7605">
              <w:rPr>
                <w:rFonts w:ascii="Times New Roman" w:hAnsi="Times New Roman"/>
                <w:sz w:val="24"/>
              </w:rPr>
              <w:t>Размерите съответстват на размерите, която се включват в колона 0220 от образец C 07.00 за позициите към КРК.</w:t>
            </w:r>
          </w:p>
        </w:tc>
      </w:tr>
      <w:tr w:rsidR="00EF74C7" w:rsidRPr="002E7605"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E7605" w:rsidRDefault="00EF74C7" w:rsidP="00822842">
            <w:pPr>
              <w:pStyle w:val="Applicationdirecte"/>
              <w:spacing w:before="0"/>
              <w:jc w:val="left"/>
            </w:pPr>
            <w:r w:rsidRPr="002E7605">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Позиции, третирани по вътрешнорейтинговия подход за кредитен риск</w:t>
            </w:r>
          </w:p>
          <w:p w14:paraId="51FF06D9" w14:textId="77777777" w:rsidR="00EF74C7" w:rsidRPr="002E7605" w:rsidRDefault="00EF74C7" w:rsidP="00822842">
            <w:pPr>
              <w:pStyle w:val="TableMainHeading"/>
              <w:spacing w:before="60"/>
              <w:jc w:val="both"/>
              <w:rPr>
                <w:rFonts w:ascii="Times New Roman" w:hAnsi="Times New Roman"/>
                <w:sz w:val="24"/>
              </w:rPr>
            </w:pPr>
            <w:r w:rsidRPr="002E7605">
              <w:rPr>
                <w:rFonts w:ascii="Times New Roman" w:hAnsi="Times New Roman"/>
                <w:sz w:val="24"/>
              </w:rPr>
              <w:lastRenderedPageBreak/>
              <w:t>Стойност на експозицията към КРК на позициите, които се третират по вътрешнорейтинговия подход за кредитен риск в съответствие с трета част, дял II, глава 3 от Регламент (ЕС) № 575/2013.</w:t>
            </w:r>
          </w:p>
          <w:p w14:paraId="3FB6A074" w14:textId="77777777" w:rsidR="00EF74C7" w:rsidRPr="002E7605" w:rsidRDefault="00EF74C7" w:rsidP="00822842">
            <w:pPr>
              <w:rPr>
                <w:rFonts w:ascii="Times New Roman" w:hAnsi="Times New Roman"/>
                <w:sz w:val="24"/>
              </w:rPr>
            </w:pPr>
            <w:r w:rsidRPr="002E7605">
              <w:rPr>
                <w:rFonts w:ascii="Times New Roman" w:hAnsi="Times New Roman"/>
                <w:sz w:val="24"/>
              </w:rPr>
              <w:t>Размерите съответстват на размерите, която се включват в колона 0260 от образец C 08.01 за позициите към КРК.</w:t>
            </w:r>
          </w:p>
        </w:tc>
      </w:tr>
      <w:tr w:rsidR="00EF74C7" w:rsidRPr="002E7605"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E7605" w:rsidRDefault="00EF74C7" w:rsidP="00822842">
            <w:pPr>
              <w:pStyle w:val="Applicationdirecte"/>
              <w:spacing w:before="0"/>
              <w:jc w:val="left"/>
            </w:pPr>
            <w:r w:rsidRPr="002E7605">
              <w:lastRenderedPageBreak/>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ДОЛНА ГРАНИЦА НА КАПИТАЛОВИТЕ ИЗИСКВАНИЯ</w:t>
            </w:r>
          </w:p>
          <w:p w14:paraId="78547488" w14:textId="2021F309"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Fonts w:ascii="Times New Roman" w:hAnsi="Times New Roman"/>
                <w:sz w:val="24"/>
              </w:rPr>
              <w:t>За институциите, за които се прилага долната граница на капиталовите изисквания съгласно член 92, параграф 3 от Регламент (ЕС) № 575/2013.</w:t>
            </w:r>
          </w:p>
        </w:tc>
      </w:tr>
      <w:tr w:rsidR="00EF74C7" w:rsidRPr="002E7605"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E7605" w:rsidRDefault="00EF74C7" w:rsidP="00822842">
            <w:pPr>
              <w:pStyle w:val="Applicationdirecte"/>
              <w:spacing w:before="0"/>
              <w:jc w:val="left"/>
            </w:pPr>
            <w:r w:rsidRPr="002E7605">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Pr="002E7605" w:rsidRDefault="00EF74C7" w:rsidP="00822842">
            <w:pPr>
              <w:rPr>
                <w:rStyle w:val="InstructionsTabelleberschrift"/>
                <w:rFonts w:ascii="Times New Roman" w:eastAsiaTheme="minorEastAsia" w:hAnsi="Times New Roman"/>
                <w:sz w:val="24"/>
              </w:rPr>
            </w:pPr>
            <w:r w:rsidRPr="002E7605">
              <w:rPr>
                <w:rStyle w:val="InstructionsTabelleberschrift"/>
                <w:rFonts w:ascii="Times New Roman" w:hAnsi="Times New Roman"/>
                <w:sz w:val="24"/>
              </w:rPr>
              <w:t>СТОЙНОСТ НА ЕКСПОЗИЦИЯТА ЗА ИЗЧИСЛЯВАНЕ НА СТАНДАРТИЗИРАНИЯ ОРРЕ</w:t>
            </w:r>
          </w:p>
          <w:p w14:paraId="076EA294" w14:textId="45BB26AF"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Fonts w:ascii="Times New Roman" w:hAnsi="Times New Roman"/>
                <w:b/>
                <w:bCs/>
                <w:sz w:val="24"/>
              </w:rPr>
              <w:t xml:space="preserve">Стойността на експозицията </w:t>
            </w:r>
            <w:r w:rsidRPr="002E7605">
              <w:rPr>
                <w:rFonts w:ascii="Times New Roman" w:hAnsi="Times New Roman"/>
                <w:sz w:val="24"/>
              </w:rPr>
              <w:t>на експозициите към КРК, включени в изчисляването на стандартизирания общ размер на рисковите експозиции (стандартизиран ОРРЕ), изчислен в съответствие с член 92, параграф 5 от Регламент (ЕС) № 575/2013.</w:t>
            </w:r>
          </w:p>
        </w:tc>
      </w:tr>
      <w:tr w:rsidR="00EF74C7" w:rsidRPr="002E7605"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E7605" w:rsidRDefault="00EF74C7" w:rsidP="00822842">
            <w:pPr>
              <w:pStyle w:val="Applicationdirecte"/>
              <w:spacing w:before="0"/>
              <w:jc w:val="left"/>
            </w:pPr>
            <w:r w:rsidRPr="002E7605">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Стандартизиран ОРРЕ</w:t>
            </w:r>
          </w:p>
          <w:p w14:paraId="3E780FC2" w14:textId="37C7D341"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Fonts w:ascii="Times New Roman" w:hAnsi="Times New Roman"/>
                <w:sz w:val="24"/>
              </w:rPr>
              <w:t>Стандартизираният общ размер на рисковите експозиции (стандартизиран ОРРЕ) на експозициите към КРК, изчислен в съответствие с член 92, параграф 5 от Регламент (ЕС) № 575/2013.</w:t>
            </w:r>
          </w:p>
        </w:tc>
      </w:tr>
      <w:tr w:rsidR="00EF74C7" w:rsidRPr="002E7605"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E7605" w:rsidRDefault="00EF74C7" w:rsidP="00822842">
            <w:pPr>
              <w:pStyle w:val="Applicationdirecte"/>
              <w:spacing w:before="0"/>
              <w:jc w:val="left"/>
            </w:pPr>
            <w:r w:rsidRPr="002E7605">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ПОЯСНЯВАЩИ ПОЗИЦИИ: РПРЕ ВЪВ ВРЪЗКА С ВЪЗДЕЙСТВИЕТО ОТ ПРИЛАГАНЕТО НА ЧЛЕН 465, ПАРАГРАФ 4 ОТ РЕГЛАМЕНТ (ЕС) № 575/2013</w:t>
            </w:r>
          </w:p>
          <w:p w14:paraId="5E592907" w14:textId="45615761"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Fonts w:ascii="Times New Roman" w:hAnsi="Times New Roman"/>
                <w:sz w:val="24"/>
              </w:rPr>
              <w:t>Член 465, параграф 4 от Регламент (ЕС) № 575/2013 Докладва се разликата между РПРЕ, изчислен без прилагане на преходните разпоредби, и РПРЕ, изчислен при прилагане на преходните разпоредби.</w:t>
            </w:r>
          </w:p>
        </w:tc>
      </w:tr>
      <w:tr w:rsidR="00EF74C7" w:rsidRPr="002E7605"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E7605" w:rsidRDefault="00EF74C7" w:rsidP="00822842">
            <w:pPr>
              <w:pStyle w:val="TableMainHeading"/>
              <w:spacing w:before="60"/>
              <w:rPr>
                <w:rFonts w:ascii="Times New Roman" w:hAnsi="Times New Roman"/>
                <w:i/>
                <w:sz w:val="24"/>
                <w:szCs w:val="24"/>
              </w:rPr>
            </w:pPr>
          </w:p>
        </w:tc>
      </w:tr>
      <w:tr w:rsidR="00EF74C7" w:rsidRPr="002E7605"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E7605" w:rsidRDefault="00EF74C7" w:rsidP="00822842">
            <w:pPr>
              <w:pStyle w:val="TableMainHeading"/>
              <w:spacing w:before="60"/>
              <w:rPr>
                <w:rFonts w:ascii="Times New Roman" w:hAnsi="Times New Roman"/>
                <w:b/>
                <w:sz w:val="24"/>
                <w:szCs w:val="24"/>
              </w:rPr>
            </w:pPr>
            <w:r w:rsidRPr="002E7605">
              <w:rPr>
                <w:rFonts w:ascii="Times New Roman" w:hAnsi="Times New Roman"/>
                <w:b/>
                <w:sz w:val="24"/>
              </w:rPr>
              <w:t xml:space="preserve">Ред </w:t>
            </w:r>
          </w:p>
        </w:tc>
      </w:tr>
      <w:tr w:rsidR="00EF74C7" w:rsidRPr="002E7605" w14:paraId="7053F9E4" w14:textId="77777777" w:rsidTr="00822842">
        <w:trPr>
          <w:trHeight w:val="680"/>
        </w:trPr>
        <w:tc>
          <w:tcPr>
            <w:tcW w:w="1384" w:type="dxa"/>
          </w:tcPr>
          <w:p w14:paraId="28CCF211" w14:textId="77777777" w:rsidR="00EF74C7" w:rsidRPr="002E7605" w:rsidRDefault="00EF74C7" w:rsidP="00822842">
            <w:pPr>
              <w:pStyle w:val="Applicationdirecte"/>
              <w:spacing w:before="0" w:after="0"/>
            </w:pPr>
            <w:r w:rsidRPr="002E7605">
              <w:t>0010</w:t>
            </w:r>
          </w:p>
        </w:tc>
        <w:tc>
          <w:tcPr>
            <w:tcW w:w="7655" w:type="dxa"/>
          </w:tcPr>
          <w:p w14:paraId="596F329B" w14:textId="77777777" w:rsidR="00EF74C7" w:rsidRPr="002E7605" w:rsidRDefault="00EF74C7" w:rsidP="00822842">
            <w:pPr>
              <w:pStyle w:val="TableMainHeading"/>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 xml:space="preserve">МЕТОД НА ПЪРВОНАЧАЛНАТА ЕКСПОЗИЦИЯ (ЗА ДЕРИВАТИ) </w:t>
            </w:r>
          </w:p>
          <w:p w14:paraId="19F53DE3" w14:textId="77777777" w:rsidR="00EF74C7" w:rsidRPr="002E7605" w:rsidRDefault="00EF74C7" w:rsidP="00822842">
            <w:pPr>
              <w:pStyle w:val="TableMainHeading"/>
              <w:spacing w:before="60"/>
              <w:rPr>
                <w:rFonts w:ascii="Times New Roman" w:hAnsi="Times New Roman"/>
                <w:i/>
                <w:sz w:val="24"/>
                <w:szCs w:val="24"/>
              </w:rPr>
            </w:pPr>
            <w:r w:rsidRPr="002E7605">
              <w:rPr>
                <w:rFonts w:ascii="Times New Roman" w:hAnsi="Times New Roman"/>
                <w:sz w:val="24"/>
              </w:rPr>
              <w:t>Деривати и сделки с удължен сетълмент, за които институцията изчислява стойността на експозицията в съответствие с трета част, дял II, глава 6, раздел 5 от Регламент (ЕС) № 575/2013. Този опростен метод за изчисляване на стойността на експозицията може да се използва само от институции, които отговарят на условията по член 273а, параграф 2 или 4 от Регламент (ЕС) № 575/2013.</w:t>
            </w:r>
          </w:p>
        </w:tc>
      </w:tr>
      <w:tr w:rsidR="00EF74C7" w:rsidRPr="002E7605"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E7605" w:rsidRDefault="00EF74C7" w:rsidP="00822842">
            <w:pPr>
              <w:pStyle w:val="Applicationdirecte"/>
              <w:spacing w:before="0" w:after="0"/>
            </w:pPr>
            <w:r w:rsidRPr="002E7605">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E7605" w:rsidRDefault="00EF74C7" w:rsidP="00822842">
            <w:pPr>
              <w:pStyle w:val="TableMainHeading"/>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ОПРОСТЕН СТАНДАРТИЗИРАН ПОДХОД ЗА КРК (ОПРОСТЕН СПКРК ЗА ДЕРИВАТИ)</w:t>
            </w:r>
          </w:p>
          <w:p w14:paraId="0C771BB4"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 xml:space="preserve">Деривати и сделки с удължен сетълмент, за които институцията изчислява стойността на експозицията в съответствие с трета част, дял II, глава 6, раздел 4 от Регламент (ЕС) № 575/2013. Този опростен </w:t>
            </w:r>
            <w:r w:rsidRPr="002E7605">
              <w:rPr>
                <w:rFonts w:ascii="Times New Roman" w:hAnsi="Times New Roman"/>
                <w:sz w:val="24"/>
              </w:rPr>
              <w:lastRenderedPageBreak/>
              <w:t xml:space="preserve">стандартизиран подход за изчисляване на стойността на експозицията може да се използва само от институции, които отговарят на условията по член 273а, параграф 1 или 4 от Регламент (ЕС) № 575/2013. </w:t>
            </w:r>
          </w:p>
        </w:tc>
      </w:tr>
      <w:tr w:rsidR="00EF74C7" w:rsidRPr="002E7605"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E7605" w:rsidRDefault="00EF74C7" w:rsidP="00822842">
            <w:pPr>
              <w:pStyle w:val="Applicationdirecte"/>
              <w:spacing w:before="0" w:after="0"/>
            </w:pPr>
            <w:r w:rsidRPr="002E7605">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E7605" w:rsidRDefault="00EF74C7" w:rsidP="00822842">
            <w:pPr>
              <w:pStyle w:val="TableMainHeading"/>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СТАНДАРТИЗИРАН ПОДХОД ЗА КРК (СПКРК ЗА ДЕРИВАТИ)</w:t>
            </w:r>
          </w:p>
          <w:p w14:paraId="771ED2E1" w14:textId="77777777" w:rsidR="00EF74C7" w:rsidRPr="002E7605" w:rsidRDefault="00EF74C7" w:rsidP="00822842">
            <w:pPr>
              <w:pStyle w:val="TableMainHeading"/>
              <w:spacing w:before="60"/>
              <w:rPr>
                <w:rFonts w:ascii="Times New Roman" w:hAnsi="Times New Roman"/>
                <w:sz w:val="24"/>
                <w:szCs w:val="24"/>
              </w:rPr>
            </w:pPr>
            <w:r w:rsidRPr="002E7605">
              <w:rPr>
                <w:rFonts w:ascii="Times New Roman" w:hAnsi="Times New Roman"/>
                <w:sz w:val="24"/>
              </w:rPr>
              <w:t>Деривати и сделки с удължен сетълмент, за които институцията изчислява стойността на експозицията в съответствие с трета част, дял II, глава 6, раздел 3 от Регламент (ЕС) № 575/2013.</w:t>
            </w:r>
          </w:p>
        </w:tc>
      </w:tr>
      <w:tr w:rsidR="00EF74C7" w:rsidRPr="002E7605"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E7605" w:rsidRDefault="00EF74C7" w:rsidP="00822842">
            <w:pPr>
              <w:pStyle w:val="Applicationdirecte"/>
              <w:spacing w:before="0" w:after="0"/>
            </w:pPr>
            <w:r w:rsidRPr="002E7605">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E7605" w:rsidRDefault="00EF74C7" w:rsidP="00822842">
            <w:pPr>
              <w:pStyle w:val="TableMainHeading"/>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МВМ (ЗА ДЕРИВАТИ И СФЦК)</w:t>
            </w:r>
          </w:p>
          <w:p w14:paraId="19499FEB" w14:textId="77777777" w:rsidR="00EF74C7" w:rsidRPr="002E7605" w:rsidRDefault="00EF74C7" w:rsidP="00822842">
            <w:pPr>
              <w:pStyle w:val="TableMainHeading"/>
              <w:spacing w:before="60"/>
              <w:rPr>
                <w:rFonts w:ascii="Times New Roman" w:hAnsi="Times New Roman"/>
                <w:sz w:val="24"/>
                <w:szCs w:val="24"/>
              </w:rPr>
            </w:pPr>
            <w:r w:rsidRPr="002E7605">
              <w:rPr>
                <w:rFonts w:ascii="Times New Roman" w:hAnsi="Times New Roman"/>
                <w:sz w:val="24"/>
              </w:rPr>
              <w:t>Деривати, сделки с удължен сетълмент и СФЦК, за които на институцията е разрешено да изчислява стойността на експозицията, като използва метода на вътрешните модели (МВМ) в съответствие с трета част, дял II, глава 6, раздел 6 от Регламент (ЕС) № 575/2013.</w:t>
            </w:r>
          </w:p>
        </w:tc>
      </w:tr>
      <w:tr w:rsidR="00EF74C7" w:rsidRPr="002E7605"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E7605" w:rsidRDefault="00EF74C7" w:rsidP="00822842">
            <w:pPr>
              <w:pStyle w:val="Applicationdirecte"/>
              <w:spacing w:before="0" w:after="0"/>
            </w:pPr>
            <w:r w:rsidRPr="002E7605">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Нетиращи съвкупности по сделки за финансиране с ценни книжа</w:t>
            </w:r>
          </w:p>
          <w:p w14:paraId="08069DA3"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Нетиращи съвкупности, съдържащи единствено СФЦК съгласно определението в член 4, параграф 1, точка 139 от Регламент (ЕС) № 575/2013, за които на институцията е разрешено да определя стойността на експозицията чрез МВМ.</w:t>
            </w:r>
          </w:p>
          <w:p w14:paraId="00DA27AC"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В този ред не се докладват сделките за финансиране с ценни книжа, които са включени в съвкупност по договорни споразумения за кръстосано нетиране на продукти и следователно са докладвани в ред 0070.</w:t>
            </w:r>
          </w:p>
        </w:tc>
      </w:tr>
      <w:tr w:rsidR="00EF74C7" w:rsidRPr="002E7605"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E7605" w:rsidRDefault="00EF74C7" w:rsidP="00822842">
            <w:pPr>
              <w:pStyle w:val="Applicationdirecte"/>
              <w:spacing w:before="0" w:after="0"/>
            </w:pPr>
            <w:r w:rsidRPr="002E7605">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Нетиращи съвкупности по деривати и сделки с удължен сетълмент</w:t>
            </w:r>
          </w:p>
          <w:p w14:paraId="0E97A475"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Нетиращи съвкупности, съдържащи единствено дериватни инструменти, изброени в приложение II към Регламент (ЕС) № 575/2013, и сделки с удължен сетълмент съгласно определението в член 272, параграф 2 от Регламент (ЕС) № 575/2013, за които на институцията е разрешено да определя стойността на експозицията чрез МВМ.</w:t>
            </w:r>
          </w:p>
          <w:p w14:paraId="6A8CD02A"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В този ред не се докладват дериватите и сделките с удължен сетълмент, които са включени в съвкупност по договорни споразумения за кръстосано нетиране на продукти и следователно са докладвани в ред 0070.</w:t>
            </w:r>
          </w:p>
        </w:tc>
      </w:tr>
      <w:tr w:rsidR="00EF74C7" w:rsidRPr="002E7605"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E7605" w:rsidRDefault="00EF74C7" w:rsidP="00822842">
            <w:pPr>
              <w:pStyle w:val="Applicationdirecte"/>
              <w:spacing w:before="0" w:after="0"/>
            </w:pPr>
            <w:r w:rsidRPr="002E7605">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E7605" w:rsidRDefault="00EF74C7" w:rsidP="00822842">
            <w:pPr>
              <w:pStyle w:val="TableMainHeading"/>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От съвкупности по договорни споразумения за кръстосано нетиране на продукти</w:t>
            </w:r>
          </w:p>
          <w:p w14:paraId="118D66FD" w14:textId="77777777" w:rsidR="00EF74C7" w:rsidRPr="002E7605" w:rsidRDefault="00EF74C7" w:rsidP="00822842">
            <w:pPr>
              <w:rPr>
                <w:rFonts w:ascii="Times New Roman" w:hAnsi="Times New Roman"/>
                <w:sz w:val="24"/>
              </w:rPr>
            </w:pPr>
            <w:r w:rsidRPr="002E7605">
              <w:rPr>
                <w:rFonts w:ascii="Times New Roman" w:hAnsi="Times New Roman"/>
                <w:sz w:val="24"/>
              </w:rPr>
              <w:t>Член 272, параграфи 11 и 25 от Регламент (ЕС) № 575/2013</w:t>
            </w:r>
          </w:p>
          <w:p w14:paraId="78B4A3BD"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Нетиращите съвкупности, съдържащи сделки с различни продуктови категории (член 272, параграф 11 от Регламент (ЕС) № 575/2013), т.е. деривати и СФЦК, за които съществува договорно споразумение за кръстосано нетиране на продукти съгласно определението в член 272, параграф 25 от Регламент (ЕС) № 575/2013 и за които на институцията е разрешено да определя стойността на експозицията чрез МВМ.</w:t>
            </w:r>
          </w:p>
        </w:tc>
      </w:tr>
      <w:tr w:rsidR="00EF74C7" w:rsidRPr="002E7605"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E7605" w:rsidRDefault="00EF74C7" w:rsidP="00822842">
            <w:pPr>
              <w:pStyle w:val="Applicationdirecte"/>
              <w:spacing w:before="0" w:after="0"/>
            </w:pPr>
            <w:r w:rsidRPr="002E7605">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ОПРОСТЕН МЕТОД ЗА ФИНАНСОВО ОБЕЗПЕЧЕНИЕ (ЗА СФЦК) </w:t>
            </w:r>
          </w:p>
          <w:p w14:paraId="1E933FE3" w14:textId="77777777" w:rsidR="00EF74C7" w:rsidRPr="002E7605" w:rsidRDefault="00EF74C7" w:rsidP="00822842">
            <w:pPr>
              <w:rPr>
                <w:rFonts w:ascii="Times New Roman" w:hAnsi="Times New Roman"/>
                <w:sz w:val="24"/>
              </w:rPr>
            </w:pPr>
            <w:r w:rsidRPr="002E7605">
              <w:rPr>
                <w:rFonts w:ascii="Times New Roman" w:hAnsi="Times New Roman"/>
                <w:sz w:val="24"/>
              </w:rPr>
              <w:t>Член 222 от Регламент (ЕС) № 575/2013</w:t>
            </w:r>
          </w:p>
          <w:p w14:paraId="1206AB47"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Репо сделки, сделки по предоставяне или получаване в заем на ценни книжа или стоки, трансакции с удължен сетълмент и маржин заемни сделки, за които институцията е решила в съответствие с член 271, параграф 2 от Регламент (ЕС) № 575/2013 да определя стойността на експозицията съгласно член 222, а не съгласно трета част, дял ІІ, глава 6 от същия регламент.</w:t>
            </w:r>
          </w:p>
        </w:tc>
      </w:tr>
      <w:tr w:rsidR="00EF74C7" w:rsidRPr="002E7605"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E7605" w:rsidRDefault="00EF74C7" w:rsidP="00822842">
            <w:pPr>
              <w:pStyle w:val="Applicationdirecte"/>
              <w:spacing w:before="0" w:after="0"/>
            </w:pPr>
            <w:r w:rsidRPr="002E7605">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РАЗШИРЕН МЕТОД ЗА ФИНАНСОВО ОБЕЗПЕЧЕНИЕ (ЗА СФЦК)</w:t>
            </w:r>
          </w:p>
          <w:p w14:paraId="13A72AE5" w14:textId="77777777" w:rsidR="00EF74C7" w:rsidRPr="002E7605" w:rsidRDefault="00EF74C7" w:rsidP="00822842">
            <w:pPr>
              <w:rPr>
                <w:rFonts w:ascii="Times New Roman" w:hAnsi="Times New Roman"/>
                <w:sz w:val="24"/>
              </w:rPr>
            </w:pPr>
            <w:r w:rsidRPr="002E7605">
              <w:rPr>
                <w:rFonts w:ascii="Times New Roman" w:hAnsi="Times New Roman"/>
                <w:sz w:val="24"/>
              </w:rPr>
              <w:t>Членове 220 и 223 от Регламент (ЕС) № 575/2013</w:t>
            </w:r>
          </w:p>
          <w:p w14:paraId="0F255BBA" w14:textId="77777777" w:rsidR="00EF74C7" w:rsidRPr="002E7605" w:rsidRDefault="00EF74C7" w:rsidP="00822842">
            <w:pPr>
              <w:pStyle w:val="TableMainHeading"/>
              <w:spacing w:before="60"/>
              <w:jc w:val="both"/>
              <w:rPr>
                <w:rFonts w:ascii="Times New Roman" w:hAnsi="Times New Roman"/>
                <w:i/>
                <w:sz w:val="24"/>
                <w:szCs w:val="24"/>
              </w:rPr>
            </w:pPr>
            <w:r w:rsidRPr="002E7605">
              <w:rPr>
                <w:rFonts w:ascii="Times New Roman" w:hAnsi="Times New Roman"/>
                <w:sz w:val="24"/>
              </w:rPr>
              <w:t>Репо сделки, сделки по предоставяне или получаване в заем на ценни книжа или стоки, трансакции с удължен сетълмент и маржин заемни сделки, за които институцията е решила в съответствие с член 271, параграф 2 от Регламент (ЕС) № 575/2013 да определя стойността на експозицията съгласно член 223, а не съгласно трета част, дял ІІ, глава 6 от същия регламент.</w:t>
            </w:r>
          </w:p>
        </w:tc>
      </w:tr>
      <w:tr w:rsidR="00EF74C7" w:rsidRPr="002E7605"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E7605" w:rsidRDefault="00EF74C7" w:rsidP="00822842">
            <w:pPr>
              <w:pStyle w:val="Applicationdirecte"/>
              <w:spacing w:before="0" w:after="0"/>
            </w:pPr>
            <w:r w:rsidRPr="002E7605">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СТОЙНОСТ ПОД РИСК ЗА СФЦК</w:t>
            </w:r>
          </w:p>
          <w:p w14:paraId="769E33FD" w14:textId="77777777" w:rsidR="00EF74C7" w:rsidRPr="002E7605" w:rsidRDefault="00EF74C7" w:rsidP="00822842">
            <w:pPr>
              <w:rPr>
                <w:rFonts w:ascii="Times New Roman" w:hAnsi="Times New Roman"/>
                <w:sz w:val="24"/>
              </w:rPr>
            </w:pPr>
            <w:r w:rsidRPr="002E7605">
              <w:rPr>
                <w:rFonts w:ascii="Times New Roman" w:hAnsi="Times New Roman"/>
                <w:sz w:val="24"/>
              </w:rPr>
              <w:t>Член 221 от Регламент (ЕС) № 575/2013</w:t>
            </w:r>
          </w:p>
          <w:p w14:paraId="2E3D6606"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 xml:space="preserve">Репо сделки, сделки по предоставяне или получаване в заем на ценни книжа или стоки, маржин заемни сделки или други сделки, обусловени от капиталовите пазари, различни от сделки с деривати, за които — в съответствие с член 221 от Регламент (ЕС) № 575/2013 и след разрешение от компетентния орган — стойността на експозицията се изчислява, като се използва подход на вътрешния модел, който отчита ефектите на корелацията между позициите в ценни книжа, обект на рамковото споразумение за нетиране, както и ликвидността на съответните инструменти. </w:t>
            </w:r>
          </w:p>
        </w:tc>
      </w:tr>
      <w:tr w:rsidR="00EF74C7" w:rsidRPr="002E7605"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E7605" w:rsidRDefault="00EF74C7" w:rsidP="00822842">
            <w:pPr>
              <w:pStyle w:val="Applicationdirecte"/>
              <w:spacing w:before="0" w:after="0"/>
            </w:pPr>
            <w:r w:rsidRPr="002E7605">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ОБЩО</w:t>
            </w:r>
          </w:p>
          <w:p w14:paraId="31701FF7" w14:textId="77777777" w:rsidR="00EF74C7" w:rsidRPr="002E7605" w:rsidRDefault="00EF74C7" w:rsidP="00822842">
            <w:pPr>
              <w:keepNext/>
              <w:spacing w:before="60"/>
              <w:rPr>
                <w:rStyle w:val="InstructionsTabelleberschrift"/>
                <w:rFonts w:ascii="Times New Roman" w:hAnsi="Times New Roman"/>
                <w:sz w:val="24"/>
              </w:rPr>
            </w:pPr>
          </w:p>
        </w:tc>
      </w:tr>
      <w:tr w:rsidR="00EF74C7" w:rsidRPr="002E7605" w14:paraId="04998E4D" w14:textId="77777777" w:rsidTr="00822842">
        <w:trPr>
          <w:trHeight w:val="1502"/>
        </w:trPr>
        <w:tc>
          <w:tcPr>
            <w:tcW w:w="1384" w:type="dxa"/>
          </w:tcPr>
          <w:p w14:paraId="1C32D020" w14:textId="77777777" w:rsidR="00EF74C7" w:rsidRPr="002E7605" w:rsidDel="003E0C6A" w:rsidRDefault="00EF74C7" w:rsidP="00822842">
            <w:pPr>
              <w:pStyle w:val="Applicationdirecte"/>
              <w:spacing w:before="60" w:after="0"/>
              <w:jc w:val="left"/>
            </w:pPr>
            <w:r w:rsidRPr="002E7605">
              <w:t>0120</w:t>
            </w:r>
          </w:p>
        </w:tc>
        <w:tc>
          <w:tcPr>
            <w:tcW w:w="7655" w:type="dxa"/>
          </w:tcPr>
          <w:p w14:paraId="64672F51"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В т.ч.: Позиции със специфичен утежняващ риск</w:t>
            </w:r>
          </w:p>
          <w:p w14:paraId="658F3281" w14:textId="77777777" w:rsidR="00EF74C7" w:rsidRPr="002E7605" w:rsidRDefault="00EF74C7" w:rsidP="00822842">
            <w:pPr>
              <w:keepNext/>
              <w:spacing w:before="60"/>
              <w:rPr>
                <w:rStyle w:val="InstructionsTabelleberschrift"/>
                <w:rFonts w:ascii="Times New Roman" w:hAnsi="Times New Roman"/>
                <w:b w:val="0"/>
                <w:sz w:val="24"/>
                <w:u w:val="none"/>
              </w:rPr>
            </w:pPr>
            <w:r w:rsidRPr="002E7605">
              <w:rPr>
                <w:rStyle w:val="InstructionsTabelleberschrift"/>
                <w:rFonts w:ascii="Times New Roman" w:hAnsi="Times New Roman"/>
                <w:b w:val="0"/>
                <w:sz w:val="24"/>
                <w:u w:val="none"/>
              </w:rPr>
              <w:t>Член 291</w:t>
            </w:r>
            <w:r w:rsidRPr="002E7605">
              <w:rPr>
                <w:rFonts w:ascii="Times New Roman" w:hAnsi="Times New Roman"/>
                <w:sz w:val="24"/>
              </w:rPr>
              <w:t xml:space="preserve"> от Регламент (ЕС) № 575/2013</w:t>
            </w:r>
          </w:p>
          <w:p w14:paraId="41917746" w14:textId="77777777" w:rsidR="00EF74C7" w:rsidRPr="002E7605" w:rsidDel="003E0C6A" w:rsidRDefault="00EF74C7" w:rsidP="00822842">
            <w:pPr>
              <w:keepNext/>
              <w:spacing w:before="60"/>
              <w:rPr>
                <w:rFonts w:ascii="Times New Roman" w:hAnsi="Times New Roman"/>
                <w:bCs/>
                <w:sz w:val="24"/>
              </w:rPr>
            </w:pPr>
            <w:r w:rsidRPr="002E7605">
              <w:rPr>
                <w:rFonts w:ascii="Times New Roman" w:hAnsi="Times New Roman"/>
                <w:sz w:val="24"/>
              </w:rPr>
              <w:t>Експозиции към КРК, за които е установен специфичен утежняващ риск (SWWR) в съответствие с член 291 от Регламент (ЕС) № 575/2013.</w:t>
            </w:r>
          </w:p>
        </w:tc>
      </w:tr>
      <w:tr w:rsidR="00EF74C7" w:rsidRPr="002E7605" w14:paraId="59B010B6" w14:textId="77777777" w:rsidTr="00822842">
        <w:trPr>
          <w:trHeight w:val="426"/>
        </w:trPr>
        <w:tc>
          <w:tcPr>
            <w:tcW w:w="1384" w:type="dxa"/>
          </w:tcPr>
          <w:p w14:paraId="11F4D998" w14:textId="77777777" w:rsidR="00EF74C7" w:rsidRPr="002E7605" w:rsidDel="003E0C6A" w:rsidRDefault="00EF74C7" w:rsidP="00822842">
            <w:pPr>
              <w:pStyle w:val="Applicationdirecte"/>
              <w:spacing w:before="60" w:after="0"/>
              <w:jc w:val="left"/>
            </w:pPr>
            <w:r w:rsidRPr="002E7605">
              <w:t>0130</w:t>
            </w:r>
          </w:p>
        </w:tc>
        <w:tc>
          <w:tcPr>
            <w:tcW w:w="7655" w:type="dxa"/>
          </w:tcPr>
          <w:p w14:paraId="794C69D7"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Сделки с допълнително обезпечение</w:t>
            </w:r>
          </w:p>
          <w:p w14:paraId="03856435" w14:textId="77777777" w:rsidR="00EF74C7" w:rsidRPr="002E7605" w:rsidRDefault="00EF74C7" w:rsidP="00822842">
            <w:pPr>
              <w:keepNext/>
              <w:spacing w:before="60"/>
              <w:rPr>
                <w:rStyle w:val="InstructionsTabelleberschrift"/>
                <w:rFonts w:ascii="Times New Roman" w:hAnsi="Times New Roman"/>
                <w:b w:val="0"/>
                <w:sz w:val="24"/>
                <w:u w:val="none"/>
              </w:rPr>
            </w:pPr>
            <w:r w:rsidRPr="002E7605">
              <w:rPr>
                <w:rFonts w:ascii="Times New Roman" w:hAnsi="Times New Roman"/>
                <w:sz w:val="24"/>
              </w:rPr>
              <w:t>Член 272, параграф 7 от Регламент (ЕС) № 575/2013</w:t>
            </w:r>
          </w:p>
          <w:p w14:paraId="2F61E58D" w14:textId="77777777" w:rsidR="00EF74C7" w:rsidRPr="002E7605" w:rsidDel="003E0C6A" w:rsidRDefault="00EF74C7" w:rsidP="00822842">
            <w:pPr>
              <w:keepNext/>
              <w:spacing w:before="60"/>
              <w:rPr>
                <w:rFonts w:ascii="Times New Roman" w:hAnsi="Times New Roman"/>
                <w:sz w:val="24"/>
              </w:rPr>
            </w:pPr>
            <w:r w:rsidRPr="002E7605">
              <w:rPr>
                <w:rFonts w:ascii="Times New Roman" w:hAnsi="Times New Roman"/>
                <w:sz w:val="24"/>
              </w:rPr>
              <w:t>Експозиции към КРК с допълнително обезпечение, т.е. нетиращи съвкупности, за които се прилага маржин споразумение в съответствие с член 272, параграф 7 от Регламент (ЕС) № 575/2013.</w:t>
            </w:r>
          </w:p>
        </w:tc>
      </w:tr>
      <w:tr w:rsidR="00EF74C7" w:rsidRPr="002E7605" w14:paraId="518FA613" w14:textId="77777777" w:rsidTr="00822842">
        <w:trPr>
          <w:trHeight w:val="829"/>
        </w:trPr>
        <w:tc>
          <w:tcPr>
            <w:tcW w:w="1384" w:type="dxa"/>
          </w:tcPr>
          <w:p w14:paraId="527E02B0" w14:textId="77777777" w:rsidR="00EF74C7" w:rsidRPr="002E7605" w:rsidDel="003E0C6A" w:rsidRDefault="00EF74C7" w:rsidP="00822842">
            <w:pPr>
              <w:pStyle w:val="Applicationdirecte"/>
              <w:spacing w:before="60" w:after="0"/>
              <w:jc w:val="left"/>
            </w:pPr>
            <w:r w:rsidRPr="002E7605">
              <w:lastRenderedPageBreak/>
              <w:t>0140</w:t>
            </w:r>
          </w:p>
        </w:tc>
        <w:tc>
          <w:tcPr>
            <w:tcW w:w="7655" w:type="dxa"/>
          </w:tcPr>
          <w:p w14:paraId="4739FB58"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Сделки без допълнително обезпечение</w:t>
            </w:r>
          </w:p>
          <w:p w14:paraId="166C3DE8" w14:textId="77777777" w:rsidR="00EF74C7" w:rsidRPr="002E7605" w:rsidDel="003E0C6A" w:rsidRDefault="00EF74C7" w:rsidP="00822842">
            <w:pPr>
              <w:rPr>
                <w:rFonts w:ascii="Times New Roman" w:hAnsi="Times New Roman"/>
                <w:sz w:val="24"/>
              </w:rPr>
            </w:pPr>
            <w:r w:rsidRPr="002E7605">
              <w:rPr>
                <w:rFonts w:ascii="Times New Roman" w:hAnsi="Times New Roman"/>
                <w:sz w:val="24"/>
              </w:rPr>
              <w:t>Експозиции към КРК, които не са обхванати в 0130.</w:t>
            </w:r>
          </w:p>
        </w:tc>
      </w:tr>
    </w:tbl>
    <w:p w14:paraId="0EE31AF8" w14:textId="77777777" w:rsidR="00EF74C7" w:rsidRPr="002E7605" w:rsidRDefault="00EF74C7" w:rsidP="00EF74C7">
      <w:pPr>
        <w:rPr>
          <w:rFonts w:ascii="Times New Roman" w:hAnsi="Times New Roman"/>
          <w:noProof/>
          <w:sz w:val="24"/>
        </w:rPr>
      </w:pPr>
    </w:p>
    <w:p w14:paraId="398E5D6F"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sidRPr="002E7605">
        <w:rPr>
          <w:rFonts w:ascii="Times New Roman" w:hAnsi="Times New Roman"/>
          <w:sz w:val="24"/>
        </w:rPr>
        <w:t>C 34.03 — Експозиции към КРК, третирани по стандартизирани подходи: СПКРК и опростен СПКРК</w:t>
      </w:r>
      <w:bookmarkEnd w:id="28"/>
      <w:bookmarkEnd w:id="29"/>
    </w:p>
    <w:p w14:paraId="25A32DCA"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sidRPr="002E7605">
        <w:rPr>
          <w:rFonts w:ascii="Times New Roman" w:hAnsi="Times New Roman"/>
          <w:sz w:val="24"/>
        </w:rPr>
        <w:t>Общи бележки</w:t>
      </w:r>
      <w:bookmarkEnd w:id="30"/>
      <w:bookmarkEnd w:id="31"/>
    </w:p>
    <w:p w14:paraId="00205649" w14:textId="08D8CDD1"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125</w:t>
      </w:r>
      <w:r w:rsidRPr="002E7605">
        <w:fldChar w:fldCharType="end"/>
      </w:r>
      <w:r w:rsidRPr="002E7605">
        <w:t>. Образецът се използва отделно за докладване на експозициите към КРК, изчислени съответно чрез СПКРК или опростен СПКРК.</w:t>
      </w:r>
    </w:p>
    <w:p w14:paraId="739ACEF6"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sidRPr="002E7605">
        <w:rPr>
          <w:rFonts w:ascii="Times New Roman" w:hAnsi="Times New Roman"/>
          <w:sz w:val="24"/>
        </w:rPr>
        <w:t>Указания относно конкретни позиции</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21AD3F40" w14:textId="77777777" w:rsidTr="00822842">
        <w:trPr>
          <w:trHeight w:val="717"/>
        </w:trPr>
        <w:tc>
          <w:tcPr>
            <w:tcW w:w="9039" w:type="dxa"/>
            <w:gridSpan w:val="2"/>
            <w:shd w:val="clear" w:color="auto" w:fill="D9D9D9" w:themeFill="background1" w:themeFillShade="D9"/>
          </w:tcPr>
          <w:p w14:paraId="1502A629"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Колони</w:t>
            </w:r>
          </w:p>
        </w:tc>
      </w:tr>
      <w:tr w:rsidR="00EF74C7" w:rsidRPr="002E7605" w14:paraId="672D2ACD" w14:textId="77777777" w:rsidTr="00822842">
        <w:trPr>
          <w:trHeight w:val="680"/>
        </w:trPr>
        <w:tc>
          <w:tcPr>
            <w:tcW w:w="1384" w:type="dxa"/>
          </w:tcPr>
          <w:p w14:paraId="0E603140" w14:textId="77777777" w:rsidR="00EF74C7" w:rsidRPr="002E7605" w:rsidRDefault="00EF74C7" w:rsidP="00822842">
            <w:pPr>
              <w:pStyle w:val="Applicationdirecte"/>
              <w:spacing w:before="0" w:after="0"/>
            </w:pPr>
            <w:r w:rsidRPr="002E7605">
              <w:t>0010</w:t>
            </w:r>
          </w:p>
        </w:tc>
        <w:tc>
          <w:tcPr>
            <w:tcW w:w="7655" w:type="dxa"/>
            <w:vAlign w:val="center"/>
          </w:tcPr>
          <w:p w14:paraId="1B4E242B" w14:textId="77777777" w:rsidR="00EF74C7" w:rsidRPr="002E7605" w:rsidRDefault="00EF74C7" w:rsidP="00822842">
            <w:pPr>
              <w:keepNext/>
              <w:spacing w:before="60"/>
              <w:rPr>
                <w:rFonts w:ascii="Times New Roman" w:hAnsi="Times New Roman"/>
                <w:sz w:val="24"/>
              </w:rPr>
            </w:pPr>
            <w:r w:rsidRPr="002E7605">
              <w:rPr>
                <w:rStyle w:val="InstructionsTabelleberschrift"/>
                <w:rFonts w:ascii="Times New Roman" w:hAnsi="Times New Roman"/>
                <w:sz w:val="24"/>
              </w:rPr>
              <w:t>ВАЛУТА</w:t>
            </w:r>
          </w:p>
          <w:p w14:paraId="1FCE36C7"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За сделките, отнесени към категорията на лихвения риск, се докладва валутата на деноминацията на сделката.</w:t>
            </w:r>
          </w:p>
          <w:p w14:paraId="451829C3"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xml:space="preserve">За сделките, отнесени към категорията на валутния риск, се докладва валутата на деноминацията на едното от двете рамена на сделката. Институциите попълват валутите в двойката валути по азбучен ред, например за щатски долар/евро, моля, попълнете в тази колона EUR, а в колона 0020 — USD. </w:t>
            </w:r>
          </w:p>
          <w:p w14:paraId="4B0703E4" w14:textId="77777777" w:rsidR="00EF74C7" w:rsidRPr="002E7605" w:rsidRDefault="00EF74C7" w:rsidP="00822842">
            <w:pPr>
              <w:keepNext/>
              <w:spacing w:before="60"/>
              <w:rPr>
                <w:rFonts w:ascii="Times New Roman" w:hAnsi="Times New Roman"/>
                <w:i/>
                <w:sz w:val="24"/>
              </w:rPr>
            </w:pPr>
            <w:r w:rsidRPr="002E7605">
              <w:rPr>
                <w:rFonts w:ascii="Times New Roman" w:hAnsi="Times New Roman"/>
                <w:sz w:val="24"/>
              </w:rPr>
              <w:t xml:space="preserve">Използват се </w:t>
            </w:r>
            <w:hyperlink r:id="rId10" w:history="1">
              <w:r w:rsidRPr="002E7605">
                <w:rPr>
                  <w:rFonts w:ascii="Times New Roman" w:hAnsi="Times New Roman"/>
                  <w:sz w:val="24"/>
                </w:rPr>
                <w:t>кодовете по ISO</w:t>
              </w:r>
            </w:hyperlink>
            <w:r w:rsidRPr="002E7605">
              <w:rPr>
                <w:rFonts w:ascii="Times New Roman" w:hAnsi="Times New Roman"/>
                <w:sz w:val="24"/>
              </w:rPr>
              <w:t xml:space="preserve"> на валутата.</w:t>
            </w:r>
          </w:p>
        </w:tc>
      </w:tr>
      <w:tr w:rsidR="00EF74C7" w:rsidRPr="002E7605" w14:paraId="5C5AF16A" w14:textId="77777777" w:rsidTr="00822842">
        <w:trPr>
          <w:trHeight w:val="680"/>
        </w:trPr>
        <w:tc>
          <w:tcPr>
            <w:tcW w:w="1384" w:type="dxa"/>
          </w:tcPr>
          <w:p w14:paraId="4ACFE6AB" w14:textId="77777777" w:rsidR="00EF74C7" w:rsidRPr="002E7605" w:rsidRDefault="00EF74C7" w:rsidP="00822842">
            <w:pPr>
              <w:pStyle w:val="Applicationdirecte"/>
              <w:spacing w:before="0" w:after="0"/>
            </w:pPr>
            <w:r w:rsidRPr="002E7605">
              <w:t>0020</w:t>
            </w:r>
          </w:p>
        </w:tc>
        <w:tc>
          <w:tcPr>
            <w:tcW w:w="7655" w:type="dxa"/>
            <w:vAlign w:val="center"/>
          </w:tcPr>
          <w:p w14:paraId="24D1130D"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ВТОРА ВАЛУТА В ДВОЙКАТА</w:t>
            </w:r>
          </w:p>
          <w:p w14:paraId="03D4A6E7"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За сделките, отнесени към категорията на валутния риск, се докладва валутата на деноминацията на другото рамо на сделката (спрямо вече посоченото в колона 0010). Институциите попълват валутите в двойката валути по азбучен ред, например за щатски долар/евро, моля, попълнете в тази колона USD, а в колона 0010 — EUR.</w:t>
            </w:r>
          </w:p>
          <w:p w14:paraId="1013A2D8" w14:textId="77777777" w:rsidR="00EF74C7" w:rsidRPr="002E7605" w:rsidRDefault="00EF74C7" w:rsidP="00822842">
            <w:pPr>
              <w:keepNext/>
              <w:spacing w:before="60"/>
              <w:rPr>
                <w:rFonts w:ascii="Times New Roman" w:hAnsi="Times New Roman"/>
                <w:i/>
                <w:sz w:val="24"/>
              </w:rPr>
            </w:pPr>
            <w:r w:rsidRPr="002E7605">
              <w:rPr>
                <w:rFonts w:ascii="Times New Roman" w:hAnsi="Times New Roman"/>
                <w:sz w:val="24"/>
              </w:rPr>
              <w:t xml:space="preserve">Използват се </w:t>
            </w:r>
            <w:hyperlink r:id="rId11" w:history="1">
              <w:r w:rsidRPr="002E7605">
                <w:rPr>
                  <w:rFonts w:ascii="Times New Roman" w:hAnsi="Times New Roman"/>
                  <w:sz w:val="24"/>
                </w:rPr>
                <w:t>кодовете по ISO</w:t>
              </w:r>
            </w:hyperlink>
            <w:r w:rsidRPr="002E7605">
              <w:rPr>
                <w:rFonts w:ascii="Times New Roman" w:hAnsi="Times New Roman"/>
                <w:sz w:val="24"/>
              </w:rPr>
              <w:t xml:space="preserve"> на валутата.</w:t>
            </w:r>
          </w:p>
        </w:tc>
      </w:tr>
      <w:tr w:rsidR="00EF74C7" w:rsidRPr="002E7605" w14:paraId="269AB735" w14:textId="77777777" w:rsidTr="00822842">
        <w:trPr>
          <w:trHeight w:val="680"/>
        </w:trPr>
        <w:tc>
          <w:tcPr>
            <w:tcW w:w="1384" w:type="dxa"/>
          </w:tcPr>
          <w:p w14:paraId="27EC4B26" w14:textId="77777777" w:rsidR="00EF74C7" w:rsidRPr="002E7605" w:rsidRDefault="00EF74C7" w:rsidP="00822842">
            <w:pPr>
              <w:pStyle w:val="Applicationdirecte"/>
              <w:spacing w:before="0" w:after="0"/>
            </w:pPr>
            <w:r w:rsidRPr="002E7605">
              <w:t>0030</w:t>
            </w:r>
          </w:p>
        </w:tc>
        <w:tc>
          <w:tcPr>
            <w:tcW w:w="7655" w:type="dxa"/>
            <w:vAlign w:val="center"/>
          </w:tcPr>
          <w:p w14:paraId="2F0BA9E7"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БРОЙ СДЕЛКИ</w:t>
            </w:r>
          </w:p>
          <w:p w14:paraId="6D81C620" w14:textId="77777777" w:rsidR="00EF74C7" w:rsidRPr="002E7605" w:rsidRDefault="00EF74C7" w:rsidP="00822842">
            <w:pPr>
              <w:keepNext/>
              <w:spacing w:before="60"/>
              <w:rPr>
                <w:rFonts w:ascii="Times New Roman" w:hAnsi="Times New Roman"/>
                <w:i/>
                <w:sz w:val="24"/>
              </w:rPr>
            </w:pPr>
            <w:r w:rsidRPr="002E7605">
              <w:rPr>
                <w:rFonts w:ascii="Times New Roman" w:hAnsi="Times New Roman"/>
                <w:sz w:val="24"/>
              </w:rPr>
              <w:t>Вж. указанията към колона 0020 в образец C 34.02.</w:t>
            </w:r>
          </w:p>
        </w:tc>
      </w:tr>
      <w:tr w:rsidR="00EF74C7" w:rsidRPr="002E7605" w14:paraId="01ECDEDD" w14:textId="77777777" w:rsidTr="00822842">
        <w:trPr>
          <w:trHeight w:val="680"/>
        </w:trPr>
        <w:tc>
          <w:tcPr>
            <w:tcW w:w="1384" w:type="dxa"/>
          </w:tcPr>
          <w:p w14:paraId="18733037" w14:textId="77777777" w:rsidR="00EF74C7" w:rsidRPr="002E7605" w:rsidRDefault="00EF74C7" w:rsidP="00822842">
            <w:pPr>
              <w:pStyle w:val="Applicationdirecte"/>
              <w:spacing w:before="0" w:after="0"/>
            </w:pPr>
            <w:r w:rsidRPr="002E7605">
              <w:t>0040</w:t>
            </w:r>
          </w:p>
        </w:tc>
        <w:tc>
          <w:tcPr>
            <w:tcW w:w="7655" w:type="dxa"/>
            <w:vAlign w:val="center"/>
          </w:tcPr>
          <w:p w14:paraId="160D7E28"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УСЛОВНИ СТОЙНОСТИ</w:t>
            </w:r>
          </w:p>
          <w:p w14:paraId="1EAD85A5"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Вж. указанията към колона 0030 в образец C 34.02.</w:t>
            </w:r>
          </w:p>
        </w:tc>
      </w:tr>
      <w:tr w:rsidR="00EF74C7" w:rsidRPr="002E7605" w14:paraId="3AC762E1" w14:textId="77777777" w:rsidTr="00822842">
        <w:trPr>
          <w:trHeight w:val="680"/>
        </w:trPr>
        <w:tc>
          <w:tcPr>
            <w:tcW w:w="1384" w:type="dxa"/>
          </w:tcPr>
          <w:p w14:paraId="772E888B" w14:textId="77777777" w:rsidR="00EF74C7" w:rsidRPr="002E7605" w:rsidRDefault="00EF74C7" w:rsidP="00822842">
            <w:pPr>
              <w:pStyle w:val="Applicationdirecte"/>
              <w:spacing w:before="0" w:after="0"/>
            </w:pPr>
            <w:r w:rsidRPr="002E7605">
              <w:t>0050</w:t>
            </w:r>
          </w:p>
        </w:tc>
        <w:tc>
          <w:tcPr>
            <w:tcW w:w="7655" w:type="dxa"/>
            <w:vAlign w:val="center"/>
          </w:tcPr>
          <w:p w14:paraId="4F39288B"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ПОЛОЖИТЕЛНА</w:t>
            </w:r>
          </w:p>
          <w:p w14:paraId="5ED54A90"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Сборът от текущите пазарни стойности (CMV) на всички хеджиращи съвкупности с положителна текуща пазарна стойност в съответната рискова категория.</w:t>
            </w:r>
          </w:p>
          <w:p w14:paraId="379A6FFF"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xml:space="preserve">Текущата пазарна стойност на равнище хеджираща съвкупност се определя чрез нетиране на положителните и отрицателните пазарни </w:t>
            </w:r>
            <w:r w:rsidRPr="002E7605">
              <w:rPr>
                <w:rFonts w:ascii="Times New Roman" w:hAnsi="Times New Roman"/>
                <w:sz w:val="24"/>
              </w:rPr>
              <w:lastRenderedPageBreak/>
              <w:t>стойности на сделките в рамките на една хеджираща съвкупност, без да е приспаднато евентуално полученото или предоставеното обезпечение.</w:t>
            </w:r>
          </w:p>
        </w:tc>
      </w:tr>
      <w:tr w:rsidR="00EF74C7" w:rsidRPr="002E7605" w14:paraId="08BA8DB4" w14:textId="77777777" w:rsidTr="00822842">
        <w:trPr>
          <w:trHeight w:val="680"/>
        </w:trPr>
        <w:tc>
          <w:tcPr>
            <w:tcW w:w="1384" w:type="dxa"/>
          </w:tcPr>
          <w:p w14:paraId="0E291208" w14:textId="77777777" w:rsidR="00EF74C7" w:rsidRPr="002E7605" w:rsidRDefault="00EF74C7" w:rsidP="00822842">
            <w:pPr>
              <w:pStyle w:val="Applicationdirecte"/>
              <w:spacing w:before="0" w:after="0"/>
            </w:pPr>
            <w:r w:rsidRPr="002E7605">
              <w:lastRenderedPageBreak/>
              <w:t>0060</w:t>
            </w:r>
          </w:p>
        </w:tc>
        <w:tc>
          <w:tcPr>
            <w:tcW w:w="7655" w:type="dxa"/>
            <w:vAlign w:val="center"/>
          </w:tcPr>
          <w:p w14:paraId="58A56A89"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ОТРИЦАТЕЛНА</w:t>
            </w:r>
          </w:p>
          <w:p w14:paraId="5CF4FB5C"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Сборът от абсолютните текущи пазарни стойности (CMV) на всички хеджиращи съвкупности с отрицателна текуща пазарна стойност в съответната рискова категория.</w:t>
            </w:r>
          </w:p>
          <w:p w14:paraId="3D5BE059" w14:textId="77777777" w:rsidR="00EF74C7" w:rsidRPr="002E7605" w:rsidRDefault="00EF74C7" w:rsidP="00822842">
            <w:pPr>
              <w:keepNext/>
              <w:spacing w:before="60"/>
              <w:rPr>
                <w:rStyle w:val="InstructionsTabelleberschrift"/>
                <w:rFonts w:ascii="Times New Roman" w:hAnsi="Times New Roman"/>
                <w:sz w:val="24"/>
              </w:rPr>
            </w:pPr>
            <w:r w:rsidRPr="002E7605">
              <w:rPr>
                <w:rFonts w:ascii="Times New Roman" w:hAnsi="Times New Roman"/>
                <w:sz w:val="24"/>
              </w:rPr>
              <w:t>Текущата пазарна стойност на равнище хеджираща съвкупност се определя чрез нетиране на положителните и отрицателните пазарни стойности на сделките в рамките на една хеджираща съвкупност, без да е приспаднато евентуално полученото или предоставеното обезпечение.</w:t>
            </w:r>
          </w:p>
        </w:tc>
      </w:tr>
      <w:tr w:rsidR="00EF74C7" w:rsidRPr="002E7605" w14:paraId="345E1772" w14:textId="77777777" w:rsidTr="00822842">
        <w:trPr>
          <w:trHeight w:val="680"/>
        </w:trPr>
        <w:tc>
          <w:tcPr>
            <w:tcW w:w="1384" w:type="dxa"/>
          </w:tcPr>
          <w:p w14:paraId="77DADDEC" w14:textId="77777777" w:rsidR="00EF74C7" w:rsidRPr="002E7605" w:rsidRDefault="00EF74C7" w:rsidP="00822842">
            <w:pPr>
              <w:pStyle w:val="Applicationdirecte"/>
              <w:spacing w:before="0" w:after="0"/>
            </w:pPr>
            <w:r w:rsidRPr="002E7605">
              <w:t>0070</w:t>
            </w:r>
          </w:p>
        </w:tc>
        <w:tc>
          <w:tcPr>
            <w:tcW w:w="7655" w:type="dxa"/>
            <w:vAlign w:val="center"/>
          </w:tcPr>
          <w:p w14:paraId="22809508" w14:textId="77777777" w:rsidR="00EF74C7" w:rsidRPr="002E7605" w:rsidRDefault="00EF74C7" w:rsidP="00822842">
            <w:pPr>
              <w:keepNext/>
              <w:spacing w:before="60"/>
              <w:rPr>
                <w:rFonts w:ascii="Times New Roman" w:hAnsi="Times New Roman"/>
                <w:sz w:val="24"/>
              </w:rPr>
            </w:pPr>
            <w:r w:rsidRPr="002E7605">
              <w:rPr>
                <w:rStyle w:val="InstructionsTabelleberschrift"/>
                <w:rFonts w:ascii="Times New Roman" w:hAnsi="Times New Roman"/>
                <w:sz w:val="24"/>
              </w:rPr>
              <w:t>ДОБАВКА</w:t>
            </w:r>
            <w:r w:rsidRPr="002E7605">
              <w:rPr>
                <w:rFonts w:ascii="Times New Roman" w:hAnsi="Times New Roman"/>
                <w:sz w:val="24"/>
              </w:rPr>
              <w:t xml:space="preserve"> </w:t>
            </w:r>
          </w:p>
          <w:p w14:paraId="39E215C5"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Членове 280а—280е и член 281, параграф 2 от Регламент (ЕС) № 575/2013</w:t>
            </w:r>
          </w:p>
          <w:p w14:paraId="3169F372"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xml:space="preserve">Институцията докладват сбора от всички добавки в съответната хеджираща съвкупност/категория риск. </w:t>
            </w:r>
          </w:p>
          <w:p w14:paraId="48AD1DD4"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Добавката по категория риск, която се използва за определяне на потенциалната бъдеща експозиция на нетираща съвкупност в съответствие с член 278, параграф 1 или член 281, параграф 2, буква е) от Регламент (ЕС) № 575/2013, се изчислява в съответствие с членове 280а—280е от същия регламент. По отношение на опростения СПКРК се прилагат разпоредбите на член 281, параграф 2 от Регламент (ЕС) № 575/2013.</w:t>
            </w:r>
          </w:p>
        </w:tc>
      </w:tr>
      <w:tr w:rsidR="00EF74C7" w:rsidRPr="002E7605" w14:paraId="2456F0C5" w14:textId="77777777" w:rsidTr="00822842">
        <w:trPr>
          <w:trHeight w:val="680"/>
        </w:trPr>
        <w:tc>
          <w:tcPr>
            <w:tcW w:w="9039" w:type="dxa"/>
            <w:gridSpan w:val="2"/>
            <w:tcBorders>
              <w:left w:val="nil"/>
              <w:right w:val="nil"/>
            </w:tcBorders>
          </w:tcPr>
          <w:p w14:paraId="18B64A8E" w14:textId="77777777" w:rsidR="00EF74C7" w:rsidRPr="002E7605" w:rsidDel="00DF07F8" w:rsidRDefault="00EF74C7" w:rsidP="00822842">
            <w:pPr>
              <w:keepNext/>
              <w:spacing w:before="60"/>
              <w:rPr>
                <w:rFonts w:ascii="Times New Roman" w:hAnsi="Times New Roman"/>
                <w:i/>
                <w:szCs w:val="22"/>
                <w:lang w:eastAsia="en-CA"/>
              </w:rPr>
            </w:pPr>
          </w:p>
        </w:tc>
      </w:tr>
      <w:tr w:rsidR="00EF74C7" w:rsidRPr="002E7605"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E7605" w:rsidRDefault="00EF74C7" w:rsidP="00822842">
            <w:pPr>
              <w:pStyle w:val="Applicationdirecte"/>
              <w:spacing w:before="0"/>
              <w:jc w:val="left"/>
              <w:rPr>
                <w:b/>
              </w:rPr>
            </w:pPr>
            <w:r w:rsidRPr="002E7605">
              <w:rPr>
                <w:b/>
              </w:rPr>
              <w:t xml:space="preserve">Редове </w:t>
            </w:r>
          </w:p>
        </w:tc>
      </w:tr>
      <w:tr w:rsidR="00EF74C7" w:rsidRPr="002E7605" w14:paraId="3248D686" w14:textId="77777777" w:rsidTr="00822842">
        <w:trPr>
          <w:trHeight w:val="680"/>
        </w:trPr>
        <w:tc>
          <w:tcPr>
            <w:tcW w:w="1384" w:type="dxa"/>
          </w:tcPr>
          <w:p w14:paraId="402A723E" w14:textId="77777777" w:rsidR="00EF74C7" w:rsidRPr="002E7605" w:rsidRDefault="00EF74C7" w:rsidP="00822842">
            <w:pPr>
              <w:pStyle w:val="Applicationdirecte"/>
              <w:spacing w:before="0" w:after="0"/>
            </w:pPr>
            <w:r w:rsidRPr="002E7605">
              <w:t>0050,0120, 0190, 0230, 0270, 0340</w:t>
            </w:r>
          </w:p>
        </w:tc>
        <w:tc>
          <w:tcPr>
            <w:tcW w:w="7655" w:type="dxa"/>
          </w:tcPr>
          <w:p w14:paraId="376D7ACF"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КАТЕГОРИИ РИСК</w:t>
            </w:r>
          </w:p>
          <w:p w14:paraId="7E0D1935"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Членове 277 и 277а от Регламент (ЕС) № 575/2013</w:t>
            </w:r>
          </w:p>
          <w:p w14:paraId="578D076E"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Сделките се класифицират към съответната рискова категория в съответствие с член 277, параграф 1 — 4 от Регламент (ЕС) № 575/2013.</w:t>
            </w:r>
          </w:p>
          <w:p w14:paraId="5862E67E" w14:textId="77777777" w:rsidR="00EF74C7" w:rsidRPr="002E7605" w:rsidRDefault="00EF74C7" w:rsidP="00822842">
            <w:pPr>
              <w:pStyle w:val="TableMainHeading"/>
              <w:spacing w:before="60"/>
              <w:jc w:val="both"/>
              <w:rPr>
                <w:rFonts w:ascii="Times New Roman" w:hAnsi="Times New Roman"/>
                <w:sz w:val="24"/>
              </w:rPr>
            </w:pPr>
            <w:r w:rsidRPr="002E7605">
              <w:rPr>
                <w:rFonts w:ascii="Times New Roman" w:hAnsi="Times New Roman"/>
                <w:sz w:val="24"/>
              </w:rPr>
              <w:t>Отнасянето към хеджиращи съвкупности според рисковата категория се извършва в съответствие с член 277а от Регламент (ЕС) № 575/2013.</w:t>
            </w:r>
          </w:p>
          <w:p w14:paraId="65316050" w14:textId="77777777" w:rsidR="00EF74C7" w:rsidRPr="002E7605" w:rsidRDefault="00EF74C7" w:rsidP="00822842">
            <w:pPr>
              <w:pStyle w:val="TableMainHeading"/>
              <w:spacing w:before="60"/>
              <w:jc w:val="both"/>
              <w:rPr>
                <w:rFonts w:ascii="Times New Roman" w:hAnsi="Times New Roman"/>
                <w:sz w:val="24"/>
              </w:rPr>
            </w:pPr>
            <w:r w:rsidRPr="002E7605">
              <w:rPr>
                <w:rFonts w:ascii="Times New Roman" w:hAnsi="Times New Roman"/>
                <w:sz w:val="24"/>
              </w:rPr>
              <w:t>По отношение на опростения СПКРК се прилагат разпоредбите на член 281, параграф 2 от Регламент (ЕС) № 575/2013.</w:t>
            </w:r>
          </w:p>
        </w:tc>
      </w:tr>
      <w:tr w:rsidR="00EF74C7" w:rsidRPr="002E7605" w14:paraId="21933761" w14:textId="77777777" w:rsidTr="00822842">
        <w:trPr>
          <w:trHeight w:val="680"/>
        </w:trPr>
        <w:tc>
          <w:tcPr>
            <w:tcW w:w="1384" w:type="dxa"/>
          </w:tcPr>
          <w:p w14:paraId="2F5A9704" w14:textId="77777777" w:rsidR="00EF74C7" w:rsidRPr="002E7605" w:rsidRDefault="00EF74C7" w:rsidP="00822842">
            <w:pPr>
              <w:pStyle w:val="Applicationdirecte"/>
              <w:spacing w:before="0" w:after="0"/>
            </w:pPr>
            <w:r w:rsidRPr="002E7605">
              <w:t>0020-0040</w:t>
            </w:r>
          </w:p>
        </w:tc>
        <w:tc>
          <w:tcPr>
            <w:tcW w:w="7655" w:type="dxa"/>
          </w:tcPr>
          <w:p w14:paraId="4160411B"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в т.ч. отнесени към повече от една рискова категория</w:t>
            </w:r>
          </w:p>
          <w:p w14:paraId="24AE7BAE"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277, точка 3 от Регламент (ЕС) № 575/2013</w:t>
            </w:r>
          </w:p>
          <w:p w14:paraId="54CB9801" w14:textId="77777777" w:rsidR="00EF74C7" w:rsidRPr="002E7605" w:rsidRDefault="00EF74C7" w:rsidP="00822842">
            <w:pPr>
              <w:pStyle w:val="TableMainHeading"/>
              <w:spacing w:before="60"/>
              <w:jc w:val="both"/>
              <w:rPr>
                <w:rFonts w:ascii="Times New Roman" w:hAnsi="Times New Roman"/>
                <w:i/>
                <w:sz w:val="24"/>
                <w:szCs w:val="24"/>
              </w:rPr>
            </w:pPr>
            <w:r w:rsidRPr="002E7605">
              <w:rPr>
                <w:rFonts w:ascii="Times New Roman" w:hAnsi="Times New Roman"/>
                <w:sz w:val="24"/>
              </w:rPr>
              <w:t xml:space="preserve">Сделки с деривати с повече от един съществен рисков фактор, отнесени към две (0020), три (0030) или повече от три (0040) рискови категории въз основа на най-съществените рискови фактори във всяка рискова категория в съответствие с член 277, параграф 3 от Регламент (ЕС) № </w:t>
            </w:r>
            <w:r w:rsidRPr="002E7605">
              <w:rPr>
                <w:rFonts w:ascii="Times New Roman" w:hAnsi="Times New Roman"/>
                <w:sz w:val="24"/>
              </w:rPr>
              <w:lastRenderedPageBreak/>
              <w:t>575/2013 и РТС на ЕБО, посочени в член 277, параграф 5 от същия регламент.</w:t>
            </w:r>
          </w:p>
        </w:tc>
      </w:tr>
      <w:tr w:rsidR="00EF74C7" w:rsidRPr="002E7605" w14:paraId="5AE04D2C" w14:textId="77777777" w:rsidTr="00822842">
        <w:trPr>
          <w:trHeight w:val="680"/>
        </w:trPr>
        <w:tc>
          <w:tcPr>
            <w:tcW w:w="1384" w:type="dxa"/>
          </w:tcPr>
          <w:p w14:paraId="27C055FD" w14:textId="77777777" w:rsidR="00EF74C7" w:rsidRPr="002E7605" w:rsidRDefault="00EF74C7" w:rsidP="00822842">
            <w:pPr>
              <w:pStyle w:val="Applicationdirecte"/>
              <w:spacing w:before="0" w:after="0"/>
              <w:jc w:val="left"/>
            </w:pPr>
            <w:r w:rsidRPr="002E7605">
              <w:lastRenderedPageBreak/>
              <w:t>0070-0110 и 0140-0180</w:t>
            </w:r>
          </w:p>
        </w:tc>
        <w:tc>
          <w:tcPr>
            <w:tcW w:w="7655" w:type="dxa"/>
          </w:tcPr>
          <w:p w14:paraId="18AF84E8" w14:textId="77777777" w:rsidR="00EF74C7" w:rsidRPr="002E7605" w:rsidRDefault="00EF74C7" w:rsidP="00822842">
            <w:pPr>
              <w:pStyle w:val="TableMainHeading"/>
              <w:spacing w:before="60"/>
              <w:jc w:val="both"/>
              <w:rPr>
                <w:rStyle w:val="InstructionsTabelleberschrift"/>
                <w:rFonts w:ascii="Times New Roman" w:eastAsiaTheme="minorEastAsia" w:hAnsi="Times New Roman"/>
                <w:sz w:val="24"/>
                <w:szCs w:val="24"/>
              </w:rPr>
            </w:pPr>
            <w:r w:rsidRPr="002E7605">
              <w:rPr>
                <w:rStyle w:val="InstructionsTabelleberschrift"/>
                <w:rFonts w:ascii="Times New Roman" w:hAnsi="Times New Roman"/>
                <w:sz w:val="24"/>
              </w:rPr>
              <w:t>Най-важна валута и валутна двойка</w:t>
            </w:r>
          </w:p>
          <w:p w14:paraId="208A8263" w14:textId="77777777" w:rsidR="00EF74C7" w:rsidRPr="002E7605" w:rsidRDefault="00EF74C7" w:rsidP="00822842">
            <w:pPr>
              <w:rPr>
                <w:rFonts w:ascii="Times New Roman" w:hAnsi="Times New Roman"/>
                <w:sz w:val="24"/>
              </w:rPr>
            </w:pPr>
            <w:r w:rsidRPr="002E7605">
              <w:rPr>
                <w:rFonts w:ascii="Times New Roman" w:hAnsi="Times New Roman"/>
                <w:sz w:val="24"/>
              </w:rPr>
              <w:t xml:space="preserve">Тази класификация се извършва въз основа на текущата пазарна стойност на портфейла на институцията, попадаща в обхвата на съответно СПКРК или опростения СПКРК, за сделки, отнесени съответно към категорията на лихвения риск и валутния риск. </w:t>
            </w:r>
          </w:p>
          <w:p w14:paraId="7CB8DC17" w14:textId="77777777" w:rsidR="00EF74C7" w:rsidRPr="00FC0C60" w:rsidRDefault="00EF74C7" w:rsidP="00822842">
            <w:pPr>
              <w:rPr>
                <w:rFonts w:ascii="Times New Roman" w:hAnsi="Times New Roman"/>
                <w:i/>
                <w:sz w:val="24"/>
              </w:rPr>
            </w:pPr>
            <w:r w:rsidRPr="00FC0C60">
              <w:rPr>
                <w:rFonts w:ascii="Times New Roman" w:hAnsi="Times New Roman"/>
                <w:sz w:val="24"/>
              </w:rPr>
              <w:t>За целите на класификацията се сумира абсолютната стойност на текущата пазарна стойност на позициите.</w:t>
            </w:r>
          </w:p>
        </w:tc>
      </w:tr>
      <w:tr w:rsidR="00EF74C7" w:rsidRPr="002E7605" w14:paraId="2A739349" w14:textId="77777777" w:rsidTr="00822842">
        <w:trPr>
          <w:trHeight w:val="2279"/>
        </w:trPr>
        <w:tc>
          <w:tcPr>
            <w:tcW w:w="1384" w:type="dxa"/>
          </w:tcPr>
          <w:p w14:paraId="69FD83B3" w14:textId="77777777" w:rsidR="00EF74C7" w:rsidRPr="002E7605" w:rsidRDefault="00EF74C7" w:rsidP="00822842">
            <w:pPr>
              <w:pStyle w:val="Applicationdirecte"/>
              <w:spacing w:before="0" w:after="0"/>
            </w:pPr>
            <w:r w:rsidRPr="002E7605">
              <w:t>0060,0130, 0200,0240, 0280</w:t>
            </w:r>
          </w:p>
        </w:tc>
        <w:tc>
          <w:tcPr>
            <w:tcW w:w="7655" w:type="dxa"/>
          </w:tcPr>
          <w:p w14:paraId="3DB24763"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Отнесени единствено към една категория</w:t>
            </w:r>
          </w:p>
          <w:p w14:paraId="7B69873D"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277, параграфи 1 и 2 от Регламент (ЕС) № 575/2013</w:t>
            </w:r>
          </w:p>
          <w:p w14:paraId="1A762D0B"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 xml:space="preserve">Сделки с деривати, отнесени единствено към една рискова категория в съответствие с член 277, параграф 1 и 2 от Регламент (ЕС) № 575/2013. </w:t>
            </w:r>
          </w:p>
          <w:p w14:paraId="42AAB877" w14:textId="77777777" w:rsidR="00EF74C7" w:rsidRPr="002E7605" w:rsidRDefault="00EF74C7" w:rsidP="00822842">
            <w:pPr>
              <w:pStyle w:val="TableMainHeading"/>
              <w:spacing w:before="60"/>
              <w:jc w:val="both"/>
              <w:rPr>
                <w:rFonts w:ascii="Times New Roman" w:hAnsi="Times New Roman"/>
                <w:sz w:val="24"/>
                <w:szCs w:val="24"/>
              </w:rPr>
            </w:pPr>
            <w:r w:rsidRPr="002E7605">
              <w:rPr>
                <w:rFonts w:ascii="Times New Roman" w:hAnsi="Times New Roman"/>
                <w:sz w:val="24"/>
              </w:rPr>
              <w:t>Не се включват сделките, отнесени към различни рискови категории в съответствие с член 277, параграф 3 от Регламент (ЕС) № 575/2013.</w:t>
            </w:r>
          </w:p>
        </w:tc>
      </w:tr>
      <w:tr w:rsidR="00EF74C7" w:rsidRPr="002E7605" w14:paraId="17A6F38B" w14:textId="77777777" w:rsidTr="00822842">
        <w:trPr>
          <w:trHeight w:val="680"/>
        </w:trPr>
        <w:tc>
          <w:tcPr>
            <w:tcW w:w="1384" w:type="dxa"/>
          </w:tcPr>
          <w:p w14:paraId="2EE61A22" w14:textId="77777777" w:rsidR="00EF74C7" w:rsidRPr="002E7605" w:rsidRDefault="00EF74C7" w:rsidP="00822842">
            <w:pPr>
              <w:pStyle w:val="Applicationdirecte"/>
              <w:spacing w:before="0" w:after="0"/>
            </w:pPr>
            <w:r w:rsidRPr="002E7605">
              <w:t xml:space="preserve">0210, 0250 </w:t>
            </w:r>
          </w:p>
        </w:tc>
        <w:tc>
          <w:tcPr>
            <w:tcW w:w="7655" w:type="dxa"/>
          </w:tcPr>
          <w:p w14:paraId="4C85502F" w14:textId="77777777" w:rsidR="00EF74C7" w:rsidRPr="002E7605" w:rsidRDefault="00EF74C7" w:rsidP="00822842">
            <w:pPr>
              <w:pStyle w:val="TableMainHeading"/>
              <w:spacing w:before="60"/>
              <w:jc w:val="both"/>
              <w:rPr>
                <w:rStyle w:val="InstructionsTabelleberschrift"/>
                <w:rFonts w:ascii="Times New Roman" w:hAnsi="Times New Roman"/>
                <w:sz w:val="24"/>
              </w:rPr>
            </w:pPr>
            <w:r w:rsidRPr="002E7605">
              <w:rPr>
                <w:rStyle w:val="InstructionsTabelleberschrift"/>
                <w:rFonts w:ascii="Times New Roman" w:hAnsi="Times New Roman"/>
                <w:sz w:val="24"/>
              </w:rPr>
              <w:t xml:space="preserve">Сделки с един контрагент </w:t>
            </w:r>
          </w:p>
          <w:p w14:paraId="31620001" w14:textId="77777777" w:rsidR="00EF74C7" w:rsidRPr="002E7605" w:rsidRDefault="00EF74C7" w:rsidP="00822842">
            <w:pPr>
              <w:pStyle w:val="TableMainHeading"/>
              <w:spacing w:before="60"/>
              <w:jc w:val="both"/>
              <w:rPr>
                <w:rStyle w:val="InstructionsTabelleberschrift"/>
                <w:rFonts w:ascii="Times New Roman" w:hAnsi="Times New Roman"/>
                <w:sz w:val="24"/>
              </w:rPr>
            </w:pPr>
            <w:r w:rsidRPr="002E7605">
              <w:rPr>
                <w:rFonts w:ascii="Times New Roman" w:hAnsi="Times New Roman"/>
                <w:sz w:val="24"/>
              </w:rPr>
              <w:t>Сделки с един контрагент, отнесени съответно към категорията на кредитния риск и категорията на капиталовия риск.</w:t>
            </w:r>
            <w:r w:rsidRPr="002E7605">
              <w:rPr>
                <w:rStyle w:val="InstructionsTabelleberschrift"/>
                <w:rFonts w:ascii="Times New Roman" w:hAnsi="Times New Roman"/>
                <w:sz w:val="24"/>
              </w:rPr>
              <w:t xml:space="preserve"> </w:t>
            </w:r>
          </w:p>
        </w:tc>
      </w:tr>
      <w:tr w:rsidR="00EF74C7" w:rsidRPr="002E7605" w14:paraId="411237CA" w14:textId="77777777" w:rsidTr="00822842">
        <w:trPr>
          <w:trHeight w:val="680"/>
        </w:trPr>
        <w:tc>
          <w:tcPr>
            <w:tcW w:w="1384" w:type="dxa"/>
          </w:tcPr>
          <w:p w14:paraId="7AD9D26A" w14:textId="77777777" w:rsidR="00EF74C7" w:rsidRPr="002E7605" w:rsidRDefault="00EF74C7" w:rsidP="00822842">
            <w:pPr>
              <w:pStyle w:val="Applicationdirecte"/>
              <w:spacing w:before="0" w:after="0"/>
            </w:pPr>
            <w:r w:rsidRPr="002E7605">
              <w:t>0220, 0260</w:t>
            </w:r>
          </w:p>
        </w:tc>
        <w:tc>
          <w:tcPr>
            <w:tcW w:w="7655" w:type="dxa"/>
          </w:tcPr>
          <w:p w14:paraId="116A322F"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Сделки с няколко контрагента</w:t>
            </w:r>
          </w:p>
          <w:p w14:paraId="3213EA59" w14:textId="77777777" w:rsidR="00EF74C7" w:rsidRPr="002E7605" w:rsidRDefault="00EF74C7" w:rsidP="00822842">
            <w:pPr>
              <w:keepNext/>
              <w:spacing w:before="60"/>
              <w:rPr>
                <w:rStyle w:val="InstructionsTabelleberschrift"/>
                <w:rFonts w:ascii="Times New Roman" w:hAnsi="Times New Roman"/>
                <w:sz w:val="24"/>
              </w:rPr>
            </w:pPr>
            <w:r w:rsidRPr="002E7605">
              <w:rPr>
                <w:rFonts w:ascii="Times New Roman" w:hAnsi="Times New Roman"/>
                <w:sz w:val="24"/>
              </w:rPr>
              <w:t xml:space="preserve">Сделки с няколко контрагента, отнесени съответно към категорията на кредитния риск и категорията на капиталовия риск. </w:t>
            </w:r>
          </w:p>
        </w:tc>
      </w:tr>
      <w:tr w:rsidR="00EF74C7" w:rsidRPr="002E7605" w14:paraId="7EFE115E" w14:textId="77777777" w:rsidTr="00822842">
        <w:trPr>
          <w:trHeight w:val="680"/>
        </w:trPr>
        <w:tc>
          <w:tcPr>
            <w:tcW w:w="1384" w:type="dxa"/>
          </w:tcPr>
          <w:p w14:paraId="72F329F4" w14:textId="77777777" w:rsidR="00EF74C7" w:rsidRPr="002E7605" w:rsidRDefault="00EF74C7" w:rsidP="00822842">
            <w:pPr>
              <w:pStyle w:val="Applicationdirecte"/>
              <w:spacing w:before="0" w:after="0"/>
            </w:pPr>
            <w:r w:rsidRPr="002E7605">
              <w:t>0290-0330</w:t>
            </w:r>
          </w:p>
        </w:tc>
        <w:tc>
          <w:tcPr>
            <w:tcW w:w="7655" w:type="dxa"/>
          </w:tcPr>
          <w:p w14:paraId="759D7338"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Хеджиращи съвкупности за категорията на стоковия риск</w:t>
            </w:r>
          </w:p>
          <w:p w14:paraId="345A15AB"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Сделки с деривати, отнесени към хеджиращите съвкупности за категорията на стоковия риск, изброени в член 277а, параграф 1, буква д) от Регламент (ЕС) № 575/2013.</w:t>
            </w:r>
          </w:p>
        </w:tc>
      </w:tr>
    </w:tbl>
    <w:p w14:paraId="73ED3197" w14:textId="77777777" w:rsidR="00EF74C7" w:rsidRPr="002E7605" w:rsidRDefault="00EF74C7" w:rsidP="00EF74C7">
      <w:pPr>
        <w:tabs>
          <w:tab w:val="left" w:pos="1430"/>
        </w:tabs>
        <w:rPr>
          <w:rFonts w:ascii="Times New Roman" w:hAnsi="Times New Roman"/>
        </w:rPr>
      </w:pPr>
    </w:p>
    <w:p w14:paraId="6D94642A"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sidRPr="002E7605">
        <w:rPr>
          <w:rFonts w:ascii="Times New Roman" w:hAnsi="Times New Roman"/>
          <w:sz w:val="24"/>
        </w:rPr>
        <w:t>C 34.04 — Експозиции към кредитен риск от контрагента, третирани по метода на първоначалната експозиция (МПЕ)</w:t>
      </w:r>
      <w:bookmarkEnd w:id="34"/>
      <w:bookmarkEnd w:id="35"/>
    </w:p>
    <w:p w14:paraId="70D39844"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sidRPr="002E7605">
        <w:rPr>
          <w:rFonts w:ascii="Times New Roman" w:hAnsi="Times New Roman"/>
          <w:sz w:val="24"/>
        </w:rPr>
        <w:t>Указания относно конкретни позиции</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155C08F8" w14:textId="77777777" w:rsidTr="00822842">
        <w:trPr>
          <w:trHeight w:val="238"/>
        </w:trPr>
        <w:tc>
          <w:tcPr>
            <w:tcW w:w="9039" w:type="dxa"/>
            <w:gridSpan w:val="2"/>
            <w:shd w:val="clear" w:color="auto" w:fill="D9D9D9" w:themeFill="background1" w:themeFillShade="D9"/>
          </w:tcPr>
          <w:p w14:paraId="00855009"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Колони</w:t>
            </w:r>
          </w:p>
        </w:tc>
      </w:tr>
      <w:tr w:rsidR="00EF74C7" w:rsidRPr="002E7605" w14:paraId="77E289F2" w14:textId="77777777" w:rsidTr="00822842">
        <w:trPr>
          <w:trHeight w:val="680"/>
        </w:trPr>
        <w:tc>
          <w:tcPr>
            <w:tcW w:w="1384" w:type="dxa"/>
          </w:tcPr>
          <w:p w14:paraId="06D0BF35" w14:textId="77777777" w:rsidR="00EF74C7" w:rsidRPr="002E7605" w:rsidRDefault="00EF74C7" w:rsidP="00822842">
            <w:pPr>
              <w:pStyle w:val="Applicationdirecte"/>
              <w:spacing w:before="0" w:after="0"/>
            </w:pPr>
            <w:r w:rsidRPr="002E7605">
              <w:t>0010—0020</w:t>
            </w:r>
          </w:p>
        </w:tc>
        <w:tc>
          <w:tcPr>
            <w:tcW w:w="7655" w:type="dxa"/>
            <w:vAlign w:val="center"/>
          </w:tcPr>
          <w:p w14:paraId="1143FA35"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Указанията за колони 0010 и 0020 са тези, предвидени за образец C 34.02.</w:t>
            </w:r>
          </w:p>
        </w:tc>
      </w:tr>
      <w:tr w:rsidR="00EF74C7" w:rsidRPr="002E7605" w14:paraId="246DE35A" w14:textId="77777777" w:rsidTr="00822842">
        <w:trPr>
          <w:trHeight w:val="680"/>
        </w:trPr>
        <w:tc>
          <w:tcPr>
            <w:tcW w:w="1384" w:type="dxa"/>
          </w:tcPr>
          <w:p w14:paraId="48D3046F" w14:textId="77777777" w:rsidR="00EF74C7" w:rsidRPr="002E7605" w:rsidRDefault="00EF74C7" w:rsidP="00822842">
            <w:pPr>
              <w:pStyle w:val="Applicationdirecte"/>
              <w:spacing w:before="0" w:after="0"/>
              <w:jc w:val="left"/>
            </w:pPr>
            <w:r w:rsidRPr="002E7605">
              <w:t>0030</w:t>
            </w:r>
          </w:p>
        </w:tc>
        <w:tc>
          <w:tcPr>
            <w:tcW w:w="7655" w:type="dxa"/>
            <w:vAlign w:val="center"/>
          </w:tcPr>
          <w:p w14:paraId="625DEDC4"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ПОЛОЖИТЕЛНА</w:t>
            </w:r>
          </w:p>
          <w:p w14:paraId="48775111"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Сборът от текущите пазарни стойности (CMV) на всички сделки с положителна текуща пазарна стойност в съответната рискова категория.</w:t>
            </w:r>
          </w:p>
        </w:tc>
      </w:tr>
      <w:tr w:rsidR="00EF74C7" w:rsidRPr="002E7605" w14:paraId="755B978D" w14:textId="77777777" w:rsidTr="00822842">
        <w:trPr>
          <w:trHeight w:val="680"/>
        </w:trPr>
        <w:tc>
          <w:tcPr>
            <w:tcW w:w="1384" w:type="dxa"/>
          </w:tcPr>
          <w:p w14:paraId="26B7B5EF" w14:textId="77777777" w:rsidR="00EF74C7" w:rsidRPr="002E7605" w:rsidRDefault="00EF74C7" w:rsidP="00822842">
            <w:pPr>
              <w:pStyle w:val="Applicationdirecte"/>
              <w:spacing w:before="0" w:after="0"/>
              <w:jc w:val="left"/>
            </w:pPr>
            <w:r w:rsidRPr="002E7605">
              <w:lastRenderedPageBreak/>
              <w:t>0040</w:t>
            </w:r>
          </w:p>
        </w:tc>
        <w:tc>
          <w:tcPr>
            <w:tcW w:w="7655" w:type="dxa"/>
            <w:vAlign w:val="center"/>
          </w:tcPr>
          <w:p w14:paraId="70CB5B2D"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ОТРИЦАТЕЛНА</w:t>
            </w:r>
          </w:p>
          <w:p w14:paraId="4475C6E2" w14:textId="77777777" w:rsidR="00EF74C7" w:rsidRPr="002E7605" w:rsidRDefault="00EF74C7" w:rsidP="00822842">
            <w:pPr>
              <w:keepNext/>
              <w:spacing w:before="60"/>
              <w:rPr>
                <w:rStyle w:val="InstructionsTabelleberschrift"/>
                <w:rFonts w:ascii="Times New Roman" w:hAnsi="Times New Roman"/>
                <w:b w:val="0"/>
                <w:bCs w:val="0"/>
                <w:sz w:val="24"/>
                <w:u w:val="none"/>
              </w:rPr>
            </w:pPr>
            <w:r w:rsidRPr="002E7605">
              <w:rPr>
                <w:rFonts w:ascii="Times New Roman" w:hAnsi="Times New Roman"/>
                <w:sz w:val="24"/>
              </w:rPr>
              <w:t>Сборът от абсолютните текущи пазарни стойности (CMV) на всички сделки с отрицателна текуща пазарна стойност в съответната рискова категория.</w:t>
            </w:r>
          </w:p>
        </w:tc>
      </w:tr>
      <w:tr w:rsidR="00EF74C7" w:rsidRPr="002E7605" w14:paraId="02760C8A" w14:textId="77777777" w:rsidTr="00822842">
        <w:trPr>
          <w:trHeight w:val="680"/>
        </w:trPr>
        <w:tc>
          <w:tcPr>
            <w:tcW w:w="1384" w:type="dxa"/>
          </w:tcPr>
          <w:p w14:paraId="55D1F90D" w14:textId="77777777" w:rsidR="00EF74C7" w:rsidRPr="002E7605" w:rsidRDefault="00EF74C7" w:rsidP="00822842">
            <w:pPr>
              <w:pStyle w:val="Applicationdirecte"/>
              <w:spacing w:before="0" w:after="0"/>
              <w:jc w:val="left"/>
            </w:pPr>
            <w:r w:rsidRPr="002E7605">
              <w:t>0050</w:t>
            </w:r>
          </w:p>
        </w:tc>
        <w:tc>
          <w:tcPr>
            <w:tcW w:w="7655" w:type="dxa"/>
            <w:vAlign w:val="center"/>
          </w:tcPr>
          <w:p w14:paraId="734C593C"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ПОТЕНЦИАЛНА БЪДЕЩА ЕКСПОЗИЦИЯ (ПБЕ)</w:t>
            </w:r>
          </w:p>
          <w:p w14:paraId="53085A1E" w14:textId="77777777" w:rsidR="00EF74C7" w:rsidRPr="002E7605" w:rsidRDefault="00EF74C7" w:rsidP="00822842">
            <w:pPr>
              <w:keepNext/>
              <w:spacing w:before="60"/>
              <w:rPr>
                <w:rStyle w:val="InstructionsTabelleberschrift"/>
                <w:rFonts w:ascii="Times New Roman" w:hAnsi="Times New Roman"/>
                <w:sz w:val="24"/>
              </w:rPr>
            </w:pPr>
            <w:r w:rsidRPr="002E7605">
              <w:rPr>
                <w:rFonts w:ascii="Times New Roman" w:hAnsi="Times New Roman"/>
                <w:sz w:val="24"/>
              </w:rPr>
              <w:t>Институцията докладва спора на ПБЕ за всички сделки, принадлежащи към една и съща рискова категория.</w:t>
            </w:r>
          </w:p>
        </w:tc>
      </w:tr>
      <w:tr w:rsidR="00EF74C7" w:rsidRPr="002E7605"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Редове</w:t>
            </w:r>
          </w:p>
        </w:tc>
      </w:tr>
      <w:tr w:rsidR="00EF74C7" w:rsidRPr="002E7605" w14:paraId="753D4ED0" w14:textId="77777777" w:rsidTr="00822842">
        <w:trPr>
          <w:trHeight w:val="680"/>
        </w:trPr>
        <w:tc>
          <w:tcPr>
            <w:tcW w:w="1384" w:type="dxa"/>
          </w:tcPr>
          <w:p w14:paraId="1FCDB527" w14:textId="77777777" w:rsidR="00EF74C7" w:rsidRPr="002E7605" w:rsidRDefault="00EF74C7" w:rsidP="00822842">
            <w:pPr>
              <w:pStyle w:val="Applicationdirecte"/>
              <w:spacing w:before="0" w:after="0"/>
            </w:pPr>
            <w:r w:rsidRPr="002E7605">
              <w:t>0020—0070</w:t>
            </w:r>
          </w:p>
        </w:tc>
        <w:tc>
          <w:tcPr>
            <w:tcW w:w="7655" w:type="dxa"/>
            <w:vAlign w:val="center"/>
          </w:tcPr>
          <w:p w14:paraId="31AB6B37"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КАТЕГОРИИ РИСК</w:t>
            </w:r>
          </w:p>
          <w:p w14:paraId="183CF2DA"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Сделки с деривати, отнесени към рисковите категории, изброени в член 282, параграф 4, буква б) от Регламент (ЕС) № 575/2013.</w:t>
            </w:r>
          </w:p>
        </w:tc>
      </w:tr>
    </w:tbl>
    <w:p w14:paraId="4C05758D" w14:textId="77777777" w:rsidR="00EF74C7" w:rsidRPr="002E7605" w:rsidRDefault="00EF74C7" w:rsidP="00EF74C7">
      <w:pPr>
        <w:tabs>
          <w:tab w:val="left" w:pos="1430"/>
        </w:tabs>
        <w:rPr>
          <w:rFonts w:ascii="Times New Roman" w:hAnsi="Times New Roman"/>
        </w:rPr>
      </w:pPr>
    </w:p>
    <w:p w14:paraId="087B82F5"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sidRPr="002E7605">
        <w:rPr>
          <w:rFonts w:ascii="Times New Roman" w:hAnsi="Times New Roman"/>
          <w:sz w:val="24"/>
        </w:rPr>
        <w:t>C 34.05 — Експозиции към кредитен риск от контрагента, третирани по метода на вътрешните модели (МВМ)</w:t>
      </w:r>
      <w:bookmarkEnd w:id="38"/>
      <w:bookmarkEnd w:id="39"/>
    </w:p>
    <w:p w14:paraId="055BB797"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sidRPr="002E7605">
        <w:rPr>
          <w:rFonts w:ascii="Times New Roman" w:hAnsi="Times New Roman"/>
          <w:sz w:val="24"/>
        </w:rPr>
        <w:t>Указания относно конкретни позиции</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2A1FFA92" w14:textId="77777777" w:rsidTr="00822842">
        <w:trPr>
          <w:trHeight w:val="238"/>
        </w:trPr>
        <w:tc>
          <w:tcPr>
            <w:tcW w:w="9039" w:type="dxa"/>
            <w:gridSpan w:val="2"/>
            <w:shd w:val="clear" w:color="auto" w:fill="D9D9D9" w:themeFill="background1" w:themeFillShade="D9"/>
          </w:tcPr>
          <w:p w14:paraId="2A9ED361"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Колони</w:t>
            </w:r>
          </w:p>
        </w:tc>
      </w:tr>
      <w:tr w:rsidR="00EF74C7" w:rsidRPr="002E7605" w14:paraId="38FC6FA5" w14:textId="77777777" w:rsidTr="00822842">
        <w:trPr>
          <w:trHeight w:val="680"/>
        </w:trPr>
        <w:tc>
          <w:tcPr>
            <w:tcW w:w="1384" w:type="dxa"/>
          </w:tcPr>
          <w:p w14:paraId="27DC6DB6" w14:textId="77777777" w:rsidR="00EF74C7" w:rsidRPr="002E7605" w:rsidRDefault="00EF74C7" w:rsidP="00822842">
            <w:pPr>
              <w:pStyle w:val="Applicationdirecte"/>
              <w:spacing w:before="0" w:after="0"/>
            </w:pPr>
            <w:r w:rsidRPr="002E7605">
              <w:t>00010—0080</w:t>
            </w:r>
          </w:p>
        </w:tc>
        <w:tc>
          <w:tcPr>
            <w:tcW w:w="7655" w:type="dxa"/>
            <w:vAlign w:val="center"/>
          </w:tcPr>
          <w:p w14:paraId="4E699B36" w14:textId="77777777" w:rsidR="00EF74C7" w:rsidRPr="002E7605" w:rsidRDefault="00EF74C7" w:rsidP="00822842">
            <w:pPr>
              <w:keepNext/>
              <w:spacing w:before="60"/>
              <w:rPr>
                <w:rFonts w:ascii="Times New Roman" w:hAnsi="Times New Roman"/>
                <w:strike/>
                <w:sz w:val="24"/>
              </w:rPr>
            </w:pPr>
            <w:r w:rsidRPr="002E7605">
              <w:rPr>
                <w:rStyle w:val="InstructionsTabelleberschrift"/>
                <w:rFonts w:ascii="Times New Roman" w:hAnsi="Times New Roman"/>
                <w:sz w:val="24"/>
              </w:rPr>
              <w:t xml:space="preserve">С ДОПЪЛНИТЕЛНО ОБЕЗПЕЧЕНИЕ </w:t>
            </w:r>
          </w:p>
          <w:p w14:paraId="44743405" w14:textId="77777777" w:rsidR="00EF74C7" w:rsidRPr="002E7605" w:rsidRDefault="00EF74C7" w:rsidP="00822842">
            <w:pPr>
              <w:keepNext/>
              <w:spacing w:before="60"/>
              <w:rPr>
                <w:rFonts w:ascii="Times New Roman" w:hAnsi="Times New Roman"/>
                <w:strike/>
                <w:sz w:val="24"/>
              </w:rPr>
            </w:pPr>
            <w:r w:rsidRPr="002E7605">
              <w:rPr>
                <w:rFonts w:ascii="Times New Roman" w:hAnsi="Times New Roman"/>
                <w:sz w:val="24"/>
              </w:rPr>
              <w:t>Вж. указанията към ред 0130 в образец C 34.02.</w:t>
            </w:r>
          </w:p>
        </w:tc>
      </w:tr>
      <w:tr w:rsidR="00EF74C7" w:rsidRPr="002E7605" w14:paraId="2E882AEE" w14:textId="77777777" w:rsidTr="00822842">
        <w:trPr>
          <w:trHeight w:val="680"/>
        </w:trPr>
        <w:tc>
          <w:tcPr>
            <w:tcW w:w="1384" w:type="dxa"/>
          </w:tcPr>
          <w:p w14:paraId="4753DFE3" w14:textId="77777777" w:rsidR="00EF74C7" w:rsidRPr="002E7605" w:rsidRDefault="00EF74C7" w:rsidP="00822842">
            <w:pPr>
              <w:pStyle w:val="Applicationdirecte"/>
              <w:spacing w:before="0" w:after="0"/>
            </w:pPr>
            <w:r w:rsidRPr="002E7605">
              <w:t>0090—0160</w:t>
            </w:r>
          </w:p>
        </w:tc>
        <w:tc>
          <w:tcPr>
            <w:tcW w:w="7655" w:type="dxa"/>
            <w:vAlign w:val="center"/>
          </w:tcPr>
          <w:p w14:paraId="77C0E439" w14:textId="77777777" w:rsidR="00EF74C7" w:rsidRPr="002E7605" w:rsidRDefault="00EF74C7" w:rsidP="00822842">
            <w:pPr>
              <w:keepNext/>
              <w:spacing w:before="60"/>
              <w:rPr>
                <w:rStyle w:val="InstructionsTabelleberschrift"/>
                <w:rFonts w:ascii="Times New Roman" w:hAnsi="Times New Roman"/>
                <w:b w:val="0"/>
                <w:bCs w:val="0"/>
                <w:sz w:val="24"/>
              </w:rPr>
            </w:pPr>
            <w:r w:rsidRPr="002E7605">
              <w:rPr>
                <w:rStyle w:val="InstructionsTabelleberschrift"/>
                <w:rFonts w:ascii="Times New Roman" w:hAnsi="Times New Roman"/>
                <w:sz w:val="24"/>
              </w:rPr>
              <w:t xml:space="preserve">БЕЗ ДОПЪЛНИТЕЛНО ОБЕЗПЕЧЕНИЕ </w:t>
            </w:r>
          </w:p>
          <w:p w14:paraId="3E0059F7" w14:textId="77777777" w:rsidR="00EF74C7" w:rsidRPr="002E7605" w:rsidRDefault="00EF74C7" w:rsidP="00822842">
            <w:pPr>
              <w:keepNext/>
              <w:spacing w:before="60"/>
              <w:rPr>
                <w:rFonts w:ascii="Times New Roman" w:hAnsi="Times New Roman"/>
                <w:strike/>
                <w:sz w:val="24"/>
              </w:rPr>
            </w:pPr>
            <w:r w:rsidRPr="002E7605">
              <w:rPr>
                <w:rFonts w:ascii="Times New Roman" w:hAnsi="Times New Roman"/>
                <w:sz w:val="24"/>
              </w:rPr>
              <w:t>Вж. указанията към ред 0140 в образец C 34.02.</w:t>
            </w:r>
          </w:p>
        </w:tc>
      </w:tr>
      <w:tr w:rsidR="00EF74C7" w:rsidRPr="002E7605" w14:paraId="11088642" w14:textId="77777777" w:rsidTr="00822842">
        <w:trPr>
          <w:trHeight w:val="680"/>
        </w:trPr>
        <w:tc>
          <w:tcPr>
            <w:tcW w:w="1384" w:type="dxa"/>
          </w:tcPr>
          <w:p w14:paraId="38E3A9E7" w14:textId="77777777" w:rsidR="00EF74C7" w:rsidRPr="002E7605" w:rsidRDefault="00EF74C7" w:rsidP="00822842">
            <w:pPr>
              <w:pStyle w:val="Applicationdirecte"/>
              <w:spacing w:before="0" w:after="0"/>
              <w:jc w:val="left"/>
            </w:pPr>
            <w:r w:rsidRPr="002E7605">
              <w:t>0010,0090</w:t>
            </w:r>
          </w:p>
        </w:tc>
        <w:tc>
          <w:tcPr>
            <w:tcW w:w="7655" w:type="dxa"/>
            <w:vAlign w:val="center"/>
          </w:tcPr>
          <w:p w14:paraId="10F9DAAA"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БРОЙ СДЕЛКИ </w:t>
            </w:r>
          </w:p>
          <w:p w14:paraId="5C4653C5" w14:textId="77777777" w:rsidR="00EF74C7" w:rsidRPr="002E7605" w:rsidRDefault="00EF74C7" w:rsidP="00822842">
            <w:pPr>
              <w:keepNext/>
              <w:spacing w:before="60"/>
              <w:rPr>
                <w:rFonts w:ascii="Times New Roman" w:hAnsi="Times New Roman"/>
                <w:strike/>
                <w:sz w:val="24"/>
              </w:rPr>
            </w:pPr>
            <w:r w:rsidRPr="002E7605">
              <w:rPr>
                <w:rFonts w:ascii="Times New Roman" w:hAnsi="Times New Roman"/>
                <w:sz w:val="24"/>
              </w:rPr>
              <w:t>Вж. указанията към колона 0020 в образец C 34.02.</w:t>
            </w:r>
          </w:p>
        </w:tc>
      </w:tr>
      <w:tr w:rsidR="00EF74C7" w:rsidRPr="002E7605" w14:paraId="2A1C3305" w14:textId="77777777" w:rsidTr="00822842">
        <w:trPr>
          <w:trHeight w:val="680"/>
        </w:trPr>
        <w:tc>
          <w:tcPr>
            <w:tcW w:w="1384" w:type="dxa"/>
          </w:tcPr>
          <w:p w14:paraId="0F1355B7" w14:textId="77777777" w:rsidR="00EF74C7" w:rsidRPr="002E7605" w:rsidRDefault="00EF74C7" w:rsidP="00822842">
            <w:pPr>
              <w:pStyle w:val="Applicationdirecte"/>
              <w:spacing w:before="0" w:after="0"/>
              <w:jc w:val="left"/>
            </w:pPr>
            <w:r w:rsidRPr="002E7605">
              <w:t>0020,0100</w:t>
            </w:r>
          </w:p>
        </w:tc>
        <w:tc>
          <w:tcPr>
            <w:tcW w:w="7655" w:type="dxa"/>
            <w:vAlign w:val="center"/>
          </w:tcPr>
          <w:p w14:paraId="73CC08BF" w14:textId="77777777" w:rsidR="00EF74C7" w:rsidRPr="002E7605" w:rsidRDefault="00EF74C7" w:rsidP="00822842">
            <w:pPr>
              <w:keepNext/>
              <w:spacing w:before="60"/>
              <w:rPr>
                <w:rStyle w:val="InstructionsTabelleberschrift"/>
                <w:rFonts w:ascii="Times New Roman" w:hAnsi="Times New Roman"/>
                <w:b w:val="0"/>
                <w:bCs w:val="0"/>
                <w:sz w:val="24"/>
              </w:rPr>
            </w:pPr>
            <w:r w:rsidRPr="002E7605">
              <w:rPr>
                <w:rStyle w:val="InstructionsTabelleberschrift"/>
                <w:rFonts w:ascii="Times New Roman" w:hAnsi="Times New Roman"/>
                <w:sz w:val="24"/>
              </w:rPr>
              <w:t xml:space="preserve">УСЛОВНИ СТОЙНОСТИ </w:t>
            </w:r>
          </w:p>
          <w:p w14:paraId="75787B39" w14:textId="77777777" w:rsidR="00EF74C7" w:rsidRPr="002E7605" w:rsidRDefault="00EF74C7" w:rsidP="00822842">
            <w:pPr>
              <w:keepNext/>
              <w:spacing w:before="60"/>
              <w:rPr>
                <w:rFonts w:ascii="Times New Roman" w:hAnsi="Times New Roman"/>
                <w:i/>
                <w:strike/>
                <w:sz w:val="24"/>
              </w:rPr>
            </w:pPr>
            <w:r w:rsidRPr="002E7605">
              <w:rPr>
                <w:rFonts w:ascii="Times New Roman" w:hAnsi="Times New Roman"/>
                <w:sz w:val="24"/>
              </w:rPr>
              <w:t>Вж. указанията към колона 0030 в образец C 34.02.</w:t>
            </w:r>
          </w:p>
        </w:tc>
      </w:tr>
      <w:tr w:rsidR="00EF74C7" w:rsidRPr="002E7605" w14:paraId="07CB3F2E" w14:textId="77777777" w:rsidTr="00822842">
        <w:trPr>
          <w:trHeight w:val="680"/>
        </w:trPr>
        <w:tc>
          <w:tcPr>
            <w:tcW w:w="1384" w:type="dxa"/>
          </w:tcPr>
          <w:p w14:paraId="16DDFD4B" w14:textId="77777777" w:rsidR="00EF74C7" w:rsidRPr="002E7605" w:rsidRDefault="00EF74C7" w:rsidP="00822842">
            <w:pPr>
              <w:pStyle w:val="Applicationdirecte"/>
              <w:spacing w:before="0" w:after="0"/>
              <w:jc w:val="left"/>
            </w:pPr>
            <w:r w:rsidRPr="002E7605">
              <w:t>0030,0110</w:t>
            </w:r>
          </w:p>
        </w:tc>
        <w:tc>
          <w:tcPr>
            <w:tcW w:w="7655" w:type="dxa"/>
            <w:vAlign w:val="center"/>
          </w:tcPr>
          <w:p w14:paraId="5D4ADBBE"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ПОЛОЖИТЕЛНА</w:t>
            </w:r>
          </w:p>
          <w:p w14:paraId="1BDCFC64"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Сборът от текущите пазарни стойности (CMV) на всички сделки с положителна текуща пазарна стойност, принадлежащи към един и същ клас активи.</w:t>
            </w:r>
          </w:p>
        </w:tc>
      </w:tr>
      <w:tr w:rsidR="00EF74C7" w:rsidRPr="002E7605" w14:paraId="1D55DF7C" w14:textId="77777777" w:rsidTr="00822842">
        <w:trPr>
          <w:trHeight w:val="680"/>
        </w:trPr>
        <w:tc>
          <w:tcPr>
            <w:tcW w:w="1384" w:type="dxa"/>
          </w:tcPr>
          <w:p w14:paraId="1B4379B1" w14:textId="77777777" w:rsidR="00EF74C7" w:rsidRPr="002E7605" w:rsidRDefault="00EF74C7" w:rsidP="00822842">
            <w:pPr>
              <w:pStyle w:val="Applicationdirecte"/>
              <w:spacing w:before="0" w:after="0"/>
              <w:jc w:val="left"/>
            </w:pPr>
            <w:r w:rsidRPr="002E7605">
              <w:t>0040,0120</w:t>
            </w:r>
          </w:p>
        </w:tc>
        <w:tc>
          <w:tcPr>
            <w:tcW w:w="7655" w:type="dxa"/>
            <w:vAlign w:val="center"/>
          </w:tcPr>
          <w:p w14:paraId="06A034B3"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ПАЗАРНА СТОЙНОСТ, ОТРИЦАТЕЛНА</w:t>
            </w:r>
          </w:p>
          <w:p w14:paraId="4B126FBF" w14:textId="77777777" w:rsidR="00EF74C7" w:rsidRPr="002E7605" w:rsidRDefault="00EF74C7" w:rsidP="00822842">
            <w:pPr>
              <w:keepNext/>
              <w:spacing w:before="60"/>
              <w:rPr>
                <w:rStyle w:val="InstructionsTabelleberschrift"/>
                <w:rFonts w:ascii="Times New Roman" w:hAnsi="Times New Roman"/>
                <w:sz w:val="24"/>
              </w:rPr>
            </w:pPr>
            <w:r w:rsidRPr="002E7605">
              <w:rPr>
                <w:rFonts w:ascii="Times New Roman" w:hAnsi="Times New Roman"/>
                <w:sz w:val="24"/>
              </w:rPr>
              <w:t>Сборът от абсолютните текущи пазарни стойности (CMV) на всички сделки с отрицателна текуща пазарна стойност, принадлежащи към един и същ клас активи.</w:t>
            </w:r>
          </w:p>
        </w:tc>
      </w:tr>
      <w:tr w:rsidR="00EF74C7" w:rsidRPr="002E7605" w14:paraId="5443ACE2" w14:textId="77777777" w:rsidTr="00822842">
        <w:trPr>
          <w:trHeight w:val="680"/>
        </w:trPr>
        <w:tc>
          <w:tcPr>
            <w:tcW w:w="1384" w:type="dxa"/>
          </w:tcPr>
          <w:p w14:paraId="026B5D82" w14:textId="77777777" w:rsidR="00EF74C7" w:rsidRPr="002E7605" w:rsidRDefault="00EF74C7" w:rsidP="00822842">
            <w:pPr>
              <w:pStyle w:val="Applicationdirecte"/>
              <w:spacing w:before="0" w:after="0"/>
              <w:jc w:val="left"/>
            </w:pPr>
            <w:r w:rsidRPr="002E7605">
              <w:t>0050,0130</w:t>
            </w:r>
          </w:p>
        </w:tc>
        <w:tc>
          <w:tcPr>
            <w:tcW w:w="7655" w:type="dxa"/>
            <w:vAlign w:val="center"/>
          </w:tcPr>
          <w:p w14:paraId="6BEF0650"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ТЕКУЩА ЕКСПОЗИЦИЯ</w:t>
            </w:r>
          </w:p>
          <w:p w14:paraId="4BD20CD9" w14:textId="77777777" w:rsidR="00EF74C7" w:rsidRPr="002E7605" w:rsidRDefault="00EF74C7" w:rsidP="00822842">
            <w:pPr>
              <w:keepNext/>
              <w:spacing w:before="60"/>
              <w:rPr>
                <w:rFonts w:ascii="Times New Roman" w:hAnsi="Times New Roman"/>
                <w:strike/>
                <w:sz w:val="24"/>
              </w:rPr>
            </w:pPr>
            <w:r w:rsidRPr="002E7605">
              <w:rPr>
                <w:rFonts w:ascii="Times New Roman" w:hAnsi="Times New Roman"/>
                <w:sz w:val="24"/>
              </w:rPr>
              <w:t>Вж. указанията към колона 0120 в образец C 34.02.</w:t>
            </w:r>
          </w:p>
        </w:tc>
      </w:tr>
      <w:tr w:rsidR="00EF74C7" w:rsidRPr="002E7605" w14:paraId="33A01D3A" w14:textId="77777777" w:rsidTr="00822842">
        <w:trPr>
          <w:trHeight w:val="680"/>
        </w:trPr>
        <w:tc>
          <w:tcPr>
            <w:tcW w:w="1384" w:type="dxa"/>
          </w:tcPr>
          <w:p w14:paraId="434C41F4" w14:textId="77777777" w:rsidR="00EF74C7" w:rsidRPr="002E7605" w:rsidRDefault="00EF74C7" w:rsidP="00822842">
            <w:pPr>
              <w:pStyle w:val="Applicationdirecte"/>
              <w:spacing w:before="0" w:after="0"/>
              <w:jc w:val="left"/>
            </w:pPr>
            <w:r w:rsidRPr="002E7605">
              <w:lastRenderedPageBreak/>
              <w:t>0060,0140</w:t>
            </w:r>
          </w:p>
        </w:tc>
        <w:tc>
          <w:tcPr>
            <w:tcW w:w="7655" w:type="dxa"/>
            <w:vAlign w:val="center"/>
          </w:tcPr>
          <w:p w14:paraId="5F8AFE09"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ЕФЕКТИВНА ОЧАКВАНА ПОЛОЖИТЕЛНА ЕКСПОЗИЦИЯ (ЕОПЕ)</w:t>
            </w:r>
          </w:p>
          <w:p w14:paraId="72409BA6" w14:textId="77777777" w:rsidR="00EF74C7" w:rsidRPr="002E7605" w:rsidRDefault="00EF74C7" w:rsidP="00822842">
            <w:pPr>
              <w:pStyle w:val="Default"/>
              <w:spacing w:after="120"/>
              <w:jc w:val="both"/>
              <w:rPr>
                <w:rFonts w:ascii="Times New Roman" w:hAnsi="Times New Roman" w:cs="Times New Roman"/>
                <w:strike/>
                <w:color w:val="auto"/>
              </w:rPr>
            </w:pPr>
            <w:r w:rsidRPr="002E7605">
              <w:rPr>
                <w:rFonts w:ascii="Times New Roman" w:hAnsi="Times New Roman"/>
                <w:color w:val="auto"/>
              </w:rPr>
              <w:t>Вж. указанията към колона 0130 в образец C 34.02.</w:t>
            </w:r>
          </w:p>
        </w:tc>
      </w:tr>
      <w:tr w:rsidR="00EF74C7" w:rsidRPr="002E7605" w14:paraId="1D10918D" w14:textId="77777777" w:rsidTr="00822842">
        <w:trPr>
          <w:trHeight w:val="680"/>
        </w:trPr>
        <w:tc>
          <w:tcPr>
            <w:tcW w:w="1384" w:type="dxa"/>
          </w:tcPr>
          <w:p w14:paraId="208DFF88" w14:textId="77777777" w:rsidR="00EF74C7" w:rsidRPr="002E7605" w:rsidRDefault="00EF74C7" w:rsidP="00822842">
            <w:pPr>
              <w:pStyle w:val="Applicationdirecte"/>
              <w:spacing w:before="0" w:after="0"/>
              <w:jc w:val="left"/>
            </w:pPr>
            <w:r w:rsidRPr="002E7605">
              <w:t>0070,0150</w:t>
            </w:r>
          </w:p>
        </w:tc>
        <w:tc>
          <w:tcPr>
            <w:tcW w:w="7655" w:type="dxa"/>
            <w:vAlign w:val="center"/>
          </w:tcPr>
          <w:p w14:paraId="0290C67F"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ЕОПЕ ПРИ СТРЕС КАЛИБРИРАНЕ</w:t>
            </w:r>
          </w:p>
          <w:p w14:paraId="071BB18F"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 284, параграф 6 и член 292, параграф 2 от Регламент (ЕС) № 575/2013</w:t>
            </w:r>
          </w:p>
          <w:p w14:paraId="4C777000"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ЕОПЕ при стрес калибриране се изчислява аналогично както ЕОПЕ (член 284, параграф 6 от Регламент (ЕС) № 575/2013), но чрез използване на стрес калибриране в съответствие с член 292, параграф 2 от Регламент (ЕС) № 575/2013.</w:t>
            </w:r>
          </w:p>
        </w:tc>
      </w:tr>
      <w:tr w:rsidR="00EF74C7" w:rsidRPr="002E7605" w14:paraId="2950463C" w14:textId="77777777" w:rsidTr="00822842">
        <w:trPr>
          <w:trHeight w:val="680"/>
        </w:trPr>
        <w:tc>
          <w:tcPr>
            <w:tcW w:w="1384" w:type="dxa"/>
          </w:tcPr>
          <w:p w14:paraId="1FAC8572" w14:textId="77777777" w:rsidR="00EF74C7" w:rsidRPr="002E7605" w:rsidRDefault="00EF74C7" w:rsidP="00822842">
            <w:pPr>
              <w:pStyle w:val="Applicationdirecte"/>
              <w:spacing w:before="0" w:after="0"/>
              <w:jc w:val="left"/>
            </w:pPr>
            <w:r w:rsidRPr="002E7605">
              <w:t>0080, 0160,0170</w:t>
            </w:r>
          </w:p>
        </w:tc>
        <w:tc>
          <w:tcPr>
            <w:tcW w:w="7655" w:type="dxa"/>
            <w:vAlign w:val="center"/>
          </w:tcPr>
          <w:p w14:paraId="38883B3C"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СТОЙНОСТ НА ЕКСПОЗИЦИЯТА</w:t>
            </w:r>
          </w:p>
          <w:p w14:paraId="5D5537F3" w14:textId="77777777" w:rsidR="00EF74C7" w:rsidRPr="002E7605" w:rsidRDefault="00EF74C7" w:rsidP="00822842">
            <w:pPr>
              <w:keepNext/>
              <w:spacing w:before="60"/>
              <w:rPr>
                <w:rStyle w:val="InstructionsTabelleberschrift"/>
                <w:rFonts w:ascii="Times New Roman" w:hAnsi="Times New Roman"/>
                <w:sz w:val="24"/>
              </w:rPr>
            </w:pPr>
            <w:r w:rsidRPr="002E7605">
              <w:rPr>
                <w:rFonts w:ascii="Times New Roman" w:hAnsi="Times New Roman"/>
                <w:sz w:val="24"/>
              </w:rPr>
              <w:t>Вж. указанията към колона 0170 в образец C 34.02.</w:t>
            </w:r>
          </w:p>
        </w:tc>
      </w:tr>
      <w:tr w:rsidR="00EF74C7" w:rsidRPr="002E7605" w14:paraId="1DF28D0B" w14:textId="77777777" w:rsidTr="00822842">
        <w:trPr>
          <w:trHeight w:val="680"/>
        </w:trPr>
        <w:tc>
          <w:tcPr>
            <w:tcW w:w="9039" w:type="dxa"/>
            <w:gridSpan w:val="2"/>
            <w:tcBorders>
              <w:left w:val="nil"/>
              <w:right w:val="nil"/>
            </w:tcBorders>
          </w:tcPr>
          <w:p w14:paraId="07A3474A" w14:textId="77777777" w:rsidR="00EF74C7" w:rsidRPr="002E7605" w:rsidDel="00291448" w:rsidRDefault="00EF74C7" w:rsidP="00822842">
            <w:pPr>
              <w:rPr>
                <w:rFonts w:ascii="Times New Roman" w:hAnsi="Times New Roman"/>
                <w:sz w:val="24"/>
              </w:rPr>
            </w:pPr>
          </w:p>
        </w:tc>
      </w:tr>
      <w:tr w:rsidR="00EF74C7" w:rsidRPr="002E7605"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E7605" w:rsidRDefault="00EF74C7" w:rsidP="00822842">
            <w:pPr>
              <w:pStyle w:val="Applicationdirecte"/>
              <w:spacing w:before="0"/>
              <w:jc w:val="left"/>
              <w:rPr>
                <w:b/>
              </w:rPr>
            </w:pPr>
            <w:r w:rsidRPr="002E7605">
              <w:rPr>
                <w:b/>
              </w:rPr>
              <w:t xml:space="preserve">Ред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E7605" w:rsidRDefault="00EF74C7" w:rsidP="00822842">
            <w:pPr>
              <w:pStyle w:val="TableMainHeading"/>
              <w:spacing w:before="60"/>
              <w:rPr>
                <w:rFonts w:ascii="Times New Roman" w:hAnsi="Times New Roman"/>
                <w:b/>
                <w:sz w:val="24"/>
                <w:szCs w:val="24"/>
              </w:rPr>
            </w:pPr>
            <w:r w:rsidRPr="002E7605">
              <w:rPr>
                <w:rFonts w:ascii="Times New Roman" w:hAnsi="Times New Roman"/>
                <w:b/>
                <w:sz w:val="24"/>
              </w:rPr>
              <w:t xml:space="preserve">Обяснение </w:t>
            </w:r>
          </w:p>
        </w:tc>
      </w:tr>
      <w:tr w:rsidR="00EF74C7" w:rsidRPr="002E7605" w14:paraId="09B9D5F2" w14:textId="77777777" w:rsidTr="00822842">
        <w:trPr>
          <w:trHeight w:val="426"/>
        </w:trPr>
        <w:tc>
          <w:tcPr>
            <w:tcW w:w="1384" w:type="dxa"/>
          </w:tcPr>
          <w:p w14:paraId="4740A097" w14:textId="77777777" w:rsidR="00EF74C7" w:rsidRPr="002E7605" w:rsidRDefault="00EF74C7" w:rsidP="00822842">
            <w:pPr>
              <w:pStyle w:val="Applicationdirecte"/>
              <w:spacing w:before="0" w:after="0"/>
            </w:pPr>
            <w:r w:rsidRPr="002E7605">
              <w:t>0010</w:t>
            </w:r>
          </w:p>
        </w:tc>
        <w:tc>
          <w:tcPr>
            <w:tcW w:w="7655" w:type="dxa"/>
          </w:tcPr>
          <w:p w14:paraId="155D9C7F"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ОБЩО </w:t>
            </w:r>
          </w:p>
          <w:p w14:paraId="43496D3B" w14:textId="77777777" w:rsidR="00EF74C7" w:rsidRPr="002E7605" w:rsidRDefault="00EF74C7" w:rsidP="00822842">
            <w:pPr>
              <w:keepNext/>
              <w:spacing w:before="60"/>
              <w:rPr>
                <w:sz w:val="24"/>
              </w:rPr>
            </w:pPr>
            <w:r w:rsidRPr="002E7605">
              <w:rPr>
                <w:rFonts w:ascii="Times New Roman" w:hAnsi="Times New Roman"/>
                <w:sz w:val="24"/>
              </w:rPr>
              <w:t>Член 283 от Регламент (ЕС) № 575/2013</w:t>
            </w:r>
          </w:p>
          <w:p w14:paraId="72F05A01" w14:textId="77777777" w:rsidR="00EF74C7" w:rsidRPr="002E7605" w:rsidRDefault="00EF74C7" w:rsidP="00822842">
            <w:pPr>
              <w:rPr>
                <w:sz w:val="24"/>
              </w:rPr>
            </w:pPr>
            <w:r w:rsidRPr="002E7605">
              <w:rPr>
                <w:rFonts w:ascii="Times New Roman" w:hAnsi="Times New Roman"/>
                <w:sz w:val="24"/>
              </w:rPr>
              <w:t>Институцията докладва съответната информация относно дериватите, сделките с удължен сетълмент и СФЦК, за които ѝ е било разрешено да определят стойността на експозицията, изчислена чрез метода на вътрешните модели (МВМ) в съответствие с член 283 от Регламент (ЕС) № 575/2013.</w:t>
            </w:r>
          </w:p>
        </w:tc>
      </w:tr>
      <w:tr w:rsidR="00EF74C7" w:rsidRPr="002E7605" w14:paraId="61D3022A" w14:textId="77777777" w:rsidTr="00822842">
        <w:trPr>
          <w:trHeight w:val="829"/>
        </w:trPr>
        <w:tc>
          <w:tcPr>
            <w:tcW w:w="1384" w:type="dxa"/>
          </w:tcPr>
          <w:p w14:paraId="395168E0" w14:textId="77777777" w:rsidR="00EF74C7" w:rsidRPr="002E7605" w:rsidRDefault="00EF74C7" w:rsidP="00822842">
            <w:pPr>
              <w:pStyle w:val="Applicationdirecte"/>
              <w:spacing w:before="0" w:after="0"/>
            </w:pPr>
            <w:r w:rsidRPr="002E7605">
              <w:t>0020</w:t>
            </w:r>
          </w:p>
        </w:tc>
        <w:tc>
          <w:tcPr>
            <w:tcW w:w="7655" w:type="dxa"/>
          </w:tcPr>
          <w:p w14:paraId="0331298D"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В т.ч.: Позиции със специфичен утежняващ риск</w:t>
            </w:r>
          </w:p>
          <w:p w14:paraId="1013C757" w14:textId="77777777" w:rsidR="00EF74C7" w:rsidRPr="002E7605" w:rsidRDefault="00EF74C7" w:rsidP="00822842">
            <w:pPr>
              <w:rPr>
                <w:rFonts w:ascii="Times New Roman" w:hAnsi="Times New Roman"/>
                <w:sz w:val="24"/>
              </w:rPr>
            </w:pPr>
            <w:r w:rsidRPr="002E7605">
              <w:rPr>
                <w:rFonts w:ascii="Times New Roman" w:hAnsi="Times New Roman"/>
                <w:sz w:val="24"/>
              </w:rPr>
              <w:t>Вж. указанията към ред 0120 в образец C 34.02.</w:t>
            </w:r>
          </w:p>
        </w:tc>
      </w:tr>
      <w:tr w:rsidR="00EF74C7" w:rsidRPr="002E7605" w14:paraId="53E2F2D0" w14:textId="77777777" w:rsidTr="00822842">
        <w:trPr>
          <w:trHeight w:val="842"/>
        </w:trPr>
        <w:tc>
          <w:tcPr>
            <w:tcW w:w="1384" w:type="dxa"/>
          </w:tcPr>
          <w:p w14:paraId="7706E084" w14:textId="77777777" w:rsidR="00EF74C7" w:rsidRPr="002E7605" w:rsidRDefault="00EF74C7" w:rsidP="00822842">
            <w:pPr>
              <w:pStyle w:val="Applicationdirecte"/>
              <w:spacing w:before="0" w:after="0"/>
              <w:jc w:val="left"/>
            </w:pPr>
            <w:r w:rsidRPr="002E7605">
              <w:t>0030</w:t>
            </w:r>
          </w:p>
        </w:tc>
        <w:tc>
          <w:tcPr>
            <w:tcW w:w="7655" w:type="dxa"/>
          </w:tcPr>
          <w:p w14:paraId="5DE0314C"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Нетиращи съвкупности, третирани по стандартизирания подход за кредитен риск</w:t>
            </w:r>
          </w:p>
          <w:p w14:paraId="7CD0087F" w14:textId="77777777" w:rsidR="00EF74C7" w:rsidRPr="002E7605" w:rsidRDefault="00EF74C7" w:rsidP="00822842">
            <w:pPr>
              <w:rPr>
                <w:rStyle w:val="InstructionsTabelleberschrift"/>
                <w:rFonts w:ascii="Times New Roman" w:hAnsi="Times New Roman" w:cstheme="minorBidi"/>
                <w:b w:val="0"/>
                <w:bCs w:val="0"/>
                <w:sz w:val="24"/>
              </w:rPr>
            </w:pPr>
            <w:r w:rsidRPr="002E7605">
              <w:rPr>
                <w:rFonts w:ascii="Times New Roman" w:hAnsi="Times New Roman"/>
                <w:sz w:val="24"/>
              </w:rPr>
              <w:t>Вж. указанията към колона 0180 в образец C 34.02.</w:t>
            </w:r>
          </w:p>
        </w:tc>
      </w:tr>
      <w:tr w:rsidR="00EF74C7" w:rsidRPr="002E7605" w14:paraId="246949FB" w14:textId="77777777" w:rsidTr="00822842">
        <w:trPr>
          <w:trHeight w:val="839"/>
        </w:trPr>
        <w:tc>
          <w:tcPr>
            <w:tcW w:w="1384" w:type="dxa"/>
          </w:tcPr>
          <w:p w14:paraId="4489E702" w14:textId="77777777" w:rsidR="00EF74C7" w:rsidRPr="002E7605" w:rsidRDefault="00EF74C7" w:rsidP="00822842">
            <w:pPr>
              <w:pStyle w:val="Applicationdirecte"/>
              <w:spacing w:before="0" w:after="0"/>
              <w:jc w:val="left"/>
            </w:pPr>
            <w:r w:rsidRPr="002E7605">
              <w:t>0040</w:t>
            </w:r>
          </w:p>
        </w:tc>
        <w:tc>
          <w:tcPr>
            <w:tcW w:w="7655" w:type="dxa"/>
          </w:tcPr>
          <w:p w14:paraId="79702292"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Нетиращи съвкупности, третирани по вътрешнорейтинговия подход за кредитен риск</w:t>
            </w:r>
          </w:p>
          <w:p w14:paraId="5DEB3BFD" w14:textId="77777777" w:rsidR="00EF74C7" w:rsidRPr="002E7605" w:rsidRDefault="00EF74C7" w:rsidP="00822842">
            <w:pPr>
              <w:rPr>
                <w:rStyle w:val="InstructionsTabelleberschrift"/>
                <w:rFonts w:ascii="Times New Roman" w:hAnsi="Times New Roman" w:cstheme="minorBidi"/>
                <w:b w:val="0"/>
                <w:bCs w:val="0"/>
                <w:sz w:val="24"/>
              </w:rPr>
            </w:pPr>
            <w:r w:rsidRPr="002E7605">
              <w:rPr>
                <w:rFonts w:ascii="Times New Roman" w:hAnsi="Times New Roman"/>
                <w:sz w:val="24"/>
              </w:rPr>
              <w:t>Вж. указанията към колона 0190 в образец C 34.02.</w:t>
            </w:r>
          </w:p>
        </w:tc>
      </w:tr>
      <w:tr w:rsidR="00EF74C7" w:rsidRPr="002E7605" w14:paraId="6C69A9B4" w14:textId="77777777" w:rsidTr="00822842">
        <w:trPr>
          <w:trHeight w:val="1971"/>
        </w:trPr>
        <w:tc>
          <w:tcPr>
            <w:tcW w:w="1384" w:type="dxa"/>
          </w:tcPr>
          <w:p w14:paraId="7647D954" w14:textId="77777777" w:rsidR="00EF74C7" w:rsidRPr="002E7605" w:rsidRDefault="00EF74C7" w:rsidP="00822842">
            <w:pPr>
              <w:pStyle w:val="Applicationdirecte"/>
              <w:spacing w:before="0" w:after="0"/>
              <w:jc w:val="left"/>
            </w:pPr>
            <w:r w:rsidRPr="002E7605">
              <w:t>0050—0110</w:t>
            </w:r>
          </w:p>
        </w:tc>
        <w:tc>
          <w:tcPr>
            <w:tcW w:w="7655" w:type="dxa"/>
          </w:tcPr>
          <w:p w14:paraId="3D695FBB"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ИЗВЪНБОРСОВИ ДЕРИВАТИ</w:t>
            </w:r>
          </w:p>
          <w:p w14:paraId="0E8A5849" w14:textId="77777777" w:rsidR="00EF74C7" w:rsidRPr="002E7605" w:rsidRDefault="00EF74C7" w:rsidP="00822842">
            <w:pPr>
              <w:rPr>
                <w:rFonts w:ascii="Times New Roman" w:hAnsi="Times New Roman"/>
                <w:sz w:val="24"/>
              </w:rPr>
            </w:pPr>
            <w:r w:rsidRPr="002E7605">
              <w:rPr>
                <w:rFonts w:ascii="Times New Roman" w:hAnsi="Times New Roman"/>
                <w:sz w:val="24"/>
              </w:rPr>
              <w:t>Институцията докладва съответната информация относно нетиращите съвкупности, съдържащи само извънборсови деривати или сделки с удължен сетълмент, за които ѝ е било разрешено да определят стойността на експозицията чрез МВМ, с разбивка по различни класове активи по отношение на базисния инструмент (лихвен процент, валута, кредит, капиталов инструмент, стока или друго).</w:t>
            </w:r>
          </w:p>
        </w:tc>
      </w:tr>
      <w:tr w:rsidR="00EF74C7" w:rsidRPr="002E7605" w14:paraId="32F0A14D" w14:textId="77777777" w:rsidTr="00822842">
        <w:trPr>
          <w:trHeight w:val="1970"/>
        </w:trPr>
        <w:tc>
          <w:tcPr>
            <w:tcW w:w="1384" w:type="dxa"/>
          </w:tcPr>
          <w:p w14:paraId="2CA05FA5" w14:textId="77777777" w:rsidR="00EF74C7" w:rsidRPr="002E7605" w:rsidRDefault="00EF74C7" w:rsidP="00822842">
            <w:pPr>
              <w:pStyle w:val="Applicationdirecte"/>
              <w:spacing w:before="0" w:after="0"/>
            </w:pPr>
            <w:r w:rsidRPr="002E7605">
              <w:lastRenderedPageBreak/>
              <w:t>0120—0180</w:t>
            </w:r>
          </w:p>
        </w:tc>
        <w:tc>
          <w:tcPr>
            <w:tcW w:w="7655" w:type="dxa"/>
          </w:tcPr>
          <w:p w14:paraId="1F81FD28"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БОРСОВО ТЪРГУВАНИ ДЕРИВАТИ</w:t>
            </w:r>
          </w:p>
          <w:p w14:paraId="58D9B48E" w14:textId="77777777" w:rsidR="00EF74C7" w:rsidRPr="002E7605" w:rsidRDefault="00EF74C7" w:rsidP="00822842">
            <w:pPr>
              <w:rPr>
                <w:rFonts w:ascii="Times New Roman" w:hAnsi="Times New Roman"/>
                <w:sz w:val="24"/>
              </w:rPr>
            </w:pPr>
            <w:r w:rsidRPr="002E7605">
              <w:rPr>
                <w:rFonts w:ascii="Times New Roman" w:hAnsi="Times New Roman"/>
                <w:sz w:val="24"/>
              </w:rPr>
              <w:t>Институцията докладва съответната информация относно нетиращите съвкупности, съдържащи само борсово търгувани деривати или сделки с удължен сетълмент, за които ѝ е било разрешено да определят стойността на експозицията чрез МВМ, с разбивка по различни класове активи по отношение на базисния инструмент (лихвен процент, валута, кредит, капиталов инструмент, стока или друго).</w:t>
            </w:r>
          </w:p>
        </w:tc>
      </w:tr>
      <w:tr w:rsidR="00EF74C7" w:rsidRPr="002E7605" w14:paraId="3A390CF4" w14:textId="77777777" w:rsidTr="00822842">
        <w:trPr>
          <w:trHeight w:val="1701"/>
        </w:trPr>
        <w:tc>
          <w:tcPr>
            <w:tcW w:w="1384" w:type="dxa"/>
          </w:tcPr>
          <w:p w14:paraId="5468C829" w14:textId="77777777" w:rsidR="00EF74C7" w:rsidRPr="002E7605" w:rsidRDefault="00EF74C7" w:rsidP="00822842">
            <w:pPr>
              <w:pStyle w:val="Applicationdirecte"/>
              <w:spacing w:before="0" w:after="0"/>
            </w:pPr>
            <w:r w:rsidRPr="002E7605">
              <w:t>0190—0220</w:t>
            </w:r>
          </w:p>
        </w:tc>
        <w:tc>
          <w:tcPr>
            <w:tcW w:w="7655" w:type="dxa"/>
          </w:tcPr>
          <w:p w14:paraId="52D3A7C8"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СДЕЛКИ ЗА ФИНАНСИРАНЕ С ЦЕННИ КНИЖА</w:t>
            </w:r>
          </w:p>
          <w:p w14:paraId="1CD88A29" w14:textId="77777777" w:rsidR="00EF74C7" w:rsidRPr="002E7605" w:rsidRDefault="00EF74C7" w:rsidP="00822842">
            <w:pPr>
              <w:rPr>
                <w:rFonts w:ascii="Times New Roman" w:hAnsi="Times New Roman"/>
                <w:sz w:val="24"/>
              </w:rPr>
            </w:pPr>
            <w:r w:rsidRPr="002E7605">
              <w:rPr>
                <w:rFonts w:ascii="Times New Roman" w:hAnsi="Times New Roman"/>
                <w:sz w:val="24"/>
              </w:rPr>
              <w:t>Институцията докладва съответната информация относно нетиращите съвкупности, съдържащи само СФЦК, за които ѝ е било разрешено да определят стойността на експозицията чрез МВМ, с разбивка по различни видове базисни инструменти по отношение на рамото на ценните книжа по СФЦК (облигация, капиталов инструмент или друго).</w:t>
            </w:r>
          </w:p>
        </w:tc>
      </w:tr>
      <w:tr w:rsidR="00EF74C7" w:rsidRPr="002E7605" w14:paraId="64C592C4" w14:textId="77777777" w:rsidTr="00822842">
        <w:trPr>
          <w:trHeight w:val="833"/>
        </w:trPr>
        <w:tc>
          <w:tcPr>
            <w:tcW w:w="1384" w:type="dxa"/>
          </w:tcPr>
          <w:p w14:paraId="39B2C01D" w14:textId="77777777" w:rsidR="00EF74C7" w:rsidRPr="002E7605" w:rsidRDefault="00EF74C7" w:rsidP="00822842">
            <w:pPr>
              <w:pStyle w:val="Applicationdirecte"/>
              <w:spacing w:before="0" w:after="0"/>
            </w:pPr>
            <w:r w:rsidRPr="002E7605">
              <w:t>0230</w:t>
            </w:r>
          </w:p>
        </w:tc>
        <w:tc>
          <w:tcPr>
            <w:tcW w:w="7655" w:type="dxa"/>
          </w:tcPr>
          <w:p w14:paraId="1980D95A"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СЪВКУПНОСТИ ПО ДОГОВОРНИ СПОРАЗУМЕНИЯ ЗА КРЪСТОСАНО НЕТИРАНЕ НА ПРОДУКТИ</w:t>
            </w:r>
          </w:p>
          <w:p w14:paraId="7F1F09BD" w14:textId="77777777" w:rsidR="00EF74C7" w:rsidRPr="002E7605" w:rsidRDefault="00EF74C7" w:rsidP="00822842">
            <w:pPr>
              <w:rPr>
                <w:rFonts w:ascii="Times New Roman" w:hAnsi="Times New Roman"/>
                <w:sz w:val="24"/>
              </w:rPr>
            </w:pPr>
            <w:r w:rsidRPr="002E7605">
              <w:rPr>
                <w:rFonts w:ascii="Times New Roman" w:hAnsi="Times New Roman"/>
                <w:sz w:val="24"/>
              </w:rPr>
              <w:t>Вж. указанията към ред 0070 в образец C 34.02.</w:t>
            </w:r>
          </w:p>
        </w:tc>
      </w:tr>
    </w:tbl>
    <w:p w14:paraId="0A9C53D4" w14:textId="77777777" w:rsidR="00EF74C7" w:rsidRPr="002E7605" w:rsidRDefault="00EF74C7" w:rsidP="00EF74C7">
      <w:pPr>
        <w:tabs>
          <w:tab w:val="left" w:pos="1430"/>
        </w:tabs>
        <w:rPr>
          <w:rFonts w:ascii="Times New Roman" w:hAnsi="Times New Roman"/>
        </w:rPr>
      </w:pPr>
    </w:p>
    <w:p w14:paraId="2A48B1B3"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sidRPr="002E7605">
        <w:rPr>
          <w:rFonts w:ascii="Times New Roman" w:hAnsi="Times New Roman"/>
          <w:sz w:val="24"/>
        </w:rPr>
        <w:t>C 34.06 — Двадесет най-значими контрагенти</w:t>
      </w:r>
      <w:bookmarkEnd w:id="42"/>
      <w:bookmarkEnd w:id="43"/>
    </w:p>
    <w:p w14:paraId="41D5F705"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sidRPr="002E7605">
        <w:rPr>
          <w:rFonts w:ascii="Times New Roman" w:hAnsi="Times New Roman"/>
          <w:sz w:val="24"/>
        </w:rPr>
        <w:t>Общи бележки</w:t>
      </w:r>
      <w:bookmarkEnd w:id="44"/>
      <w:bookmarkEnd w:id="45"/>
    </w:p>
    <w:p w14:paraId="4872503C" w14:textId="005C8DB1"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126</w:t>
      </w:r>
      <w:r w:rsidRPr="002E7605">
        <w:fldChar w:fldCharType="end"/>
      </w:r>
      <w:r w:rsidRPr="002E7605">
        <w:t>. Институциите докладват информация за двадесетте най-значими контрагенти, към които имат най-големи експозиции към кредитен риск от контрагента. Класирането се извършва, като се използват стойностите на експозициите към КРК, както са докладвани в колона 0120 от настоящия образец, на всички нетиращи съвкупности със съответните контрагенти. Вътрешногруповите експозиции или други експозиции, които пораждат кредитен риск от контрагента, но за които институциите определят нулево рисково тегло за изчисляването на капиталовите изисквания в съответствие с член 113, параграф 6 и член 113 параграф 7 от Регламент (ЕС) № 575/2013, също се вземат предвид при определянето на списъка на 20-те най-значими контрагенти.</w:t>
      </w:r>
    </w:p>
    <w:p w14:paraId="647CEA55" w14:textId="4D261834"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127</w:t>
      </w:r>
      <w:r w:rsidRPr="002E7605">
        <w:fldChar w:fldCharType="end"/>
      </w:r>
      <w:r w:rsidRPr="002E7605">
        <w:t xml:space="preserve">. Институциите, които прилагат стандартизирания подход (СПКРК) или метода на вътрешните модели (МВМ) за изчисляване на експозициите към КРК съгласно трета част, дял II, глава 6, раздели 3 и 6 от Регламент (ЕС) № 575/2013, докладват този образец на всеки три месеца. Институциите, които прилагат опростения стандартизиран подход или метода на първоначалната експозиция (МПЕ) за изчисляване на експозициите към КРК съгласно трета част, дял II, глава 6, раздели 4 и 5 от Регламент (ЕС) № 575/2013, докладват този образец на всеки шест месеца. </w:t>
      </w:r>
      <w:bookmarkStart w:id="46" w:name="_Toc19715818"/>
      <w:r w:rsidRPr="002E7605">
        <w:t>Указания относно конкретни позиции</w:t>
      </w:r>
      <w:bookmarkEnd w:id="46"/>
      <w:r w:rsidRPr="002E7605">
        <w:t>.</w:t>
      </w:r>
    </w:p>
    <w:p w14:paraId="2736A53C"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47" w:name="_Toc151714458"/>
      <w:r w:rsidRPr="002E7605">
        <w:rPr>
          <w:rFonts w:ascii="Times New Roman" w:hAnsi="Times New Roman"/>
          <w:sz w:val="24"/>
        </w:rPr>
        <w:t>Указания относно конкретни позиции</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Колони</w:t>
            </w:r>
          </w:p>
        </w:tc>
      </w:tr>
      <w:tr w:rsidR="00EF74C7" w:rsidRPr="002E7605" w14:paraId="1E5ECC03" w14:textId="77777777" w:rsidTr="00822842">
        <w:trPr>
          <w:trHeight w:val="680"/>
        </w:trPr>
        <w:tc>
          <w:tcPr>
            <w:tcW w:w="1384" w:type="dxa"/>
          </w:tcPr>
          <w:p w14:paraId="67FE490E" w14:textId="77777777" w:rsidR="00EF74C7" w:rsidRPr="002E7605" w:rsidRDefault="00EF74C7" w:rsidP="00822842">
            <w:pPr>
              <w:pStyle w:val="Applicationdirecte"/>
              <w:spacing w:before="0" w:after="0"/>
            </w:pPr>
            <w:r w:rsidRPr="002E7605">
              <w:lastRenderedPageBreak/>
              <w:t>0011</w:t>
            </w:r>
          </w:p>
        </w:tc>
        <w:tc>
          <w:tcPr>
            <w:tcW w:w="7655" w:type="dxa"/>
            <w:vAlign w:val="center"/>
          </w:tcPr>
          <w:p w14:paraId="2145838B" w14:textId="77777777" w:rsidR="00EF74C7" w:rsidRPr="002E7605" w:rsidRDefault="00EF74C7" w:rsidP="00822842">
            <w:pPr>
              <w:keepNext/>
              <w:spacing w:before="60"/>
              <w:rPr>
                <w:rStyle w:val="InstructionsTabelleberschrift"/>
                <w:rFonts w:ascii="Times New Roman" w:hAnsi="Times New Roman"/>
                <w:sz w:val="24"/>
              </w:rPr>
            </w:pPr>
            <w:r w:rsidRPr="002E7605">
              <w:rPr>
                <w:rStyle w:val="InstructionsTabelleberschrift"/>
                <w:rFonts w:ascii="Times New Roman" w:hAnsi="Times New Roman"/>
                <w:sz w:val="24"/>
              </w:rPr>
              <w:t>НАИМЕНОВАНИЕ</w:t>
            </w:r>
          </w:p>
          <w:p w14:paraId="02D41CBA" w14:textId="77777777" w:rsidR="00EF74C7" w:rsidRPr="002E7605" w:rsidRDefault="00EF74C7" w:rsidP="00822842">
            <w:pPr>
              <w:keepNext/>
              <w:spacing w:before="60"/>
              <w:rPr>
                <w:rFonts w:ascii="Times New Roman" w:hAnsi="Times New Roman"/>
                <w:szCs w:val="22"/>
              </w:rPr>
            </w:pPr>
            <w:r w:rsidRPr="002E7605">
              <w:rPr>
                <w:rFonts w:ascii="Times New Roman" w:hAnsi="Times New Roman"/>
                <w:sz w:val="24"/>
              </w:rPr>
              <w:t>Наименование на контрагента</w:t>
            </w:r>
          </w:p>
        </w:tc>
      </w:tr>
      <w:tr w:rsidR="00EF74C7" w:rsidRPr="002E7605" w14:paraId="4B2EA2C4" w14:textId="77777777" w:rsidTr="00822842">
        <w:trPr>
          <w:trHeight w:val="680"/>
        </w:trPr>
        <w:tc>
          <w:tcPr>
            <w:tcW w:w="1384" w:type="dxa"/>
          </w:tcPr>
          <w:p w14:paraId="35C54AA9" w14:textId="77777777" w:rsidR="00EF74C7" w:rsidRPr="002E7605" w:rsidRDefault="00EF74C7" w:rsidP="00822842">
            <w:pPr>
              <w:pStyle w:val="Applicationdirecte"/>
              <w:spacing w:before="0" w:after="0"/>
            </w:pPr>
            <w:r w:rsidRPr="002E7605">
              <w:t>0020</w:t>
            </w:r>
          </w:p>
        </w:tc>
        <w:tc>
          <w:tcPr>
            <w:tcW w:w="7655" w:type="dxa"/>
            <w:vAlign w:val="center"/>
          </w:tcPr>
          <w:p w14:paraId="6CCE0F62"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КОД</w:t>
            </w:r>
          </w:p>
          <w:p w14:paraId="38310236" w14:textId="77777777" w:rsidR="00EF74C7" w:rsidRPr="002E7605" w:rsidRDefault="00EF74C7" w:rsidP="00822842">
            <w:pPr>
              <w:keepNext/>
              <w:spacing w:before="60"/>
              <w:rPr>
                <w:rFonts w:ascii="Times New Roman" w:hAnsi="Times New Roman"/>
                <w:sz w:val="24"/>
                <w:u w:val="single"/>
              </w:rPr>
            </w:pPr>
            <w:r w:rsidRPr="002E7605">
              <w:rPr>
                <w:rFonts w:ascii="Times New Roman" w:hAnsi="Times New Roman"/>
                <w:sz w:val="24"/>
              </w:rPr>
              <w:t>Кодът като част от идентификатора на реда трябва да бъде индивидуален за всеки субект, за който се докладва. За институциите и застрахователните предприятия кодът е ИКПС. За останалите дружества — ИКПС или, ако няма такъв, код, различен от ИКПС. Кодът е уникален и се използва последователно във всички образци и във времето. Кодът се попълва винаги</w:t>
            </w:r>
            <w:r w:rsidRPr="002E7605">
              <w:rPr>
                <w:i/>
              </w:rPr>
              <w:t>.</w:t>
            </w:r>
          </w:p>
        </w:tc>
      </w:tr>
      <w:tr w:rsidR="00EF74C7" w:rsidRPr="002E7605" w14:paraId="2DAA4B2D" w14:textId="77777777" w:rsidTr="00822842">
        <w:trPr>
          <w:trHeight w:val="680"/>
        </w:trPr>
        <w:tc>
          <w:tcPr>
            <w:tcW w:w="1384" w:type="dxa"/>
          </w:tcPr>
          <w:p w14:paraId="5727082D" w14:textId="77777777" w:rsidR="00EF74C7" w:rsidRPr="002E7605" w:rsidRDefault="00EF74C7" w:rsidP="00822842">
            <w:pPr>
              <w:pStyle w:val="Applicationdirecte"/>
              <w:spacing w:before="0" w:after="0"/>
            </w:pPr>
            <w:r w:rsidRPr="002E7605">
              <w:t>0030</w:t>
            </w:r>
          </w:p>
        </w:tc>
        <w:tc>
          <w:tcPr>
            <w:tcW w:w="7655" w:type="dxa"/>
            <w:vAlign w:val="center"/>
          </w:tcPr>
          <w:p w14:paraId="0F71916C"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ВИД КОД</w:t>
            </w:r>
          </w:p>
          <w:p w14:paraId="12E4A55E" w14:textId="77777777" w:rsidR="00EF74C7" w:rsidRPr="002E7605" w:rsidRDefault="00EF74C7" w:rsidP="00822842">
            <w:pPr>
              <w:rPr>
                <w:rStyle w:val="FormatvorlageInstructionsTabelleText"/>
                <w:rFonts w:ascii="Calibri" w:hAnsi="Calibri" w:cs="Calibri"/>
              </w:rPr>
            </w:pPr>
            <w:r w:rsidRPr="002E7605">
              <w:rPr>
                <w:rFonts w:ascii="Times New Roman" w:hAnsi="Times New Roman"/>
                <w:sz w:val="24"/>
              </w:rPr>
              <w:t>Институциите посочват дали кодът, докладван в колона 0020, е „ИКПС“ или „национален код“.</w:t>
            </w:r>
          </w:p>
          <w:p w14:paraId="68A8C569" w14:textId="77777777" w:rsidR="00EF74C7" w:rsidRPr="002E7605" w:rsidRDefault="00EF74C7" w:rsidP="00822842">
            <w:pPr>
              <w:rPr>
                <w:rFonts w:ascii="Times New Roman" w:hAnsi="Times New Roman"/>
                <w:bCs/>
                <w:sz w:val="24"/>
              </w:rPr>
            </w:pPr>
            <w:r w:rsidRPr="002E7605">
              <w:rPr>
                <w:rFonts w:ascii="Times New Roman" w:hAnsi="Times New Roman"/>
                <w:sz w:val="24"/>
              </w:rPr>
              <w:t>Видът на кода се посочва винаги.</w:t>
            </w:r>
          </w:p>
        </w:tc>
      </w:tr>
      <w:tr w:rsidR="00EF74C7" w:rsidRPr="002E7605" w14:paraId="5CE3DDA8" w14:textId="77777777" w:rsidTr="00822842">
        <w:trPr>
          <w:trHeight w:val="680"/>
        </w:trPr>
        <w:tc>
          <w:tcPr>
            <w:tcW w:w="1384" w:type="dxa"/>
          </w:tcPr>
          <w:p w14:paraId="7912C4C0" w14:textId="77777777" w:rsidR="00EF74C7" w:rsidRPr="002E7605" w:rsidRDefault="00EF74C7" w:rsidP="00822842">
            <w:pPr>
              <w:pStyle w:val="Applicationdirecte"/>
              <w:spacing w:before="0" w:after="0"/>
            </w:pPr>
            <w:r w:rsidRPr="002E7605">
              <w:t>0035</w:t>
            </w:r>
          </w:p>
        </w:tc>
        <w:tc>
          <w:tcPr>
            <w:tcW w:w="7655" w:type="dxa"/>
            <w:vAlign w:val="center"/>
          </w:tcPr>
          <w:p w14:paraId="6012FDEC"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НАЦИОНАЛЕН КОД</w:t>
            </w:r>
          </w:p>
          <w:p w14:paraId="53A43075" w14:textId="77777777" w:rsidR="00EF74C7" w:rsidRPr="002E7605" w:rsidRDefault="00EF74C7" w:rsidP="00822842">
            <w:pPr>
              <w:pStyle w:val="ListParagraph"/>
              <w:ind w:left="65"/>
              <w:rPr>
                <w:rFonts w:ascii="Times New Roman" w:hAnsi="Times New Roman"/>
                <w:b/>
                <w:sz w:val="24"/>
                <w:u w:val="single"/>
              </w:rPr>
            </w:pPr>
            <w:r w:rsidRPr="002E7605">
              <w:rPr>
                <w:rFonts w:ascii="Times New Roman" w:hAnsi="Times New Roman"/>
                <w:sz w:val="24"/>
              </w:rPr>
              <w:t>Когато докладват ИКПС като идентификатор в колона „Код“ 0020, институциите могат допълнително да докладват и националния код.</w:t>
            </w:r>
          </w:p>
        </w:tc>
      </w:tr>
      <w:tr w:rsidR="00EF74C7" w:rsidRPr="002E7605" w14:paraId="224798DC" w14:textId="77777777" w:rsidTr="00822842">
        <w:trPr>
          <w:trHeight w:val="680"/>
        </w:trPr>
        <w:tc>
          <w:tcPr>
            <w:tcW w:w="1384" w:type="dxa"/>
          </w:tcPr>
          <w:p w14:paraId="2CBB581D" w14:textId="77777777" w:rsidR="00EF74C7" w:rsidRPr="002E7605" w:rsidRDefault="00EF74C7" w:rsidP="00822842">
            <w:pPr>
              <w:pStyle w:val="Applicationdirecte"/>
              <w:spacing w:before="0" w:after="0"/>
            </w:pPr>
            <w:r w:rsidRPr="002E7605">
              <w:t>0040</w:t>
            </w:r>
          </w:p>
        </w:tc>
        <w:tc>
          <w:tcPr>
            <w:tcW w:w="7655" w:type="dxa"/>
            <w:vAlign w:val="center"/>
          </w:tcPr>
          <w:p w14:paraId="2A302176"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СЕКТОР НА КОНТРАГЕНТА</w:t>
            </w:r>
          </w:p>
          <w:p w14:paraId="138065F1"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За всеки контрагент се избира един сектор според следните класове икономически сектори съгласно FINREP (вж. част 3 от приложение V към настоящия регламент за изпълнение):</w:t>
            </w:r>
          </w:p>
          <w:p w14:paraId="3FD37943"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xml:space="preserve">i) </w:t>
            </w:r>
            <w:r w:rsidRPr="002E7605">
              <w:rPr>
                <w:rFonts w:ascii="Times New Roman" w:hAnsi="Times New Roman"/>
                <w:sz w:val="24"/>
              </w:rPr>
              <w:tab/>
              <w:t>централни банки;</w:t>
            </w:r>
          </w:p>
          <w:p w14:paraId="2EDFC759"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ii)</w:t>
            </w:r>
            <w:r w:rsidRPr="002E7605">
              <w:rPr>
                <w:rFonts w:ascii="Times New Roman" w:hAnsi="Times New Roman"/>
                <w:sz w:val="24"/>
              </w:rPr>
              <w:tab/>
              <w:t>сектори „Държавно управление“;</w:t>
            </w:r>
          </w:p>
          <w:p w14:paraId="59EF6A29"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iii)</w:t>
            </w:r>
            <w:r w:rsidRPr="002E7605">
              <w:rPr>
                <w:rFonts w:ascii="Times New Roman" w:hAnsi="Times New Roman"/>
                <w:sz w:val="24"/>
              </w:rPr>
              <w:tab/>
              <w:t>кредитни институции;</w:t>
            </w:r>
          </w:p>
          <w:p w14:paraId="50C89603"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iv)</w:t>
            </w:r>
            <w:r w:rsidRPr="002E7605">
              <w:rPr>
                <w:rFonts w:ascii="Times New Roman" w:hAnsi="Times New Roman"/>
                <w:sz w:val="24"/>
              </w:rPr>
              <w:tab/>
              <w:t>инвестиционни посредници съгласно определението в член 4, параграф 1, точка 2 от Регламент (ЕС) 575/2013.</w:t>
            </w:r>
          </w:p>
          <w:p w14:paraId="3A2FD93E"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v)</w:t>
            </w:r>
            <w:r w:rsidRPr="002E7605">
              <w:rPr>
                <w:rFonts w:ascii="Times New Roman" w:hAnsi="Times New Roman"/>
                <w:sz w:val="24"/>
              </w:rPr>
              <w:tab/>
              <w:t>други финансови предприятия (без инвестиционни посредници)</w:t>
            </w:r>
          </w:p>
          <w:p w14:paraId="58ADE56E"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vi)</w:t>
            </w:r>
            <w:r w:rsidRPr="002E7605">
              <w:rPr>
                <w:rFonts w:ascii="Times New Roman" w:hAnsi="Times New Roman"/>
                <w:sz w:val="24"/>
              </w:rPr>
              <w:tab/>
              <w:t>нефинансови предприятия</w:t>
            </w:r>
          </w:p>
        </w:tc>
      </w:tr>
      <w:tr w:rsidR="00EF74C7" w:rsidRPr="002E7605" w14:paraId="24F599F8" w14:textId="77777777" w:rsidTr="00822842">
        <w:trPr>
          <w:trHeight w:val="680"/>
        </w:trPr>
        <w:tc>
          <w:tcPr>
            <w:tcW w:w="1384" w:type="dxa"/>
          </w:tcPr>
          <w:p w14:paraId="2FBFF8FA" w14:textId="77777777" w:rsidR="00EF74C7" w:rsidRPr="002E7605" w:rsidRDefault="00EF74C7" w:rsidP="00822842">
            <w:pPr>
              <w:pStyle w:val="Applicationdirecte"/>
              <w:spacing w:before="0" w:after="0"/>
            </w:pPr>
            <w:r w:rsidRPr="002E7605">
              <w:t>0050</w:t>
            </w:r>
          </w:p>
        </w:tc>
        <w:tc>
          <w:tcPr>
            <w:tcW w:w="7655" w:type="dxa"/>
            <w:vAlign w:val="center"/>
          </w:tcPr>
          <w:p w14:paraId="72BF6C7A"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ВИД КОНТРАГЕНТ</w:t>
            </w:r>
          </w:p>
          <w:p w14:paraId="34B18679"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Институцията посочва вида на контрагента, който може да бъде:</w:t>
            </w:r>
          </w:p>
          <w:p w14:paraId="19809711"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КЦК: когато контрагентът е квалифициран ЦК;</w:t>
            </w:r>
          </w:p>
          <w:p w14:paraId="7530291C"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Неквалифициран ЦК: когато контрагентът е неквалифициран ЦК;</w:t>
            </w:r>
          </w:p>
          <w:p w14:paraId="53A61161"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xml:space="preserve">- Различен от ЦК: когато контрагентът не е ЦК; </w:t>
            </w:r>
          </w:p>
        </w:tc>
      </w:tr>
      <w:tr w:rsidR="00EF74C7" w:rsidRPr="002E7605" w14:paraId="7138E79A" w14:textId="77777777" w:rsidTr="00822842">
        <w:trPr>
          <w:trHeight w:val="680"/>
        </w:trPr>
        <w:tc>
          <w:tcPr>
            <w:tcW w:w="1384" w:type="dxa"/>
          </w:tcPr>
          <w:p w14:paraId="7D208FDD" w14:textId="77777777" w:rsidR="00EF74C7" w:rsidRPr="002E7605" w:rsidRDefault="00EF74C7" w:rsidP="00822842">
            <w:pPr>
              <w:pStyle w:val="Applicationdirecte"/>
              <w:spacing w:before="0" w:after="0"/>
            </w:pPr>
            <w:r w:rsidRPr="002E7605">
              <w:t>0060</w:t>
            </w:r>
          </w:p>
        </w:tc>
        <w:tc>
          <w:tcPr>
            <w:tcW w:w="7655" w:type="dxa"/>
            <w:vAlign w:val="center"/>
          </w:tcPr>
          <w:p w14:paraId="653C0A24"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МЕСТОПРЕБИВАВАНЕ НА КОНТРАГЕНТА</w:t>
            </w:r>
          </w:p>
          <w:p w14:paraId="4B5E06D5"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Използва се двубуквеният код по стандарт ISO 3166-1 на държавата на учредяване на контрагента (включително псевдокодовете по ISO на международните организации, публикувани в най-актуалното издание на наръчника на Евростат относно платежния баланс).</w:t>
            </w:r>
          </w:p>
        </w:tc>
      </w:tr>
      <w:tr w:rsidR="00EF74C7" w:rsidRPr="002E7605" w14:paraId="27926B1D" w14:textId="77777777" w:rsidTr="00822842">
        <w:trPr>
          <w:trHeight w:val="680"/>
        </w:trPr>
        <w:tc>
          <w:tcPr>
            <w:tcW w:w="1384" w:type="dxa"/>
          </w:tcPr>
          <w:p w14:paraId="2F19F110" w14:textId="77777777" w:rsidR="00EF74C7" w:rsidRPr="002E7605" w:rsidRDefault="00EF74C7" w:rsidP="00822842">
            <w:pPr>
              <w:pStyle w:val="Applicationdirecte"/>
              <w:spacing w:before="0" w:after="0"/>
            </w:pPr>
            <w:r w:rsidRPr="002E7605">
              <w:lastRenderedPageBreak/>
              <w:t>0070</w:t>
            </w:r>
          </w:p>
        </w:tc>
        <w:tc>
          <w:tcPr>
            <w:tcW w:w="7655" w:type="dxa"/>
            <w:vAlign w:val="center"/>
          </w:tcPr>
          <w:p w14:paraId="1141BEDE"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БРОЙ СДЕЛКИ</w:t>
            </w:r>
          </w:p>
          <w:p w14:paraId="22440C23"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sz w:val="24"/>
              </w:rPr>
              <w:t>Вж. указанията към колона 0020 в образец C 34.02.</w:t>
            </w:r>
          </w:p>
        </w:tc>
      </w:tr>
      <w:tr w:rsidR="00EF74C7" w:rsidRPr="002E7605" w14:paraId="41609849" w14:textId="77777777" w:rsidTr="00822842">
        <w:trPr>
          <w:trHeight w:val="426"/>
        </w:trPr>
        <w:tc>
          <w:tcPr>
            <w:tcW w:w="1384" w:type="dxa"/>
          </w:tcPr>
          <w:p w14:paraId="37240D8E" w14:textId="77777777" w:rsidR="00EF74C7" w:rsidRPr="002E7605" w:rsidRDefault="00EF74C7" w:rsidP="00822842">
            <w:pPr>
              <w:pStyle w:val="Applicationdirecte"/>
              <w:spacing w:before="0" w:after="0"/>
            </w:pPr>
            <w:r w:rsidRPr="002E7605">
              <w:t>0080</w:t>
            </w:r>
          </w:p>
        </w:tc>
        <w:tc>
          <w:tcPr>
            <w:tcW w:w="7655" w:type="dxa"/>
            <w:vAlign w:val="center"/>
          </w:tcPr>
          <w:p w14:paraId="7D28C824"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УСЛОВНИ СТОЙНОСТИ</w:t>
            </w:r>
          </w:p>
          <w:p w14:paraId="2092F8D4"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Вж. указанията към колона 0030 в образец C 34.02.</w:t>
            </w:r>
          </w:p>
        </w:tc>
      </w:tr>
      <w:tr w:rsidR="00EF74C7" w:rsidRPr="002E7605" w14:paraId="6B0D6FEC" w14:textId="77777777" w:rsidTr="00822842">
        <w:trPr>
          <w:trHeight w:val="680"/>
        </w:trPr>
        <w:tc>
          <w:tcPr>
            <w:tcW w:w="1384" w:type="dxa"/>
          </w:tcPr>
          <w:p w14:paraId="31BEF5FF" w14:textId="77777777" w:rsidR="00EF74C7" w:rsidRPr="002E7605" w:rsidRDefault="00EF74C7" w:rsidP="00822842">
            <w:pPr>
              <w:pStyle w:val="Applicationdirecte"/>
              <w:spacing w:before="0" w:after="0"/>
            </w:pPr>
            <w:r w:rsidRPr="002E7605">
              <w:t>0090</w:t>
            </w:r>
          </w:p>
        </w:tc>
        <w:tc>
          <w:tcPr>
            <w:tcW w:w="7655" w:type="dxa"/>
            <w:vAlign w:val="center"/>
          </w:tcPr>
          <w:p w14:paraId="05F00A70"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ТЕКУЩА ПАЗАРНА СТОЙНОСТ, ПОЛОЖИТЕЛНА</w:t>
            </w:r>
          </w:p>
          <w:p w14:paraId="64CD1326"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Вж. указанията към колона 0040 в образец C 34.02.</w:t>
            </w:r>
          </w:p>
          <w:p w14:paraId="2A6475F1"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sz w:val="24"/>
              </w:rPr>
              <w:t>Институцията докладва сбора на нетиращите съвкупности с положителна пазарна стойност, ако за един и същ контрагент има няколко нетиращи съвкупности.</w:t>
            </w:r>
          </w:p>
        </w:tc>
      </w:tr>
      <w:tr w:rsidR="00EF74C7" w:rsidRPr="002E7605" w14:paraId="11A7EB1F" w14:textId="77777777" w:rsidTr="00822842">
        <w:trPr>
          <w:trHeight w:val="680"/>
        </w:trPr>
        <w:tc>
          <w:tcPr>
            <w:tcW w:w="1384" w:type="dxa"/>
          </w:tcPr>
          <w:p w14:paraId="7D8B949C" w14:textId="77777777" w:rsidR="00EF74C7" w:rsidRPr="002E7605" w:rsidRDefault="00EF74C7" w:rsidP="00822842">
            <w:pPr>
              <w:pStyle w:val="Applicationdirecte"/>
              <w:spacing w:before="0" w:after="0"/>
            </w:pPr>
            <w:r w:rsidRPr="002E7605">
              <w:t>0100</w:t>
            </w:r>
          </w:p>
        </w:tc>
        <w:tc>
          <w:tcPr>
            <w:tcW w:w="7655" w:type="dxa"/>
            <w:vAlign w:val="center"/>
          </w:tcPr>
          <w:p w14:paraId="6ED129D1"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ТЕКУЩА ПАЗАРНА СТОЙНОСТ (CMV), ОТРИЦАТЕЛНА</w:t>
            </w:r>
          </w:p>
          <w:p w14:paraId="693E2E96"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Вж. указанията към колона 0040 в образец C 34.02.</w:t>
            </w:r>
          </w:p>
          <w:p w14:paraId="118E0D7B"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sz w:val="24"/>
              </w:rPr>
              <w:t>Институцията докладва абсолютния сбор на нетиращите съвкупности с отрицателна текуща пазарна стойност, ако за един и същ контрагент има няколко нетиращи съвкупности.</w:t>
            </w:r>
          </w:p>
        </w:tc>
      </w:tr>
      <w:tr w:rsidR="00EF74C7" w:rsidRPr="002E7605" w14:paraId="733474D0" w14:textId="77777777" w:rsidTr="00822842">
        <w:trPr>
          <w:trHeight w:val="680"/>
        </w:trPr>
        <w:tc>
          <w:tcPr>
            <w:tcW w:w="1384" w:type="dxa"/>
          </w:tcPr>
          <w:p w14:paraId="71F3CA04" w14:textId="77777777" w:rsidR="00EF74C7" w:rsidRPr="002E7605" w:rsidRDefault="00EF74C7" w:rsidP="00822842">
            <w:pPr>
              <w:pStyle w:val="Applicationdirecte"/>
              <w:spacing w:before="0" w:after="0"/>
            </w:pPr>
            <w:r w:rsidRPr="002E7605">
              <w:t>0110</w:t>
            </w:r>
          </w:p>
        </w:tc>
        <w:tc>
          <w:tcPr>
            <w:tcW w:w="7655" w:type="dxa"/>
            <w:vAlign w:val="center"/>
          </w:tcPr>
          <w:p w14:paraId="3099FFC7"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СТОЙНОСТ НА ЕКСПОЗИЦИЯТА СЛЕД РКР</w:t>
            </w:r>
          </w:p>
          <w:p w14:paraId="1EF646BE"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 xml:space="preserve">Вж. указанията към колона 0160 в образец C 34.02. </w:t>
            </w:r>
          </w:p>
          <w:p w14:paraId="6904AB81"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sz w:val="24"/>
              </w:rPr>
              <w:t>Институцията докладва сбора на стойностите на експозициите след редуциране на кредитния риск на нетиращите съвкупности, ако за един и същ контрагент има няколко нетиращи съвкупности.</w:t>
            </w:r>
          </w:p>
        </w:tc>
      </w:tr>
      <w:tr w:rsidR="00EF74C7" w:rsidRPr="002E7605" w14:paraId="2DC25145" w14:textId="77777777" w:rsidTr="00822842">
        <w:trPr>
          <w:trHeight w:val="680"/>
        </w:trPr>
        <w:tc>
          <w:tcPr>
            <w:tcW w:w="1384" w:type="dxa"/>
          </w:tcPr>
          <w:p w14:paraId="3E72408E" w14:textId="77777777" w:rsidR="00EF74C7" w:rsidRPr="002E7605" w:rsidRDefault="00EF74C7" w:rsidP="00822842">
            <w:pPr>
              <w:pStyle w:val="Applicationdirecte"/>
              <w:spacing w:before="0" w:after="0"/>
            </w:pPr>
            <w:r w:rsidRPr="002E7605">
              <w:t>0120</w:t>
            </w:r>
          </w:p>
        </w:tc>
        <w:tc>
          <w:tcPr>
            <w:tcW w:w="7655" w:type="dxa"/>
            <w:vAlign w:val="center"/>
          </w:tcPr>
          <w:p w14:paraId="40235E21"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СТОЙНОСТ НА ЕКСПОЗИЦИЯТА</w:t>
            </w:r>
          </w:p>
          <w:p w14:paraId="27DEE9F6"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sz w:val="24"/>
              </w:rPr>
              <w:t>Вж. указанията към колона 0170 в образец C 34.02.</w:t>
            </w:r>
          </w:p>
        </w:tc>
      </w:tr>
      <w:tr w:rsidR="00EF74C7" w:rsidRPr="002E7605" w14:paraId="00801519" w14:textId="77777777" w:rsidTr="00822842">
        <w:trPr>
          <w:trHeight w:val="680"/>
        </w:trPr>
        <w:tc>
          <w:tcPr>
            <w:tcW w:w="1384" w:type="dxa"/>
          </w:tcPr>
          <w:p w14:paraId="12B481CF" w14:textId="77777777" w:rsidR="00EF74C7" w:rsidRPr="002E7605" w:rsidRDefault="00EF74C7" w:rsidP="00822842">
            <w:pPr>
              <w:pStyle w:val="Applicationdirecte"/>
              <w:spacing w:before="0" w:after="0"/>
            </w:pPr>
            <w:r w:rsidRPr="002E7605">
              <w:t>0130</w:t>
            </w:r>
          </w:p>
        </w:tc>
        <w:tc>
          <w:tcPr>
            <w:tcW w:w="7655" w:type="dxa"/>
            <w:vAlign w:val="center"/>
          </w:tcPr>
          <w:p w14:paraId="31E4AF74"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b/>
                <w:sz w:val="24"/>
                <w:u w:val="single"/>
              </w:rPr>
              <w:t>РИСКОВО ПРЕТЕГЛЕНИ РАЗМЕРИ НА ЕКСПОЗИЦИИТЕ</w:t>
            </w:r>
          </w:p>
          <w:p w14:paraId="2D2BB308" w14:textId="77777777" w:rsidR="00EF74C7" w:rsidRPr="002E7605" w:rsidRDefault="00EF74C7" w:rsidP="00822842">
            <w:pPr>
              <w:keepNext/>
              <w:spacing w:before="60"/>
              <w:rPr>
                <w:rFonts w:ascii="Times New Roman" w:hAnsi="Times New Roman"/>
                <w:b/>
                <w:sz w:val="24"/>
                <w:u w:val="single"/>
              </w:rPr>
            </w:pPr>
            <w:r w:rsidRPr="002E7605">
              <w:rPr>
                <w:rFonts w:ascii="Times New Roman" w:hAnsi="Times New Roman"/>
                <w:sz w:val="24"/>
              </w:rPr>
              <w:t>Вж. указанията към колона 0200 в образец C 34.02.</w:t>
            </w:r>
          </w:p>
        </w:tc>
      </w:tr>
    </w:tbl>
    <w:p w14:paraId="4CB615BB" w14:textId="77777777" w:rsidR="00EF74C7" w:rsidRPr="002E7605"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sidRPr="002E7605">
        <w:rPr>
          <w:rFonts w:ascii="Times New Roman" w:hAnsi="Times New Roman"/>
          <w:sz w:val="24"/>
        </w:rPr>
        <w:t>C 34.07 — Вътрешнорейтингов подход — Експозиции към КРК по класове експозиции и скала на вероятността за неизпълнение</w:t>
      </w:r>
      <w:bookmarkEnd w:id="48"/>
      <w:bookmarkEnd w:id="49"/>
      <w:r w:rsidRPr="002E7605">
        <w:rPr>
          <w:rFonts w:ascii="Times New Roman" w:hAnsi="Times New Roman"/>
          <w:sz w:val="24"/>
        </w:rPr>
        <w:t xml:space="preserve"> </w:t>
      </w:r>
    </w:p>
    <w:p w14:paraId="5DE58571"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sidRPr="002E7605">
        <w:rPr>
          <w:rFonts w:ascii="Times New Roman" w:hAnsi="Times New Roman"/>
          <w:sz w:val="24"/>
        </w:rPr>
        <w:t>Общи бележки</w:t>
      </w:r>
      <w:bookmarkEnd w:id="50"/>
      <w:bookmarkEnd w:id="51"/>
    </w:p>
    <w:p w14:paraId="493D377D" w14:textId="08D4F1D7"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128</w:t>
      </w:r>
      <w:r w:rsidRPr="002E7605">
        <w:fldChar w:fldCharType="end"/>
      </w:r>
      <w:r w:rsidRPr="002E7605">
        <w:t xml:space="preserve">. Този образец се докладва от институциите, които използват усъвършенствания или основния вътрешнорейтингов подход за изчисляване на рисково претеглените размери на всички свои експозиции към КРК или за част от тях в съответствие с член 107 от Регламент (ЕС) 575/2013, независимо от подхода за КРК, използван за определяне на стойностите на експозициите в съответствие с трета част, дял II, глави 4 и 6 от Регламент (ЕС) 575/2013. </w:t>
      </w:r>
    </w:p>
    <w:p w14:paraId="4C8689E1" w14:textId="222A66BC"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129</w:t>
      </w:r>
      <w:r w:rsidRPr="002E7605">
        <w:fldChar w:fldCharType="end"/>
      </w:r>
      <w:r w:rsidRPr="002E7605">
        <w:t xml:space="preserve">. Образецът се докладва поотделно за общия размер на всички класове експозиции, както и поотделно за всеки от изброените в член 147 от Регламент (ЕС) 575/2013 класове експозиции. В този образец се изключват експозициите, преминали клиринг чрез ЦК. </w:t>
      </w:r>
    </w:p>
    <w:p w14:paraId="606463EA" w14:textId="4FB3F052" w:rsidR="00EF74C7" w:rsidRPr="002E7605" w:rsidRDefault="00EF74C7" w:rsidP="00EF74C7">
      <w:pPr>
        <w:pStyle w:val="InstructionsText2"/>
        <w:numPr>
          <w:ilvl w:val="0"/>
          <w:numId w:val="0"/>
        </w:numPr>
        <w:ind w:left="993"/>
      </w:pPr>
      <w:r w:rsidRPr="002E7605">
        <w:lastRenderedPageBreak/>
        <w:fldChar w:fldCharType="begin"/>
      </w:r>
      <w:r w:rsidRPr="002E7605">
        <w:instrText>seq paragraphs</w:instrText>
      </w:r>
      <w:r w:rsidRPr="002E7605">
        <w:fldChar w:fldCharType="separate"/>
      </w:r>
      <w:r w:rsidRPr="002E7605">
        <w:t>130</w:t>
      </w:r>
      <w:r w:rsidRPr="002E7605">
        <w:fldChar w:fldCharType="end"/>
      </w:r>
      <w:r w:rsidRPr="002E7605">
        <w:t>. За да се изясни дали институцията използва собствени оценки на загубата от неизпълнение (параметър LGD) и/или кредитни конверсионни коефициенти, информацията по-долу се предоставя за всеки докладван клас експозиции:</w:t>
      </w:r>
    </w:p>
    <w:p w14:paraId="0659E66C" w14:textId="77777777" w:rsidR="00EF74C7" w:rsidRPr="002E7605" w:rsidRDefault="00EF74C7" w:rsidP="00EF74C7">
      <w:pPr>
        <w:autoSpaceDE w:val="0"/>
        <w:autoSpaceDN w:val="0"/>
        <w:adjustRightInd w:val="0"/>
        <w:spacing w:after="240"/>
        <w:ind w:left="709"/>
        <w:rPr>
          <w:rFonts w:ascii="Times New Roman" w:hAnsi="Times New Roman"/>
          <w:sz w:val="24"/>
        </w:rPr>
      </w:pPr>
      <w:r w:rsidRPr="002E7605">
        <w:rPr>
          <w:rFonts w:ascii="Times New Roman" w:hAnsi="Times New Roman"/>
          <w:sz w:val="24"/>
        </w:rPr>
        <w:t>„НЕ“ = ако се използват надзорни оценки на параметъра LGD и кредитните конверсионни коефициенти (основен вътрешнорейтингов подход);</w:t>
      </w:r>
    </w:p>
    <w:p w14:paraId="41E96B9D" w14:textId="77777777" w:rsidR="00EF74C7" w:rsidRPr="002E7605" w:rsidRDefault="00EF74C7" w:rsidP="00EF74C7">
      <w:pPr>
        <w:autoSpaceDE w:val="0"/>
        <w:autoSpaceDN w:val="0"/>
        <w:adjustRightInd w:val="0"/>
        <w:spacing w:after="240"/>
        <w:ind w:left="709"/>
        <w:rPr>
          <w:rFonts w:ascii="Times New Roman" w:hAnsi="Times New Roman"/>
          <w:sz w:val="24"/>
        </w:rPr>
      </w:pPr>
      <w:r w:rsidRPr="002E7605">
        <w:rPr>
          <w:rFonts w:ascii="Times New Roman" w:hAnsi="Times New Roman"/>
          <w:sz w:val="24"/>
        </w:rPr>
        <w:t xml:space="preserve">„ДА“ = ако се използват собствени оценки на параметъра LGD и кредитните конверсионни коефициенти (усъвършенстван вътрешнорейтингов подход). </w:t>
      </w:r>
    </w:p>
    <w:p w14:paraId="32D25096"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sidRPr="002E7605">
        <w:rPr>
          <w:rFonts w:ascii="Times New Roman" w:hAnsi="Times New Roman"/>
          <w:sz w:val="24"/>
        </w:rPr>
        <w:t>Указания относно конкретни позиции</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E7605" w14:paraId="0D87515F" w14:textId="77777777" w:rsidTr="00822842">
        <w:trPr>
          <w:trHeight w:val="238"/>
        </w:trPr>
        <w:tc>
          <w:tcPr>
            <w:tcW w:w="9067" w:type="dxa"/>
            <w:shd w:val="clear" w:color="auto" w:fill="D9D9D9" w:themeFill="background1" w:themeFillShade="D9"/>
          </w:tcPr>
          <w:p w14:paraId="496A4935"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Колони</w:t>
            </w:r>
          </w:p>
        </w:tc>
      </w:tr>
    </w:tbl>
    <w:tbl>
      <w:tblPr>
        <w:tblStyle w:val="TableGrid"/>
        <w:tblW w:w="9067" w:type="dxa"/>
        <w:tblLook w:val="04A0" w:firstRow="1" w:lastRow="0" w:firstColumn="1" w:lastColumn="0" w:noHBand="0" w:noVBand="1"/>
      </w:tblPr>
      <w:tblGrid>
        <w:gridCol w:w="1413"/>
        <w:gridCol w:w="7654"/>
      </w:tblGrid>
      <w:tr w:rsidR="00EF74C7" w:rsidRPr="002E7605" w14:paraId="5CB4A790" w14:textId="77777777" w:rsidTr="00822842">
        <w:tc>
          <w:tcPr>
            <w:tcW w:w="1413" w:type="dxa"/>
          </w:tcPr>
          <w:p w14:paraId="1B495832" w14:textId="77777777" w:rsidR="00EF74C7" w:rsidRPr="002E7605" w:rsidRDefault="00EF74C7" w:rsidP="00822842">
            <w:pPr>
              <w:spacing w:before="60" w:after="240"/>
              <w:rPr>
                <w:rFonts w:ascii="Times New Roman" w:hAnsi="Times New Roman"/>
                <w:sz w:val="24"/>
                <w:szCs w:val="22"/>
              </w:rPr>
            </w:pPr>
            <w:r w:rsidRPr="002E7605">
              <w:rPr>
                <w:rFonts w:ascii="Times New Roman" w:hAnsi="Times New Roman"/>
                <w:sz w:val="24"/>
              </w:rPr>
              <w:t>0010</w:t>
            </w:r>
          </w:p>
        </w:tc>
        <w:tc>
          <w:tcPr>
            <w:tcW w:w="7654" w:type="dxa"/>
          </w:tcPr>
          <w:p w14:paraId="67C92FDB"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Стойност на експозицията </w:t>
            </w:r>
          </w:p>
          <w:p w14:paraId="2C3DDF84" w14:textId="77777777" w:rsidR="00EF74C7" w:rsidRPr="002E7605" w:rsidRDefault="00EF74C7" w:rsidP="00822842">
            <w:pPr>
              <w:spacing w:before="60" w:after="240"/>
              <w:rPr>
                <w:rFonts w:ascii="Times New Roman" w:hAnsi="Times New Roman"/>
                <w:sz w:val="24"/>
              </w:rPr>
            </w:pPr>
            <w:r w:rsidRPr="002E7605">
              <w:rPr>
                <w:rFonts w:ascii="Times New Roman" w:hAnsi="Times New Roman"/>
                <w:sz w:val="24"/>
              </w:rPr>
              <w:t>Стойност на експозицията (вж. указанията към колона 0170 в образец C 34.02), с разбивка по дадената скала на вероятността от неизпълнение</w:t>
            </w:r>
          </w:p>
        </w:tc>
      </w:tr>
      <w:tr w:rsidR="00EF74C7" w:rsidRPr="002E7605" w14:paraId="7A3BA614" w14:textId="77777777" w:rsidTr="00822842">
        <w:tc>
          <w:tcPr>
            <w:tcW w:w="1413" w:type="dxa"/>
          </w:tcPr>
          <w:p w14:paraId="198D2CA3" w14:textId="77777777" w:rsidR="00EF74C7" w:rsidRPr="002E7605" w:rsidRDefault="00EF74C7" w:rsidP="00822842">
            <w:pPr>
              <w:spacing w:before="60" w:after="240"/>
              <w:rPr>
                <w:rFonts w:ascii="Times New Roman" w:hAnsi="Times New Roman"/>
                <w:sz w:val="24"/>
                <w:szCs w:val="22"/>
              </w:rPr>
            </w:pPr>
            <w:r w:rsidRPr="002E7605">
              <w:rPr>
                <w:rFonts w:ascii="Times New Roman" w:hAnsi="Times New Roman"/>
                <w:sz w:val="24"/>
              </w:rPr>
              <w:t>0020</w:t>
            </w:r>
          </w:p>
        </w:tc>
        <w:tc>
          <w:tcPr>
            <w:tcW w:w="7654" w:type="dxa"/>
          </w:tcPr>
          <w:p w14:paraId="57F61D37" w14:textId="77777777" w:rsidR="00EF74C7" w:rsidRPr="002E7605" w:rsidRDefault="00EF74C7" w:rsidP="00822842">
            <w:pPr>
              <w:spacing w:before="60" w:after="240"/>
              <w:rPr>
                <w:rStyle w:val="InstructionsTabelleberschrift"/>
                <w:rFonts w:ascii="Times New Roman" w:hAnsi="Times New Roman"/>
                <w:sz w:val="24"/>
              </w:rPr>
            </w:pPr>
            <w:r w:rsidRPr="002E7605">
              <w:rPr>
                <w:rStyle w:val="InstructionsTabelleberschrift"/>
                <w:rFonts w:ascii="Times New Roman" w:hAnsi="Times New Roman"/>
                <w:sz w:val="24"/>
              </w:rPr>
              <w:t>Среднопретеглена по експозиции вероятност от неизпълнение (PD) (%)</w:t>
            </w:r>
          </w:p>
          <w:p w14:paraId="17CBA312" w14:textId="77777777" w:rsidR="00EF74C7" w:rsidRPr="002E7605" w:rsidRDefault="00EF74C7" w:rsidP="00822842">
            <w:pPr>
              <w:spacing w:before="60" w:after="240"/>
              <w:rPr>
                <w:rFonts w:ascii="Times New Roman" w:hAnsi="Times New Roman"/>
                <w:sz w:val="24"/>
              </w:rPr>
            </w:pPr>
            <w:r w:rsidRPr="002E7605">
              <w:rPr>
                <w:rFonts w:ascii="Times New Roman" w:hAnsi="Times New Roman"/>
                <w:sz w:val="24"/>
              </w:rPr>
              <w:t>Средната стойност на вероятностите от неизпълнение на отделна категория длъжници, претеглена със съответната стойност на експозицията им съгласно определението за колона 0010.</w:t>
            </w:r>
          </w:p>
        </w:tc>
      </w:tr>
      <w:tr w:rsidR="00EF74C7" w:rsidRPr="002E7605" w14:paraId="463531AA" w14:textId="77777777" w:rsidTr="00822842">
        <w:tc>
          <w:tcPr>
            <w:tcW w:w="1413" w:type="dxa"/>
          </w:tcPr>
          <w:p w14:paraId="5D5F447A" w14:textId="77777777" w:rsidR="00EF74C7" w:rsidRPr="002E7605" w:rsidRDefault="00EF74C7" w:rsidP="00822842">
            <w:pPr>
              <w:spacing w:before="60" w:after="240"/>
              <w:rPr>
                <w:rFonts w:ascii="Times New Roman" w:hAnsi="Times New Roman"/>
                <w:sz w:val="24"/>
                <w:szCs w:val="22"/>
              </w:rPr>
            </w:pPr>
            <w:r w:rsidRPr="002E7605">
              <w:rPr>
                <w:rFonts w:ascii="Times New Roman" w:hAnsi="Times New Roman"/>
                <w:sz w:val="24"/>
              </w:rPr>
              <w:t>0030</w:t>
            </w:r>
          </w:p>
        </w:tc>
        <w:tc>
          <w:tcPr>
            <w:tcW w:w="7654" w:type="dxa"/>
          </w:tcPr>
          <w:p w14:paraId="2AD2D5DC"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Брой на длъжниците </w:t>
            </w:r>
          </w:p>
          <w:p w14:paraId="75633515" w14:textId="77777777" w:rsidR="00EF74C7" w:rsidRPr="002E7605" w:rsidRDefault="00EF74C7" w:rsidP="00822842">
            <w:pPr>
              <w:rPr>
                <w:rFonts w:ascii="Times New Roman" w:hAnsi="Times New Roman"/>
                <w:sz w:val="24"/>
              </w:rPr>
            </w:pPr>
            <w:r w:rsidRPr="002E7605">
              <w:rPr>
                <w:rFonts w:ascii="Times New Roman" w:hAnsi="Times New Roman"/>
                <w:sz w:val="24"/>
              </w:rPr>
              <w:t>Брой на юридическите лица или длъжниците, отнесени към всеки интервал на фиксираната скала на вероятността от неизпълнение, на които е присъден отделен рейтинг, независимо от броя на отпуснатите различни кредити или експозиции.</w:t>
            </w:r>
          </w:p>
          <w:p w14:paraId="79F85080" w14:textId="77777777" w:rsidR="00EF74C7" w:rsidRPr="002E7605" w:rsidRDefault="00EF74C7" w:rsidP="00822842">
            <w:pPr>
              <w:rPr>
                <w:rFonts w:ascii="Times New Roman" w:hAnsi="Times New Roman"/>
                <w:sz w:val="24"/>
              </w:rPr>
            </w:pPr>
            <w:r w:rsidRPr="002E7605">
              <w:rPr>
                <w:rFonts w:ascii="Times New Roman" w:hAnsi="Times New Roman"/>
                <w:sz w:val="24"/>
              </w:rPr>
              <w:t>Когато на различните експозиции към един и същ длъжник е присъден отделен рейтинг, те се посочват поотделно. Такъв е случаят, когато отделни експозиции към един и същ длъжник са отнесени към различни категории длъжници по силата на член 172, параграф 1, буква д), второ изречение от Регламент (ЕС) 575/2013.</w:t>
            </w:r>
          </w:p>
        </w:tc>
      </w:tr>
      <w:tr w:rsidR="00EF74C7" w:rsidRPr="002E7605" w14:paraId="239943F5" w14:textId="77777777" w:rsidTr="00822842">
        <w:tc>
          <w:tcPr>
            <w:tcW w:w="1413" w:type="dxa"/>
          </w:tcPr>
          <w:p w14:paraId="01BF27A5" w14:textId="77777777" w:rsidR="00EF74C7" w:rsidRPr="002E7605" w:rsidRDefault="00EF74C7" w:rsidP="00822842">
            <w:pPr>
              <w:spacing w:before="60" w:after="240"/>
              <w:rPr>
                <w:rFonts w:ascii="Times New Roman" w:hAnsi="Times New Roman"/>
                <w:sz w:val="24"/>
                <w:szCs w:val="22"/>
              </w:rPr>
            </w:pPr>
            <w:r w:rsidRPr="002E7605">
              <w:rPr>
                <w:rFonts w:ascii="Times New Roman" w:hAnsi="Times New Roman"/>
                <w:sz w:val="24"/>
              </w:rPr>
              <w:t>0040</w:t>
            </w:r>
          </w:p>
        </w:tc>
        <w:tc>
          <w:tcPr>
            <w:tcW w:w="7654" w:type="dxa"/>
          </w:tcPr>
          <w:p w14:paraId="1D60931A" w14:textId="77777777" w:rsidR="00EF74C7" w:rsidRPr="002E7605" w:rsidRDefault="00EF74C7" w:rsidP="00822842">
            <w:pPr>
              <w:spacing w:before="60" w:after="240"/>
              <w:rPr>
                <w:rStyle w:val="InstructionsTabelleberschrift"/>
                <w:rFonts w:ascii="Times New Roman" w:hAnsi="Times New Roman"/>
                <w:sz w:val="24"/>
              </w:rPr>
            </w:pPr>
            <w:r w:rsidRPr="002E7605">
              <w:rPr>
                <w:rStyle w:val="InstructionsTabelleberschrift"/>
                <w:rFonts w:ascii="Times New Roman" w:hAnsi="Times New Roman"/>
                <w:sz w:val="24"/>
              </w:rPr>
              <w:t>Среднопретеглена по експозиции загуба при неизпълнение (LGD) (%)</w:t>
            </w:r>
          </w:p>
          <w:p w14:paraId="1CF7FBBB" w14:textId="77777777" w:rsidR="00EF74C7" w:rsidRPr="002E7605" w:rsidRDefault="00EF74C7" w:rsidP="00822842">
            <w:pPr>
              <w:spacing w:before="60" w:after="240"/>
              <w:rPr>
                <w:rFonts w:ascii="Times New Roman" w:hAnsi="Times New Roman"/>
                <w:sz w:val="24"/>
              </w:rPr>
            </w:pPr>
            <w:r w:rsidRPr="002E7605">
              <w:rPr>
                <w:rFonts w:ascii="Times New Roman" w:hAnsi="Times New Roman"/>
                <w:sz w:val="24"/>
              </w:rPr>
              <w:t>Средната стойност на загубите при неизпълнение на категория длъжници, претеглена със съответната стойност на експозицията им съгласно определението за колона 0010.</w:t>
            </w:r>
          </w:p>
          <w:p w14:paraId="7080F0A6" w14:textId="080029A0" w:rsidR="00EF74C7" w:rsidRPr="002E7605" w:rsidRDefault="00EF74C7" w:rsidP="00822842">
            <w:pPr>
              <w:rPr>
                <w:rFonts w:ascii="Times New Roman" w:hAnsi="Times New Roman"/>
                <w:sz w:val="24"/>
              </w:rPr>
            </w:pPr>
            <w:r w:rsidRPr="002E7605">
              <w:rPr>
                <w:rFonts w:ascii="Times New Roman" w:hAnsi="Times New Roman"/>
                <w:sz w:val="24"/>
              </w:rPr>
              <w:t xml:space="preserve">Докладваната LGD съответства на окончателната оценка на LGD, използвана при изчисляването на рисково претеглените стойности на експозициите, получени след като е взето предвид въздействието от редуцирането на кредитния риск и неблагоприятни условия, посочени в трета част, дял II, глави 3 и 4 от Регламент (ЕС) 575/2013, според случая. По-специално, за институциите, които прилагат вътрешнорейтинговия </w:t>
            </w:r>
            <w:r w:rsidRPr="002E7605">
              <w:rPr>
                <w:rFonts w:ascii="Times New Roman" w:hAnsi="Times New Roman"/>
                <w:sz w:val="24"/>
              </w:rPr>
              <w:lastRenderedPageBreak/>
              <w:t>подход, но не използват собствени оценки на LGD, въздействието на редуцирането на риска при финансовото обезпечение се отразява в E* — напълно коригираната стойност на експозицията, и след това в LGD* съгласно член 230 от Регламент (ЕС) 575/2013. Ако се прилагат собствени оценки на LGD се взимат предвид член 175 и член 181, параграфи 1 и 2 от Регламент (ЕС) 575/2013.</w:t>
            </w:r>
          </w:p>
          <w:p w14:paraId="1D9D0798" w14:textId="77777777" w:rsidR="00EF74C7" w:rsidRPr="002E7605" w:rsidRDefault="00EF74C7" w:rsidP="00822842">
            <w:pPr>
              <w:rPr>
                <w:rFonts w:ascii="Times New Roman" w:hAnsi="Times New Roman"/>
                <w:sz w:val="24"/>
              </w:rPr>
            </w:pPr>
            <w:r w:rsidRPr="002E7605">
              <w:rPr>
                <w:rFonts w:ascii="Times New Roman" w:hAnsi="Times New Roman"/>
                <w:sz w:val="24"/>
              </w:rPr>
              <w:t>При експозициите, за които се прилага третиране при двойно неизпълнение, се докладва LGD, съответстваща на избраната съгласно член 161, параграф 4 от Регламент (ЕС) № 575/2013.</w:t>
            </w:r>
          </w:p>
          <w:p w14:paraId="2C390C4A" w14:textId="77777777" w:rsidR="00EF74C7" w:rsidRPr="002E7605" w:rsidRDefault="00EF74C7" w:rsidP="00822842">
            <w:pPr>
              <w:spacing w:before="60" w:after="240"/>
              <w:rPr>
                <w:rFonts w:ascii="Times New Roman" w:hAnsi="Times New Roman"/>
                <w:strike/>
                <w:sz w:val="24"/>
              </w:rPr>
            </w:pPr>
            <w:r w:rsidRPr="002E7605">
              <w:rPr>
                <w:rFonts w:ascii="Times New Roman" w:hAnsi="Times New Roman"/>
                <w:sz w:val="24"/>
              </w:rPr>
              <w:t xml:space="preserve">За експозициите в неизпълнение по вътрешнорейтингов подход А се вземат предвид разпоредбите по член 181, параграф 1, буква з) от Регламент (ЕС) № 575/2013. Докладваната LGD съответства на окончателната оценка на LGD в неизпълнение. </w:t>
            </w:r>
          </w:p>
        </w:tc>
      </w:tr>
      <w:tr w:rsidR="00EF74C7" w:rsidRPr="002E7605" w14:paraId="6EA42417" w14:textId="77777777" w:rsidTr="00822842">
        <w:tc>
          <w:tcPr>
            <w:tcW w:w="1413" w:type="dxa"/>
          </w:tcPr>
          <w:p w14:paraId="49D0D602" w14:textId="77777777" w:rsidR="00EF74C7" w:rsidRPr="002E7605" w:rsidRDefault="00EF74C7" w:rsidP="00822842">
            <w:pPr>
              <w:spacing w:before="60" w:after="240"/>
              <w:rPr>
                <w:rFonts w:ascii="Times New Roman" w:hAnsi="Times New Roman"/>
                <w:sz w:val="24"/>
              </w:rPr>
            </w:pPr>
            <w:r w:rsidRPr="002E7605">
              <w:rPr>
                <w:rFonts w:ascii="Times New Roman" w:hAnsi="Times New Roman"/>
                <w:sz w:val="24"/>
              </w:rPr>
              <w:lastRenderedPageBreak/>
              <w:t>0050</w:t>
            </w:r>
          </w:p>
        </w:tc>
        <w:tc>
          <w:tcPr>
            <w:tcW w:w="7654" w:type="dxa"/>
          </w:tcPr>
          <w:p w14:paraId="6BAEF9EB"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Среднопретеглен по експозиции срок до падежа (години)</w:t>
            </w:r>
          </w:p>
          <w:p w14:paraId="32B69B7E"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Средната стойност на сроковете до падеж по длъжници в години, претеглена със съответната стойност на експозицията им съгласно определението за колона 0010.</w:t>
            </w:r>
          </w:p>
          <w:p w14:paraId="2277F2A3" w14:textId="77777777" w:rsidR="00EF74C7" w:rsidRPr="002E7605" w:rsidRDefault="00EF74C7" w:rsidP="00822842">
            <w:pPr>
              <w:rPr>
                <w:rFonts w:ascii="Times New Roman" w:hAnsi="Times New Roman"/>
                <w:sz w:val="24"/>
              </w:rPr>
            </w:pPr>
            <w:r w:rsidRPr="002E7605">
              <w:rPr>
                <w:rFonts w:ascii="Times New Roman" w:hAnsi="Times New Roman"/>
                <w:sz w:val="24"/>
              </w:rPr>
              <w:t xml:space="preserve">Падежът се определя в съответствие с член 162 от Регламент (ЕС) № 575/2013. </w:t>
            </w:r>
          </w:p>
        </w:tc>
      </w:tr>
      <w:tr w:rsidR="00EF74C7" w:rsidRPr="002E7605" w14:paraId="5B18C05A" w14:textId="77777777" w:rsidTr="00822842">
        <w:tc>
          <w:tcPr>
            <w:tcW w:w="1413" w:type="dxa"/>
          </w:tcPr>
          <w:p w14:paraId="2A096E22" w14:textId="77777777" w:rsidR="00EF74C7" w:rsidRPr="002E7605" w:rsidRDefault="00EF74C7" w:rsidP="00822842">
            <w:pPr>
              <w:spacing w:before="60" w:after="240"/>
              <w:rPr>
                <w:sz w:val="24"/>
              </w:rPr>
            </w:pPr>
            <w:r w:rsidRPr="002E7605">
              <w:rPr>
                <w:rFonts w:ascii="Times New Roman" w:hAnsi="Times New Roman"/>
                <w:sz w:val="24"/>
              </w:rPr>
              <w:t>0060</w:t>
            </w:r>
          </w:p>
        </w:tc>
        <w:tc>
          <w:tcPr>
            <w:tcW w:w="7654" w:type="dxa"/>
          </w:tcPr>
          <w:p w14:paraId="46D2D7DB" w14:textId="77777777" w:rsidR="00EF74C7" w:rsidRPr="002E7605" w:rsidRDefault="00EF74C7" w:rsidP="00822842">
            <w:pPr>
              <w:spacing w:before="60"/>
              <w:rPr>
                <w:rFonts w:ascii="Times New Roman" w:hAnsi="Times New Roman"/>
                <w:sz w:val="24"/>
              </w:rPr>
            </w:pPr>
            <w:r w:rsidRPr="002E7605">
              <w:rPr>
                <w:rStyle w:val="InstructionsTabelleberschrift"/>
                <w:rFonts w:ascii="Times New Roman" w:hAnsi="Times New Roman"/>
                <w:sz w:val="24"/>
              </w:rPr>
              <w:t>Рисково претеглени размери на експозициите</w:t>
            </w:r>
            <w:r w:rsidRPr="002E7605">
              <w:rPr>
                <w:rFonts w:ascii="Times New Roman" w:hAnsi="Times New Roman"/>
                <w:i/>
                <w:sz w:val="24"/>
              </w:rPr>
              <w:t xml:space="preserve"> </w:t>
            </w:r>
          </w:p>
          <w:p w14:paraId="21AFCDAB" w14:textId="09499DC5"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Рисково претеглените експозиции, както са определени в член 92, параграф 3 от Регламент (ЕС) № 575/2013, за позициите, чиито рискови тегла се оценяват въз основа на изискванията в трета част, дял II, глава 3 от Регламент (ЕС) № 575/2013 и за които стойността на експозицията за дейностите, обект на кредитен риск от контрагента, се изчислява в съответствие с трета част, дял II, глави 4 и 6 от същия регламент. </w:t>
            </w:r>
          </w:p>
          <w:p w14:paraId="7071DC2E" w14:textId="77777777" w:rsidR="00EF74C7" w:rsidRPr="002E7605" w:rsidRDefault="00EF74C7" w:rsidP="00822842">
            <w:pPr>
              <w:spacing w:before="60" w:after="240"/>
              <w:rPr>
                <w:rFonts w:ascii="Times New Roman" w:hAnsi="Times New Roman"/>
                <w:i/>
                <w:sz w:val="24"/>
              </w:rPr>
            </w:pPr>
            <w:r w:rsidRPr="002E7605">
              <w:rPr>
                <w:rFonts w:ascii="Times New Roman" w:hAnsi="Times New Roman"/>
                <w:sz w:val="24"/>
              </w:rPr>
              <w:t xml:space="preserve">Посочените в членове 501 и 501а от Регламент (ЕС) № 575/2013 коефициенти за подпомагане на МСП и на финансирането на инфраструктура се взимат предвид. </w:t>
            </w:r>
          </w:p>
        </w:tc>
      </w:tr>
      <w:tr w:rsidR="00EF74C7" w:rsidRPr="002E7605" w14:paraId="4BA3B7AB" w14:textId="77777777" w:rsidTr="00822842">
        <w:tc>
          <w:tcPr>
            <w:tcW w:w="1413" w:type="dxa"/>
          </w:tcPr>
          <w:p w14:paraId="5F982F69" w14:textId="77777777" w:rsidR="00EF74C7" w:rsidRPr="002E7605" w:rsidRDefault="00EF74C7" w:rsidP="00822842">
            <w:pPr>
              <w:spacing w:before="60" w:after="240"/>
              <w:rPr>
                <w:sz w:val="24"/>
              </w:rPr>
            </w:pPr>
            <w:r w:rsidRPr="002E7605">
              <w:rPr>
                <w:rFonts w:ascii="Times New Roman" w:hAnsi="Times New Roman"/>
                <w:sz w:val="24"/>
              </w:rPr>
              <w:t>0070</w:t>
            </w:r>
          </w:p>
        </w:tc>
        <w:tc>
          <w:tcPr>
            <w:tcW w:w="7654" w:type="dxa"/>
          </w:tcPr>
          <w:p w14:paraId="6C5FAC81"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Плътност на рисково претеглените размери на експозициите </w:t>
            </w:r>
          </w:p>
          <w:p w14:paraId="2D69B724" w14:textId="77777777" w:rsidR="00EF74C7" w:rsidRPr="002E7605" w:rsidDel="00291448" w:rsidRDefault="00EF74C7" w:rsidP="00822842">
            <w:pPr>
              <w:spacing w:before="60"/>
              <w:rPr>
                <w:rFonts w:ascii="Times New Roman" w:hAnsi="Times New Roman"/>
                <w:sz w:val="24"/>
              </w:rPr>
            </w:pPr>
            <w:r w:rsidRPr="002E7605">
              <w:rPr>
                <w:rFonts w:ascii="Times New Roman" w:hAnsi="Times New Roman"/>
                <w:sz w:val="24"/>
              </w:rPr>
              <w:t>Съотношението на общия рисково претеглен размер на експозициите (докладван в колона 0060) към стойността на експозицията (докладвана в колона 0010).</w:t>
            </w:r>
          </w:p>
        </w:tc>
      </w:tr>
    </w:tbl>
    <w:p w14:paraId="62CA01EC" w14:textId="77777777" w:rsidR="00EF74C7" w:rsidRPr="002E7605"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175F0F1C" w14:textId="77777777" w:rsidTr="00822842">
        <w:trPr>
          <w:trHeight w:val="720"/>
        </w:trPr>
        <w:tc>
          <w:tcPr>
            <w:tcW w:w="9039" w:type="dxa"/>
            <w:gridSpan w:val="2"/>
            <w:shd w:val="clear" w:color="auto" w:fill="D9D9D9" w:themeFill="background1" w:themeFillShade="D9"/>
          </w:tcPr>
          <w:p w14:paraId="7AB89CAA"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b/>
                <w:sz w:val="24"/>
              </w:rPr>
              <w:t xml:space="preserve">Редове </w:t>
            </w:r>
          </w:p>
        </w:tc>
      </w:tr>
      <w:tr w:rsidR="00EF74C7" w:rsidRPr="002E7605" w14:paraId="68004F65" w14:textId="77777777" w:rsidTr="00822842">
        <w:trPr>
          <w:trHeight w:val="680"/>
        </w:trPr>
        <w:tc>
          <w:tcPr>
            <w:tcW w:w="1384" w:type="dxa"/>
          </w:tcPr>
          <w:p w14:paraId="34D367A2" w14:textId="77777777" w:rsidR="00EF74C7" w:rsidRPr="002E7605" w:rsidRDefault="00EF74C7" w:rsidP="00822842">
            <w:pPr>
              <w:pStyle w:val="Applicationdirecte"/>
              <w:spacing w:before="60" w:after="0"/>
              <w:jc w:val="center"/>
            </w:pPr>
            <w:r w:rsidRPr="002E7605">
              <w:t>0010—0170</w:t>
            </w:r>
          </w:p>
        </w:tc>
        <w:tc>
          <w:tcPr>
            <w:tcW w:w="7655" w:type="dxa"/>
            <w:vAlign w:val="center"/>
          </w:tcPr>
          <w:p w14:paraId="2D3B901D" w14:textId="77777777" w:rsidR="00EF74C7" w:rsidRPr="002E7605" w:rsidRDefault="00EF74C7" w:rsidP="00822842">
            <w:pPr>
              <w:spacing w:before="60"/>
              <w:rPr>
                <w:rFonts w:ascii="Times New Roman" w:hAnsi="Times New Roman"/>
                <w:b/>
                <w:bCs/>
                <w:sz w:val="24"/>
                <w:u w:val="single"/>
              </w:rPr>
            </w:pPr>
            <w:r w:rsidRPr="002E7605">
              <w:rPr>
                <w:rStyle w:val="InstructionsTabelleberschrift"/>
                <w:rFonts w:ascii="Times New Roman" w:hAnsi="Times New Roman"/>
                <w:sz w:val="24"/>
              </w:rPr>
              <w:t>Скала на вероятността от неизпълнение</w:t>
            </w:r>
          </w:p>
          <w:p w14:paraId="61146F57" w14:textId="68363C58"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Експозициите към КРК (определени на равнище контрагент) се отнасят към подходящия интервал на фиксираната скала на вероятността от неизпълнение въз основа на оценката на вероятността от неизпълнение за всеки длъжник, отнесена към този клас експозиции (като се взимат </w:t>
            </w:r>
            <w:r w:rsidRPr="002E7605">
              <w:rPr>
                <w:rFonts w:ascii="Times New Roman" w:hAnsi="Times New Roman"/>
                <w:sz w:val="24"/>
              </w:rPr>
              <w:lastRenderedPageBreak/>
              <w:t>предвид ефектите на заместване поради съществуването на гаранция или кредитен дериват). Институциите отнасят експозицията към съответната скала на вероятността от неизпълнение, представена в образеца, като взимат предвид и непрекъснатите скали. Всички експозиции в неизпълнение се включват в интервала с вероятността от неизпълнение — 100</w:t>
            </w:r>
            <w:r w:rsidRPr="002E7605">
              <w:t> </w:t>
            </w:r>
            <w:r w:rsidRPr="002E7605">
              <w:rPr>
                <w:rFonts w:ascii="Times New Roman" w:hAnsi="Times New Roman"/>
                <w:sz w:val="24"/>
              </w:rPr>
              <w:t>%.</w:t>
            </w:r>
          </w:p>
        </w:tc>
      </w:tr>
    </w:tbl>
    <w:p w14:paraId="6EF2BA05"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sidRPr="002E7605">
        <w:rPr>
          <w:rFonts w:ascii="Times New Roman" w:hAnsi="Times New Roman"/>
          <w:sz w:val="24"/>
        </w:rPr>
        <w:lastRenderedPageBreak/>
        <w:t>C 34.08 — Състав на обезпечението за експозиции към КРК</w:t>
      </w:r>
      <w:bookmarkEnd w:id="54"/>
      <w:bookmarkEnd w:id="55"/>
    </w:p>
    <w:p w14:paraId="70D733F8"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sidRPr="002E7605">
        <w:rPr>
          <w:rFonts w:ascii="Times New Roman" w:hAnsi="Times New Roman"/>
          <w:sz w:val="24"/>
        </w:rPr>
        <w:t>Общи бележки</w:t>
      </w:r>
      <w:bookmarkEnd w:id="56"/>
      <w:bookmarkEnd w:id="57"/>
    </w:p>
    <w:p w14:paraId="0AF1AF80" w14:textId="794CBD92"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131</w:t>
      </w:r>
      <w:r w:rsidRPr="002E7605">
        <w:fldChar w:fldCharType="end"/>
      </w:r>
      <w:r w:rsidRPr="002E7605">
        <w:t xml:space="preserve">. В този образец се попълват справедливите стойности на обезпечението (предоставено или получено), използвано по експозициите към КРК, свързани със сделки с деривати, сделки с удължен сетълмент или СФЦК, независимо дали сделките са преминали клиринг чрез ЦК, или не и дали на ЦК е предоставено обезпечение, или не. </w:t>
      </w:r>
    </w:p>
    <w:p w14:paraId="74E68575"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sidRPr="002E7605">
        <w:rPr>
          <w:rFonts w:ascii="Times New Roman" w:hAnsi="Times New Roman"/>
          <w:sz w:val="24"/>
        </w:rPr>
        <w:t>Указания относно конкретни позиции</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E7605" w:rsidRDefault="00EF74C7" w:rsidP="00822842">
            <w:pPr>
              <w:pStyle w:val="TableMainHeading"/>
              <w:spacing w:before="60"/>
              <w:rPr>
                <w:rFonts w:ascii="Times New Roman" w:hAnsi="Times New Roman"/>
                <w:b/>
                <w:sz w:val="24"/>
                <w:szCs w:val="24"/>
              </w:rPr>
            </w:pPr>
            <w:r w:rsidRPr="002E7605">
              <w:rPr>
                <w:rFonts w:ascii="Times New Roman" w:hAnsi="Times New Roman"/>
                <w:b/>
                <w:sz w:val="24"/>
              </w:rPr>
              <w:t xml:space="preserve">Колони </w:t>
            </w:r>
          </w:p>
        </w:tc>
      </w:tr>
      <w:tr w:rsidR="00EF74C7" w:rsidRPr="002E7605" w14:paraId="26586561" w14:textId="77777777" w:rsidTr="00822842">
        <w:trPr>
          <w:trHeight w:val="680"/>
        </w:trPr>
        <w:tc>
          <w:tcPr>
            <w:tcW w:w="1384" w:type="dxa"/>
          </w:tcPr>
          <w:p w14:paraId="21B980D6" w14:textId="77777777" w:rsidR="00EF74C7" w:rsidRPr="002E7605" w:rsidRDefault="00EF74C7" w:rsidP="00822842">
            <w:pPr>
              <w:pStyle w:val="Applicationdirecte"/>
              <w:spacing w:before="60" w:after="0"/>
            </w:pPr>
            <w:r w:rsidRPr="002E7605">
              <w:t>0010—0080</w:t>
            </w:r>
          </w:p>
        </w:tc>
        <w:tc>
          <w:tcPr>
            <w:tcW w:w="7655" w:type="dxa"/>
            <w:vAlign w:val="center"/>
          </w:tcPr>
          <w:p w14:paraId="64904DC2"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Обезпечение, използвано в сделки с деривати </w:t>
            </w:r>
          </w:p>
          <w:p w14:paraId="0F03F847" w14:textId="77777777" w:rsidR="00EF74C7" w:rsidRPr="002E7605" w:rsidRDefault="00EF74C7" w:rsidP="00822842">
            <w:pPr>
              <w:pStyle w:val="numberedparagraph"/>
              <w:numPr>
                <w:ilvl w:val="0"/>
                <w:numId w:val="0"/>
              </w:numPr>
              <w:spacing w:before="60" w:line="240" w:lineRule="auto"/>
              <w:rPr>
                <w:rFonts w:ascii="Times New Roman" w:hAnsi="Times New Roman" w:cs="Times New Roman"/>
                <w:sz w:val="24"/>
              </w:rPr>
            </w:pPr>
            <w:r w:rsidRPr="002E7605">
              <w:rPr>
                <w:rFonts w:ascii="Times New Roman" w:hAnsi="Times New Roman"/>
                <w:sz w:val="24"/>
              </w:rPr>
              <w:t xml:space="preserve">Институциите докладват обезпечението (включително първоначалния маржин и вариационния маржин), използвано по експозициите към КРК, свързани с дериватни инструменти, изброени в приложение II към Регламент (ЕС) № 575/2013, или със сделка с удължен сетълмент по смисъла на член 272, точка 2 от същия регламент, която не отговаря на условията за СФЦК. </w:t>
            </w:r>
          </w:p>
        </w:tc>
      </w:tr>
      <w:tr w:rsidR="00EF74C7" w:rsidRPr="002E7605" w14:paraId="1B7CDC53" w14:textId="77777777" w:rsidTr="00822842">
        <w:trPr>
          <w:trHeight w:val="680"/>
        </w:trPr>
        <w:tc>
          <w:tcPr>
            <w:tcW w:w="1384" w:type="dxa"/>
          </w:tcPr>
          <w:p w14:paraId="28360CD0" w14:textId="77777777" w:rsidR="00EF74C7" w:rsidRPr="002E7605" w:rsidRDefault="00EF74C7" w:rsidP="00822842">
            <w:pPr>
              <w:pStyle w:val="Applicationdirecte"/>
              <w:spacing w:before="60" w:after="0"/>
            </w:pPr>
            <w:r w:rsidRPr="002E7605">
              <w:t>0090—0180</w:t>
            </w:r>
          </w:p>
        </w:tc>
        <w:tc>
          <w:tcPr>
            <w:tcW w:w="7655" w:type="dxa"/>
            <w:vAlign w:val="center"/>
          </w:tcPr>
          <w:p w14:paraId="3C96417C"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Обезпечение, използвано в СФЦК </w:t>
            </w:r>
          </w:p>
          <w:p w14:paraId="6B5AF52E" w14:textId="77777777" w:rsidR="00EF74C7" w:rsidRPr="002E7605" w:rsidRDefault="00EF74C7" w:rsidP="00822842">
            <w:pPr>
              <w:pStyle w:val="numberedparagraph"/>
              <w:numPr>
                <w:ilvl w:val="0"/>
                <w:numId w:val="0"/>
              </w:numPr>
              <w:spacing w:before="60" w:line="240" w:lineRule="auto"/>
              <w:rPr>
                <w:rFonts w:ascii="Times New Roman" w:hAnsi="Times New Roman" w:cs="Times New Roman"/>
                <w:sz w:val="24"/>
              </w:rPr>
            </w:pPr>
            <w:r w:rsidRPr="002E7605">
              <w:rPr>
                <w:rFonts w:ascii="Times New Roman" w:hAnsi="Times New Roman"/>
                <w:sz w:val="24"/>
              </w:rPr>
              <w:t xml:space="preserve">Институциите докладват обезпечението (включително първоначалния маржин и вариационния маржин, както и обезпечението под формата на като ценна книга в СФЦК), използвано по експозициите към КРК, свързани със СФЦК или сделка с удължен сетълмент, която не отговаря на условията за дериват. </w:t>
            </w:r>
          </w:p>
        </w:tc>
      </w:tr>
      <w:tr w:rsidR="00EF74C7" w:rsidRPr="002E7605" w14:paraId="0B6009FC" w14:textId="77777777" w:rsidTr="00822842">
        <w:trPr>
          <w:trHeight w:val="416"/>
        </w:trPr>
        <w:tc>
          <w:tcPr>
            <w:tcW w:w="1384" w:type="dxa"/>
          </w:tcPr>
          <w:p w14:paraId="201D2450" w14:textId="77777777" w:rsidR="00EF74C7" w:rsidRPr="002E7605" w:rsidRDefault="00EF74C7" w:rsidP="00822842">
            <w:pPr>
              <w:pStyle w:val="Applicationdirecte"/>
              <w:spacing w:before="60" w:after="0"/>
            </w:pPr>
            <w:r w:rsidRPr="002E7605">
              <w:t>0010, 0020, 0050, 0060, 0090, 0100, 0140, 0150</w:t>
            </w:r>
          </w:p>
        </w:tc>
        <w:tc>
          <w:tcPr>
            <w:tcW w:w="7655" w:type="dxa"/>
            <w:vAlign w:val="center"/>
          </w:tcPr>
          <w:p w14:paraId="1906C178"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Отделено</w:t>
            </w:r>
          </w:p>
          <w:p w14:paraId="3338D91C" w14:textId="77777777" w:rsidR="00EF74C7" w:rsidRPr="002E7605" w:rsidRDefault="00EF74C7" w:rsidP="00822842">
            <w:pPr>
              <w:spacing w:before="60"/>
              <w:rPr>
                <w:rStyle w:val="InstructionsTabelleberschrift"/>
                <w:rFonts w:ascii="Times New Roman" w:hAnsi="Times New Roman"/>
                <w:sz w:val="24"/>
              </w:rPr>
            </w:pPr>
            <w:r w:rsidRPr="002E7605">
              <w:rPr>
                <w:rFonts w:ascii="Times New Roman" w:hAnsi="Times New Roman"/>
                <w:sz w:val="24"/>
              </w:rPr>
              <w:t>Член 300, точка 1 от Регламент (ЕС) № 575/2013</w:t>
            </w:r>
          </w:p>
          <w:p w14:paraId="26EDC9B6"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Институциите докладват обезпечението, което е защитено от несъстоятелност съгласно определението в член 300, параграф 1 от Регламент (ЕС) № 575/2013, с допълнителна разбивка на първоначален маржин или вариационен маржин.</w:t>
            </w:r>
          </w:p>
        </w:tc>
      </w:tr>
      <w:tr w:rsidR="00EF74C7" w:rsidRPr="002E7605" w14:paraId="72806B64" w14:textId="77777777" w:rsidTr="00822842">
        <w:trPr>
          <w:trHeight w:val="680"/>
        </w:trPr>
        <w:tc>
          <w:tcPr>
            <w:tcW w:w="1384" w:type="dxa"/>
          </w:tcPr>
          <w:p w14:paraId="7E6BCB3B" w14:textId="77777777" w:rsidR="00EF74C7" w:rsidRPr="002E7605" w:rsidRDefault="00EF74C7" w:rsidP="00822842">
            <w:pPr>
              <w:pStyle w:val="Applicationdirecte"/>
              <w:spacing w:before="60" w:after="0"/>
            </w:pPr>
            <w:r w:rsidRPr="002E7605">
              <w:t xml:space="preserve">0030, 0040, 0070, 0080, 0110, 0120, 0130, 0160, 0170, 0180 </w:t>
            </w:r>
          </w:p>
        </w:tc>
        <w:tc>
          <w:tcPr>
            <w:tcW w:w="7655" w:type="dxa"/>
          </w:tcPr>
          <w:p w14:paraId="0860899A"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Неотделено </w:t>
            </w:r>
          </w:p>
          <w:p w14:paraId="7A8B9376" w14:textId="77777777" w:rsidR="00EF74C7" w:rsidRPr="002E7605" w:rsidRDefault="00EF74C7" w:rsidP="00822842">
            <w:pPr>
              <w:spacing w:before="60"/>
              <w:rPr>
                <w:rStyle w:val="InstructionsTabelleberschrift"/>
                <w:rFonts w:ascii="Times New Roman" w:hAnsi="Times New Roman"/>
                <w:sz w:val="24"/>
              </w:rPr>
            </w:pPr>
            <w:r w:rsidRPr="002E7605">
              <w:rPr>
                <w:rFonts w:ascii="Times New Roman" w:hAnsi="Times New Roman"/>
                <w:sz w:val="24"/>
              </w:rPr>
              <w:t>Член 300, точка 1 от Регламент (ЕС) № 575/2013</w:t>
            </w:r>
          </w:p>
          <w:p w14:paraId="57A510C0" w14:textId="77777777" w:rsidR="00EF74C7" w:rsidRPr="002E7605" w:rsidRDefault="00EF74C7" w:rsidP="00822842">
            <w:pPr>
              <w:rPr>
                <w:rFonts w:ascii="Times New Roman" w:hAnsi="Times New Roman"/>
                <w:sz w:val="24"/>
              </w:rPr>
            </w:pPr>
            <w:r w:rsidRPr="002E7605">
              <w:rPr>
                <w:rFonts w:ascii="Times New Roman" w:hAnsi="Times New Roman"/>
                <w:sz w:val="24"/>
              </w:rPr>
              <w:t xml:space="preserve">Институциите докладват обезпечението, което не е защитено от несъстоятелност съгласно определението в член 300, параграф 1 от </w:t>
            </w:r>
            <w:r w:rsidRPr="002E7605">
              <w:rPr>
                <w:rFonts w:ascii="Times New Roman" w:hAnsi="Times New Roman"/>
                <w:sz w:val="24"/>
              </w:rPr>
              <w:lastRenderedPageBreak/>
              <w:t>Регламент (ЕС) № 575/2013, с допълнителна разбивка на първоначален маржин, вариационен маржин или ценни книжа по СФЦК.</w:t>
            </w:r>
          </w:p>
        </w:tc>
      </w:tr>
      <w:tr w:rsidR="00EF74C7" w:rsidRPr="002E7605" w14:paraId="10122572" w14:textId="77777777" w:rsidTr="00822842">
        <w:trPr>
          <w:trHeight w:val="680"/>
        </w:trPr>
        <w:tc>
          <w:tcPr>
            <w:tcW w:w="1384" w:type="dxa"/>
          </w:tcPr>
          <w:p w14:paraId="43A4CCC5" w14:textId="77777777" w:rsidR="00EF74C7" w:rsidRPr="002E7605" w:rsidRDefault="00EF74C7" w:rsidP="00822842">
            <w:pPr>
              <w:pStyle w:val="Applicationdirecte"/>
              <w:spacing w:before="60" w:after="0"/>
            </w:pPr>
            <w:r w:rsidRPr="002E7605">
              <w:lastRenderedPageBreak/>
              <w:t>0010, 0030, 0050, 0070, 0090, 0110, 0140, 0160</w:t>
            </w:r>
          </w:p>
        </w:tc>
        <w:tc>
          <w:tcPr>
            <w:tcW w:w="7655" w:type="dxa"/>
            <w:vAlign w:val="center"/>
          </w:tcPr>
          <w:p w14:paraId="24507BB5"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Първоначален маржин</w:t>
            </w:r>
          </w:p>
          <w:p w14:paraId="3EA695F0"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Член 4, параграф 1, точка 140 от Регламент (ЕС) № 575/2013</w:t>
            </w:r>
          </w:p>
          <w:p w14:paraId="17D2E118"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Институциите докладват справедливата стойност на обезпечението, получено или предоставено като първоначален маржин (съгласно определението в член 4, параграф 1, точка 140 от Регламент (ЕС) № 575/2013).</w:t>
            </w:r>
          </w:p>
        </w:tc>
      </w:tr>
      <w:tr w:rsidR="00EF74C7" w:rsidRPr="002E7605" w14:paraId="32DE18A2" w14:textId="77777777" w:rsidTr="00822842">
        <w:trPr>
          <w:trHeight w:val="680"/>
        </w:trPr>
        <w:tc>
          <w:tcPr>
            <w:tcW w:w="1384" w:type="dxa"/>
          </w:tcPr>
          <w:p w14:paraId="23334415" w14:textId="77777777" w:rsidR="00EF74C7" w:rsidRPr="002E7605" w:rsidRDefault="00EF74C7" w:rsidP="00822842">
            <w:pPr>
              <w:pStyle w:val="Applicationdirecte"/>
              <w:spacing w:before="60" w:after="0"/>
            </w:pPr>
            <w:r w:rsidRPr="002E7605">
              <w:t>0020, 0040, 0060, 0080, 0100, 0120, 0150, 0170</w:t>
            </w:r>
          </w:p>
        </w:tc>
        <w:tc>
          <w:tcPr>
            <w:tcW w:w="7655" w:type="dxa"/>
            <w:vAlign w:val="center"/>
          </w:tcPr>
          <w:p w14:paraId="00C79FEA"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Вариационен маржин</w:t>
            </w:r>
          </w:p>
          <w:p w14:paraId="054E9606" w14:textId="77777777" w:rsidR="00EF74C7" w:rsidRPr="002E7605" w:rsidRDefault="00EF74C7" w:rsidP="00822842">
            <w:pPr>
              <w:spacing w:before="60"/>
              <w:rPr>
                <w:rFonts w:ascii="Times New Roman" w:eastAsia="Calibri" w:hAnsi="Times New Roman"/>
                <w:sz w:val="24"/>
              </w:rPr>
            </w:pPr>
            <w:r w:rsidRPr="002E7605">
              <w:rPr>
                <w:rFonts w:ascii="Times New Roman" w:hAnsi="Times New Roman"/>
                <w:sz w:val="24"/>
              </w:rPr>
              <w:t>Институциите докладват справедливата стойност на обезпечението, получено или предоставено като вариационен маржин.</w:t>
            </w:r>
          </w:p>
        </w:tc>
      </w:tr>
      <w:tr w:rsidR="00EF74C7" w:rsidRPr="002E7605" w14:paraId="1FB544F3" w14:textId="77777777" w:rsidTr="00822842">
        <w:trPr>
          <w:trHeight w:val="680"/>
        </w:trPr>
        <w:tc>
          <w:tcPr>
            <w:tcW w:w="1384" w:type="dxa"/>
          </w:tcPr>
          <w:p w14:paraId="0D63C386" w14:textId="77777777" w:rsidR="00EF74C7" w:rsidRPr="002E7605" w:rsidRDefault="00EF74C7" w:rsidP="00822842">
            <w:pPr>
              <w:pStyle w:val="Applicationdirecte"/>
              <w:spacing w:before="60" w:after="0"/>
            </w:pPr>
            <w:r w:rsidRPr="002E7605">
              <w:t>0130, 0180</w:t>
            </w:r>
          </w:p>
        </w:tc>
        <w:tc>
          <w:tcPr>
            <w:tcW w:w="7655" w:type="dxa"/>
            <w:vAlign w:val="center"/>
          </w:tcPr>
          <w:p w14:paraId="47509680" w14:textId="77777777" w:rsidR="00EF74C7" w:rsidRPr="002E7605" w:rsidRDefault="00EF74C7" w:rsidP="00822842">
            <w:pPr>
              <w:spacing w:before="60"/>
              <w:rPr>
                <w:rStyle w:val="InstructionsTabelleberschrift"/>
                <w:rFonts w:ascii="Times New Roman" w:hAnsi="Times New Roman"/>
                <w:sz w:val="24"/>
              </w:rPr>
            </w:pPr>
            <w:r w:rsidRPr="002E7605">
              <w:rPr>
                <w:rStyle w:val="InstructionsTabelleberschrift"/>
                <w:rFonts w:ascii="Times New Roman" w:hAnsi="Times New Roman"/>
                <w:sz w:val="24"/>
              </w:rPr>
              <w:t xml:space="preserve">Ценни книжа по СФЦК </w:t>
            </w:r>
          </w:p>
          <w:p w14:paraId="79AA9223" w14:textId="77777777" w:rsidR="00EF74C7" w:rsidRPr="002E7605" w:rsidRDefault="00EF74C7" w:rsidP="00822842">
            <w:pPr>
              <w:spacing w:before="60"/>
              <w:rPr>
                <w:rFonts w:ascii="Times New Roman" w:eastAsia="Calibri" w:hAnsi="Times New Roman"/>
                <w:i/>
                <w:sz w:val="24"/>
              </w:rPr>
            </w:pPr>
            <w:r w:rsidRPr="002E7605">
              <w:rPr>
                <w:rFonts w:ascii="Times New Roman" w:hAnsi="Times New Roman"/>
                <w:sz w:val="24"/>
              </w:rPr>
              <w:t>Институциите докладват справедливата стойност на обезпечението, което се явява като ценна книга по СФЦК (напр. рамото на ценните книжа при СФЦК, което е получено за колона 0130 или предоставено за колона 0180).</w:t>
            </w:r>
          </w:p>
        </w:tc>
      </w:tr>
    </w:tbl>
    <w:p w14:paraId="0822D80D" w14:textId="77777777" w:rsidR="00EF74C7" w:rsidRPr="002E7605"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61207939" w14:textId="77777777" w:rsidTr="00822842">
        <w:trPr>
          <w:trHeight w:val="238"/>
        </w:trPr>
        <w:tc>
          <w:tcPr>
            <w:tcW w:w="9039" w:type="dxa"/>
            <w:gridSpan w:val="2"/>
            <w:shd w:val="clear" w:color="auto" w:fill="D9D9D9" w:themeFill="background1" w:themeFillShade="D9"/>
          </w:tcPr>
          <w:p w14:paraId="3BC71FEC"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b/>
                <w:sz w:val="24"/>
              </w:rPr>
              <w:t xml:space="preserve">Редове </w:t>
            </w:r>
          </w:p>
        </w:tc>
      </w:tr>
      <w:tr w:rsidR="00EF74C7" w:rsidRPr="002E7605"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E7605" w:rsidRDefault="00EF74C7" w:rsidP="00822842">
            <w:pPr>
              <w:autoSpaceDE w:val="0"/>
              <w:autoSpaceDN w:val="0"/>
              <w:adjustRightInd w:val="0"/>
              <w:rPr>
                <w:rStyle w:val="InstructionsTabelleberschrift"/>
                <w:rFonts w:ascii="Times New Roman" w:hAnsi="Times New Roman"/>
                <w:sz w:val="24"/>
              </w:rPr>
            </w:pPr>
            <w:r w:rsidRPr="002E7605">
              <w:rPr>
                <w:rStyle w:val="InstructionsTabelleberschrift"/>
                <w:rFonts w:ascii="Times New Roman" w:hAnsi="Times New Roman"/>
                <w:sz w:val="24"/>
              </w:rPr>
              <w:t>Вид обезпечение</w:t>
            </w:r>
          </w:p>
          <w:p w14:paraId="4B5DD4D2"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Разбивка по различни видове обезпечения</w:t>
            </w:r>
          </w:p>
        </w:tc>
      </w:tr>
    </w:tbl>
    <w:p w14:paraId="2E2AAEC8" w14:textId="77777777" w:rsidR="00EF74C7" w:rsidRPr="002E7605" w:rsidRDefault="00EF74C7" w:rsidP="00EF74C7">
      <w:pPr>
        <w:pStyle w:val="Titlelevel2"/>
        <w:spacing w:before="120" w:after="120"/>
        <w:rPr>
          <w:rFonts w:ascii="Times New Roman" w:hAnsi="Times New Roman" w:cs="Times New Roman"/>
          <w:color w:val="auto"/>
          <w:sz w:val="24"/>
        </w:rPr>
      </w:pPr>
    </w:p>
    <w:p w14:paraId="367FEDD2"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sidRPr="002E7605">
        <w:rPr>
          <w:rFonts w:ascii="Times New Roman" w:hAnsi="Times New Roman"/>
          <w:sz w:val="24"/>
        </w:rPr>
        <w:t>C 34.09 - Експозиции към кредитни деривати</w:t>
      </w:r>
      <w:bookmarkEnd w:id="60"/>
      <w:bookmarkEnd w:id="61"/>
    </w:p>
    <w:p w14:paraId="64D36FD9"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sidRPr="002E7605">
        <w:rPr>
          <w:rFonts w:ascii="Times New Roman" w:hAnsi="Times New Roman"/>
          <w:sz w:val="24"/>
        </w:rPr>
        <w:t>Указания относно конкретни позиции</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 xml:space="preserve">Колони </w:t>
            </w:r>
          </w:p>
        </w:tc>
      </w:tr>
      <w:tr w:rsidR="00EF74C7" w:rsidRPr="002E7605"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E7605" w:rsidRDefault="00EF74C7" w:rsidP="00822842">
            <w:pPr>
              <w:autoSpaceDE w:val="0"/>
              <w:autoSpaceDN w:val="0"/>
              <w:adjustRightInd w:val="0"/>
              <w:rPr>
                <w:rStyle w:val="InstructionsTabelleberschrift"/>
                <w:rFonts w:ascii="Times New Roman" w:hAnsi="Times New Roman"/>
                <w:sz w:val="24"/>
              </w:rPr>
            </w:pPr>
            <w:r w:rsidRPr="002E7605">
              <w:rPr>
                <w:rStyle w:val="InstructionsTabelleberschrift"/>
                <w:rFonts w:ascii="Times New Roman" w:hAnsi="Times New Roman"/>
                <w:sz w:val="24"/>
              </w:rPr>
              <w:t>ЗАЩИТА ПО КРЕДИТЕН ДЕРИВАТ</w:t>
            </w:r>
          </w:p>
          <w:p w14:paraId="7A5AD5A8" w14:textId="77777777" w:rsidR="00EF74C7" w:rsidRPr="002E7605" w:rsidRDefault="00EF74C7" w:rsidP="00822842">
            <w:pPr>
              <w:autoSpaceDE w:val="0"/>
              <w:autoSpaceDN w:val="0"/>
              <w:adjustRightInd w:val="0"/>
              <w:spacing w:before="60"/>
              <w:rPr>
                <w:rFonts w:ascii="Times New Roman" w:hAnsi="Times New Roman"/>
                <w:b/>
                <w:sz w:val="24"/>
              </w:rPr>
            </w:pPr>
            <w:r w:rsidRPr="002E7605">
              <w:rPr>
                <w:rFonts w:ascii="Times New Roman" w:hAnsi="Times New Roman"/>
                <w:sz w:val="24"/>
              </w:rPr>
              <w:t>Закупена или продадена защита по кредитен дериват</w:t>
            </w:r>
          </w:p>
        </w:tc>
      </w:tr>
      <w:tr w:rsidR="00EF74C7" w:rsidRPr="002E7605"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E7605" w:rsidRDefault="00EF74C7" w:rsidP="00822842">
            <w:pPr>
              <w:autoSpaceDE w:val="0"/>
              <w:autoSpaceDN w:val="0"/>
              <w:adjustRightInd w:val="0"/>
              <w:rPr>
                <w:rStyle w:val="InstructionsTabelleberschrift"/>
                <w:rFonts w:ascii="Times New Roman" w:hAnsi="Times New Roman"/>
                <w:sz w:val="24"/>
              </w:rPr>
            </w:pPr>
            <w:r w:rsidRPr="002E7605">
              <w:rPr>
                <w:rStyle w:val="InstructionsTabelleberschrift"/>
                <w:rFonts w:ascii="Times New Roman" w:hAnsi="Times New Roman"/>
                <w:sz w:val="24"/>
              </w:rPr>
              <w:t xml:space="preserve">УСЛОВНИ СТОЙНОСТИ </w:t>
            </w:r>
          </w:p>
          <w:p w14:paraId="10378DBE" w14:textId="77777777" w:rsidR="00EF74C7" w:rsidRPr="002E7605" w:rsidRDefault="00EF74C7" w:rsidP="00822842">
            <w:pPr>
              <w:autoSpaceDE w:val="0"/>
              <w:autoSpaceDN w:val="0"/>
              <w:adjustRightInd w:val="0"/>
              <w:spacing w:before="60"/>
              <w:rPr>
                <w:rFonts w:ascii="Times New Roman" w:hAnsi="Times New Roman"/>
                <w:i/>
                <w:sz w:val="24"/>
              </w:rPr>
            </w:pPr>
            <w:r w:rsidRPr="002E7605">
              <w:rPr>
                <w:rFonts w:ascii="Times New Roman" w:hAnsi="Times New Roman"/>
                <w:sz w:val="24"/>
              </w:rPr>
              <w:t>Сборът от условните стойности по дериватите преди нетиране, с разбивка по вид продукт</w:t>
            </w:r>
          </w:p>
        </w:tc>
      </w:tr>
      <w:tr w:rsidR="00EF74C7" w:rsidRPr="002E7605"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E7605" w:rsidRDefault="00EF74C7" w:rsidP="00822842">
            <w:pPr>
              <w:autoSpaceDE w:val="0"/>
              <w:autoSpaceDN w:val="0"/>
              <w:adjustRightInd w:val="0"/>
              <w:spacing w:before="60"/>
              <w:rPr>
                <w:rStyle w:val="InstructionsTabelleberschrift"/>
                <w:rFonts w:ascii="Times New Roman" w:hAnsi="Times New Roman"/>
                <w:sz w:val="24"/>
              </w:rPr>
            </w:pPr>
            <w:r w:rsidRPr="002E7605">
              <w:rPr>
                <w:rStyle w:val="InstructionsTabelleberschrift"/>
                <w:rFonts w:ascii="Times New Roman" w:hAnsi="Times New Roman"/>
                <w:sz w:val="24"/>
              </w:rPr>
              <w:t>СПРАВЕДЛИВИ СТОЙНОСТИ</w:t>
            </w:r>
          </w:p>
          <w:p w14:paraId="3C50834E" w14:textId="77777777" w:rsidR="00EF74C7" w:rsidRPr="002E7605" w:rsidRDefault="00EF74C7" w:rsidP="00822842">
            <w:pPr>
              <w:autoSpaceDE w:val="0"/>
              <w:autoSpaceDN w:val="0"/>
              <w:adjustRightInd w:val="0"/>
              <w:spacing w:before="60"/>
              <w:rPr>
                <w:rFonts w:ascii="Times New Roman" w:hAnsi="Times New Roman"/>
                <w:i/>
                <w:sz w:val="24"/>
              </w:rPr>
            </w:pPr>
            <w:r w:rsidRPr="002E7605">
              <w:rPr>
                <w:rFonts w:ascii="Times New Roman" w:hAnsi="Times New Roman"/>
                <w:sz w:val="24"/>
              </w:rPr>
              <w:t xml:space="preserve">Сборът от справедливите стойности, с разбивка по закупена и продадена защита </w:t>
            </w:r>
          </w:p>
        </w:tc>
      </w:tr>
    </w:tbl>
    <w:p w14:paraId="1E39E61C" w14:textId="77777777" w:rsidR="00EF74C7" w:rsidRPr="002E7605"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0B4D4225" w14:textId="77777777" w:rsidTr="00822842">
        <w:trPr>
          <w:trHeight w:val="238"/>
        </w:trPr>
        <w:tc>
          <w:tcPr>
            <w:tcW w:w="9039" w:type="dxa"/>
            <w:gridSpan w:val="2"/>
            <w:shd w:val="clear" w:color="auto" w:fill="D9D9D9" w:themeFill="background1" w:themeFillShade="D9"/>
          </w:tcPr>
          <w:p w14:paraId="2E3D936B"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b/>
                <w:sz w:val="24"/>
              </w:rPr>
              <w:lastRenderedPageBreak/>
              <w:t xml:space="preserve">Редове </w:t>
            </w:r>
          </w:p>
        </w:tc>
      </w:tr>
      <w:tr w:rsidR="00EF74C7" w:rsidRPr="002E7605"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E7605" w:rsidRDefault="00EF74C7" w:rsidP="00822842">
            <w:pPr>
              <w:autoSpaceDE w:val="0"/>
              <w:autoSpaceDN w:val="0"/>
              <w:adjustRightInd w:val="0"/>
              <w:rPr>
                <w:rStyle w:val="InstructionsTabelleberschrift"/>
                <w:rFonts w:ascii="Times New Roman" w:hAnsi="Times New Roman"/>
                <w:sz w:val="24"/>
              </w:rPr>
            </w:pPr>
            <w:r w:rsidRPr="002E7605">
              <w:rPr>
                <w:rStyle w:val="InstructionsTabelleberschrift"/>
                <w:rFonts w:ascii="Times New Roman" w:hAnsi="Times New Roman"/>
                <w:sz w:val="24"/>
              </w:rPr>
              <w:t>Вид продукт</w:t>
            </w:r>
          </w:p>
          <w:p w14:paraId="6C2C37AC"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Разбивка на видовете кредитни дериватни продукти</w:t>
            </w:r>
          </w:p>
        </w:tc>
      </w:tr>
      <w:tr w:rsidR="00EF74C7" w:rsidRPr="002E7605"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E7605" w:rsidRDefault="00EF74C7" w:rsidP="00822842">
            <w:pPr>
              <w:autoSpaceDE w:val="0"/>
              <w:autoSpaceDN w:val="0"/>
              <w:adjustRightInd w:val="0"/>
              <w:rPr>
                <w:rStyle w:val="InstructionsTabelleberschrift"/>
                <w:rFonts w:ascii="Times New Roman" w:hAnsi="Times New Roman"/>
                <w:sz w:val="24"/>
              </w:rPr>
            </w:pPr>
            <w:r w:rsidRPr="002E7605">
              <w:rPr>
                <w:rStyle w:val="InstructionsTabelleberschrift"/>
                <w:rFonts w:ascii="Times New Roman" w:hAnsi="Times New Roman"/>
                <w:sz w:val="24"/>
              </w:rPr>
              <w:t>Общо</w:t>
            </w:r>
          </w:p>
          <w:p w14:paraId="6166DDC1" w14:textId="77777777" w:rsidR="00EF74C7" w:rsidRPr="002E7605" w:rsidRDefault="00EF74C7" w:rsidP="00822842">
            <w:pPr>
              <w:autoSpaceDE w:val="0"/>
              <w:autoSpaceDN w:val="0"/>
              <w:adjustRightInd w:val="0"/>
              <w:rPr>
                <w:rStyle w:val="InstructionsTabelleberschrift"/>
                <w:rFonts w:ascii="Times New Roman" w:hAnsi="Times New Roman"/>
                <w:b w:val="0"/>
                <w:sz w:val="24"/>
                <w:u w:val="none"/>
              </w:rPr>
            </w:pPr>
            <w:r w:rsidRPr="002E7605">
              <w:rPr>
                <w:rStyle w:val="InstructionsTabelleberschrift"/>
                <w:rFonts w:ascii="Times New Roman" w:hAnsi="Times New Roman"/>
                <w:b w:val="0"/>
                <w:sz w:val="24"/>
                <w:u w:val="none"/>
              </w:rPr>
              <w:t>Сбор от всички видове продукти</w:t>
            </w:r>
          </w:p>
        </w:tc>
      </w:tr>
      <w:tr w:rsidR="00EF74C7" w:rsidRPr="002E7605"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E7605" w:rsidRDefault="00EF74C7" w:rsidP="00822842">
            <w:pPr>
              <w:autoSpaceDE w:val="0"/>
              <w:autoSpaceDN w:val="0"/>
              <w:adjustRightInd w:val="0"/>
              <w:rPr>
                <w:rStyle w:val="InstructionsTabelleberschrift"/>
                <w:rFonts w:ascii="Times New Roman" w:hAnsi="Times New Roman"/>
                <w:sz w:val="24"/>
              </w:rPr>
            </w:pPr>
            <w:r w:rsidRPr="002E7605">
              <w:rPr>
                <w:rStyle w:val="InstructionsTabelleberschrift"/>
                <w:rFonts w:ascii="Times New Roman" w:hAnsi="Times New Roman"/>
                <w:sz w:val="24"/>
              </w:rPr>
              <w:t>Справедливи стойности</w:t>
            </w:r>
          </w:p>
          <w:p w14:paraId="69350AE6" w14:textId="77777777" w:rsidR="00EF74C7" w:rsidRPr="002E7605" w:rsidRDefault="00EF74C7" w:rsidP="00822842">
            <w:pPr>
              <w:autoSpaceDE w:val="0"/>
              <w:autoSpaceDN w:val="0"/>
              <w:adjustRightInd w:val="0"/>
              <w:rPr>
                <w:rFonts w:ascii="Times New Roman" w:hAnsi="Times New Roman"/>
                <w:bCs/>
                <w:sz w:val="24"/>
              </w:rPr>
            </w:pPr>
            <w:r w:rsidRPr="002E7605">
              <w:rPr>
                <w:rFonts w:ascii="Times New Roman" w:hAnsi="Times New Roman"/>
                <w:sz w:val="24"/>
              </w:rPr>
              <w:t>Справедливи стойности, с разбивка по вид продукт, както и по активи (положителни справедливи стойности) и пасиви (отрицателни справедливи стойности)</w:t>
            </w:r>
          </w:p>
        </w:tc>
      </w:tr>
    </w:tbl>
    <w:p w14:paraId="3EEB26BA" w14:textId="77777777" w:rsidR="00EF74C7" w:rsidRPr="002E7605"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sidRPr="002E7605">
        <w:rPr>
          <w:rFonts w:ascii="Times New Roman" w:hAnsi="Times New Roman"/>
          <w:sz w:val="24"/>
        </w:rPr>
        <w:t>C 34.10 — Експозиции към ЦК</w:t>
      </w:r>
      <w:bookmarkEnd w:id="64"/>
      <w:bookmarkEnd w:id="65"/>
    </w:p>
    <w:p w14:paraId="61966719"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sidRPr="002E7605">
        <w:rPr>
          <w:rFonts w:ascii="Times New Roman" w:hAnsi="Times New Roman"/>
          <w:sz w:val="24"/>
        </w:rPr>
        <w:t>Общи бележки</w:t>
      </w:r>
      <w:bookmarkEnd w:id="66"/>
      <w:bookmarkEnd w:id="67"/>
    </w:p>
    <w:p w14:paraId="61FE0E56" w14:textId="36BE8166"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132</w:t>
      </w:r>
      <w:r w:rsidRPr="002E7605">
        <w:fldChar w:fldCharType="end"/>
      </w:r>
      <w:r w:rsidRPr="002E7605">
        <w:t xml:space="preserve">. Институциите докладват информацията за експозициите към ЦК, т.е. договори и сделки, изброени в член 301, параграф 1 от Регламент (ЕС) № 575/2013, доколкото те са в процес на осъществяване чрез ЦК, и експозиции по свързани с ЦК сделки в съответствие с член 300, параграф 2 от същия регламент, за които капиталовите изисквания се изчисляват в съответствие с трета част, дял II, глава 6, раздел 9 от същия регламент. </w:t>
      </w:r>
    </w:p>
    <w:p w14:paraId="6A78D46D"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sidRPr="002E7605">
        <w:rPr>
          <w:rFonts w:ascii="Times New Roman" w:hAnsi="Times New Roman"/>
          <w:sz w:val="24"/>
        </w:rPr>
        <w:t>Указания относно конкретни позиции</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E7605" w:rsidRDefault="00EF74C7" w:rsidP="00822842">
            <w:pPr>
              <w:autoSpaceDE w:val="0"/>
              <w:autoSpaceDN w:val="0"/>
              <w:adjustRightInd w:val="0"/>
              <w:rPr>
                <w:rFonts w:ascii="Times New Roman" w:hAnsi="Times New Roman"/>
                <w:b/>
                <w:sz w:val="24"/>
              </w:rPr>
            </w:pPr>
            <w:r w:rsidRPr="002E7605">
              <w:rPr>
                <w:rFonts w:ascii="Times New Roman" w:hAnsi="Times New Roman"/>
                <w:b/>
                <w:sz w:val="24"/>
              </w:rPr>
              <w:t xml:space="preserve">Колони </w:t>
            </w:r>
          </w:p>
        </w:tc>
      </w:tr>
      <w:tr w:rsidR="00EF74C7" w:rsidRPr="002E7605" w14:paraId="124AAA9B" w14:textId="77777777" w:rsidTr="00822842">
        <w:trPr>
          <w:trHeight w:val="680"/>
        </w:trPr>
        <w:tc>
          <w:tcPr>
            <w:tcW w:w="1384" w:type="dxa"/>
          </w:tcPr>
          <w:p w14:paraId="011E66AA" w14:textId="77777777" w:rsidR="00EF74C7" w:rsidRPr="002E7605" w:rsidRDefault="00EF74C7" w:rsidP="00822842">
            <w:pPr>
              <w:pStyle w:val="Applicationdirecte"/>
              <w:spacing w:before="0" w:after="0"/>
            </w:pPr>
            <w:r w:rsidRPr="002E7605">
              <w:t>0010</w:t>
            </w:r>
          </w:p>
        </w:tc>
        <w:tc>
          <w:tcPr>
            <w:tcW w:w="7655" w:type="dxa"/>
            <w:vAlign w:val="center"/>
          </w:tcPr>
          <w:p w14:paraId="06553A7D"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 xml:space="preserve">СТОЙНОСТ НА ЕКСПОЗИЦИЯТА </w:t>
            </w:r>
          </w:p>
          <w:p w14:paraId="0EB17FC4"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Стойност на експозицията за сделки в обхвата на трета част, дял II, глава 6, раздел 9 от Регламент (ЕС) № 575/2013, изчислена съгласно съответните методи, предвидени в същата глава и по-специално в раздел 9 от нея.</w:t>
            </w:r>
          </w:p>
          <w:p w14:paraId="4A7F4393"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Докладваната стойност на експозицията е размерът, използван за изчисляване на капиталовите изисквания в съответствие с трета част, дял ІІ, глава 6, раздел 9 от Регламент (ЕС) № 575/2013, като се имат предвид изискванията в член 497 от същия регламент през преходния период, предвиден в посочения член.</w:t>
            </w:r>
          </w:p>
          <w:p w14:paraId="0F502FE9"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Експозицията може да бъде експозиция по търговско финансиране съгласно определението в член 4, параграф 1, точка 91 от Регламент (ЕС) 575/2013.</w:t>
            </w:r>
          </w:p>
        </w:tc>
      </w:tr>
      <w:tr w:rsidR="00EF74C7" w:rsidRPr="002E7605" w14:paraId="774930E7" w14:textId="77777777" w:rsidTr="00822842">
        <w:trPr>
          <w:trHeight w:val="680"/>
        </w:trPr>
        <w:tc>
          <w:tcPr>
            <w:tcW w:w="1384" w:type="dxa"/>
          </w:tcPr>
          <w:p w14:paraId="557FAF2F" w14:textId="77777777" w:rsidR="00EF74C7" w:rsidRPr="002E7605" w:rsidRDefault="00EF74C7" w:rsidP="00822842">
            <w:pPr>
              <w:pStyle w:val="Applicationdirecte"/>
              <w:spacing w:before="0" w:after="0"/>
            </w:pPr>
            <w:r w:rsidRPr="002E7605">
              <w:t>0020</w:t>
            </w:r>
          </w:p>
        </w:tc>
        <w:tc>
          <w:tcPr>
            <w:tcW w:w="7655" w:type="dxa"/>
            <w:vAlign w:val="center"/>
          </w:tcPr>
          <w:p w14:paraId="1E7084BA" w14:textId="77777777" w:rsidR="00EF74C7" w:rsidRPr="002E7605" w:rsidRDefault="00EF74C7" w:rsidP="00822842">
            <w:pPr>
              <w:keepNext/>
              <w:tabs>
                <w:tab w:val="left" w:pos="6983"/>
              </w:tabs>
              <w:spacing w:before="60"/>
              <w:rPr>
                <w:rStyle w:val="InstructionsTabelleberschrift"/>
                <w:rFonts w:ascii="Times New Roman" w:hAnsi="Times New Roman"/>
                <w:sz w:val="24"/>
              </w:rPr>
            </w:pPr>
            <w:r w:rsidRPr="002E7605">
              <w:rPr>
                <w:rStyle w:val="InstructionsTabelleberschrift"/>
                <w:rFonts w:ascii="Times New Roman" w:hAnsi="Times New Roman"/>
                <w:sz w:val="24"/>
              </w:rPr>
              <w:t>РИСКОВО ПРЕТЕГЛЕНИ РАЗМЕРИ НА ЕКСПОЗИЦИИТЕ</w:t>
            </w:r>
          </w:p>
          <w:p w14:paraId="5DA0A790" w14:textId="77777777" w:rsidR="00EF74C7" w:rsidRPr="002E7605" w:rsidRDefault="00EF74C7" w:rsidP="00822842">
            <w:pPr>
              <w:keepNext/>
              <w:spacing w:before="60"/>
              <w:rPr>
                <w:rFonts w:ascii="Times New Roman" w:hAnsi="Times New Roman"/>
                <w:strike/>
                <w:sz w:val="24"/>
              </w:rPr>
            </w:pPr>
            <w:r w:rsidRPr="002E7605">
              <w:rPr>
                <w:rFonts w:ascii="Times New Roman" w:hAnsi="Times New Roman"/>
                <w:sz w:val="24"/>
              </w:rPr>
              <w:t xml:space="preserve">Рисково претеглените размери на експозициите, определени в съответствие с трета част, дял ІІ, глава 6, раздел 9 от Регламент (ЕС) </w:t>
            </w:r>
            <w:r w:rsidRPr="002E7605">
              <w:rPr>
                <w:rFonts w:ascii="Times New Roman" w:hAnsi="Times New Roman"/>
                <w:sz w:val="24"/>
              </w:rPr>
              <w:lastRenderedPageBreak/>
              <w:t>575/2013, като се имат предвид изискванията в член 497 от същия регламент през преходния период, предвиден в посочения член.</w:t>
            </w:r>
          </w:p>
        </w:tc>
      </w:tr>
    </w:tbl>
    <w:p w14:paraId="4DE5F5D8" w14:textId="77777777" w:rsidR="00EF74C7" w:rsidRPr="002E7605"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6AE86182" w14:textId="77777777" w:rsidTr="00822842">
        <w:trPr>
          <w:trHeight w:val="238"/>
        </w:trPr>
        <w:tc>
          <w:tcPr>
            <w:tcW w:w="9039" w:type="dxa"/>
            <w:gridSpan w:val="2"/>
            <w:shd w:val="clear" w:color="auto" w:fill="D9D9D9" w:themeFill="background1" w:themeFillShade="D9"/>
          </w:tcPr>
          <w:p w14:paraId="0A1536EA" w14:textId="77777777" w:rsidR="00EF74C7" w:rsidRPr="002E7605" w:rsidRDefault="00EF74C7" w:rsidP="00822842">
            <w:pPr>
              <w:autoSpaceDE w:val="0"/>
              <w:autoSpaceDN w:val="0"/>
              <w:adjustRightInd w:val="0"/>
              <w:rPr>
                <w:rFonts w:ascii="Times New Roman" w:hAnsi="Times New Roman"/>
                <w:sz w:val="24"/>
              </w:rPr>
            </w:pPr>
            <w:r w:rsidRPr="002E7605">
              <w:rPr>
                <w:rFonts w:ascii="Times New Roman" w:hAnsi="Times New Roman"/>
                <w:b/>
                <w:sz w:val="24"/>
              </w:rPr>
              <w:t xml:space="preserve">Редове </w:t>
            </w:r>
          </w:p>
        </w:tc>
      </w:tr>
      <w:tr w:rsidR="00EF74C7" w:rsidRPr="002E7605" w14:paraId="2D4AF3E6" w14:textId="77777777" w:rsidTr="00822842">
        <w:trPr>
          <w:trHeight w:val="680"/>
        </w:trPr>
        <w:tc>
          <w:tcPr>
            <w:tcW w:w="1384" w:type="dxa"/>
          </w:tcPr>
          <w:p w14:paraId="6FF1A266" w14:textId="77777777" w:rsidR="00EF74C7" w:rsidRPr="002E7605" w:rsidRDefault="00EF74C7" w:rsidP="00822842">
            <w:pPr>
              <w:pStyle w:val="Applicationdirecte"/>
              <w:spacing w:before="0" w:after="0"/>
            </w:pPr>
            <w:r w:rsidRPr="002E7605">
              <w:t>0010-0100</w:t>
            </w:r>
          </w:p>
        </w:tc>
        <w:tc>
          <w:tcPr>
            <w:tcW w:w="7655" w:type="dxa"/>
            <w:vAlign w:val="center"/>
          </w:tcPr>
          <w:p w14:paraId="23F00BBB" w14:textId="77777777" w:rsidR="00EF74C7" w:rsidRPr="002E7605" w:rsidRDefault="00EF74C7" w:rsidP="00822842">
            <w:pPr>
              <w:spacing w:beforeLines="60" w:before="144" w:afterLines="60" w:after="144"/>
              <w:rPr>
                <w:rFonts w:ascii="Times New Roman" w:hAnsi="Times New Roman"/>
                <w:sz w:val="24"/>
              </w:rPr>
            </w:pPr>
            <w:r w:rsidRPr="002E7605">
              <w:rPr>
                <w:rStyle w:val="InstructionsTabelleberschrift"/>
                <w:rFonts w:ascii="Times New Roman" w:hAnsi="Times New Roman"/>
                <w:sz w:val="24"/>
              </w:rPr>
              <w:t>Квалифициран ЦК (КЦК):</w:t>
            </w:r>
            <w:r w:rsidRPr="002E7605">
              <w:rPr>
                <w:rFonts w:ascii="Times New Roman" w:hAnsi="Times New Roman"/>
                <w:sz w:val="24"/>
              </w:rPr>
              <w:t xml:space="preserve"> </w:t>
            </w:r>
          </w:p>
          <w:p w14:paraId="4AFED555" w14:textId="77777777" w:rsidR="00EF74C7" w:rsidRPr="002E7605" w:rsidRDefault="00EF74C7" w:rsidP="00822842">
            <w:pPr>
              <w:spacing w:beforeLines="60" w:before="144" w:afterLines="60" w:after="144"/>
              <w:rPr>
                <w:rFonts w:ascii="Times New Roman" w:hAnsi="Times New Roman"/>
                <w:sz w:val="24"/>
              </w:rPr>
            </w:pPr>
            <w:r w:rsidRPr="002E7605">
              <w:rPr>
                <w:rFonts w:ascii="Times New Roman" w:hAnsi="Times New Roman"/>
                <w:sz w:val="24"/>
              </w:rPr>
              <w:t xml:space="preserve">Квалифициран ЦК или КЦК съгласно определението в член 4, параграф 1, точка 88 от Регламент (ЕС) 575/2013. </w:t>
            </w:r>
          </w:p>
        </w:tc>
      </w:tr>
      <w:tr w:rsidR="00EF74C7" w:rsidRPr="002E7605" w14:paraId="4EE07156" w14:textId="77777777" w:rsidTr="00822842">
        <w:trPr>
          <w:trHeight w:val="680"/>
        </w:trPr>
        <w:tc>
          <w:tcPr>
            <w:tcW w:w="1384" w:type="dxa"/>
          </w:tcPr>
          <w:p w14:paraId="2F7B861D" w14:textId="77777777" w:rsidR="00EF74C7" w:rsidRPr="002E7605" w:rsidRDefault="00EF74C7" w:rsidP="00822842">
            <w:pPr>
              <w:pStyle w:val="Applicationdirecte"/>
              <w:spacing w:before="0" w:after="0"/>
            </w:pPr>
            <w:r w:rsidRPr="002E7605">
              <w:t>0070, 0080</w:t>
            </w:r>
          </w:p>
          <w:p w14:paraId="30D4CBEC" w14:textId="77777777" w:rsidR="00EF74C7" w:rsidRPr="002E7605" w:rsidRDefault="00EF74C7" w:rsidP="00822842">
            <w:pPr>
              <w:pStyle w:val="Fait"/>
            </w:pPr>
            <w:r w:rsidRPr="002E7605">
              <w:t>0170, 0180</w:t>
            </w:r>
          </w:p>
        </w:tc>
        <w:tc>
          <w:tcPr>
            <w:tcW w:w="7655" w:type="dxa"/>
            <w:vAlign w:val="center"/>
          </w:tcPr>
          <w:p w14:paraId="6E9FD7DA" w14:textId="77777777" w:rsidR="00EF74C7" w:rsidRPr="002E7605" w:rsidRDefault="00EF74C7" w:rsidP="00822842">
            <w:pPr>
              <w:keepNext/>
              <w:spacing w:before="60"/>
              <w:rPr>
                <w:rStyle w:val="InstructionsTabelleberschrift"/>
                <w:rFonts w:ascii="Times New Roman" w:hAnsi="Times New Roman"/>
                <w:b w:val="0"/>
                <w:sz w:val="24"/>
              </w:rPr>
            </w:pPr>
            <w:r w:rsidRPr="002E7605">
              <w:rPr>
                <w:rStyle w:val="InstructionsTabelleberschrift"/>
                <w:rFonts w:ascii="Times New Roman" w:hAnsi="Times New Roman"/>
                <w:sz w:val="24"/>
              </w:rPr>
              <w:t>Първоначален маржин</w:t>
            </w:r>
          </w:p>
          <w:p w14:paraId="0528AC1A"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Вж. указанията за образец C 34.08.</w:t>
            </w:r>
          </w:p>
          <w:p w14:paraId="045F1620" w14:textId="77777777" w:rsidR="00EF74C7" w:rsidRPr="002E7605" w:rsidRDefault="00EF74C7" w:rsidP="00822842">
            <w:pPr>
              <w:keepNext/>
              <w:spacing w:before="60"/>
              <w:rPr>
                <w:rFonts w:ascii="Times New Roman" w:hAnsi="Times New Roman"/>
                <w:i/>
                <w:sz w:val="24"/>
              </w:rPr>
            </w:pPr>
            <w:r w:rsidRPr="002E7605">
              <w:rPr>
                <w:rFonts w:ascii="Times New Roman" w:hAnsi="Times New Roman"/>
                <w:sz w:val="24"/>
              </w:rPr>
              <w:t xml:space="preserve">За целите на този образец първоначалното допълнително обезпечение не включва вноски в ЦК за споразумения за взаимно споделяне на загубите (т.е. в случаи, в които ЦК използва първоначално допълнително обезпечение за споделяне на загубите между клиринговите членове, то ще се третира като експозиция към гаранционния фонд). </w:t>
            </w:r>
          </w:p>
        </w:tc>
      </w:tr>
      <w:tr w:rsidR="00EF74C7" w:rsidRPr="002E7605" w14:paraId="678BD1FD" w14:textId="77777777" w:rsidTr="00822842">
        <w:trPr>
          <w:trHeight w:val="680"/>
        </w:trPr>
        <w:tc>
          <w:tcPr>
            <w:tcW w:w="1384" w:type="dxa"/>
          </w:tcPr>
          <w:p w14:paraId="1368D46D" w14:textId="77777777" w:rsidR="00EF74C7" w:rsidRPr="002E7605" w:rsidRDefault="00EF74C7" w:rsidP="00822842">
            <w:pPr>
              <w:pStyle w:val="Applicationdirecte"/>
              <w:spacing w:before="0" w:after="0"/>
            </w:pPr>
            <w:r w:rsidRPr="002E7605">
              <w:t>0090, 0190</w:t>
            </w:r>
          </w:p>
        </w:tc>
        <w:tc>
          <w:tcPr>
            <w:tcW w:w="7655" w:type="dxa"/>
            <w:vAlign w:val="center"/>
          </w:tcPr>
          <w:p w14:paraId="37AA0774"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Предварително финансирани вноски в гаранционния фонд</w:t>
            </w:r>
          </w:p>
          <w:p w14:paraId="10ECCD47"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Членове 308 и 309 от Регламент (ЕС) № 575/2013; гаранционен фонд съгласно определението в член 4, параграф 1, точка 89 от Регламент (ЕС) 575/2013. вноска в гаранционния фонд на ЦК, която се заплаща от институцията.</w:t>
            </w:r>
          </w:p>
        </w:tc>
      </w:tr>
      <w:tr w:rsidR="00EF74C7" w:rsidRPr="002E7605" w14:paraId="7BD4821D" w14:textId="77777777" w:rsidTr="00822842">
        <w:trPr>
          <w:trHeight w:val="680"/>
        </w:trPr>
        <w:tc>
          <w:tcPr>
            <w:tcW w:w="1384" w:type="dxa"/>
          </w:tcPr>
          <w:p w14:paraId="7A03D5C3" w14:textId="77777777" w:rsidR="00EF74C7" w:rsidRPr="002E7605" w:rsidRDefault="00EF74C7" w:rsidP="00822842">
            <w:pPr>
              <w:pStyle w:val="Applicationdirecte"/>
              <w:spacing w:before="0" w:after="0"/>
            </w:pPr>
            <w:r w:rsidRPr="002E7605">
              <w:t>0100, 0200</w:t>
            </w:r>
          </w:p>
        </w:tc>
        <w:tc>
          <w:tcPr>
            <w:tcW w:w="7655" w:type="dxa"/>
            <w:vAlign w:val="center"/>
          </w:tcPr>
          <w:p w14:paraId="002C878A"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Нефинансирани вноски в гаранционния фонд</w:t>
            </w:r>
          </w:p>
          <w:p w14:paraId="4758699C" w14:textId="77777777" w:rsidR="00EF74C7" w:rsidRPr="002E7605" w:rsidRDefault="00EF74C7" w:rsidP="00822842">
            <w:pPr>
              <w:keepNext/>
              <w:spacing w:before="60"/>
              <w:rPr>
                <w:rStyle w:val="InstructionsTabelleberschrift"/>
                <w:rFonts w:ascii="Times New Roman" w:hAnsi="Times New Roman"/>
                <w:b w:val="0"/>
                <w:bCs w:val="0"/>
                <w:sz w:val="24"/>
              </w:rPr>
            </w:pPr>
            <w:r w:rsidRPr="002E7605">
              <w:rPr>
                <w:rFonts w:ascii="Times New Roman" w:hAnsi="Times New Roman"/>
                <w:sz w:val="24"/>
              </w:rPr>
              <w:t>Членове 309 и 310 от Регламент (ЕС) № 575/2013; гаранционен фонд съгласно определението в член 4, параграф 1, точка 89 от Регламент (ЕС) 575/2013.</w:t>
            </w:r>
          </w:p>
          <w:p w14:paraId="25D87385" w14:textId="77777777" w:rsidR="00EF74C7" w:rsidRPr="002E7605" w:rsidRDefault="00EF74C7" w:rsidP="00822842">
            <w:pPr>
              <w:keepNext/>
              <w:spacing w:before="60"/>
              <w:rPr>
                <w:rFonts w:ascii="Times New Roman" w:hAnsi="Times New Roman"/>
                <w:sz w:val="24"/>
              </w:rPr>
            </w:pPr>
            <w:r w:rsidRPr="002E7605">
              <w:rPr>
                <w:rFonts w:ascii="Times New Roman" w:hAnsi="Times New Roman"/>
                <w:sz w:val="24"/>
              </w:rPr>
              <w:t>Институциите докладват вноските, които институцията, действаща като клирингов член, е поела задължение по договор да прави в ЦК, след като ЦК е изчерпал своя гаранционен фонд за покриване на понесените от него загуби, произтичащи от неизпълнението от страна на един или повече от клиринговите му членове.</w:t>
            </w:r>
          </w:p>
        </w:tc>
      </w:tr>
      <w:tr w:rsidR="00EF74C7" w:rsidRPr="002E7605" w14:paraId="7623E425" w14:textId="77777777" w:rsidTr="00822842">
        <w:trPr>
          <w:trHeight w:val="680"/>
        </w:trPr>
        <w:tc>
          <w:tcPr>
            <w:tcW w:w="1384" w:type="dxa"/>
          </w:tcPr>
          <w:p w14:paraId="229099B5" w14:textId="77777777" w:rsidR="00EF74C7" w:rsidRPr="002E7605" w:rsidRDefault="00EF74C7" w:rsidP="00822842">
            <w:pPr>
              <w:pStyle w:val="Applicationdirecte"/>
              <w:spacing w:before="0" w:after="0"/>
            </w:pPr>
            <w:r w:rsidRPr="002E7605">
              <w:t>0070, 0170</w:t>
            </w:r>
          </w:p>
        </w:tc>
        <w:tc>
          <w:tcPr>
            <w:tcW w:w="7655" w:type="dxa"/>
            <w:vAlign w:val="center"/>
          </w:tcPr>
          <w:p w14:paraId="2065824F"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Отделено</w:t>
            </w:r>
          </w:p>
          <w:p w14:paraId="7144C419" w14:textId="77777777" w:rsidR="00EF74C7" w:rsidRPr="002E7605" w:rsidRDefault="00EF74C7" w:rsidP="00822842">
            <w:pPr>
              <w:spacing w:before="60"/>
              <w:rPr>
                <w:rFonts w:ascii="Times New Roman" w:eastAsia="Calibri" w:hAnsi="Times New Roman"/>
                <w:sz w:val="24"/>
              </w:rPr>
            </w:pPr>
            <w:r w:rsidRPr="002E7605">
              <w:rPr>
                <w:rFonts w:ascii="Times New Roman" w:hAnsi="Times New Roman"/>
                <w:sz w:val="24"/>
              </w:rPr>
              <w:t>Вж. указанията за образец C 34.08.</w:t>
            </w:r>
          </w:p>
        </w:tc>
      </w:tr>
      <w:tr w:rsidR="00EF74C7" w:rsidRPr="002E7605" w14:paraId="26D915DB" w14:textId="77777777" w:rsidTr="00822842">
        <w:trPr>
          <w:trHeight w:val="680"/>
        </w:trPr>
        <w:tc>
          <w:tcPr>
            <w:tcW w:w="1384" w:type="dxa"/>
          </w:tcPr>
          <w:p w14:paraId="59F46364" w14:textId="77777777" w:rsidR="00EF74C7" w:rsidRPr="002E7605" w:rsidRDefault="00EF74C7" w:rsidP="00822842">
            <w:pPr>
              <w:pStyle w:val="Applicationdirecte"/>
              <w:spacing w:before="0" w:after="0"/>
            </w:pPr>
            <w:r w:rsidRPr="002E7605">
              <w:t>0080, 0180</w:t>
            </w:r>
          </w:p>
        </w:tc>
        <w:tc>
          <w:tcPr>
            <w:tcW w:w="7655" w:type="dxa"/>
            <w:vAlign w:val="center"/>
          </w:tcPr>
          <w:p w14:paraId="0F95C83A"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Неотделено</w:t>
            </w:r>
          </w:p>
          <w:p w14:paraId="002F04D5" w14:textId="77777777" w:rsidR="00EF74C7" w:rsidRPr="002E7605" w:rsidRDefault="00EF74C7" w:rsidP="00822842">
            <w:pPr>
              <w:spacing w:before="60"/>
              <w:rPr>
                <w:rFonts w:ascii="Times New Roman" w:eastAsia="Calibri" w:hAnsi="Times New Roman"/>
                <w:sz w:val="24"/>
              </w:rPr>
            </w:pPr>
            <w:r w:rsidRPr="002E7605">
              <w:rPr>
                <w:rFonts w:ascii="Times New Roman" w:hAnsi="Times New Roman"/>
                <w:sz w:val="24"/>
              </w:rPr>
              <w:t>Вж. указанията за образец C 34.08.</w:t>
            </w:r>
          </w:p>
        </w:tc>
      </w:tr>
    </w:tbl>
    <w:p w14:paraId="7128280E" w14:textId="77777777" w:rsidR="00EF74C7" w:rsidRPr="002E7605"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sidRPr="002E7605">
        <w:rPr>
          <w:rFonts w:ascii="Times New Roman" w:hAnsi="Times New Roman"/>
          <w:sz w:val="24"/>
        </w:rPr>
        <w:lastRenderedPageBreak/>
        <w:t>C 34.11 — Отчети за потоците от рисково претеглените размери на експозиции (RWEA) към РКИ съгласно МВМ</w:t>
      </w:r>
      <w:bookmarkEnd w:id="70"/>
      <w:bookmarkEnd w:id="71"/>
    </w:p>
    <w:p w14:paraId="2C95A3D6"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sidRPr="002E7605">
        <w:rPr>
          <w:rFonts w:ascii="Times New Roman" w:hAnsi="Times New Roman"/>
          <w:sz w:val="24"/>
        </w:rPr>
        <w:t>Общи бележки</w:t>
      </w:r>
      <w:bookmarkEnd w:id="72"/>
      <w:bookmarkEnd w:id="73"/>
    </w:p>
    <w:p w14:paraId="03BB213D" w14:textId="647FCB93"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133</w:t>
      </w:r>
      <w:r w:rsidRPr="002E7605">
        <w:fldChar w:fldCharType="end"/>
      </w:r>
      <w:r w:rsidRPr="002E7605">
        <w:t>. Институциите, които използват МВМ за изчисляване на рисково претеглените размери на всички свои експозиции към КРК или за част от тях в съответствие с трета част, дял II, глава 6 от Регламент (ЕС) 575/2013, независимо от подхода към кредитния риск, използван за определяне на съответните рискови тегла, докладват в този образец отчета за потоците, в който се обясняват промените в размерите на рисково претеглените експозиции в деривати и СФЦК, попадащи в обхвата на МВМ, разграничени по основни фактори и основани на разумни оценки.</w:t>
      </w:r>
    </w:p>
    <w:p w14:paraId="3CF6C221" w14:textId="3050BF14"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134</w:t>
      </w:r>
      <w:r w:rsidRPr="002E7605">
        <w:fldChar w:fldCharType="end"/>
      </w:r>
      <w:r w:rsidRPr="002E7605">
        <w:t xml:space="preserve">. Институциите, които докладват този образец на тримесечие, попълват само колона 0010. Институциите, които докладват този образец годишно, попълват само колона 0020. </w:t>
      </w:r>
    </w:p>
    <w:p w14:paraId="618242D4" w14:textId="24BF40AD" w:rsidR="00EF74C7" w:rsidRPr="002E7605" w:rsidRDefault="00EF74C7" w:rsidP="00EF74C7">
      <w:pPr>
        <w:pStyle w:val="InstructionsText2"/>
        <w:numPr>
          <w:ilvl w:val="0"/>
          <w:numId w:val="0"/>
        </w:numPr>
        <w:ind w:left="993"/>
      </w:pPr>
      <w:r w:rsidRPr="002E7605">
        <w:fldChar w:fldCharType="begin"/>
      </w:r>
      <w:r w:rsidRPr="002E7605">
        <w:instrText>seq paragraphs</w:instrText>
      </w:r>
      <w:r w:rsidRPr="002E7605">
        <w:fldChar w:fldCharType="separate"/>
      </w:r>
      <w:r w:rsidRPr="002E7605">
        <w:t>135</w:t>
      </w:r>
      <w:r w:rsidRPr="002E7605">
        <w:fldChar w:fldCharType="end"/>
      </w:r>
      <w:r w:rsidRPr="002E7605">
        <w:t>. В този образец не се включват рисково претеглените размери на експозициите към централен контрагент (трета част, дял II, глава 6, раздел 9 от Регламент (ЕС) № 575/2013).</w:t>
      </w:r>
    </w:p>
    <w:p w14:paraId="5D4AACDC" w14:textId="77777777" w:rsidR="00EF74C7" w:rsidRPr="002E7605"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sidRPr="002E7605">
        <w:rPr>
          <w:rFonts w:ascii="Times New Roman" w:hAnsi="Times New Roman"/>
          <w:sz w:val="24"/>
        </w:rPr>
        <w:t>Указания относно конкретни позиции</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E7605" w:rsidRDefault="00EF74C7" w:rsidP="00822842">
            <w:pPr>
              <w:rPr>
                <w:rFonts w:ascii="Times New Roman" w:hAnsi="Times New Roman"/>
                <w:b/>
                <w:sz w:val="24"/>
              </w:rPr>
            </w:pPr>
            <w:r w:rsidRPr="002E7605">
              <w:rPr>
                <w:rFonts w:ascii="Times New Roman" w:hAnsi="Times New Roman"/>
                <w:b/>
                <w:sz w:val="24"/>
              </w:rPr>
              <w:t>Колони</w:t>
            </w:r>
          </w:p>
        </w:tc>
      </w:tr>
      <w:tr w:rsidR="00EF74C7" w:rsidRPr="002E7605"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E7605" w:rsidRDefault="00EF74C7" w:rsidP="00822842">
            <w:pPr>
              <w:pStyle w:val="Applicationdirecte"/>
              <w:spacing w:before="0" w:after="0"/>
            </w:pPr>
            <w:r w:rsidRPr="002E7605">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РИСКОВО ПРЕТЕГЛЕНИ РАЗМЕРИ НА ЕКСПОЗИЦИИТЕ</w:t>
            </w:r>
          </w:p>
          <w:p w14:paraId="0630F3A5" w14:textId="03B5FB80" w:rsidR="00EF74C7" w:rsidRPr="002E7605" w:rsidRDefault="00EF74C7" w:rsidP="00822842">
            <w:pPr>
              <w:rPr>
                <w:rFonts w:ascii="Times New Roman" w:hAnsi="Times New Roman"/>
                <w:sz w:val="24"/>
              </w:rPr>
            </w:pPr>
            <w:r w:rsidRPr="002E7605">
              <w:rPr>
                <w:rFonts w:ascii="Times New Roman" w:hAnsi="Times New Roman"/>
                <w:sz w:val="24"/>
              </w:rPr>
              <w:t xml:space="preserve">Рисково претеглените експозиции, както са определени в член 92, параграф 3 от Регламент (ЕС) № 575/2013, за позициите, чиито рискови тегла се оценяват въз основа на изискванията в трета част, дял II, глави 2 и 3 от същия регламент и за които стойността на експозицията за дейностите, обект на кредитен риск от контрагента, се изчислява в съответствие с трета част, дял II, глава 6, раздел 6 от същия регламент. </w:t>
            </w:r>
          </w:p>
          <w:p w14:paraId="1EFFB8C4" w14:textId="77777777" w:rsidR="00EF74C7" w:rsidRPr="002E7605" w:rsidRDefault="00EF74C7" w:rsidP="00822842">
            <w:pPr>
              <w:spacing w:before="60"/>
              <w:rPr>
                <w:rFonts w:ascii="Times New Roman" w:hAnsi="Times New Roman"/>
                <w:i/>
                <w:sz w:val="24"/>
              </w:rPr>
            </w:pPr>
            <w:r w:rsidRPr="002E7605">
              <w:rPr>
                <w:rFonts w:ascii="Times New Roman" w:hAnsi="Times New Roman"/>
                <w:sz w:val="24"/>
              </w:rPr>
              <w:t>Посочените в членове 501 и 501а от Регламент (ЕС) № 575/2013 коефициенти за подпомагане на МСП и на финансирането на инфраструктура се взимат предвид.</w:t>
            </w:r>
          </w:p>
        </w:tc>
      </w:tr>
    </w:tbl>
    <w:p w14:paraId="2395318C" w14:textId="77777777" w:rsidR="00EF74C7" w:rsidRPr="002E7605"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E7605"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E7605" w:rsidRDefault="00EF74C7" w:rsidP="00822842">
            <w:pPr>
              <w:rPr>
                <w:rFonts w:ascii="Times New Roman" w:hAnsi="Times New Roman"/>
                <w:b/>
                <w:sz w:val="24"/>
              </w:rPr>
            </w:pPr>
            <w:r w:rsidRPr="002E7605">
              <w:rPr>
                <w:rFonts w:ascii="Times New Roman" w:hAnsi="Times New Roman"/>
                <w:b/>
                <w:sz w:val="24"/>
              </w:rPr>
              <w:t>Редове</w:t>
            </w:r>
          </w:p>
        </w:tc>
      </w:tr>
      <w:tr w:rsidR="00EF74C7" w:rsidRPr="002E7605"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E7605" w:rsidRDefault="00EF74C7" w:rsidP="00822842">
            <w:pPr>
              <w:pStyle w:val="Applicationdirecte"/>
              <w:spacing w:before="0" w:after="0"/>
            </w:pPr>
            <w:r w:rsidRPr="002E7605">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Рисково претеглени размери на експозициите в края на предходния период на докладване</w:t>
            </w:r>
          </w:p>
          <w:p w14:paraId="27A42CBA"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Рисково претеглени размери на експозициите към РКИ съгласно МВМ в края на предходния период на докладване.</w:t>
            </w:r>
          </w:p>
        </w:tc>
      </w:tr>
      <w:tr w:rsidR="00EF74C7" w:rsidRPr="002E7605"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E7605" w:rsidRDefault="00EF74C7" w:rsidP="00822842">
            <w:pPr>
              <w:pStyle w:val="Applicationdirecte"/>
              <w:spacing w:before="0" w:after="0"/>
            </w:pPr>
            <w:r w:rsidRPr="002E7605">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Размер на активите</w:t>
            </w:r>
          </w:p>
          <w:p w14:paraId="18261438"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Промени в рисково претегления размер на експозициите (положителни или отрицателни) поради промени в размера и състава на портфейла в </w:t>
            </w:r>
            <w:r w:rsidRPr="002E7605">
              <w:rPr>
                <w:rFonts w:ascii="Times New Roman" w:hAnsi="Times New Roman"/>
                <w:sz w:val="24"/>
              </w:rPr>
              <w:lastRenderedPageBreak/>
              <w:t>резултат от обичайните стопански дейности (включително възникване на нови стопански дейности и настъпване на падежа на експозиции), но без промени в размера на портфейла, дължащи се на придобивания и продажби на предприятия.</w:t>
            </w:r>
          </w:p>
        </w:tc>
      </w:tr>
      <w:tr w:rsidR="00EF74C7" w:rsidRPr="002E7605"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E7605" w:rsidRDefault="00EF74C7" w:rsidP="00822842">
            <w:pPr>
              <w:pStyle w:val="Applicationdirecte"/>
              <w:spacing w:before="0" w:after="0"/>
            </w:pPr>
            <w:r w:rsidRPr="002E7605">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 xml:space="preserve">Кредитно качество на контрагентите </w:t>
            </w:r>
          </w:p>
          <w:p w14:paraId="250F3251"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Промени в рисково претегления размер на експозициите (положителни или отрицателни) поради промени в оценката за качеството на контрагентите на институцията, измерено съгласно рамката за кредитния риск, независимо от подхода, използван от институцията. В този ред се включват и потенциални промени в рисково претегления размер на експозициите, дължащи се на вътрешнорейтинговите модели, когато институцията използва вътрешнорейтингов подход.</w:t>
            </w:r>
          </w:p>
        </w:tc>
      </w:tr>
      <w:tr w:rsidR="00EF74C7" w:rsidRPr="002E7605"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E7605" w:rsidRDefault="00EF74C7" w:rsidP="00822842">
            <w:pPr>
              <w:pStyle w:val="Applicationdirecte"/>
              <w:spacing w:before="0" w:after="0"/>
            </w:pPr>
            <w:r w:rsidRPr="002E7605">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Актуализации на модела (само за МВМ)</w:t>
            </w:r>
          </w:p>
          <w:p w14:paraId="18D81B07"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Промени в рисково претегления размер на експозициите (положителни или отрицателни), дължащи се на прилагане на модела, промени в обхвата на модела или всякакви промени, имащи за цел отстраняване на слаби страни на модела.</w:t>
            </w:r>
          </w:p>
          <w:p w14:paraId="35919C0F"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В този ред се отразяват само промени в МВМ.</w:t>
            </w:r>
          </w:p>
        </w:tc>
      </w:tr>
      <w:tr w:rsidR="00EF74C7" w:rsidRPr="002E7605"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E7605" w:rsidRDefault="00EF74C7" w:rsidP="00822842">
            <w:pPr>
              <w:pStyle w:val="Applicationdirecte"/>
              <w:spacing w:before="0" w:after="0"/>
            </w:pPr>
            <w:r w:rsidRPr="002E7605">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Методика и правила (само за МВМ)</w:t>
            </w:r>
          </w:p>
          <w:p w14:paraId="492776FC"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Промени в рисково претегления размер на експозициите (положителни или отрицателни), дължащи се на методологични промени в изчисленията в резултат на промени на регулаторната политика, като напр. нови разпоредби (само в МВМ).</w:t>
            </w:r>
          </w:p>
        </w:tc>
      </w:tr>
      <w:tr w:rsidR="00EF74C7" w:rsidRPr="002E7605"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E7605" w:rsidRDefault="00EF74C7" w:rsidP="00822842">
            <w:pPr>
              <w:pStyle w:val="Applicationdirecte"/>
              <w:spacing w:before="0" w:after="0"/>
            </w:pPr>
            <w:r w:rsidRPr="002E7605">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Придобивания и продажби</w:t>
            </w:r>
          </w:p>
          <w:p w14:paraId="556F6F98"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Промени в рисково претегления размер на експозициите (положителни или отрицателни) поради промени в размера на портфейла, дължащи се на придобивания и продажби на предприятия.</w:t>
            </w:r>
          </w:p>
        </w:tc>
      </w:tr>
      <w:tr w:rsidR="00EF74C7" w:rsidRPr="002E7605"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E7605" w:rsidRDefault="00EF74C7" w:rsidP="00822842">
            <w:pPr>
              <w:pStyle w:val="Applicationdirecte"/>
              <w:spacing w:before="0" w:after="0"/>
            </w:pPr>
            <w:r w:rsidRPr="002E7605">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Изменения на валутните курсове</w:t>
            </w:r>
          </w:p>
          <w:p w14:paraId="29E3F8C8"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Промени в рисково претегления размер на експозициите (положителни или отрицателни) поради промени, предизвикани от движение на валутните курсове. </w:t>
            </w:r>
          </w:p>
        </w:tc>
      </w:tr>
      <w:tr w:rsidR="00EF74C7" w:rsidRPr="002E7605"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E7605" w:rsidRDefault="00EF74C7" w:rsidP="00822842">
            <w:pPr>
              <w:pStyle w:val="Applicationdirecte"/>
              <w:spacing w:before="0" w:after="0"/>
            </w:pPr>
            <w:r w:rsidRPr="002E7605">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Друго</w:t>
            </w:r>
          </w:p>
          <w:p w14:paraId="0BAC5EB4" w14:textId="77777777" w:rsidR="00EF74C7" w:rsidRPr="002E7605" w:rsidRDefault="00EF74C7" w:rsidP="00822842">
            <w:pPr>
              <w:spacing w:before="60"/>
              <w:rPr>
                <w:rFonts w:ascii="Times New Roman" w:hAnsi="Times New Roman"/>
                <w:sz w:val="24"/>
              </w:rPr>
            </w:pPr>
            <w:r w:rsidRPr="002E7605">
              <w:rPr>
                <w:rFonts w:ascii="Times New Roman" w:hAnsi="Times New Roman"/>
                <w:sz w:val="24"/>
              </w:rPr>
              <w:t xml:space="preserve">Тази категория се използва за докладване на промените в рисково претегления размер на експозициите (положителни или отрицателни), които не могат да бъдат отнесени към категориите по-горе. </w:t>
            </w:r>
          </w:p>
        </w:tc>
      </w:tr>
      <w:tr w:rsidR="00EF74C7" w:rsidRPr="002E7605"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E7605" w:rsidRDefault="00EF74C7" w:rsidP="00822842">
            <w:pPr>
              <w:pStyle w:val="Applicationdirecte"/>
              <w:spacing w:before="0" w:after="0"/>
            </w:pPr>
            <w:r w:rsidRPr="002E7605">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E7605" w:rsidRDefault="00EF74C7" w:rsidP="00822842">
            <w:pPr>
              <w:spacing w:beforeLines="60" w:before="144" w:afterLines="60" w:after="144"/>
              <w:rPr>
                <w:rStyle w:val="InstructionsTabelleberschrift"/>
                <w:rFonts w:ascii="Times New Roman" w:hAnsi="Times New Roman"/>
                <w:sz w:val="24"/>
              </w:rPr>
            </w:pPr>
            <w:r w:rsidRPr="002E7605">
              <w:rPr>
                <w:rStyle w:val="InstructionsTabelleberschrift"/>
                <w:rFonts w:ascii="Times New Roman" w:hAnsi="Times New Roman"/>
                <w:sz w:val="24"/>
              </w:rPr>
              <w:t>Рисково претеглени размери на експозициите в края на текущия период на докладване</w:t>
            </w:r>
          </w:p>
          <w:p w14:paraId="51365175" w14:textId="77777777" w:rsidR="00EF74C7" w:rsidRPr="002E7605" w:rsidRDefault="00EF74C7" w:rsidP="00822842">
            <w:pPr>
              <w:spacing w:before="60"/>
              <w:rPr>
                <w:rFonts w:ascii="Times New Roman" w:hAnsi="Times New Roman"/>
                <w:i/>
                <w:sz w:val="24"/>
              </w:rPr>
            </w:pPr>
            <w:r w:rsidRPr="002E7605">
              <w:rPr>
                <w:rFonts w:ascii="Times New Roman" w:hAnsi="Times New Roman"/>
                <w:sz w:val="24"/>
              </w:rPr>
              <w:t>Рисково претеглени размери на експозициите към РКИ съгласно МВМ в края на текущия период на докладване.</w:t>
            </w:r>
          </w:p>
        </w:tc>
      </w:tr>
    </w:tbl>
    <w:p w14:paraId="46880A2A" w14:textId="77777777" w:rsidR="00EF74C7" w:rsidRPr="002E7605" w:rsidRDefault="00EF74C7"/>
    <w:p w14:paraId="0CA113AF" w14:textId="77777777" w:rsidR="00EF74C7" w:rsidRPr="002E7605" w:rsidRDefault="00EF74C7"/>
    <w:sectPr w:rsidR="00EF74C7" w:rsidRPr="002E760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2E7605"/>
    <w:rsid w:val="00631623"/>
    <w:rsid w:val="00632962"/>
    <w:rsid w:val="00793BDE"/>
    <w:rsid w:val="007D3B3D"/>
    <w:rsid w:val="00A6002C"/>
    <w:rsid w:val="00B5223F"/>
    <w:rsid w:val="00B71F25"/>
    <w:rsid w:val="00BD63AA"/>
    <w:rsid w:val="00D57F80"/>
    <w:rsid w:val="00DE7FB9"/>
    <w:rsid w:val="00E26A90"/>
    <w:rsid w:val="00EF07A1"/>
    <w:rsid w:val="00EF74C7"/>
    <w:rsid w:val="00FC0C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bg-BG"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bg-BG"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bg-BG"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bg-BG"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bg-BG"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bg-BG"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bg-BG"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bg-BG"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bg-BG"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bg-BG"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bg-BG"/>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DA6E01C6-C14D-484F-82B0-1FAC0A23F6E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4</TotalTime>
  <Pages>28</Pages>
  <Words>8291</Words>
  <Characters>44608</Characters>
  <Application>Microsoft Office Word</Application>
  <DocSecurity>0</DocSecurity>
  <Lines>1173</Lines>
  <Paragraphs>766</Paragraphs>
  <ScaleCrop>false</ScaleCrop>
  <Company>European Banking Authority</Company>
  <LinksUpToDate>false</LinksUpToDate>
  <CharactersWithSpaces>52133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BAKOS Tamas (DGT)</cp:lastModifiedBy>
  <cp:revision>6</cp:revision>
  <dcterms:created xsi:type="dcterms:W3CDTF">2024-06-19T16:03:00Z</dcterms:created>
  <dcterms:modified xsi:type="dcterms:W3CDTF">2025-01-24T10:52:00Z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2025-01-22T16:10:01Z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c6d6cb89-189b-4738-a90b-c507ffa0c048</vt:lpwstr>
  </property>
  <property fmtid="{D5CDD505-2E9C-101B-9397-08002B2CF9AE}" pid="12" name="MSIP_Label_6bd9ddd1-4d20-43f6-abfa-fc3c07406f94_ContentBits">
    <vt:lpwstr>0</vt:lpwstr>
  </property>
</Properties>
</file>