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EL</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Pr>
          <w:rFonts w:ascii="Times New Roman" w:hAnsi="Times New Roman"/>
          <w:sz w:val="24"/>
        </w:rPr>
        <w:t>ΠΑΡΑΡΤΗΜΑ II</w:t>
      </w:r>
    </w:p>
    <w:p w14:paraId="37362007" w14:textId="6FB5EC15" w:rsidR="002648B0" w:rsidRPr="00037E7B" w:rsidRDefault="008D696E" w:rsidP="00A33695">
      <w:pPr>
        <w:jc w:val="center"/>
        <w:rPr>
          <w:rFonts w:ascii="Times New Roman" w:hAnsi="Times New Roman"/>
          <w:sz w:val="24"/>
        </w:rPr>
      </w:pPr>
      <w:r>
        <w:rPr>
          <w:rFonts w:ascii="Times New Roman" w:hAnsi="Times New Roman"/>
          <w:sz w:val="24"/>
        </w:rPr>
        <w:t>«ΠΑΡΑΡΤΗΜΑ II</w:t>
      </w:r>
    </w:p>
    <w:p w14:paraId="327777EC" w14:textId="77777777" w:rsidR="002648B0" w:rsidRPr="00037E7B" w:rsidRDefault="00D11E4C" w:rsidP="00C87CEE">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ΜΕΡΟΣ II: ΟΔΗΓΙΕΣ ΣΧΕΤΙΚΑ ΜΕ ΤΑ ΥΠΟΔΕΙΓΜΑΤΑ</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rFonts w:ascii="Times New Roman" w:hAnsi="Times New Roman"/>
          <w:sz w:val="24"/>
        </w:rPr>
        <w:t>9. Όρια χαρτοφυλακίου συναλλαγών και κινδύνου αγοράς, το όριο μεταξύ των θέσεων εντός χαρτοφυλακίου συναλλαγών και εκτός χαρτοφυλακίου συναλλαγών και αναταξινομήσεις</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Pr>
          <w:rFonts w:ascii="Times New Roman" w:hAnsi="Times New Roman"/>
          <w:sz w:val="24"/>
        </w:rPr>
        <w:t>9.1</w:t>
      </w:r>
      <w:r>
        <w:tab/>
      </w:r>
      <w:bookmarkEnd w:id="6"/>
      <w:r>
        <w:rPr>
          <w:rFonts w:ascii="Times New Roman" w:hAnsi="Times New Roman"/>
          <w:sz w:val="24"/>
        </w:rPr>
        <w:t>C 90.00 – Όρια χαρτοφυλακίου συναλλαγών και κινδύνου αγοράς</w:t>
      </w:r>
      <w:bookmarkEnd w:id="7"/>
      <w:bookmarkEnd w:id="8"/>
      <w:r>
        <w:rPr>
          <w:rFonts w:ascii="Times New Roman" w:hAnsi="Times New Roman"/>
          <w:sz w:val="24"/>
        </w:rPr>
        <w:t>T</w:t>
      </w:r>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Pr>
          <w:rFonts w:ascii="Times New Roman" w:hAnsi="Times New Roman"/>
          <w:sz w:val="24"/>
          <w:u w:val="none"/>
        </w:rPr>
        <w:t>9.1.1</w:t>
      </w:r>
      <w:r>
        <w:tab/>
      </w:r>
      <w:r>
        <w:rPr>
          <w:rFonts w:ascii="Times New Roman" w:hAnsi="Times New Roman"/>
          <w:sz w:val="24"/>
          <w:u w:val="none"/>
        </w:rPr>
        <w:t>Γενικές παρατηρήσεις</w:t>
      </w:r>
    </w:p>
    <w:p w14:paraId="2EE35BE9" w14:textId="77777777" w:rsidR="00F65FA6" w:rsidRPr="00037E7B" w:rsidRDefault="00F65FA6" w:rsidP="00F65FA6">
      <w:pPr>
        <w:pStyle w:val="InstructionsText2"/>
        <w:numPr>
          <w:ilvl w:val="0"/>
          <w:numId w:val="61"/>
        </w:numPr>
        <w:spacing w:line="259" w:lineRule="auto"/>
      </w:pPr>
      <w:r>
        <w:t>Οι πληροφορίες που παρέχονται στο παρόν υπόδειγμα αντικατοπτρίζουν το αποτέλεσμα του υπολογισμού που αναφέρεται στο άρθρο 94 του κανονισμού (ΕΕ) αριθ. 575/2013 (παρέκκλιση για μικρές δραστηριότητες του χαρτοφυλακίου συναλλαγών), καθώς και τον όγκο των εντός και εκτός ισολογισμού δραστηριοτήτων ενός ιδρύματος που υπόκεινται σε κίνδυνο αγοράς, υπολογιζόμενο σύμφωνα με το άρθρο 325α του κανονισμού (ΕΕ) αριθ.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Pr>
          <w:rFonts w:ascii="Times New Roman" w:hAnsi="Times New Roman"/>
          <w:sz w:val="24"/>
          <w:u w:val="none"/>
        </w:rPr>
        <w:t>9.1.2</w:t>
      </w:r>
      <w:r>
        <w:tab/>
      </w:r>
      <w:r>
        <w:rPr>
          <w:rFonts w:ascii="Times New Roman" w:hAnsi="Times New Roman"/>
          <w:sz w:val="24"/>
          <w:u w:val="none"/>
        </w:rPr>
        <w:t>Οδηγίες για συγκεκριμένες θέσεις</w:t>
      </w:r>
      <w:bookmarkEnd w:id="10"/>
    </w:p>
    <w:p w14:paraId="230964CC" w14:textId="77777777" w:rsidR="00F65FA6" w:rsidRPr="00037E7B" w:rsidRDefault="00F65FA6" w:rsidP="00F65FA6">
      <w:pPr>
        <w:pStyle w:val="InstructionsText2"/>
        <w:numPr>
          <w:ilvl w:val="0"/>
          <w:numId w:val="61"/>
        </w:numPr>
        <w:spacing w:line="259" w:lineRule="auto"/>
      </w:pPr>
      <w:r>
        <w:t>Το αποτέλεσμα του υπολογισμού που αναφέρεται στο άρθρο 94 του κανονισμού (ΕΕ) αριθ. 575/2013, καθώς και οι πληροφορίες σχετικά με τον όγκο των εντός και εκτός ισολογισμού δραστηριοτήτων ενός ιδρύματος που υπόκεινται σε κίνδυνο αγοράς, υπολογιζόμενο σύμφωνα με το άρθρο 325α του κανονισμού (ΕΕ) αριθ. 575/2013, αναφέρεται χωριστά για κάθε τέλος του μήνα του τριμήνου που καλύπτεται από την υποβολή αναφοράς στις γραμμές 0010 έως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Γραμμή</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Νομικά κείμενα αναφοράς και οδηγίες</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Μήνας 3</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Δεδομένα την τελευταία ημέρα του τρίτου μήνα του τριμήνου που καλύπτεται από την υποβολή αναφοράς.</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Μήνας 2</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Δεδομένα την τελευταία ημέρα του δεύτερου μήνα του τριμήνου που καλύπτεται από την υποβολή αναφοράς.</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Μήνας 1</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Δεδομένα την τελευταία ημέρα του πρώτου μήνα του τριμήνου που καλύπτεται από την υποβολή αναφοράς.</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Στήλη</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rPr>
            </w:pPr>
            <w:r>
              <w:rPr>
                <w:rFonts w:ascii="Times New Roman" w:hAnsi="Times New Roman"/>
                <w:b/>
              </w:rPr>
              <w:t>Νομικά κείμενα αναφοράς και οδηγίες</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Εντός και εκτός ισολογισμού δραστηριότητες που υπόκεινται σε κίνδυνο αγοράς</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Άρθρο 325α παράγραφος 2 του κανονισμού (ΕΕ) αριθ. 575/2013.</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Τα ιδρύματα αναφέρουν το απόλυτο ποσό που αντικατοπτρίζει τις εντός και εκτός ισολογισμού δραστηριότητες των ιδρυμάτων που υπόκεινται σε κίνδυνο αγοράς, υπολογιζόμενο σύμφωνα με το άρθρο 325α παράγραφος 2 του κανονισμού (ΕΕ) αριθ.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Κατανομή ανά ρυθμιστικό χαρτοφυλάκιο</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Οι εντός και εκτός ισολογισμού δραστηριότητες που υπόκεινται σε κίνδυνο αγοράς αναλύονται ανά χαρτοφυλάκιο συναλλαγών και εκτός χαρτοφυλακίου συναλλαγών.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Χαρτοφυλάκιο συναλλαγών</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Θέσεις του χαρτοφυλακίου συναλλαγών που περιλαμβάνονται στον υπολογισμό του άρθρου 325α παράγραφος 2 του κανονισμού (ΕΕ) αριθ.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εκ των οποίων: Δραστηριότητες του χαρτοφυλακίου συναλλαγών για τους σκοπούς του άρθρου 94 του κανονισμού (ΕΕ) αριθ. 575/2013</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Άρθρο 94 παράγραφος 3 του κανονισμού (ΕΕ) αριθ. 575/2013.</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Όπως απαιτείται από το άρθρο 94 παράγραφος 3 στοιχείο β) του κανονισμού (ΕΕ) αριθ. 575/2013, τα ιδρύματα αναφέρουν τις αγοραίες αξίες κατά την τελευταία ημέρα του μήνα· σε περίπτωση που οι αγοραίες αξίες δεν είναι διαθέσιμες, τις εύλογες αξίες κατά την ίδια ημερομηνία, ή, σε περίπτωση που οι αγοραίες αξίες και οι εύλογες αξίες δεν είναι διαθέσιμες για τη συγκεκριμένη ημερομηνία, την πλέον πρόσφατη αγοραία ή εύλογη αξία.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Σύνολο</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Άρθρο 94 παράγραφος 3 του κανονισμού (ΕΕ) αριθ. 575/2013.</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Το απόλυτο ποσό των θετικών και αρνητικών θέσεων αθροίζεται όπως απαιτείται βάσει του άρθρου 94 παράγραφος 3 στοιχείο γ) του κανονισμού (ΕΕ) αριθ.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ως % του συνόλου του ενεργητικού</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Άρθρο 94 παράγραφος 1 στοιχείο α) του κανονισμού (ΕΕ) αριθ. 575/2013.</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Ο όγκος των δραστηριοτήτων του χαρτοφυλακίου συναλλαγών για τους σκοπούς του άρθρου 94 του κανονισμού (ΕΕ) αριθ. 575/2013 εκφράζεται ως ποσοστό επί τοις εκατό των συνολικών στοιχείων ενεργητικού.</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lastRenderedPageBreak/>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 xml:space="preserve">Εκτός χαρτοφυλακίου συναλλαγών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Θέσεις εκτός χαρτοφυλακίου συναλλαγών που περιλαμβάνονται στον υπολογισμό του άρθρου 325α παράγραφος 2 του κανονισμού (ΕΕ) αριθ. 575/2013.</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Τα ιδρύματα αναφέρουν τις θέσεις εκτός χαρτοφυλακίου συναλλαγών που υπόκεινται σε κίνδυνο αγοράς κατανεμημένες σε θέσεις που υπόκεινται σε κίνδυνο συναλλάγματος και θέσεις που υπόκεινται σε κίνδυνο βασικών εμπορευμάτων.</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Τα σχετικά ποσά καθορίζονται σύμφωνα με το άρθρο 325α παράγραφος 2 στοιχεία δ) και ε) του κανονισμού (ΕΕ) αριθ.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ως % του συνόλου του ενεργητικού</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Άρθρο 325α παράγραφος 1 στοιχείο α) του κανονισμού (ΕΕ) αριθ. 575/2013.</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Οι εντός και εκτός ισολογισμού δραστηριότητες που υπόκεινται σε κίνδυνο αγοράς εκφράζονται ως ποσοστό επί τοις εκατό των συνολικών στοιχείων ενεργητικού.</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rPr>
            </w:pPr>
            <w:r>
              <w:rPr>
                <w:rFonts w:ascii="Times New Roman" w:hAnsi="Times New Roman"/>
                <w:b/>
                <w:u w:val="single"/>
              </w:rPr>
              <w:t>Σύνολο ενεργητικού</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Άρθρο 94 παράγραφος 1 στοιχείο α) και άρθρο 325α παράγραφος 1 στοιχείο α) του κανονισμού (ΕΕ) αριθ.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rFonts w:ascii="Times New Roman" w:hAnsi="Times New Roman"/>
          <w:sz w:val="24"/>
        </w:rPr>
        <w:t>9.2 Το όριο μεταξύ των θέσεων εντός χαρτοφυλακίου συναλλαγών και εκτός χαρτοφυλακίου συναλλαγών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Pr>
          <w:rFonts w:ascii="Times New Roman" w:hAnsi="Times New Roman"/>
          <w:sz w:val="24"/>
        </w:rPr>
        <w:t>9.2.1</w:t>
      </w:r>
      <w:r>
        <w:tab/>
      </w:r>
      <w:r>
        <w:rPr>
          <w:rFonts w:ascii="Times New Roman" w:hAnsi="Times New Roman"/>
          <w:sz w:val="24"/>
        </w:rPr>
        <w:t>Γενικές παρατηρήσεις</w:t>
      </w:r>
      <w:bookmarkEnd w:id="11"/>
    </w:p>
    <w:p w14:paraId="5D51F5A4" w14:textId="105C86A5" w:rsidR="009B2CA6" w:rsidRPr="00037E7B" w:rsidRDefault="000B3833" w:rsidP="00660845">
      <w:pPr>
        <w:pStyle w:val="InstructionsText2"/>
        <w:numPr>
          <w:ilvl w:val="0"/>
          <w:numId w:val="0"/>
        </w:numPr>
      </w:pPr>
      <w:r>
        <w:t xml:space="preserve">209α. Το παρόν υπόδειγμα χρησιμοποιείται για την παροχή πληροφοριών σχετικά με τη σύνθεση του χαρτοφυλακίου συναλλαγών (BOU1) υπό το πρίσμα των τεκμηρίων για τη συμπερίληψη μέσων στα χαρτοφυλάκια που ορίζονται στο άρθρο 104 του κανονισμού (ΕΕ) αριθ.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Pr>
          <w:rFonts w:ascii="Times New Roman" w:hAnsi="Times New Roman"/>
          <w:sz w:val="24"/>
        </w:rPr>
        <w:t>9.2.2</w:t>
      </w:r>
      <w:r>
        <w:tab/>
      </w:r>
      <w:r>
        <w:rPr>
          <w:rFonts w:ascii="Times New Roman" w:hAnsi="Times New Roman"/>
          <w:sz w:val="24"/>
        </w:rPr>
        <w:t>C 90.05 – Όριο: Χαρτοφυλάκιο συναλλαγών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Pr>
          <w:rFonts w:ascii="Times New Roman" w:hAnsi="Times New Roman"/>
          <w:sz w:val="24"/>
        </w:rPr>
        <w:t>9.2.2.1 Γενικές παρατηρήσεις</w:t>
      </w:r>
      <w:bookmarkEnd w:id="13"/>
    </w:p>
    <w:p w14:paraId="4E94C71F" w14:textId="73207B56" w:rsidR="00D87969" w:rsidRPr="00037E7B" w:rsidRDefault="000B3833" w:rsidP="00D53CED">
      <w:pPr>
        <w:pStyle w:val="InstructionsText2"/>
        <w:numPr>
          <w:ilvl w:val="0"/>
          <w:numId w:val="0"/>
        </w:numPr>
        <w:rPr>
          <w:noProof/>
        </w:rPr>
      </w:pPr>
      <w:r>
        <w:t>209β. Τα ιδρύματα αναφέρουν στο παρόν υπόδειγμα όλες τις θέσεις του χαρτοφυλακίου συναλλαγών, όπως αναφέρεται στο άρθρο 4 παράγραφος 1 σημείο 85) του κανονισμού (ΕΕ) αριθ. 575/2013, με εξαίρεση τα μέσα και τις θέσεις που εξαιρούνται από τον υπολογισμό του κατώτατου ορίου που αναφέρεται στο άρθρο 325α του κανονισμού (ΕΕ) αριθ. 575/2013.209γ.Κατά παρέκκλιση από το άρθρο 21 παράγραφος 1 στοιχείο α) του κανονισμού (ΕΕ) 2021/451, τα ιδρύματα συμπληρώνουν μηδέν στις γραμμές 0010 και 0020, στις στήλες 0020 (“Υποχρεωτικά εντός του χαρτοφυλακίου συναλλαγών”), 0130 (“Μέσα που περιλαμβάνονται στο χαρτοφυλάκιο συναλλαγών με έγκριση της αρμόδιας αρχής: μέσα υπό τη μορφή αμοιβαίων κεφαλαίων αντιστάθμισης κινδύνου”) και 0140 (“Άλλα μέσα”), αντίστοιχα, εάν το χαρτοφυλάκιο συναλλαγών τους δεν περιλαμβάνει κανένα μέσο που να αντιστοιχεί στην περιγραφή του αντίστοιχου κελιού.</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Pr>
          <w:rFonts w:ascii="Times New Roman" w:hAnsi="Times New Roman"/>
          <w:sz w:val="24"/>
        </w:rPr>
        <w:lastRenderedPageBreak/>
        <w:t>9.2.2.2 Οδηγίες για συγκεκριμένες θέσεις</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Στήλη</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Νομικά κείμενα αναφοράς και οδηγίες</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0010 – 0150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Χαρτοφυλάκιο συναλλαγών: Συνολικές θέσεις: Αξία για τους σκοπούς του άρθρου 325α του κανονισμού (ΕΕ) αριθ. 575/2013 [καθαρή (+) θετική/(−) αρνητική αγοραία αξία]</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Άρθρο 4 παράγραφος 1 σημείο 86), άρθρο 104, άρθρο 325α παράγραφος 2 στοιχείο α) του κανονισμού (ΕΕ) αριθ. 575/2013</w:t>
            </w:r>
          </w:p>
          <w:p w14:paraId="467A1E21" w14:textId="008DABF1" w:rsidR="0061609C" w:rsidRPr="00037E7B" w:rsidRDefault="0061609C" w:rsidP="00056154">
            <w:pPr>
              <w:pStyle w:val="BodyText"/>
              <w:spacing w:before="120" w:after="120"/>
              <w:rPr>
                <w:rFonts w:ascii="Times New Roman" w:hAnsi="Times New Roman" w:cs="Times New Roman"/>
              </w:rPr>
            </w:pPr>
            <w:r>
              <w:t>Τα ιδρύματα αναφέρουν χωριστά τις πληροφορίες για τις συγκεντρωτικές θετικές θέσεις και για τις συγκεντρωτικές αρνητικές θέσεις. Προσδιορίζουν την αξία της συγκεντρωτικής θετικής (αρνητικής) θέσης σύμφωνα με το άρθρο 325α παράγραφος 2 του κανονισμού (ΕΕ) αριθ. 575/2013, με την ακόλουθη παρέκκλιση: Όταν η αξία της συγκεντρωτικής θετικής (αρνητικής) θέσης αντιστοιχεί σε καθαρή θετική αγοραία αξία, στο παρόν υπόδειγμα αναφέρεται θετική αξία· όταν η αξία της συγκεντρωτικής θετικής (αρνητικής) θέσης αντιστοιχεί σε καθαρή αρνητική αγοραία αξία, στο παρόν υπόδειγμα αναφέρεται αρνητική αξία.</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Συνολικές θέσεις — εκ των οποίων: σε ξένο νόμισμα</w:t>
            </w:r>
          </w:p>
          <w:p w14:paraId="67C375D5" w14:textId="58B41269"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Τα μέσα αναφέρονται σε αυτή τη στήλη, εάν είναι εκφρασμένα σε νόμισμα διαφορετικό από το νόμισμα που χρησιμοποιείται για την υποβολή αναφορών, εάν έχουν υποκείμενο στοιχείο εκφρασμένο σε τέτοιο νόμισμα ή εάν έχουν θέση συναλλάγματος ως υποκείμενο στοιχείο.</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0020 – 0120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Συνολικές θέσεις — Υποχρεωτικά εντός του χαρτοφυλακίου συναλλαγών</w:t>
            </w:r>
          </w:p>
          <w:p w14:paraId="45D126DC" w14:textId="42024198"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Όταν ένα μέσο πληροί περισσότερες από μία προϋποθέσεις για να συμπεριληφθεί στο χαρτοφυλάκιο συναλλαγών, τα ιδρύματα το αναφέρουν στη στήλη που θεωρούν καταλληλότερη μεταξύ των στηλών 0030 έως 0120. Τα μέσα που κατατάσσονται ως προοριζόμενα για διαπραγμάτευση βάσει του λογιστικού πλαισίου αναφέρονται στη στήλη 0120 μόνο εάν δεν μπορούν να καταταχθούν σε καμία από τις στήλες 0030 έως 0110.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Υποχρεωτικά εντός του χαρτοφυλακίου συναλλαγών</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0030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Μέσα που περιλαμβάνονται στο ACTP</w:t>
            </w:r>
          </w:p>
          <w:p w14:paraId="761EFC0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α) του κανονισμού (ΕΕ) αριθ.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0040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Μέσα που θα δημιουργούσαν καθαρή αρνητική πιστωτική ή μετοχική θέση στο τραπεζικό χαρτοφυλάκιο</w:t>
            </w:r>
          </w:p>
          <w:p w14:paraId="6B81D80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β) του κανονισμού (ΕΕ) αριθ.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0050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Μέσα που προκύπτουν από δεσμεύσεις αναδοχής τίτλων</w:t>
            </w:r>
          </w:p>
          <w:p w14:paraId="0035AED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γ) του κανονισμού (ΕΕ) αριθ.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0060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Mέσα που προκύπτουν από δραστηριότητες ειδικής διαπραγμάτευσης</w:t>
            </w:r>
          </w:p>
          <w:p w14:paraId="39D72E39"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ε) του κανονισμού (ΕΕ) αριθ.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0070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ΟΣΕ</w:t>
            </w:r>
          </w:p>
          <w:p w14:paraId="5F0ADDDD"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στ) του κανονισμού (ΕΕ) αριθ.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0080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Εισηγμένες μετοχές</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Άρθρο 104 παράγραφος 2 πρώτο εδάφιο στοιχείο ζ) του κανονισμού (ΕΕ) αριθ.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0090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ΣΧΤ που συνδέονται με διαπραγμάτευση</w:t>
            </w:r>
          </w:p>
          <w:p w14:paraId="6D53378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η) του κανονισμού (ΕΕ) αριθ.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0100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Δικαιώματα προαίρεσης, ή άλλα παράγωγα, ενσωματωμένα στις ίδιες υποχρεώσεις του ιδρύματος (διαχωρισμένα)</w:t>
            </w:r>
          </w:p>
          <w:p w14:paraId="0426719F"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θ) και τρίτο εδάφιο του κανονισμού (ΕΕ) αριθ.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0110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Ίδιες υποχρεώσεις του ιδρύματος με ενσωματωμένα δικαιώματα προαίρεσης ή άλλα παράγωγα (μη διαχωρισμένα)</w:t>
            </w:r>
          </w:p>
          <w:p w14:paraId="6C5173C2"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2 πρώτο εδάφιο στοιχείο θ) και τέταρτο εδάφιο του κανονισμού (ΕΕ) αριθ.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0120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Μέσα που κατατάσσονται ως προοριζόμενα για διαπραγμάτευση βάσει του λογιστικού πλαισίου (δεν περιλαμβάνονται στις προηγούμενες στήλες)</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Άρθρο 104 παράγραφος 2 πρώτο εδάφιο στοιχείο δ) του κανονισμού (ΕΕ) αριθ. 575/2013</w:t>
            </w:r>
          </w:p>
          <w:p w14:paraId="5674D9E6" w14:textId="3DAB8DFF"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Τα μέσα που κατατάσσονται ως προοριζόμενα για διαπραγμάτευση βάσει του λογιστικού πλαισίου αναφέρονται σε αυτή τη στήλη μόνο εάν δεν έχουν αναφερθεί ακόμη στις στήλες 0030 έως 0110.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Συνολικές θέσεις — Μέσα που περιλαμβάνονται στο χαρτοφυλάκιο συναλλαγών με έγκριση της αρμόδιας αρχής: Μέσα υπό τη μορφή αμοιβαίων κεφαλαίων αντιστάθμισης κινδύνου</w:t>
            </w:r>
          </w:p>
          <w:p w14:paraId="71C1AC7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4α του κανονισμού (ΕΕ) αριθ.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lastRenderedPageBreak/>
              <w:t>0140 – 0150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rPr>
            </w:pPr>
            <w:r>
              <w:rPr>
                <w:rFonts w:ascii="Times New Roman" w:hAnsi="Times New Roman"/>
                <w:b/>
                <w:u w:val="single"/>
              </w:rPr>
              <w:t>Συνολικές θέσεις — Άλλα μέσα</w:t>
            </w:r>
          </w:p>
          <w:p w14:paraId="4AFCA133" w14:textId="3CC0563A"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Τα μέσα αναφέρονται στη συγκεκριμένη στήλη, εάν κατατάσσονται στο χαρτοφυλάκιο συναλλαγών σύμφωνα με το άρθρο 4 παράγραφος 1 σημείο 85) του κανονισμού (ΕΕ) αριθ. 575/2013 και δεν αναφέρθηκαν σε καμία από τις στήλες 0020 έως 0130.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0140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Άλλα μέσα</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0150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Άλλα μέσα — εκ των οποίων: Μέσα εντός του χαρτοφυλακίου συναλλαγών λόγω έλλειψης αποδεικτικών στοιχείων για κατάταξη εκτός του χαρτοφυλακίου συναλλαγών</w:t>
            </w:r>
          </w:p>
          <w:p w14:paraId="41653FFB"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rPr>
              <w:t>Άρθρο 104 παράγραφος 6 δεύτερη περίοδος του κανονισμού (ΕΕ) αριθ. 575/2013</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Γραμμή</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rPr>
            </w:pPr>
            <w:r>
              <w:rPr>
                <w:rFonts w:ascii="Times New Roman" w:hAnsi="Times New Roman"/>
                <w:b/>
              </w:rPr>
              <w:t>Νομικά κείμενα αναφοράς και οδηγίες</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0010-0020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rPr>
            </w:pPr>
            <w:r>
              <w:rPr>
                <w:rFonts w:ascii="Times New Roman" w:hAnsi="Times New Roman"/>
                <w:b/>
                <w:u w:val="single"/>
              </w:rPr>
              <w:t>Όλα τα μέσα του χαρτοφυλακίου συναλλαγών που λαμβάνονται υπόψη στο όριο του άρθρου 325α του κανονισμού (ΕΕ) αριθ.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0030-0040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Μέσα των οποίων ο κύριος παράγοντας κινδύνου είναι ο γενικός κίνδυνος επιτοκίου ή ο κίνδυνος πιστωτικού περιθωρίου</w:t>
            </w:r>
          </w:p>
          <w:p w14:paraId="1768966A" w14:textId="77777777" w:rsidR="009B2CA6" w:rsidRPr="00404AF7" w:rsidRDefault="009B2CA6" w:rsidP="00627775">
            <w:pPr>
              <w:pStyle w:val="BodyText"/>
              <w:spacing w:before="120" w:after="120"/>
              <w:rPr>
                <w:rFonts w:ascii="Times New Roman" w:hAnsi="Times New Roman" w:cs="Times New Roman"/>
                <w:b/>
                <w:u w:val="single"/>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0050-0060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Μέσα των οποίων ο κύριος παράγοντας κινδύνου είναι ο κίνδυνος μετοχών</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0070-0080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Μέσα των οποίων ο κύριος παράγοντας κινδύνου είναι ο κίνδυνος συναλλάγματος</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0090-0100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rPr>
            </w:pPr>
            <w:r>
              <w:rPr>
                <w:rFonts w:ascii="Times New Roman" w:hAnsi="Times New Roman"/>
                <w:b/>
                <w:u w:val="single"/>
              </w:rPr>
              <w:t>Μέσα των οποίων ο κύριος παράγοντας κινδύνου είναι ο κίνδυνος βασικών εμπορευμάτων</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0110-0120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rPr>
            </w:pPr>
            <w:r>
              <w:rPr>
                <w:rFonts w:ascii="Times New Roman" w:hAnsi="Times New Roman"/>
                <w:b/>
                <w:u w:val="single"/>
              </w:rPr>
              <w:t>Άλλα μέσα του χαρτοφυλακίου συναλλαγών, συμπεριλαμβανομένων των μέσων των οποίων ο κύριος παράγοντας κινδύνου είναι ο υπολειπόμενος κίνδυνος</w:t>
            </w:r>
          </w:p>
          <w:p w14:paraId="49050F01" w14:textId="0520CC26" w:rsidR="009B2CA6" w:rsidRPr="00723BA8" w:rsidRDefault="00D35757">
            <w:pPr>
              <w:pStyle w:val="BodyText"/>
              <w:spacing w:before="120" w:after="120"/>
              <w:rPr>
                <w:rFonts w:hint="eastAsia"/>
              </w:rPr>
            </w:pPr>
            <w:r>
              <w:t xml:space="preserve">Τα ιδρύματα αναφέρουν στις γραμμές αυτές κάθε μέσο που κατανέμεται στο χαρτοφυλάκιο συναλλαγών του οποίου ο κύριος παράγοντας κινδύνου δεν είναι ένας από τους παράγοντες κινδύνου που αναφέρονται στις γραμμές 0030 έως 0100. Στις γραμμές αυτές περιλαμβάνονται τουλάχιστον μέσα των οποίων ο κύριος παράγοντας κινδύνου είναι υπολειπόμενοι κίνδυνοι.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0130-0140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rPr>
            </w:pPr>
            <w:r>
              <w:rPr>
                <w:rFonts w:ascii="Times New Roman" w:hAnsi="Times New Roman"/>
                <w:b/>
                <w:u w:val="single"/>
              </w:rPr>
              <w:t>Υπομνηματικό στοιχείο: Μέσα που κατατάσσονται ως προοριζόμενα για διαπραγμάτευση βάσει του λογιστικού πλαισίου</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lastRenderedPageBreak/>
              <w:t>Άρθρο 104 παράγραφος 2 πρώτο εδάφιο στοιχείο δ) του κανονισμού (ΕΕ) αριθ.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rFonts w:ascii="Times New Roman" w:hAnsi="Times New Roman"/>
          <w:sz w:val="24"/>
        </w:rPr>
        <w:lastRenderedPageBreak/>
        <w:t>9.3 C 24.01 – Όριο χαρτοφυλακίου συναλλαγών – Αναταξινομήσεις μεταξύ των χαρτοφυλακίων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9.3.1</w:t>
      </w:r>
      <w:r>
        <w:tab/>
      </w:r>
      <w:r>
        <w:rPr>
          <w:rFonts w:ascii="Times New Roman" w:hAnsi="Times New Roman"/>
          <w:sz w:val="24"/>
          <w:u w:val="none"/>
        </w:rPr>
        <w:t>Γενικές παρατηρήσεις</w:t>
      </w:r>
    </w:p>
    <w:p w14:paraId="01D302B5" w14:textId="77777777" w:rsidR="00F65FA6" w:rsidRPr="00037E7B" w:rsidRDefault="00F65FA6" w:rsidP="00F65FA6">
      <w:pPr>
        <w:pStyle w:val="InstructionsText2"/>
        <w:numPr>
          <w:ilvl w:val="0"/>
          <w:numId w:val="61"/>
        </w:numPr>
        <w:spacing w:line="259" w:lineRule="auto"/>
      </w:pPr>
      <w:r>
        <w:t xml:space="preserve">Το παρόν υπόδειγμα χρησιμοποιείται για την παροχή πληροφοριών σχετικά με την ανακατάταξη θέσεων σύμφωνα με το άρθρο 104α του κανονισμού (ΕΕ) αριθ. 575/2013. </w:t>
      </w:r>
    </w:p>
    <w:p w14:paraId="171B977F" w14:textId="77777777" w:rsidR="00F65FA6" w:rsidRPr="00037E7B" w:rsidRDefault="00F65FA6" w:rsidP="00F65FA6">
      <w:pPr>
        <w:pStyle w:val="InstructionsText2"/>
        <w:numPr>
          <w:ilvl w:val="0"/>
          <w:numId w:val="61"/>
        </w:numPr>
        <w:spacing w:line="259" w:lineRule="auto"/>
      </w:pPr>
      <w:r>
        <w:t>Οι ανακατατάξεις αναφέρονται στο παρόν υπόδειγμα μόνο στις ακόλουθες δύο περιπτώσεις:</w:t>
      </w:r>
    </w:p>
    <w:p w14:paraId="188FB065" w14:textId="1E43754D" w:rsidR="00F65FA6" w:rsidRPr="00037E7B" w:rsidRDefault="00F65FA6" w:rsidP="00F65FA6">
      <w:pPr>
        <w:pStyle w:val="InstructionsText2"/>
        <w:numPr>
          <w:ilvl w:val="1"/>
          <w:numId w:val="61"/>
        </w:numPr>
        <w:spacing w:line="259" w:lineRule="auto"/>
      </w:pPr>
      <w:r>
        <w:t>όταν η αρμόδια αρχή έχει χορηγήσει την άδεια ανακατάταξης μιας θέσης του χαρτοφυλακίου συναλλαγών ως θέσης εκτός χαρτοφυλακίου συναλλαγών ή αντιστρόφως·</w:t>
      </w:r>
    </w:p>
    <w:p w14:paraId="5B6EC138" w14:textId="25B6D89E" w:rsidR="00F65FA6" w:rsidRPr="00037E7B" w:rsidRDefault="00F65FA6" w:rsidP="00F65FA6">
      <w:pPr>
        <w:pStyle w:val="InstructionsText2"/>
        <w:numPr>
          <w:ilvl w:val="1"/>
          <w:numId w:val="61"/>
        </w:numPr>
        <w:spacing w:line="259" w:lineRule="auto"/>
      </w:pPr>
      <w:r>
        <w:t>όταν η ανακατάταξη πληροί τις προϋποθέσεις που ορίζονται στο άρθρο 104α παράγραφος 6 του κανονισμού (ΕΕ) αριθ. 575/2013 και μπορεί να πραγματοποιηθεί χωρίς τη ρητή άδεια της αρμόδιας αρχής.</w:t>
      </w:r>
    </w:p>
    <w:p w14:paraId="42F779D4" w14:textId="77777777" w:rsidR="00F65FA6" w:rsidRPr="00037E7B" w:rsidRDefault="00F65FA6" w:rsidP="00F65FA6">
      <w:pPr>
        <w:pStyle w:val="InstructionsText2"/>
        <w:numPr>
          <w:ilvl w:val="0"/>
          <w:numId w:val="61"/>
        </w:numPr>
        <w:spacing w:line="259" w:lineRule="auto"/>
      </w:pPr>
      <w:r>
        <w:t>Τα ακόλουθα ανακαταταχθέντα μέσα αναφέρονται στο υπόδειγμα:</w:t>
      </w:r>
    </w:p>
    <w:p w14:paraId="2B0996DA" w14:textId="3EB81158" w:rsidR="00F65FA6" w:rsidRPr="00037E7B" w:rsidRDefault="00F65FA6" w:rsidP="00F65FA6">
      <w:pPr>
        <w:pStyle w:val="InstructionsText2"/>
        <w:numPr>
          <w:ilvl w:val="1"/>
          <w:numId w:val="61"/>
        </w:numPr>
        <w:spacing w:line="259" w:lineRule="auto"/>
      </w:pPr>
      <w:r>
        <w:t>μέσα που ανακατατάχθηκαν κατά τη διάρκεια του τριμήνου που καλύπτεται από την υποβολή αναφοράς. Όλα τα μέσα που ανακατατάχθηκαν κατά τη διάρκεια του τριμήνου αναφέρονται στο υπόδειγμα, είτε η ανακατάταξη οδηγεί σε μείωση των απαιτήσεων ιδίων κεφαλαίων είτε όχι. Ένα μέσο που ανακατατάχθηκε στη διάρκεια του τριμήνου αναφέρεται ακόμη και η αναγνώρισή του έπαυσε ή εάν το μέσο έληξε μεταξύ της ημερομηνίας ανακατάταξης και της ημερομηνίας αναφοράς της αναφοράς·</w:t>
      </w:r>
    </w:p>
    <w:p w14:paraId="29ED050F" w14:textId="56E21CB0" w:rsidR="00F65FA6" w:rsidRPr="00037E7B" w:rsidRDefault="00F65FA6" w:rsidP="00F65FA6">
      <w:pPr>
        <w:pStyle w:val="InstructionsText2"/>
        <w:numPr>
          <w:ilvl w:val="1"/>
          <w:numId w:val="61"/>
        </w:numPr>
        <w:spacing w:line="259" w:lineRule="auto"/>
      </w:pPr>
      <w:r>
        <w:t xml:space="preserve">μέσα που ανακατατάχθηκαν σε προηγούμενες περιόδους αναφοράς, τα οποία εξακολουθούν να υπόκεινται σε απαίτηση ιδίων κεφαλαίων σύμφωνα με το άρθρο 104α παράγραφος 3 στοιχείο β) του κανονισμού (ΕΕ) αριθ. 575/2013 κατά την ημερομηνία αναφοράς της αναφοράς· </w:t>
      </w:r>
    </w:p>
    <w:p w14:paraId="04E7DE74" w14:textId="0EA265BF" w:rsidR="00F65FA6" w:rsidRPr="00037E7B" w:rsidRDefault="00F65FA6" w:rsidP="00F65FA6">
      <w:pPr>
        <w:pStyle w:val="InstructionsText2"/>
        <w:numPr>
          <w:ilvl w:val="1"/>
          <w:numId w:val="61"/>
        </w:numPr>
        <w:spacing w:line="259" w:lineRule="auto"/>
      </w:pPr>
      <w:r>
        <w:t>μέσα που ανακατατάχθηκαν σε προηγούμενες περιόδους αναφοράς τα οποία υπόκειντο σε απαίτηση ιδίων κεφαλαίων σύμφωνα με το άρθρο 104α παράγραφος 3 στοιχείο β) του κανονισμού (ΕΕ) αριθ. 575/2013 κατά την προηγούμενη ημερομηνία αναφοράς, όταν η απόφαση της αρμόδιας αρχής να επιτρέψει την αναγνώριση της μείωσης των απαιτήσεων ιδίων κεφαλαίων αρχίζει να ισχύει κατά τη διάρκεια του τριμήνου που καλύπτεται από την υποβολή αναφοράς.</w:t>
      </w:r>
    </w:p>
    <w:p w14:paraId="4E4DBEFD" w14:textId="77777777" w:rsidR="00F65FA6" w:rsidRPr="00037E7B" w:rsidRDefault="00F65FA6" w:rsidP="00F65FA6">
      <w:pPr>
        <w:pStyle w:val="InstructionsText2"/>
        <w:numPr>
          <w:ilvl w:val="0"/>
          <w:numId w:val="61"/>
        </w:numPr>
        <w:spacing w:line="259" w:lineRule="auto"/>
      </w:pPr>
      <w:r>
        <w:lastRenderedPageBreak/>
        <w:t>Τα ιδρύματα αναφέρουν πληροφορίες σχετικά με την ανακατάταξη χωριστά για κάθε μέσο που ανακατατάχθηκε.</w:t>
      </w:r>
    </w:p>
    <w:p w14:paraId="17A4C841" w14:textId="77777777" w:rsidR="00F65FA6" w:rsidRPr="00037E7B" w:rsidDel="00BC604C" w:rsidRDefault="00F65FA6" w:rsidP="00F65FA6">
      <w:pPr>
        <w:pStyle w:val="InstructionsText2"/>
        <w:numPr>
          <w:ilvl w:val="0"/>
          <w:numId w:val="61"/>
        </w:numPr>
        <w:spacing w:line="259" w:lineRule="auto"/>
      </w:pPr>
      <w:r>
        <w:t xml:space="preserve">Το πεδίο “ομάδα συμψηφισμού” χρησιμοποιείται για την αναφορά της ομάδας συμψηφισμού που περιλαμβάνει την οντότητα που κατείχε τη θέση κατά την ημερομηνία αναφοράς ή κατά την ημερομηνία λήξης ή παύσης της αναγνώρισης, κατά περίπτωση.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9.3.2</w:t>
      </w:r>
      <w:r>
        <w:tab/>
      </w:r>
      <w:r>
        <w:rPr>
          <w:rFonts w:ascii="Times New Roman" w:hAnsi="Times New Roman"/>
          <w:sz w:val="24"/>
          <w:u w:val="none"/>
        </w:rPr>
        <w:t>Οδηγίες για συγκεκριμένες θέσεις</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Στήλη</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rPr>
            </w:pPr>
            <w:r>
              <w:rPr>
                <w:rFonts w:ascii="Times New Roman" w:hAnsi="Times New Roman"/>
                <w:b/>
              </w:rPr>
              <w:t>Νομικά κείμενα αναφοράς και οδηγίες</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Αναγνωριστικός κωδικός αναταξινόμησης</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Εσωτερικός (αλφαριθμητικός) κωδικός που χρησιμοποιείται από την αναφέρουσα οντότητα για την ταυτοποίηση του ανακαταταχθέντος μέσου ή της ανακατάταξης, κατά περίπτωση.</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Κάθε ανακατάταξη συνδέεται με διαφορετικό αναγνωριστικό κωδικό ανακατάταξης. Ο αναγνωριστικός κωδικός που αποδίδεται σε μία ανακατάταξη είναι μοναδικός και χρησιμοποιείται με συνέπεια διαχρονικά και σε όλες τις αναφορές.</w:t>
            </w:r>
          </w:p>
          <w:p w14:paraId="6DB947C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Πρόκειται για αναγνωριστικό κωδικό γραμμής που είναι μοναδικός για κάθε γραμμή του υποδείγματος.</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Είδος μέσου</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Σύντομη περιγραφή του μέσου που ανακατατάχθηκε, η οποία επιτρέπει την κατανόηση του είδους και των κύριων χαρακτηριστικών του μέσου που ανακατατάχθηκε. </w:t>
            </w:r>
          </w:p>
          <w:p w14:paraId="7D66558D"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 xml:space="preserve">Εάν το μέσο που ανακατατάχθηκε διαθέτει διεθνή αριθμό αναγνώρισης τίτλων (“ISIN”), ο ISIN του περιλαμβάνεται στην περιγραφή, επιπλέον των κύριων χαρακτηριστικών του μέσου.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0030</w:t>
            </w:r>
          </w:p>
        </w:tc>
        <w:tc>
          <w:tcPr>
            <w:tcW w:w="7813" w:type="dxa"/>
            <w:vAlign w:val="bottom"/>
          </w:tcPr>
          <w:p w14:paraId="4E9993E7" w14:textId="2456F8F4"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Ρυθμιστικό χαρτοφυλάκιο από το οποίο </w:t>
            </w:r>
            <w:r w:rsidR="00404AF7">
              <w:rPr>
                <w:rFonts w:ascii="Times New Roman" w:hAnsi="Times New Roman"/>
                <w:b/>
                <w:u w:val="single"/>
              </w:rPr>
              <w:t>α</w:t>
            </w:r>
            <w:r w:rsidR="00404AF7" w:rsidRPr="00404AF7">
              <w:rPr>
                <w:rFonts w:ascii="Times New Roman" w:hAnsi="Times New Roman"/>
                <w:b/>
                <w:u w:val="single"/>
              </w:rPr>
              <w:t>ναταξινομήθηκε</w:t>
            </w:r>
            <w:r>
              <w:rPr>
                <w:rFonts w:ascii="Times New Roman" w:hAnsi="Times New Roman"/>
                <w:b/>
                <w:u w:val="single"/>
              </w:rPr>
              <w:t xml:space="preserve"> το μέσο</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Σημειώνεται μία από τις δύο ακόλουθες επιλογές:</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Χαρτοφυλάκιο συναλλαγών</w:t>
            </w:r>
            <w:r>
              <w:t xml:space="preserve"> </w:t>
            </w:r>
            <w:r>
              <w:br/>
            </w:r>
            <w:r>
              <w:rPr>
                <w:rFonts w:ascii="Times New Roman" w:hAnsi="Times New Roman"/>
              </w:rPr>
              <w:t>Άρθρο 4 παράγραφος 1 σημείο 86) του κανονισμού (ΕΕ) αριθ.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Τραπεζικό χαρτοφυλάκιο</w:t>
            </w:r>
            <w:r>
              <w:t xml:space="preserve"> </w:t>
            </w:r>
            <w:r>
              <w:br/>
            </w:r>
            <w:r>
              <w:rPr>
                <w:rFonts w:ascii="Times New Roman" w:hAnsi="Times New Roman"/>
              </w:rPr>
              <w:t>Αποτελείται από όλες τις θέσεις που δεν περιλαμβάνονται στο χαρτοφυλάκιο συναλλαγών.</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0040</w:t>
            </w:r>
          </w:p>
        </w:tc>
        <w:tc>
          <w:tcPr>
            <w:tcW w:w="7813" w:type="dxa"/>
            <w:vAlign w:val="bottom"/>
          </w:tcPr>
          <w:p w14:paraId="4C994CBE" w14:textId="33B6C413"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Ρυθμιστικό χαρτοφυλάκιο προς το οποίο </w:t>
            </w:r>
            <w:r w:rsidR="00404AF7">
              <w:rPr>
                <w:rFonts w:ascii="Times New Roman" w:hAnsi="Times New Roman"/>
                <w:b/>
                <w:u w:val="single"/>
              </w:rPr>
              <w:t>α</w:t>
            </w:r>
            <w:r w:rsidR="00404AF7" w:rsidRPr="00404AF7">
              <w:rPr>
                <w:rFonts w:ascii="Times New Roman" w:hAnsi="Times New Roman"/>
                <w:b/>
                <w:u w:val="single"/>
              </w:rPr>
              <w:t>ναταξινομήθηκε</w:t>
            </w:r>
            <w:r w:rsidR="00404AF7">
              <w:rPr>
                <w:rFonts w:ascii="Times New Roman" w:hAnsi="Times New Roman"/>
                <w:b/>
                <w:u w:val="single"/>
              </w:rPr>
              <w:t xml:space="preserve"> </w:t>
            </w:r>
            <w:r>
              <w:rPr>
                <w:rFonts w:ascii="Times New Roman" w:hAnsi="Times New Roman"/>
                <w:b/>
                <w:u w:val="single"/>
              </w:rPr>
              <w:t>το μέσο</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Σημειώνεται μία από τις δύο ακόλουθες επιλογές:</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lastRenderedPageBreak/>
              <w:t>Χαρτοφυλάκιο συναλλαγών</w:t>
            </w:r>
            <w:r>
              <w:t xml:space="preserve"> </w:t>
            </w:r>
            <w:r>
              <w:br/>
            </w:r>
            <w:r>
              <w:rPr>
                <w:rFonts w:ascii="Times New Roman" w:hAnsi="Times New Roman"/>
              </w:rPr>
              <w:t>Άρθρο 4 παράγραφος 1 σημείο 86) του κανονισμού (ΕΕ) αριθ.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rPr>
            </w:pPr>
            <w:r>
              <w:rPr>
                <w:rFonts w:ascii="Times New Roman" w:hAnsi="Times New Roman"/>
              </w:rPr>
              <w:t>Τραπεζικό χαρτοφυλάκιο</w:t>
            </w:r>
            <w:r>
              <w:t xml:space="preserve"> </w:t>
            </w:r>
            <w:r>
              <w:br/>
            </w:r>
            <w:r>
              <w:rPr>
                <w:rFonts w:ascii="Times New Roman" w:hAnsi="Times New Roman"/>
              </w:rPr>
              <w:t>Αποτελείται από όλες τις θέσεις που δεν περιλαμβάνονται στο χαρτοφυλάκιο συναλλαγών.</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0050</w:t>
            </w:r>
          </w:p>
        </w:tc>
        <w:tc>
          <w:tcPr>
            <w:tcW w:w="7813" w:type="dxa"/>
            <w:vAlign w:val="bottom"/>
          </w:tcPr>
          <w:p w14:paraId="19E4E9E2" w14:textId="19A3B80D" w:rsidR="00F65FA6" w:rsidRPr="00404AF7" w:rsidRDefault="00F65FA6" w:rsidP="00E02007">
            <w:pPr>
              <w:pStyle w:val="BodyText"/>
              <w:spacing w:before="120" w:after="120"/>
              <w:rPr>
                <w:rFonts w:ascii="Times New Roman" w:hAnsi="Times New Roman"/>
                <w:b/>
                <w:u w:val="single"/>
              </w:rPr>
            </w:pPr>
            <w:r>
              <w:rPr>
                <w:rFonts w:ascii="Times New Roman" w:hAnsi="Times New Roman"/>
                <w:b/>
                <w:u w:val="single"/>
              </w:rPr>
              <w:t>Λόγος της ανα</w:t>
            </w:r>
            <w:r w:rsidR="00404AF7">
              <w:rPr>
                <w:rFonts w:ascii="Times New Roman" w:hAnsi="Times New Roman"/>
                <w:b/>
                <w:u w:val="single"/>
              </w:rPr>
              <w:t>τ</w:t>
            </w:r>
            <w:r w:rsidR="00404AF7" w:rsidRPr="00404AF7">
              <w:rPr>
                <w:rFonts w:ascii="Times New Roman" w:hAnsi="Times New Roman"/>
                <w:b/>
                <w:u w:val="single"/>
              </w:rPr>
              <w:t>αξινόμηση</w:t>
            </w:r>
            <w:r>
              <w:rPr>
                <w:rFonts w:ascii="Times New Roman" w:hAnsi="Times New Roman"/>
                <w:b/>
                <w:u w:val="single"/>
              </w:rPr>
              <w:t>ς</w:t>
            </w:r>
          </w:p>
          <w:p w14:paraId="7DED50F3"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Εξηγούνται οι εξαιρετικές περιστάσεις που οδήγησαν στην ανακατάταξη της θέσης μεταξύ των ρυθμιστικών χαρτοφυλακίων. Η εξήγηση που παρέχεται σε αυτό το κελί είναι αρκετά λεπτομερής ώστε να τεκμηριώνει τους λόγους για τους οποίους η ανακατάταξη θεωρείται εξαιρετική περίσταση.</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Προηγούμενη άδεια (κατάσταση)</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Άρθρο 104α παράγραφοι 2 και 6 του κανονισμού (ΕΕ) αριθ. 575/2013</w:t>
            </w:r>
          </w:p>
          <w:p w14:paraId="65D8CB7E"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Όταν δεν απαιτείται προηγούμενη άδεια της αρμόδιας αρχής σύμφωνα με το άρθρο 104α παράγραφος 6 του κανονισμού (ΕΕ) αριθ. 575/2013, τα ιδρύματα σημειώνουν “Δεν απαιτείται προηγούμενη άδεια” σε αυτή τη στήλη. Όταν απαιτείται προηγούμενη άδεια, και έχει ληφθεί, σημειώνεται η ένδειξη “Έχει ληφθεί προηγούμενη άδεια”.</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Ημερομηνία αναταξινόμησης</w:t>
            </w:r>
          </w:p>
          <w:p w14:paraId="230E5C22"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Άρθρο 104α παράγραφοι 2 και 6 πρώτη περίοδος του κανονισμού (ΕΕ) αριθ.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Καθαρή (+) αύξηση ή (−) μείωση των απαιτήσεων ιδίων κεφαλαίων που προκύπτει από την αναταξινόμηση</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Η καθαρή μεταβολή του ποσού των απαιτήσεων ιδίων κεφαλαίων που προκύπτει από την ανακατάταξη της θέσης, υπολογιζόμενη σύμφωνα με το άρθρο 104α παράγραφος 4 του κανονισμού (ΕΕ) αριθ. 575/2013</w:t>
            </w:r>
          </w:p>
          <w:p w14:paraId="6BA75988"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t>Αν προκύπτει αύξηση των απαιτήσεων ιδίων κεφαλαίων από την ανακατάταξη, αναφέρεται με θετικό πρόσημο (+), ενώ αν προκύπτει μείωση, αναφέρεται με αρνητικό πρόσημο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 xml:space="preserve">Προσαύξηση στις απαιτήσεις ιδίων κεφαλαίων λόγω της αναταξινόμησης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Εάν η καθαρή μεταβολή του ποσού των απαιτήσεων ιδίων κεφαλαίων που προκύπτει από την ανακατάταξη της θέσης, όπως υπολογίζεται σύμφωνα με το άρθρο 104α παράγραφος 4 του κανονισμού (ΕΕ) αριθ. 575/2013, αντιπροσωπεύει μείωση των απαιτήσεων ιδίων κεφαλαίων του ιδρύματος και η αρμόδια αρχή δεν επέτρεψε την αναγνώριση της εν λόγω μείωσης σύμφωνα με το άρθρο 104α παράγραφος 3 στοιχείο β) του κανονισμού (ΕΕ) αριθ. 575/2013, το ποσό της μείωσης αναφέρεται με θετικό πρόσημο. Συνεπώς, το ποσό αντιπροσωπεύει την προσαύξηση στις απαιτήσεις ιδίων κεφαλαίων για την εν λόγω ανακατάταξη.</w:t>
            </w:r>
          </w:p>
          <w:p w14:paraId="58E348B5"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rPr>
              <w:lastRenderedPageBreak/>
              <w:t>Εάν η αρμόδια αρχή επέτρεψε την αναγνώριση των απαιτήσεων ιδίων κεφαλαίων σύμφωνα με το άρθρο 104α παράγραφος 3 στοιχείο β) του κανονισμού (ΕΕ) αριθ. 575/2013, η στήλη αυτή παραμένει κενή.</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lastRenderedPageBreak/>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Ημερομηνία λήξης ή προβλεπόμενη παύση αναγνώρισης του μέσου</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Εάν δεν προβλέπεται παύση αναγνώρισης, αναφέρεται η ληκτότητα του μέσου.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Εάν προβλέπεται παύση της αναγνώρισης του μέσου πριν από τη λήξη του, αναφέρεται η ημερομηνία της εν λόγω προβλεπόμενης παύσης αναγνώρισης.</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Εάν είναι γνωστά μόνο ο μήνας και το έτος λήξης ή παύσης αναγνώρισης, ως ημερομηνία λήξης ή προβλεπόμενης παύσης αναγνώρισης του μέσου αναφέρεται η τελευταία ημέρα του μήνα. Εάν είναι γνωστό μόνο το έτος παύσης αναγνώρισης, ως ημερομηνία λήξης ή προβλεπόμενης παύσης αναγνώρισης αναφέρεται η 31η Δεκεμβρίου του εν λόγω έτους.</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Όταν η ημερομηνία λήξης ή προβλεπόμενης παύσης αναγνώρισης του μέσου δεν μπορεί να προσδιοριστεί ή δεν είναι γνωστή, στη στήλη αυτή σημειώνεται η 31η Δεκεμβρίου 9999.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rPr>
            </w:pPr>
            <w:r>
              <w:rPr>
                <w:rFonts w:ascii="Times New Roman" w:hAnsi="Times New Roman"/>
                <w:b/>
                <w:u w:val="single"/>
              </w:rPr>
              <w:t>Ημερομηνία από την οποία η αρμόδια αρχή επιτρέπει την αναγνώριση της μείωσης των απαιτήσεων ιδίων κεφαλαίων</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Άρθρο 104α παράγραφος 3 στοιχείο β) του κανονισμού (ΕΕ) αριθ. 575/2013</w:t>
            </w:r>
          </w:p>
          <w:p w14:paraId="1B724794" w14:textId="77777777" w:rsidR="00F65FA6" w:rsidRPr="00FE3C59" w:rsidRDefault="00F65FA6" w:rsidP="00E02007">
            <w:pPr>
              <w:pStyle w:val="BodyText"/>
              <w:spacing w:before="120" w:after="120"/>
              <w:rPr>
                <w:rFonts w:ascii="Times New Roman" w:hAnsi="Times New Roman" w:cs="Times New Roman"/>
                <w:b/>
                <w:u w:val="single"/>
              </w:rPr>
            </w:pPr>
            <w:r>
              <w:rPr>
                <w:rFonts w:ascii="Times New Roman" w:hAnsi="Times New Roman"/>
              </w:rPr>
              <w:t>Εάν η ανακατάταξη είχε ως αποτέλεσμα καθαρή αύξηση των απαιτήσεων ιδίων κεφαλαίων και εάν η αρμόδια αρχή δεν έχει επιτρέψει την αναγνώριση της μείωσης των απαιτήσεων ιδίων κεφαλαίων, δεν σημειώνεται καμία ημερομηνία.»</w:t>
            </w:r>
          </w:p>
        </w:tc>
      </w:tr>
    </w:tbl>
    <w:p w14:paraId="0C23ABF8" w14:textId="77777777" w:rsidR="00F65FA6" w:rsidRPr="00404AF7" w:rsidRDefault="00F65FA6" w:rsidP="00F65FA6">
      <w:pPr>
        <w:pStyle w:val="body"/>
        <w:rPr>
          <w:rFonts w:ascii="Times New Roman" w:hAnsi="Times New Roman" w:cs="Times New Roman"/>
        </w:rPr>
      </w:pPr>
    </w:p>
    <w:p w14:paraId="18DC5971" w14:textId="77777777" w:rsidR="00522E00" w:rsidRPr="00404AF7" w:rsidRDefault="00522E00" w:rsidP="00F65FA6">
      <w:pPr>
        <w:pStyle w:val="body"/>
        <w:rPr>
          <w:rStyle w:val="InstructionsTabelleText"/>
          <w:rFonts w:ascii="Times New Roman" w:hAnsi="Times New Roman"/>
          <w:sz w:val="24"/>
        </w:rPr>
      </w:pPr>
    </w:p>
    <w:sectPr w:rsidR="00522E00" w:rsidRPr="00404AF7" w:rsidSect="00B51F4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E2FC" w14:textId="77777777" w:rsidR="00404AF7" w:rsidRDefault="00404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4BFEE623" w:rsidR="00C3070C" w:rsidRPr="003B6094" w:rsidRDefault="00404AF7">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4BFEE623" w:rsidR="00C3070C" w:rsidRPr="003B6094" w:rsidRDefault="00404AF7">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B8AAC724"/>
    <w:lvl w:ilvl="0">
      <w:start w:val="208"/>
      <w:numFmt w:val="decimal"/>
      <w:lvlText w:val="%1."/>
      <w:lvlJc w:val="left"/>
      <w:pPr>
        <w:ind w:left="1353" w:hanging="360"/>
      </w:pPr>
      <w:rPr>
        <w:rFonts w:hint="default"/>
      </w:rPr>
    </w:lvl>
    <w:lvl w:ilvl="1">
      <w:start w:val="1"/>
      <mc:AlternateContent>
        <mc:Choice Requires="w14">
          <w:numFmt w:val="custom" w:format="α, β, γ, ..."/>
        </mc:Choice>
        <mc:Fallback>
          <w:numFmt w:val="decimal"/>
        </mc:Fallback>
      </mc:AlternateContent>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AF7"/>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l-GR"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3.xml><?xml version="1.0" encoding="utf-8"?>
<ds:datastoreItem xmlns:ds="http://schemas.openxmlformats.org/officeDocument/2006/customXml" ds:itemID="{B8763241-EB83-46ED-815C-525A06621365}"/>
</file>

<file path=customXml/itemProps4.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8</TotalTime>
  <Pages>10</Pages>
  <Words>2683</Words>
  <Characters>15990</Characters>
  <Application>Microsoft Office Word</Application>
  <DocSecurity>0</DocSecurity>
  <Lines>420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SPANOU Marina (DGT)</cp:lastModifiedBy>
  <cp:revision>5</cp:revision>
  <dcterms:created xsi:type="dcterms:W3CDTF">2024-06-19T18:09:00Z</dcterms:created>
  <dcterms:modified xsi:type="dcterms:W3CDTF">2025-01-13T15:19:00Z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2025-01-13T15:19:30Z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8948c7b0-5036-4aff-8106-171c99f723bb</vt:lpwstr>
  </property>
  <property fmtid="{D5CDD505-2E9C-101B-9397-08002B2CF9AE}" pid="9" name="MSIP_Label_6bd9ddd1-4d20-43f6-abfa-fc3c07406f94_ContentBits">
    <vt:lpwstr>0</vt:lpwstr>
  </property>
</Properties>
</file>