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9C87C" w14:textId="77777777" w:rsidR="00E50DD0" w:rsidRDefault="00E50DD0" w:rsidP="00E50DD0">
      <w:pPr>
        <w:jc w:val="center"/>
        <w:rPr>
          <w:rFonts w:ascii="Times New Roman" w:hAnsi="Times New Roman"/>
          <w:sz w:val="24"/>
          <w:szCs w:val="22"/>
        </w:rPr>
      </w:pPr>
      <w:r>
        <w:rPr>
          <w:rFonts w:ascii="Times New Roman" w:hAnsi="Times New Roman"/>
          <w:sz w:val="24"/>
        </w:rPr>
        <w:t>EL</w:t>
      </w:r>
    </w:p>
    <w:p w14:paraId="6F8CF8C3" w14:textId="77777777" w:rsidR="00E50DD0" w:rsidRDefault="00E50DD0" w:rsidP="00E50DD0">
      <w:pPr>
        <w:rPr>
          <w:rFonts w:asciiTheme="minorHAnsi" w:hAnsiTheme="minorHAnsi"/>
          <w:sz w:val="22"/>
        </w:rPr>
      </w:pPr>
    </w:p>
    <w:p w14:paraId="590BC630" w14:textId="77777777" w:rsidR="00DD798A" w:rsidRPr="00037E7B" w:rsidRDefault="00DD798A" w:rsidP="00DD798A">
      <w:pPr>
        <w:jc w:val="center"/>
        <w:rPr>
          <w:rFonts w:ascii="Times New Roman" w:hAnsi="Times New Roman"/>
          <w:sz w:val="24"/>
        </w:rPr>
      </w:pPr>
      <w:r>
        <w:rPr>
          <w:rFonts w:ascii="Times New Roman" w:hAnsi="Times New Roman"/>
          <w:sz w:val="24"/>
        </w:rPr>
        <w:t>ΠΑΡΑΡΤΗΜΑ II</w:t>
      </w:r>
    </w:p>
    <w:p w14:paraId="33BF0F02" w14:textId="77777777" w:rsidR="00DD798A" w:rsidRPr="00037E7B" w:rsidRDefault="00DD798A" w:rsidP="00DD798A">
      <w:pPr>
        <w:jc w:val="center"/>
        <w:rPr>
          <w:rFonts w:ascii="Times New Roman" w:hAnsi="Times New Roman"/>
          <w:sz w:val="24"/>
        </w:rPr>
      </w:pPr>
      <w:r>
        <w:rPr>
          <w:rFonts w:ascii="Times New Roman" w:hAnsi="Times New Roman"/>
          <w:sz w:val="24"/>
        </w:rPr>
        <w:t>«ΠΑΡΑΡΤΗΜΑ II</w:t>
      </w:r>
    </w:p>
    <w:p w14:paraId="43AF84F6" w14:textId="77777777" w:rsidR="00DD798A" w:rsidRPr="00037E7B" w:rsidRDefault="00DD798A" w:rsidP="00DD798A">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14:paraId="6B9B322A" w14:textId="77777777" w:rsidR="00E26A90" w:rsidRDefault="00E26A90"/>
    <w:p w14:paraId="2A45E9E8" w14:textId="77777777" w:rsidR="00A931D0" w:rsidRDefault="00A931D0" w:rsidP="00A931D0">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ΜΕΡΟΣ II: ΟΔΗΓΙΕΣ ΣΧΕΤΙΚΑ ΜΕ ΤΑ ΥΠΟΔΕΙΓΜΑΤΑ</w:t>
      </w:r>
    </w:p>
    <w:p w14:paraId="572B21DA" w14:textId="77777777" w:rsidR="00A931D0" w:rsidRDefault="00A931D0" w:rsidP="00A931D0">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2CBE875B" w14:textId="77777777" w:rsidR="00A931D0" w:rsidRPr="00736637" w:rsidRDefault="00A931D0" w:rsidP="00A931D0">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289C48A" w14:textId="77777777" w:rsidR="00A931D0" w:rsidRDefault="00A931D0"/>
    <w:p w14:paraId="7D324BFC"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09.01 – Γεωγραφική κατανομή των ανοιγμάτων με βάση την κατοικία του οφειλέτη: Ανοίγματα SA (CR GB 1)</w:t>
      </w:r>
    </w:p>
    <w:p w14:paraId="0D9A10C4"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0" w:name="_Toc360188363"/>
      <w:bookmarkStart w:id="1" w:name="_Toc473560914"/>
      <w:bookmarkStart w:id="2" w:name="_Toc151714418"/>
      <w:r>
        <w:rPr>
          <w:rFonts w:ascii="Times New Roman" w:hAnsi="Times New Roman"/>
          <w:sz w:val="24"/>
          <w:u w:val="none"/>
        </w:rPr>
        <w:t>3.4.1.1.</w:t>
      </w:r>
      <w:r>
        <w:tab/>
      </w:r>
      <w:r>
        <w:rPr>
          <w:rFonts w:ascii="Times New Roman" w:hAnsi="Times New Roman"/>
          <w:sz w:val="24"/>
        </w:rPr>
        <w:t>Οδηγίες για συγκεκριμένες θέσεις</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2A677E" w14:paraId="127D8EEC" w14:textId="77777777" w:rsidTr="00822842">
        <w:trPr>
          <w:trHeight w:val="581"/>
        </w:trPr>
        <w:tc>
          <w:tcPr>
            <w:tcW w:w="9828" w:type="dxa"/>
            <w:gridSpan w:val="2"/>
            <w:shd w:val="clear" w:color="auto" w:fill="CCCCCC"/>
          </w:tcPr>
          <w:p w14:paraId="6A81D963" w14:textId="77777777" w:rsidR="009D6580" w:rsidRPr="001235ED" w:rsidRDefault="009D6580" w:rsidP="00822842">
            <w:pPr>
              <w:spacing w:after="0"/>
              <w:rPr>
                <w:rStyle w:val="InstructionsTabelleText"/>
                <w:rFonts w:ascii="Times New Roman" w:hAnsi="Times New Roman"/>
                <w:b/>
                <w:sz w:val="24"/>
              </w:rPr>
            </w:pPr>
            <w:r>
              <w:rPr>
                <w:rStyle w:val="InstructionsTabelleText"/>
                <w:rFonts w:ascii="Times New Roman" w:hAnsi="Times New Roman"/>
                <w:b/>
                <w:sz w:val="24"/>
              </w:rPr>
              <w:t>Στήλες</w:t>
            </w:r>
          </w:p>
        </w:tc>
      </w:tr>
      <w:tr w:rsidR="009D6580" w:rsidRPr="002A677E" w14:paraId="08CE2FB2" w14:textId="77777777" w:rsidTr="00822842">
        <w:tc>
          <w:tcPr>
            <w:tcW w:w="1188" w:type="dxa"/>
          </w:tcPr>
          <w:p w14:paraId="75E0B30C"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4841BFD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ΑΡΧΙΚΟ ΑΝΟΙΓΜΑ ΠΡΙΝ ΑΠΟ ΤΟΥΣ ΣΥΝΤΕΛΕΣΤΕΣ ΜΕΤΑΤΡΟΠΗΣ</w:t>
            </w:r>
          </w:p>
          <w:p w14:paraId="1D6A0F00" w14:textId="77777777" w:rsidR="009D6580" w:rsidRPr="002A677E" w:rsidRDefault="009D6580" w:rsidP="00822842">
            <w:pPr>
              <w:rPr>
                <w:rFonts w:ascii="Times New Roman" w:hAnsi="Times New Roman"/>
                <w:sz w:val="24"/>
              </w:rPr>
            </w:pPr>
            <w:r>
              <w:rPr>
                <w:rFonts w:ascii="Times New Roman" w:hAnsi="Times New Roman"/>
                <w:sz w:val="24"/>
              </w:rPr>
              <w:t>Ίδιος ορισμός με τον ορισμό της στήλης 0010 του υποδείγματος CR SA</w:t>
            </w:r>
          </w:p>
        </w:tc>
      </w:tr>
      <w:tr w:rsidR="009D6580" w:rsidRPr="002A677E" w14:paraId="5F923D3B" w14:textId="77777777" w:rsidTr="00822842">
        <w:tc>
          <w:tcPr>
            <w:tcW w:w="1188" w:type="dxa"/>
          </w:tcPr>
          <w:p w14:paraId="69087815"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640" w:type="dxa"/>
          </w:tcPr>
          <w:p w14:paraId="04F3B53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Ανοίγματα σε αθέτηση</w:t>
            </w:r>
          </w:p>
          <w:p w14:paraId="147BD4ED" w14:textId="29FBEBE8"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Αρχικό άνοιγμα πριν από τους συντελεστές μετατροπής για ανοίγματα που έχουν καταταχθεί ως “ανοίγματα σε αθέτηση” και για ανοίγματα σε αθέτηση που κατατάσσονται στην κατηγορία ανοιγμάτων “ανοίγματα σε μετοχές” και ανοίγματα σε αθέτηση που κατατάσσονται στην κατηγορία ανοιγμάτων “Ανοίγματα υπό μορφή μεριδίων ή μετοχών σε οργανισμούς συλλογικών επενδύσεων (ΟΣΕ)”.</w:t>
            </w:r>
          </w:p>
          <w:p w14:paraId="6DA448AF"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Αυτό το “υπομνηματικό στοιχείο” παρέχει επιπλέον πληροφορίες σχετικά με τη δομή οφειλέτη των ανοιγμάτων σε αθέτηση. Τα ανοίγματα που κατατάσσονται ως “ανοίγματα σε αθέτηση”, όπως προβλέπεται στο άρθρο 112 στοιχείο ι)</w:t>
            </w:r>
            <w:r>
              <w:rPr>
                <w:rFonts w:ascii="Times New Roman" w:hAnsi="Times New Roman"/>
                <w:sz w:val="24"/>
              </w:rPr>
              <w:t xml:space="preserve"> του κανονισμού (ΕΕ) αριθ. 575/2013, </w:t>
            </w:r>
            <w:r>
              <w:rPr>
                <w:rStyle w:val="InstructionsTabelleText"/>
                <w:rFonts w:ascii="Times New Roman" w:hAnsi="Times New Roman"/>
                <w:sz w:val="24"/>
              </w:rPr>
              <w:t xml:space="preserve">αναφέρονται στις γραμμές στις οποίες θα αναφέρονταν οι οφειλέτες , εάν τα ανοίγματα αυτά δεν είχαν ταξινομηθεί στις κατηγορίες “ανοιγμάτων σε αθέτηση”. </w:t>
            </w:r>
          </w:p>
          <w:p w14:paraId="52855171" w14:textId="65C7A920" w:rsidR="009D6580" w:rsidRPr="002A677E" w:rsidRDefault="00123FDD" w:rsidP="00822842">
            <w:pPr>
              <w:rPr>
                <w:rFonts w:ascii="Times New Roman" w:hAnsi="Times New Roman"/>
                <w:sz w:val="24"/>
              </w:rPr>
            </w:pPr>
            <w:r>
              <w:rPr>
                <w:rStyle w:val="InstructionsTabelleText"/>
                <w:rFonts w:ascii="Times New Roman" w:hAnsi="Times New Roman"/>
                <w:sz w:val="24"/>
              </w:rPr>
              <w:t xml:space="preserve">Οι πληροφορίες αυτές αποτελούν “υπομνηματικό στοιχείο” —επομένως, δεν επηρεάζουν τον υπολογισμό των σταθμισμένων ως προς τον κίνδυνο ποσών ανοιγμάτων των κατηγοριών ανοιγμάτων “ανοίγματα σε αθέτηση”, “ανοίγματα σε μετοχές” ή “ανοίγματα υπό μορφή μεριδίων ή μετοχών σε οργανισμούς συλλογικών επενδύσεων (ΟΣΕ)”, όπως προβλέπονται στο άρθρο 112 στοιχεία ι), ιστ) και ιε) </w:t>
            </w:r>
            <w:r>
              <w:rPr>
                <w:rFonts w:ascii="Times New Roman" w:hAnsi="Times New Roman"/>
                <w:sz w:val="24"/>
              </w:rPr>
              <w:t>του κανονισμού (ΕΕ) αριθ. 575/2013, αντίστοιχα</w:t>
            </w:r>
            <w:r>
              <w:rPr>
                <w:rStyle w:val="InstructionsTabelleText"/>
                <w:rFonts w:ascii="Times New Roman" w:hAnsi="Times New Roman"/>
                <w:sz w:val="24"/>
              </w:rPr>
              <w:t>.</w:t>
            </w:r>
          </w:p>
        </w:tc>
      </w:tr>
      <w:tr w:rsidR="009D6580" w:rsidRPr="002A677E" w14:paraId="12737C01" w14:textId="77777777" w:rsidTr="00822842">
        <w:tc>
          <w:tcPr>
            <w:tcW w:w="1188" w:type="dxa"/>
          </w:tcPr>
          <w:p w14:paraId="0843F0D4"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640" w:type="dxa"/>
          </w:tcPr>
          <w:p w14:paraId="317ABA2D"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Νέες αθετήσεις που παρατηρήθηκαν κατά την περίοδο</w:t>
            </w:r>
          </w:p>
          <w:p w14:paraId="4C451CE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 xml:space="preserve">Το ποσό των αρχικών ανοιγμάτων που έχουν μετακινηθεί στην κατηγορία ανοιγμάτων “Ανοίγματα σε αθέτηση”, κατά τη διάρκεια περιόδου 3 μηνών από την τελευταία </w:t>
            </w:r>
            <w:r>
              <w:rPr>
                <w:rStyle w:val="InstructionsTabelleText"/>
                <w:rFonts w:ascii="Times New Roman" w:hAnsi="Times New Roman"/>
                <w:sz w:val="24"/>
              </w:rPr>
              <w:lastRenderedPageBreak/>
              <w:t>ημερομηνία αναφοράς για την υποβολή αναφορών, αναφέρεται στο συγκεκριμένο σημείο έναντι της κατηγορίας ανοιγμάτων στην οποία ανήκε αρχικά ο οφειλέτης.</w:t>
            </w:r>
          </w:p>
        </w:tc>
      </w:tr>
      <w:tr w:rsidR="009D6580" w:rsidRPr="002A677E" w14:paraId="59173FA8" w14:textId="77777777" w:rsidTr="00822842">
        <w:tc>
          <w:tcPr>
            <w:tcW w:w="1188" w:type="dxa"/>
          </w:tcPr>
          <w:p w14:paraId="7368E5E9" w14:textId="77777777" w:rsidR="009D6580" w:rsidRPr="002A677E" w:rsidRDefault="009D6580" w:rsidP="00822842">
            <w:pPr>
              <w:rPr>
                <w:rFonts w:ascii="Times New Roman" w:hAnsi="Times New Roman"/>
                <w:sz w:val="24"/>
              </w:rPr>
            </w:pPr>
            <w:r>
              <w:rPr>
                <w:rFonts w:ascii="Times New Roman" w:hAnsi="Times New Roman"/>
                <w:sz w:val="24"/>
              </w:rPr>
              <w:lastRenderedPageBreak/>
              <w:t>0050</w:t>
            </w:r>
          </w:p>
        </w:tc>
        <w:tc>
          <w:tcPr>
            <w:tcW w:w="8640" w:type="dxa"/>
          </w:tcPr>
          <w:p w14:paraId="1A491AA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Γενικές προσαρμογές πιστωτικού κινδύνου</w:t>
            </w:r>
          </w:p>
          <w:p w14:paraId="019027A7" w14:textId="77777777" w:rsidR="009D6580" w:rsidRPr="002A677E" w:rsidRDefault="009D6580" w:rsidP="00822842">
            <w:pPr>
              <w:rPr>
                <w:rFonts w:ascii="Times New Roman" w:hAnsi="Times New Roman"/>
                <w:sz w:val="24"/>
              </w:rPr>
            </w:pPr>
            <w:r>
              <w:rPr>
                <w:rFonts w:ascii="Times New Roman" w:hAnsi="Times New Roman"/>
                <w:sz w:val="24"/>
              </w:rPr>
              <w:t xml:space="preserve">Προσαρμογές πιστωτικού κινδύνου, όπως αναφέρονται στο άρθρο 110 του κανονισμού (ΕΕ) αριθ. 575/2013, καθώς και στον κανονισμό (ΕΕ) αριθ. 183/2014. </w:t>
            </w:r>
          </w:p>
          <w:p w14:paraId="124DE0E0" w14:textId="77777777" w:rsidR="009D6580" w:rsidRPr="002A677E" w:rsidRDefault="009D6580" w:rsidP="00822842">
            <w:pPr>
              <w:rPr>
                <w:rFonts w:ascii="Times New Roman" w:hAnsi="Times New Roman"/>
                <w:sz w:val="24"/>
              </w:rPr>
            </w:pPr>
            <w:r>
              <w:rPr>
                <w:rFonts w:ascii="Times New Roman" w:hAnsi="Times New Roman"/>
                <w:sz w:val="24"/>
              </w:rPr>
              <w:t>Το συγκεκριμένο στοιχείο περιλαμβάνει τις γενικές προσαρμογές πιστωτικού κινδύνου που είναι επιλέξιμες για συμπερίληψη στο κεφάλαιο Τ2, πριν από την εφαρμογή του ανώτατου ορίου που αναφέρεται στο άρθρο 62 στοιχείο γ) του κανονισμού (ΕΕ) αριθ. 575/2013.</w:t>
            </w:r>
          </w:p>
          <w:p w14:paraId="50B8B57C" w14:textId="77777777" w:rsidR="009D6580" w:rsidRPr="002A677E" w:rsidRDefault="009D6580" w:rsidP="00822842">
            <w:pPr>
              <w:rPr>
                <w:rFonts w:ascii="Times New Roman" w:hAnsi="Times New Roman"/>
                <w:b/>
                <w:sz w:val="24"/>
                <w:u w:val="single"/>
              </w:rPr>
            </w:pPr>
            <w:r>
              <w:rPr>
                <w:rFonts w:ascii="Times New Roman" w:hAnsi="Times New Roman"/>
                <w:sz w:val="24"/>
              </w:rPr>
              <w:t>Το προς αναφορά ποσό περιλαμβάνει τις επιπτώσεις του φόρου.</w:t>
            </w:r>
          </w:p>
        </w:tc>
      </w:tr>
      <w:tr w:rsidR="009D6580" w:rsidRPr="002A677E" w14:paraId="18048AF8" w14:textId="77777777" w:rsidTr="00822842">
        <w:tc>
          <w:tcPr>
            <w:tcW w:w="1188" w:type="dxa"/>
          </w:tcPr>
          <w:p w14:paraId="6BF1FDE0"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640" w:type="dxa"/>
          </w:tcPr>
          <w:p w14:paraId="3DA55F2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Ειδικές προσαρμογές πιστωτικού κινδύνου</w:t>
            </w:r>
          </w:p>
          <w:p w14:paraId="0C4040D9" w14:textId="77777777" w:rsidR="009D6580" w:rsidRPr="002A677E" w:rsidRDefault="009D6580" w:rsidP="00822842">
            <w:pPr>
              <w:rPr>
                <w:rFonts w:ascii="Times New Roman" w:hAnsi="Times New Roman"/>
                <w:b/>
                <w:sz w:val="24"/>
                <w:u w:val="single"/>
              </w:rPr>
            </w:pPr>
            <w:r>
              <w:rPr>
                <w:rFonts w:ascii="Times New Roman" w:hAnsi="Times New Roman"/>
                <w:sz w:val="24"/>
              </w:rPr>
              <w:t>Προσαρμογές πιστωτικού κινδύνου, όπως αναφέρονται στο άρθρο 110 του κανονισμού (ΕΕ) αριθ. 575/2013, καθώς και στον κανονισμό (ΕΕ) αριθ. 183/2014.</w:t>
            </w:r>
          </w:p>
        </w:tc>
      </w:tr>
      <w:tr w:rsidR="009D6580" w:rsidRPr="002A677E" w14:paraId="1433D694" w14:textId="77777777" w:rsidTr="00822842">
        <w:tc>
          <w:tcPr>
            <w:tcW w:w="1188" w:type="dxa"/>
          </w:tcPr>
          <w:p w14:paraId="0154002C"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0E9754A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Διαγραφές</w:t>
            </w:r>
          </w:p>
          <w:p w14:paraId="5E984FA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Διαγραφές όπως αναφέρονται στο ΔΠΧΑ 9.5.4.4 και B5.4.9.</w:t>
            </w:r>
          </w:p>
        </w:tc>
      </w:tr>
      <w:tr w:rsidR="009D6580" w:rsidRPr="002A677E" w14:paraId="1CFA94CF" w14:textId="77777777" w:rsidTr="00822842">
        <w:tc>
          <w:tcPr>
            <w:tcW w:w="1188" w:type="dxa"/>
          </w:tcPr>
          <w:p w14:paraId="23BBA9F5" w14:textId="77777777" w:rsidR="009D6580" w:rsidRPr="002A677E" w:rsidRDefault="009D6580" w:rsidP="00822842">
            <w:pPr>
              <w:rPr>
                <w:rFonts w:ascii="Times New Roman" w:hAnsi="Times New Roman"/>
                <w:sz w:val="24"/>
              </w:rPr>
            </w:pPr>
            <w:r>
              <w:rPr>
                <w:rFonts w:ascii="Times New Roman" w:hAnsi="Times New Roman"/>
                <w:sz w:val="24"/>
              </w:rPr>
              <w:t>0061</w:t>
            </w:r>
          </w:p>
        </w:tc>
        <w:tc>
          <w:tcPr>
            <w:tcW w:w="8640" w:type="dxa"/>
          </w:tcPr>
          <w:p w14:paraId="7173ECB3"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Πρόσθετες προσαρμογές αξίας και άλλες μειώσεις ιδίων κεφαλαίων</w:t>
            </w:r>
          </w:p>
          <w:p w14:paraId="074C80EC" w14:textId="77777777" w:rsidR="009D6580" w:rsidRPr="002A677E" w:rsidRDefault="009D6580" w:rsidP="00822842">
            <w:pPr>
              <w:rPr>
                <w:rFonts w:ascii="Times New Roman" w:hAnsi="Times New Roman"/>
                <w:b/>
                <w:sz w:val="24"/>
                <w:u w:val="single"/>
              </w:rPr>
            </w:pPr>
            <w:r>
              <w:rPr>
                <w:rFonts w:ascii="Times New Roman" w:hAnsi="Times New Roman"/>
                <w:sz w:val="24"/>
              </w:rPr>
              <w:t>Σύμφωνα με το άρθρο 111 του κανονισμού (ΕΕ) αριθ. 575/2013.</w:t>
            </w:r>
          </w:p>
        </w:tc>
      </w:tr>
      <w:tr w:rsidR="009D6580" w:rsidRPr="002A677E" w14:paraId="2939F77F" w14:textId="77777777" w:rsidTr="00822842">
        <w:tc>
          <w:tcPr>
            <w:tcW w:w="1188" w:type="dxa"/>
          </w:tcPr>
          <w:p w14:paraId="542B9015"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2643490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Προσαρμογές πιστωτικού κινδύνου/διαγραφές για νέες αθετήσεις που παρατηρήθηκαν</w:t>
            </w:r>
          </w:p>
          <w:p w14:paraId="7E554B6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Άθροισμα των προσαρμογών πιστωτικού κινδύνου και των διαγραφών για τα ανοίγματα που ταξινομήθηκαν ως “ανοίγματα σε αθέτηση”, κατά τη διάρκεια περιόδου 3 μηνών από την τελευταία υποβολή στοιχείων.</w:t>
            </w:r>
          </w:p>
        </w:tc>
      </w:tr>
      <w:tr w:rsidR="009D6580" w:rsidRPr="002A677E" w14:paraId="2CA30DE3" w14:textId="77777777" w:rsidTr="00822842">
        <w:tc>
          <w:tcPr>
            <w:tcW w:w="1188" w:type="dxa"/>
          </w:tcPr>
          <w:p w14:paraId="2FD89795" w14:textId="77777777" w:rsidR="009D6580" w:rsidRPr="002A677E" w:rsidRDefault="009D6580" w:rsidP="00822842">
            <w:pPr>
              <w:rPr>
                <w:rFonts w:ascii="Times New Roman" w:hAnsi="Times New Roman"/>
                <w:sz w:val="24"/>
              </w:rPr>
            </w:pPr>
            <w:r>
              <w:rPr>
                <w:rFonts w:ascii="Times New Roman" w:hAnsi="Times New Roman"/>
                <w:sz w:val="24"/>
              </w:rPr>
              <w:t>0075</w:t>
            </w:r>
          </w:p>
        </w:tc>
        <w:tc>
          <w:tcPr>
            <w:tcW w:w="8640" w:type="dxa"/>
          </w:tcPr>
          <w:p w14:paraId="233BFDC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Αξία ανοίγματος</w:t>
            </w:r>
          </w:p>
          <w:p w14:paraId="4F849709"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0200 του υποδείγματος CR SA</w:t>
            </w:r>
          </w:p>
        </w:tc>
      </w:tr>
      <w:tr w:rsidR="009D6580" w:rsidRPr="002A677E" w14:paraId="09BD9174" w14:textId="77777777" w:rsidTr="00822842">
        <w:tc>
          <w:tcPr>
            <w:tcW w:w="1188" w:type="dxa"/>
          </w:tcPr>
          <w:p w14:paraId="06587A3C"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0B560F31" w14:textId="46CDE534" w:rsidR="009D6580" w:rsidRPr="002A677E" w:rsidRDefault="009D6580" w:rsidP="00822842">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ΠΡΙΝ ΑΠΟ ΤΟΥΣ ΣΥΝΤΕΛΕΣΤΕΣ ΣΤΗΡΙΞΗΣ KAI ΠΡΙΝ ΑΠΟ ΤΗ ΣΥΝΑΛΛΑΓΜΑΤΙΚΗ ΑΝΑΝΤΙΣΤΟΙΧΙΑ</w:t>
            </w:r>
          </w:p>
          <w:p w14:paraId="7F917189" w14:textId="77777777" w:rsidR="009D6580" w:rsidRPr="002A677E" w:rsidRDefault="009D6580" w:rsidP="00822842">
            <w:pPr>
              <w:rPr>
                <w:rFonts w:ascii="Times New Roman" w:hAnsi="Times New Roman"/>
                <w:b/>
                <w:sz w:val="24"/>
                <w:u w:val="single"/>
              </w:rPr>
            </w:pPr>
            <w:r>
              <w:rPr>
                <w:rFonts w:ascii="Times New Roman" w:hAnsi="Times New Roman"/>
                <w:sz w:val="24"/>
              </w:rPr>
              <w:t>Ίδιος ορισμός με τον ορισμό της στήλης 0215 του υποδείγματος CR SA</w:t>
            </w:r>
          </w:p>
        </w:tc>
      </w:tr>
      <w:tr w:rsidR="009D6580" w:rsidRPr="002A677E" w14:paraId="172392A5" w14:textId="77777777" w:rsidTr="00822842">
        <w:tc>
          <w:tcPr>
            <w:tcW w:w="1188" w:type="dxa"/>
          </w:tcPr>
          <w:p w14:paraId="4881CC35" w14:textId="77777777" w:rsidR="009D6580" w:rsidRPr="002A677E" w:rsidRDefault="009D6580" w:rsidP="00822842">
            <w:pPr>
              <w:rPr>
                <w:rFonts w:ascii="Times New Roman" w:hAnsi="Times New Roman"/>
                <w:sz w:val="24"/>
              </w:rPr>
            </w:pPr>
            <w:r>
              <w:rPr>
                <w:rFonts w:ascii="Times New Roman" w:hAnsi="Times New Roman"/>
                <w:sz w:val="24"/>
              </w:rPr>
              <w:t>0081</w:t>
            </w:r>
          </w:p>
        </w:tc>
        <w:tc>
          <w:tcPr>
            <w:tcW w:w="8640" w:type="dxa"/>
          </w:tcPr>
          <w:p w14:paraId="3683E884" w14:textId="77777777" w:rsidR="009D6580" w:rsidRPr="002A677E" w:rsidRDefault="009D6580" w:rsidP="00822842">
            <w:pPr>
              <w:rPr>
                <w:rStyle w:val="InstructionsTabelleberschrift"/>
                <w:rFonts w:ascii="Times New Roman" w:hAnsi="Times New Roman"/>
                <w:sz w:val="32"/>
              </w:rPr>
            </w:pPr>
            <w:r>
              <w:rPr>
                <w:rStyle w:val="InstructionsTabelleberschrift"/>
                <w:rFonts w:ascii="Times New Roman" w:hAnsi="Times New Roman"/>
                <w:sz w:val="24"/>
              </w:rPr>
              <w:t>ΠΡΟΣΑΡΜΟΓΗ ΣΤΟ ΣΤΑΘΜΙΣΜΕΝΟ ΩΣ ΠΡΟΣ ΤΟΝ ΚΙΝΔΥΝΟ ΠΟΣΟ ΑΝΟΙΓΜΑΤΟΣ ΛΟΓΩ ΣΥΝΤΕΛΕΣΤΗ ΣΤΗΡΙΞΗΣ ΤΩΝ ΜΜΕ</w:t>
            </w:r>
          </w:p>
          <w:p w14:paraId="7D7BF2EE" w14:textId="77777777" w:rsidR="009D6580" w:rsidRPr="002A677E" w:rsidRDefault="009D6580" w:rsidP="00822842">
            <w:pPr>
              <w:rPr>
                <w:rFonts w:ascii="Times New Roman" w:hAnsi="Times New Roman"/>
                <w:b/>
                <w:sz w:val="24"/>
                <w:u w:val="single"/>
              </w:rPr>
            </w:pPr>
            <w:r>
              <w:rPr>
                <w:rFonts w:ascii="Times New Roman" w:hAnsi="Times New Roman"/>
                <w:sz w:val="24"/>
              </w:rPr>
              <w:t>Ίδιος ορισμός με τον ορισμό της στήλης 0216 του υποδείγματος CR SA</w:t>
            </w:r>
          </w:p>
        </w:tc>
      </w:tr>
      <w:tr w:rsidR="009D6580" w:rsidRPr="002A677E" w14:paraId="7C7A5C85" w14:textId="77777777" w:rsidTr="00822842">
        <w:tc>
          <w:tcPr>
            <w:tcW w:w="1188" w:type="dxa"/>
          </w:tcPr>
          <w:p w14:paraId="4ABD72EC" w14:textId="77777777" w:rsidR="009D6580" w:rsidRPr="002A677E" w:rsidRDefault="009D6580" w:rsidP="00822842">
            <w:pPr>
              <w:rPr>
                <w:rFonts w:ascii="Times New Roman" w:hAnsi="Times New Roman"/>
                <w:sz w:val="24"/>
              </w:rPr>
            </w:pPr>
            <w:r>
              <w:rPr>
                <w:rFonts w:ascii="Times New Roman" w:hAnsi="Times New Roman"/>
                <w:sz w:val="24"/>
              </w:rPr>
              <w:t>0082</w:t>
            </w:r>
          </w:p>
        </w:tc>
        <w:tc>
          <w:tcPr>
            <w:tcW w:w="8640" w:type="dxa"/>
          </w:tcPr>
          <w:p w14:paraId="60EE9D4D" w14:textId="77777777" w:rsidR="009D6580" w:rsidRPr="002A677E" w:rsidRDefault="009D6580" w:rsidP="00822842">
            <w:pPr>
              <w:rPr>
                <w:rStyle w:val="InstructionsTabelleberschrift"/>
                <w:rFonts w:ascii="Times New Roman" w:hAnsi="Times New Roman"/>
                <w:sz w:val="32"/>
              </w:rPr>
            </w:pPr>
            <w:r>
              <w:rPr>
                <w:rStyle w:val="InstructionsTabelleberschrift"/>
                <w:rFonts w:ascii="Times New Roman" w:hAnsi="Times New Roman"/>
                <w:sz w:val="24"/>
              </w:rPr>
              <w:t>(-) ΠΡΟΣΑΡΜΟΓΗ ΣΤΟ ΣΤΑΘΜΙΣΜΕΝΟ ΩΣ ΠΡΟΣ ΤΟΝ ΚΙΝΔΥΝΟ ΠΟΣΟ ΑΝΟΙΓΜΑΤΟΣ ΛΟΓΩ ΣΥΝΤΕΛΕΣΤΗ ΣΤΗΡΙΞΗΣ ΤΩΝ ΥΠΟΔΟΜΩΝ</w:t>
            </w:r>
          </w:p>
          <w:p w14:paraId="3D157D72" w14:textId="77777777" w:rsidR="009D6580" w:rsidRPr="002A677E" w:rsidRDefault="009D6580" w:rsidP="00822842">
            <w:pPr>
              <w:rPr>
                <w:rFonts w:ascii="Times New Roman" w:hAnsi="Times New Roman"/>
                <w:b/>
                <w:sz w:val="24"/>
                <w:u w:val="single"/>
              </w:rPr>
            </w:pPr>
            <w:r>
              <w:rPr>
                <w:rFonts w:ascii="Times New Roman" w:hAnsi="Times New Roman"/>
                <w:sz w:val="24"/>
              </w:rPr>
              <w:t>Ίδιος ορισμός με τον ορισμό της στήλης 0217 του υποδείγματος CR SA</w:t>
            </w:r>
          </w:p>
        </w:tc>
      </w:tr>
      <w:tr w:rsidR="009D6580" w:rsidRPr="002A677E" w14:paraId="2271C08F" w14:textId="77777777" w:rsidTr="00822842">
        <w:tc>
          <w:tcPr>
            <w:tcW w:w="1188" w:type="dxa"/>
          </w:tcPr>
          <w:p w14:paraId="7D3C5FE9" w14:textId="77777777" w:rsidR="009D6580" w:rsidRPr="002A677E" w:rsidRDefault="009D6580" w:rsidP="00822842">
            <w:pPr>
              <w:rPr>
                <w:rFonts w:ascii="Times New Roman" w:hAnsi="Times New Roman"/>
                <w:sz w:val="24"/>
              </w:rPr>
            </w:pPr>
            <w:r>
              <w:rPr>
                <w:rFonts w:ascii="Times New Roman" w:hAnsi="Times New Roman"/>
                <w:sz w:val="24"/>
              </w:rPr>
              <w:lastRenderedPageBreak/>
              <w:t>0090</w:t>
            </w:r>
          </w:p>
        </w:tc>
        <w:tc>
          <w:tcPr>
            <w:tcW w:w="8640" w:type="dxa"/>
          </w:tcPr>
          <w:p w14:paraId="784080AC" w14:textId="77777777" w:rsidR="00AF2BE6" w:rsidRDefault="009D6580" w:rsidP="00AF2BE6">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ΤΟΥΣ ΣΥΝΤΕΛΕΣΤΕΣ ΣΤΗΡΙΞΗΣ KAI ΜΕΤΑ ΤΗ ΣΥΝΑΛΛΑΓΜΑΤΙΚΗ ΑΝΑΝΤΙΣΤΟΙΧΙΑ</w:t>
            </w:r>
          </w:p>
          <w:p w14:paraId="5F17785F" w14:textId="6397E6C0" w:rsidR="009D6580" w:rsidRPr="002A677E" w:rsidRDefault="009D6580" w:rsidP="00AF2BE6">
            <w:pPr>
              <w:rPr>
                <w:rFonts w:ascii="Times New Roman" w:hAnsi="Times New Roman"/>
                <w:b/>
                <w:sz w:val="24"/>
                <w:u w:val="single"/>
              </w:rPr>
            </w:pPr>
            <w:r>
              <w:rPr>
                <w:rFonts w:ascii="Times New Roman" w:hAnsi="Times New Roman"/>
                <w:sz w:val="24"/>
              </w:rPr>
              <w:t>Ίδιος ορισμός με τον ορισμό της στήλης 0220 του υποδείγματος CR SA</w:t>
            </w:r>
          </w:p>
        </w:tc>
      </w:tr>
    </w:tbl>
    <w:p w14:paraId="00F504F2" w14:textId="77777777" w:rsidR="009D6580" w:rsidRPr="002A677E"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2A677E" w14:paraId="603A14A1" w14:textId="77777777" w:rsidTr="00822842">
        <w:trPr>
          <w:gridAfter w:val="1"/>
          <w:wAfter w:w="61" w:type="dxa"/>
          <w:trHeight w:val="581"/>
        </w:trPr>
        <w:tc>
          <w:tcPr>
            <w:tcW w:w="9828" w:type="dxa"/>
            <w:gridSpan w:val="2"/>
            <w:shd w:val="clear" w:color="auto" w:fill="CCCCCC"/>
          </w:tcPr>
          <w:p w14:paraId="52CB66F8" w14:textId="77777777" w:rsidR="009D6580" w:rsidRPr="002A677E" w:rsidRDefault="009D6580" w:rsidP="00822842">
            <w:pPr>
              <w:spacing w:after="0"/>
              <w:rPr>
                <w:rStyle w:val="InstructionsTabelleText"/>
                <w:rFonts w:ascii="Times New Roman" w:hAnsi="Times New Roman"/>
                <w:b/>
                <w:sz w:val="24"/>
              </w:rPr>
            </w:pPr>
            <w:r>
              <w:rPr>
                <w:rStyle w:val="InstructionsTabelleText"/>
                <w:rFonts w:ascii="Times New Roman" w:hAnsi="Times New Roman"/>
                <w:b/>
                <w:sz w:val="24"/>
              </w:rPr>
              <w:t>Γραμμές</w:t>
            </w:r>
          </w:p>
        </w:tc>
      </w:tr>
      <w:tr w:rsidR="009D6580" w:rsidRPr="002A677E" w14:paraId="118E5421" w14:textId="77777777" w:rsidTr="00822842">
        <w:tc>
          <w:tcPr>
            <w:tcW w:w="1188" w:type="dxa"/>
            <w:shd w:val="clear" w:color="auto" w:fill="FFFFFF"/>
          </w:tcPr>
          <w:p w14:paraId="2F36564E" w14:textId="77777777" w:rsidR="009D6580" w:rsidRPr="002A677E" w:rsidRDefault="009D6580" w:rsidP="00822842">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5299C4C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Κεντρικές κυβερνήσεις ή κεντρικές τράπεζες</w:t>
            </w:r>
          </w:p>
          <w:p w14:paraId="701FDDD6" w14:textId="77777777" w:rsidR="009D6580" w:rsidRPr="002A677E" w:rsidRDefault="009D6580" w:rsidP="00822842">
            <w:pPr>
              <w:ind w:left="72"/>
              <w:rPr>
                <w:rStyle w:val="InstructionsTabelleText"/>
                <w:rFonts w:ascii="Times New Roman" w:hAnsi="Times New Roman"/>
                <w:sz w:val="24"/>
              </w:rPr>
            </w:pPr>
            <w:r>
              <w:rPr>
                <w:rFonts w:ascii="Times New Roman" w:hAnsi="Times New Roman"/>
                <w:sz w:val="24"/>
              </w:rPr>
              <w:t>Άρθρο 112 στοιχείο α) του κανονισμού (ΕΕ) αριθ. 575/2013</w:t>
            </w:r>
          </w:p>
        </w:tc>
      </w:tr>
      <w:tr w:rsidR="009D6580" w:rsidRPr="002A677E" w14:paraId="68375DB0" w14:textId="77777777" w:rsidTr="00822842">
        <w:tc>
          <w:tcPr>
            <w:tcW w:w="1188" w:type="dxa"/>
            <w:shd w:val="clear" w:color="auto" w:fill="FFFFFF"/>
          </w:tcPr>
          <w:p w14:paraId="1C3E335B"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1944FAD5"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Περιφερειακές κυβερνήσεις ή τοπικές αρχές</w:t>
            </w:r>
          </w:p>
          <w:p w14:paraId="06578FE1"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Άρθρο 112 στοιχείο β) του κανονισμού (ΕΕ) αριθ. 575/2013</w:t>
            </w:r>
          </w:p>
        </w:tc>
      </w:tr>
      <w:tr w:rsidR="009D6580" w:rsidRPr="002A677E" w14:paraId="586A7704" w14:textId="77777777" w:rsidTr="00822842">
        <w:tc>
          <w:tcPr>
            <w:tcW w:w="1188" w:type="dxa"/>
            <w:shd w:val="clear" w:color="auto" w:fill="FFFFFF"/>
          </w:tcPr>
          <w:p w14:paraId="2F12168F"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3F83BD2"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Οντότητες του δημόσιου τομέα</w:t>
            </w:r>
          </w:p>
          <w:p w14:paraId="451BD941"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Άρθρο 112 στοιχείο γ) του κανονισμού (ΕΕ) αριθ. 575/2013</w:t>
            </w:r>
          </w:p>
        </w:tc>
      </w:tr>
      <w:tr w:rsidR="009D6580" w:rsidRPr="002A677E" w14:paraId="6FF0246D" w14:textId="77777777" w:rsidTr="00822842">
        <w:tc>
          <w:tcPr>
            <w:tcW w:w="1188" w:type="dxa"/>
            <w:shd w:val="clear" w:color="auto" w:fill="FFFFFF"/>
          </w:tcPr>
          <w:p w14:paraId="0764BD95"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3EC9AA89"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Πολυμερείς τράπεζες ανάπτυξης</w:t>
            </w:r>
          </w:p>
          <w:p w14:paraId="59A02674"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Άρθρο 112 στοιχείο δ) του κανονισμού (ΕΕ) αριθ. 575/2013</w:t>
            </w:r>
          </w:p>
        </w:tc>
      </w:tr>
      <w:tr w:rsidR="009D6580" w:rsidRPr="002A677E" w14:paraId="6E3FD4C2" w14:textId="77777777" w:rsidTr="00822842">
        <w:tc>
          <w:tcPr>
            <w:tcW w:w="1188" w:type="dxa"/>
            <w:shd w:val="clear" w:color="auto" w:fill="FFFFFF"/>
          </w:tcPr>
          <w:p w14:paraId="6AB26633" w14:textId="77777777" w:rsidR="009D6580" w:rsidRPr="002A677E" w:rsidRDefault="009D6580" w:rsidP="00822842">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5907B56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Διεθνείς οργανισμοί</w:t>
            </w:r>
          </w:p>
          <w:p w14:paraId="17C7FCF4"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Άρθρο 112 στοιχείο ε) του κανονισμού (ΕΕ) αριθ. 575/2013</w:t>
            </w:r>
          </w:p>
        </w:tc>
      </w:tr>
      <w:tr w:rsidR="009D6580" w:rsidRPr="002A677E" w14:paraId="4CDD7211" w14:textId="77777777" w:rsidTr="00822842">
        <w:tc>
          <w:tcPr>
            <w:tcW w:w="1188" w:type="dxa"/>
            <w:shd w:val="clear" w:color="auto" w:fill="FFFFFF"/>
          </w:tcPr>
          <w:p w14:paraId="21D2188E"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1404BFA7"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Ιδρύματα</w:t>
            </w:r>
          </w:p>
          <w:p w14:paraId="153928C3"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Άρθρο 112 στοιχείο στ) του κανονισμού (ΕΕ) αριθ. 575/2013</w:t>
            </w:r>
          </w:p>
        </w:tc>
      </w:tr>
      <w:tr w:rsidR="009D6580" w:rsidRPr="002A677E" w14:paraId="7EB39EC1" w14:textId="77777777" w:rsidTr="00822842">
        <w:tc>
          <w:tcPr>
            <w:tcW w:w="1188" w:type="dxa"/>
            <w:shd w:val="clear" w:color="auto" w:fill="FFFFFF"/>
          </w:tcPr>
          <w:p w14:paraId="666DDCFA"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FC344C1"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Επιχειρήσεις</w:t>
            </w:r>
          </w:p>
          <w:p w14:paraId="2131631A"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Άρθρο 112 στοιχείο ζ) του κανονισμού (ΕΕ) αριθ. 575/2013</w:t>
            </w:r>
          </w:p>
        </w:tc>
      </w:tr>
      <w:tr w:rsidR="009D6580" w:rsidRPr="002A677E" w14:paraId="03BB556F" w14:textId="77777777" w:rsidTr="00822842">
        <w:tc>
          <w:tcPr>
            <w:tcW w:w="1188" w:type="dxa"/>
            <w:shd w:val="clear" w:color="auto" w:fill="FFFFFF"/>
          </w:tcPr>
          <w:p w14:paraId="4BDE48CD" w14:textId="77777777" w:rsidR="009D6580" w:rsidRPr="002A677E" w:rsidRDefault="009D6580" w:rsidP="00822842">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299BAF86"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εκ των οποίων: ΜΜΕ</w:t>
            </w:r>
          </w:p>
          <w:p w14:paraId="54A9735B"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0020 του υποδείγματος CR SA</w:t>
            </w:r>
          </w:p>
        </w:tc>
      </w:tr>
      <w:tr w:rsidR="009D6580" w:rsidRPr="002A677E" w14:paraId="134D23F8" w14:textId="77777777" w:rsidTr="00822842">
        <w:tc>
          <w:tcPr>
            <w:tcW w:w="1188" w:type="dxa"/>
            <w:shd w:val="clear" w:color="auto" w:fill="FFFFFF"/>
          </w:tcPr>
          <w:p w14:paraId="44C941F7" w14:textId="77777777" w:rsidR="009D6580" w:rsidRPr="002A677E" w:rsidRDefault="009D6580" w:rsidP="00822842">
            <w:pPr>
              <w:rPr>
                <w:rFonts w:ascii="Times New Roman" w:hAnsi="Times New Roman"/>
                <w:sz w:val="24"/>
              </w:rPr>
            </w:pPr>
            <w:r>
              <w:rPr>
                <w:rFonts w:ascii="Times New Roman" w:hAnsi="Times New Roman"/>
                <w:sz w:val="24"/>
              </w:rPr>
              <w:t>0076</w:t>
            </w:r>
          </w:p>
        </w:tc>
        <w:tc>
          <w:tcPr>
            <w:tcW w:w="8701" w:type="dxa"/>
            <w:gridSpan w:val="2"/>
            <w:shd w:val="clear" w:color="auto" w:fill="FFFFFF"/>
          </w:tcPr>
          <w:p w14:paraId="77F474DF" w14:textId="77777777" w:rsidR="009D6580"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Εκ των οποίων: Ειδική δανειοδότηση</w:t>
            </w:r>
          </w:p>
          <w:p w14:paraId="78348E89" w14:textId="77777777" w:rsidR="009D6580" w:rsidRPr="000059B8" w:rsidRDefault="009D6580" w:rsidP="00822842">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Άρθρο 122α</w:t>
            </w:r>
            <w:r>
              <w:rPr>
                <w:rFonts w:ascii="Times New Roman" w:hAnsi="Times New Roman"/>
                <w:sz w:val="24"/>
              </w:rPr>
              <w:t>του κανονισμού (ΕΕ) αριθ. 575/2013</w:t>
            </w:r>
          </w:p>
        </w:tc>
      </w:tr>
      <w:tr w:rsidR="009D6580" w:rsidRPr="002A677E" w14:paraId="128893B5" w14:textId="77777777" w:rsidTr="00822842">
        <w:tc>
          <w:tcPr>
            <w:tcW w:w="1188" w:type="dxa"/>
            <w:shd w:val="clear" w:color="auto" w:fill="FFFFFF"/>
          </w:tcPr>
          <w:p w14:paraId="1169A0DC"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1C4CE181"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Λιανική τραπεζική</w:t>
            </w:r>
          </w:p>
          <w:p w14:paraId="4C73D393"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Άρθρο 112 στοιχείο η) του κανονισμού (ΕΕ) αριθ. 575/2013</w:t>
            </w:r>
          </w:p>
        </w:tc>
      </w:tr>
      <w:tr w:rsidR="009D6580" w:rsidRPr="002A677E" w14:paraId="1D7D32D9" w14:textId="77777777" w:rsidTr="00822842">
        <w:tc>
          <w:tcPr>
            <w:tcW w:w="1188" w:type="dxa"/>
            <w:shd w:val="clear" w:color="auto" w:fill="FFFFFF"/>
          </w:tcPr>
          <w:p w14:paraId="1C975069" w14:textId="77777777" w:rsidR="009D6580" w:rsidRPr="002A677E" w:rsidRDefault="009D6580" w:rsidP="00822842">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73F494D2"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εκ των οποίων: ΜΜΕ</w:t>
            </w:r>
          </w:p>
          <w:p w14:paraId="08FE43D7"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0020 του υποδείγματος CR SA</w:t>
            </w:r>
          </w:p>
        </w:tc>
      </w:tr>
      <w:tr w:rsidR="009D6580" w:rsidRPr="002A677E" w14:paraId="3E90F1DB" w14:textId="77777777" w:rsidTr="00822842">
        <w:tc>
          <w:tcPr>
            <w:tcW w:w="1188" w:type="dxa"/>
            <w:shd w:val="clear" w:color="auto" w:fill="FFFFFF"/>
          </w:tcPr>
          <w:p w14:paraId="67147AF5"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17BDF7D3"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Εξασφαλισμένα με υποθήκες επί ακίνητης περιουσίας και ανοίγματα ADC</w:t>
            </w:r>
          </w:p>
          <w:p w14:paraId="6DD925ED" w14:textId="77777777" w:rsidR="009D6580" w:rsidRPr="002A677E" w:rsidRDefault="009D6580" w:rsidP="00822842">
            <w:pPr>
              <w:ind w:left="72"/>
              <w:rPr>
                <w:rStyle w:val="InstructionsTabelleText"/>
                <w:rFonts w:ascii="Times New Roman" w:hAnsi="Times New Roman"/>
                <w:sz w:val="24"/>
              </w:rPr>
            </w:pPr>
            <w:r>
              <w:rPr>
                <w:rFonts w:ascii="Times New Roman" w:hAnsi="Times New Roman"/>
                <w:sz w:val="24"/>
              </w:rPr>
              <w:t>Άρθρο 112 στοιχείο θ) του κανονισμού (ΕΕ) αριθ. 575/2013</w:t>
            </w:r>
          </w:p>
        </w:tc>
      </w:tr>
      <w:tr w:rsidR="0020657D" w:rsidRPr="002A677E"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0091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Εξασφαλισμένα με υποθήκες επί ακινήτων κατοικίας – εκτός IPRE (εξασφαλισμένα)</w:t>
            </w:r>
          </w:p>
          <w:p w14:paraId="5BC0E4C6" w14:textId="5F815813"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Βλέπε υπόδειγμα CR SA</w:t>
            </w:r>
          </w:p>
        </w:tc>
      </w:tr>
      <w:tr w:rsidR="0020657D" w:rsidRPr="002A677E"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Εξασφαλισμένα με υποθήκες επί ακινήτων κατοικίας – εκτός IPRE (μη εξασφαλισμένα)</w:t>
            </w:r>
          </w:p>
          <w:p w14:paraId="607C903E" w14:textId="583159E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Βλέπε υπόδειγμα CR SA</w:t>
            </w:r>
          </w:p>
        </w:tc>
      </w:tr>
      <w:tr w:rsidR="0020657D" w:rsidRPr="002A677E"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16FA23A8"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Εξασφαλισμένα με υποθήκες επί ακινήτων κατοικίας – Άλλα – εκτός IPRE</w:t>
            </w:r>
          </w:p>
          <w:p w14:paraId="311E3CF5" w14:textId="5245D766"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Βλέπε υπόδειγμα CR SA</w:t>
            </w:r>
          </w:p>
        </w:tc>
      </w:tr>
      <w:tr w:rsidR="0020657D" w:rsidRPr="002A677E"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Εξασφαλισμένα με υποθήκες επί ακινήτων κατοικίας – IPRE</w:t>
            </w:r>
          </w:p>
          <w:p w14:paraId="2090782C" w14:textId="64D92CBC"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Βλέπε υπόδειγμα CR SA</w:t>
            </w:r>
          </w:p>
        </w:tc>
      </w:tr>
      <w:tr w:rsidR="0020657D" w:rsidRPr="002A677E"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0C6812F1"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Εξασφαλισμένα με υποθήκες επί ακινήτων κατοικίας – Άλλα – IPRE</w:t>
            </w:r>
          </w:p>
          <w:p w14:paraId="18E3F7B1" w14:textId="00D9A105"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Βλέπε υπόδειγμα CR SA</w:t>
            </w:r>
          </w:p>
        </w:tc>
      </w:tr>
      <w:tr w:rsidR="0020657D" w:rsidRPr="002A677E"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Εξασφαλισμένα με υποθήκες επί εμπορικών ακινήτων – εκτός IPRE (εξασφαλισμένα)</w:t>
            </w:r>
          </w:p>
          <w:p w14:paraId="1DD8A6CF" w14:textId="2D56F96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Βλέπε υπόδειγμα CR SA</w:t>
            </w:r>
          </w:p>
        </w:tc>
      </w:tr>
      <w:tr w:rsidR="0020657D" w:rsidRPr="002A677E"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Εξασφαλισμένα με υποθήκες επί εμπορικών ακινήτων – εκτός IPRE (μη εξασφαλισμένα)</w:t>
            </w:r>
          </w:p>
          <w:p w14:paraId="37DA45D4" w14:textId="1AC5F0E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Βλέπε υπόδειγμα CR SA</w:t>
            </w:r>
          </w:p>
        </w:tc>
      </w:tr>
      <w:tr w:rsidR="0020657D" w:rsidRPr="002A677E"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34287D44"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Εξασφαλισμένα με υποθήκες επί εμπορικών ακινήτων – Άλλα – εκτός IPRE</w:t>
            </w:r>
          </w:p>
          <w:p w14:paraId="653F8A23" w14:textId="727D9E5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Βλέπε υπόδειγμα CR SA</w:t>
            </w:r>
          </w:p>
        </w:tc>
      </w:tr>
      <w:tr w:rsidR="0020657D" w:rsidRPr="002A677E"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Εξασφαλισμένα με υποθήκες επί εμπορικών ακινήτων – IPRE</w:t>
            </w:r>
          </w:p>
          <w:p w14:paraId="5C23C6C1" w14:textId="64A934F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Βλέπε υπόδειγμα CR SA</w:t>
            </w:r>
          </w:p>
        </w:tc>
      </w:tr>
      <w:tr w:rsidR="0020657D" w:rsidRPr="002A677E"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0905</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Εξασφαλισμένα με υποθήκες επί εμπορικών ακινήτων – Άλλα – IPRE</w:t>
            </w:r>
          </w:p>
          <w:p w14:paraId="4CFFBC8C" w14:textId="16697C60"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Βλέπε υπόδειγμα CR SA</w:t>
            </w:r>
          </w:p>
        </w:tc>
      </w:tr>
      <w:tr w:rsidR="0020657D" w:rsidRPr="002A677E"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0906</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Αγορά, ανάπτυξη και κατασκευή (ADC)</w:t>
            </w:r>
          </w:p>
          <w:p w14:paraId="0CFE246E" w14:textId="00399E0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Βλέπε υπόδειγμα CR SA</w:t>
            </w:r>
          </w:p>
        </w:tc>
      </w:tr>
      <w:tr w:rsidR="009D6580" w:rsidRPr="002A677E" w14:paraId="4C9413B7" w14:textId="77777777" w:rsidTr="00822842">
        <w:tc>
          <w:tcPr>
            <w:tcW w:w="1188" w:type="dxa"/>
            <w:shd w:val="clear" w:color="auto" w:fill="FFFFFF"/>
          </w:tcPr>
          <w:p w14:paraId="5E67C510" w14:textId="77777777" w:rsidR="009D6580" w:rsidRPr="002A677E" w:rsidRDefault="009D6580" w:rsidP="00822842">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DFFD2E6"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εκ των οποίων: ΜΜΕ</w:t>
            </w:r>
          </w:p>
          <w:p w14:paraId="6A4AA475"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0020 του υποδείγματος CR SA</w:t>
            </w:r>
          </w:p>
        </w:tc>
      </w:tr>
      <w:tr w:rsidR="009D6580" w:rsidRPr="002A677E" w14:paraId="0A879D31" w14:textId="77777777" w:rsidTr="00822842">
        <w:tc>
          <w:tcPr>
            <w:tcW w:w="1188" w:type="dxa"/>
            <w:shd w:val="clear" w:color="auto" w:fill="FFFFFF"/>
          </w:tcPr>
          <w:p w14:paraId="67C52CF1"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125A151C"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Ανοίγματα σε αθέτηση</w:t>
            </w:r>
          </w:p>
          <w:p w14:paraId="24E89ACE"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Άρθρο 112 στοιχείο ι) του κανονισμού (ΕΕ) αριθ. 575/2013</w:t>
            </w:r>
          </w:p>
        </w:tc>
      </w:tr>
      <w:tr w:rsidR="009D6580" w:rsidRPr="002A677E" w14:paraId="09CAD285" w14:textId="77777777" w:rsidTr="00822842">
        <w:tc>
          <w:tcPr>
            <w:tcW w:w="1188" w:type="dxa"/>
            <w:shd w:val="clear" w:color="auto" w:fill="FFFFFF"/>
          </w:tcPr>
          <w:p w14:paraId="0FA617CD" w14:textId="77777777" w:rsidR="009D6580" w:rsidRPr="002A677E" w:rsidRDefault="009D6580" w:rsidP="00822842">
            <w:pPr>
              <w:rPr>
                <w:rFonts w:ascii="Times New Roman" w:hAnsi="Times New Roman"/>
                <w:sz w:val="24"/>
              </w:rPr>
            </w:pPr>
            <w:r>
              <w:rPr>
                <w:rFonts w:ascii="Times New Roman" w:hAnsi="Times New Roman"/>
                <w:sz w:val="24"/>
              </w:rPr>
              <w:t>0115</w:t>
            </w:r>
          </w:p>
        </w:tc>
        <w:tc>
          <w:tcPr>
            <w:tcW w:w="8701" w:type="dxa"/>
            <w:gridSpan w:val="2"/>
            <w:shd w:val="clear" w:color="auto" w:fill="FFFFFF"/>
          </w:tcPr>
          <w:p w14:paraId="71EBD362" w14:textId="77777777" w:rsidR="009D6580"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Δανειακά ανοίγματα μειωμένης εξασφάλισης</w:t>
            </w:r>
          </w:p>
          <w:p w14:paraId="7F19547A" w14:textId="77777777" w:rsidR="009D6580" w:rsidRPr="000059B8"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lastRenderedPageBreak/>
              <w:t>Άρθρο 112 στοιχείο ια) του κανονισμού (ΕΕ) αριθ. 575/2013</w:t>
            </w:r>
          </w:p>
        </w:tc>
      </w:tr>
      <w:tr w:rsidR="009D6580" w:rsidRPr="002A677E" w14:paraId="7674C8D0" w14:textId="77777777" w:rsidTr="00822842">
        <w:tc>
          <w:tcPr>
            <w:tcW w:w="1188" w:type="dxa"/>
            <w:shd w:val="clear" w:color="auto" w:fill="FFFFFF"/>
          </w:tcPr>
          <w:p w14:paraId="0BFA54D1" w14:textId="77777777" w:rsidR="009D6580" w:rsidRPr="002A677E" w:rsidRDefault="009D6580" w:rsidP="00822842">
            <w:pPr>
              <w:rPr>
                <w:rFonts w:ascii="Times New Roman" w:hAnsi="Times New Roman"/>
                <w:sz w:val="24"/>
              </w:rPr>
            </w:pPr>
            <w:r>
              <w:rPr>
                <w:rFonts w:ascii="Times New Roman" w:hAnsi="Times New Roman"/>
                <w:sz w:val="24"/>
              </w:rPr>
              <w:lastRenderedPageBreak/>
              <w:t>0120</w:t>
            </w:r>
          </w:p>
        </w:tc>
        <w:tc>
          <w:tcPr>
            <w:tcW w:w="8701" w:type="dxa"/>
            <w:gridSpan w:val="2"/>
            <w:shd w:val="clear" w:color="auto" w:fill="FFFFFF"/>
          </w:tcPr>
          <w:p w14:paraId="1D949A7D" w14:textId="77777777" w:rsidR="009D6580" w:rsidRPr="002A677E" w:rsidRDefault="009D6580" w:rsidP="00822842">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Καλυμμένα ομόλογα</w:t>
            </w:r>
          </w:p>
          <w:p w14:paraId="68F7689A" w14:textId="77777777" w:rsidR="009D6580" w:rsidRPr="002A677E" w:rsidRDefault="009D6580" w:rsidP="00822842">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Άρθρο 112 στοιχείο ιβ) του κανονισμού (ΕΕ) αριθ. 575/2013</w:t>
            </w:r>
          </w:p>
        </w:tc>
      </w:tr>
      <w:tr w:rsidR="009D6580" w:rsidRPr="002A677E" w14:paraId="18458816" w14:textId="77777777" w:rsidTr="00822842">
        <w:tc>
          <w:tcPr>
            <w:tcW w:w="1188" w:type="dxa"/>
            <w:shd w:val="clear" w:color="auto" w:fill="FFFFFF"/>
          </w:tcPr>
          <w:p w14:paraId="7948D0D7" w14:textId="77777777" w:rsidR="009D6580" w:rsidRPr="002A677E" w:rsidRDefault="009D6580" w:rsidP="00822842">
            <w:pPr>
              <w:rPr>
                <w:rFonts w:ascii="Times New Roman" w:hAnsi="Times New Roman"/>
                <w:sz w:val="24"/>
              </w:rPr>
            </w:pPr>
            <w:r>
              <w:rPr>
                <w:rFonts w:ascii="Times New Roman" w:hAnsi="Times New Roman"/>
                <w:sz w:val="24"/>
              </w:rPr>
              <w:t>0130</w:t>
            </w:r>
          </w:p>
          <w:p w14:paraId="7980BCEA" w14:textId="77777777" w:rsidR="009D6580" w:rsidRPr="002A677E"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2A677E" w:rsidRDefault="009D6580" w:rsidP="00822842">
            <w:pPr>
              <w:ind w:left="72"/>
              <w:rPr>
                <w:rStyle w:val="InstructionsTabelleberschrift"/>
                <w:rFonts w:ascii="Times New Roman" w:hAnsi="Times New Roman"/>
                <w:bCs w:val="0"/>
                <w:sz w:val="24"/>
              </w:rPr>
            </w:pPr>
            <w:r>
              <w:rPr>
                <w:rStyle w:val="InstructionsTabelleberschrift"/>
                <w:rFonts w:ascii="Times New Roman" w:hAnsi="Times New Roman"/>
                <w:sz w:val="24"/>
              </w:rPr>
              <w:t>Απαιτήσεις έναντι ιδρυμάτων και επιχειρήσεων με βραχυπρόθεσμη πιστοληπτική αξιολόγηση</w:t>
            </w:r>
          </w:p>
          <w:p w14:paraId="53F92677" w14:textId="77777777" w:rsidR="009D6580" w:rsidRPr="002A677E" w:rsidRDefault="009D6580" w:rsidP="00822842">
            <w:pPr>
              <w:ind w:left="72"/>
              <w:rPr>
                <w:rFonts w:ascii="Times New Roman" w:hAnsi="Times New Roman"/>
                <w:sz w:val="24"/>
              </w:rPr>
            </w:pPr>
            <w:r>
              <w:rPr>
                <w:rFonts w:ascii="Times New Roman" w:hAnsi="Times New Roman"/>
                <w:sz w:val="24"/>
              </w:rPr>
              <w:t>Άρθρο 112 στοιχείο ιδ) του κανονισμού (ΕΕ) αριθ. 575/2013</w:t>
            </w:r>
          </w:p>
        </w:tc>
      </w:tr>
      <w:tr w:rsidR="009D6580" w:rsidRPr="002A677E" w14:paraId="047E6212" w14:textId="77777777" w:rsidTr="00822842">
        <w:tc>
          <w:tcPr>
            <w:tcW w:w="1188" w:type="dxa"/>
            <w:shd w:val="clear" w:color="auto" w:fill="FFFFFF"/>
          </w:tcPr>
          <w:p w14:paraId="3E827A33"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2E96D7EF"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Οργανισμοί συλλογικών επενδύσεων (ΟΣΕ)</w:t>
            </w:r>
          </w:p>
          <w:p w14:paraId="6BE6CAC2" w14:textId="77777777" w:rsidR="009D6580" w:rsidRPr="002A677E" w:rsidRDefault="009D6580" w:rsidP="00822842">
            <w:pPr>
              <w:ind w:left="72"/>
              <w:rPr>
                <w:rFonts w:ascii="Times New Roman" w:hAnsi="Times New Roman"/>
                <w:bCs/>
                <w:sz w:val="24"/>
              </w:rPr>
            </w:pPr>
            <w:r>
              <w:rPr>
                <w:rFonts w:ascii="Times New Roman" w:hAnsi="Times New Roman"/>
                <w:sz w:val="24"/>
              </w:rPr>
              <w:t>Άρθρο 112 στοιχείο ιε) του κανονισμού (ΕΕ) αριθ. 575/2013</w:t>
            </w:r>
          </w:p>
          <w:p w14:paraId="0FFD53A4" w14:textId="77777777" w:rsidR="009D6580" w:rsidRPr="002A677E"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t>Άθροισμα των γραμμών 0141 έως 0143</w:t>
            </w:r>
          </w:p>
        </w:tc>
      </w:tr>
      <w:tr w:rsidR="009D6580" w:rsidRPr="002A677E"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2A677E" w:rsidRDefault="009D6580" w:rsidP="00822842">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Προσέγγιση εξέτασης</w:t>
            </w:r>
          </w:p>
          <w:p w14:paraId="00783183"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0281 του υποδείγματος CR SA</w:t>
            </w:r>
          </w:p>
        </w:tc>
      </w:tr>
      <w:tr w:rsidR="009D6580" w:rsidRPr="002A677E"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2A677E" w:rsidRDefault="009D6580" w:rsidP="00822842">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Προσέγγιση βάσει εντολής</w:t>
            </w:r>
          </w:p>
          <w:p w14:paraId="1FD38657"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0282 του υποδείγματος CR SA</w:t>
            </w:r>
          </w:p>
        </w:tc>
      </w:tr>
      <w:tr w:rsidR="009D6580" w:rsidRPr="002A677E"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2A677E" w:rsidRDefault="009D6580" w:rsidP="00822842">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Εφεδρική προσέγγιση</w:t>
            </w:r>
          </w:p>
          <w:p w14:paraId="2EA9AADD"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0283 του υποδείγματος CR SA</w:t>
            </w:r>
          </w:p>
        </w:tc>
      </w:tr>
      <w:tr w:rsidR="009D6580" w:rsidRPr="002A677E" w14:paraId="518DACEB" w14:textId="77777777" w:rsidTr="00822842">
        <w:tc>
          <w:tcPr>
            <w:tcW w:w="1188" w:type="dxa"/>
            <w:shd w:val="clear" w:color="auto" w:fill="FFFFFF"/>
          </w:tcPr>
          <w:p w14:paraId="091F315F"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0CB5B1C0"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Ανοίγματα σε μετοχές</w:t>
            </w:r>
          </w:p>
          <w:p w14:paraId="3170DAFB"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Άρθρο 112 στοιχείο ιστ) του κανονισμού (ΕΕ) αριθ. 575/2013</w:t>
            </w:r>
          </w:p>
        </w:tc>
      </w:tr>
      <w:tr w:rsidR="009D6580" w:rsidRPr="002A677E" w14:paraId="406875C9" w14:textId="77777777" w:rsidTr="00822842">
        <w:tc>
          <w:tcPr>
            <w:tcW w:w="1188" w:type="dxa"/>
            <w:shd w:val="clear" w:color="auto" w:fill="FFFFFF"/>
          </w:tcPr>
          <w:p w14:paraId="432F9620" w14:textId="77777777" w:rsidR="009D6580" w:rsidRPr="002A677E" w:rsidRDefault="009D6580" w:rsidP="00822842">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139F32E7"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Άλλα ανοίγματα</w:t>
            </w:r>
          </w:p>
          <w:p w14:paraId="5D708342"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Άρθρο 112 στοιχείο ιζ) του κανονισμού (ΕΕ) αριθ. 575/2013</w:t>
            </w:r>
          </w:p>
        </w:tc>
      </w:tr>
      <w:tr w:rsidR="009D6580" w:rsidRPr="002A677E" w14:paraId="79E704E6" w14:textId="77777777" w:rsidTr="00822842">
        <w:tc>
          <w:tcPr>
            <w:tcW w:w="1188" w:type="dxa"/>
            <w:shd w:val="clear" w:color="auto" w:fill="FFFFFF"/>
          </w:tcPr>
          <w:p w14:paraId="027B6EB3" w14:textId="77777777" w:rsidR="009D6580" w:rsidRPr="002A677E" w:rsidRDefault="009D6580" w:rsidP="00822842">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545271D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Συνολικά ανοίγματα</w:t>
            </w:r>
          </w:p>
        </w:tc>
      </w:tr>
    </w:tbl>
    <w:p w14:paraId="2EB3E5B0" w14:textId="77777777" w:rsidR="009D6580" w:rsidRPr="002A677E" w:rsidRDefault="009D6580" w:rsidP="009D6580">
      <w:pPr>
        <w:spacing w:before="0" w:after="200" w:line="312" w:lineRule="auto"/>
        <w:jc w:val="left"/>
        <w:rPr>
          <w:rFonts w:ascii="Times New Roman" w:hAnsi="Times New Roman"/>
          <w:sz w:val="24"/>
        </w:rPr>
      </w:pPr>
      <w:bookmarkStart w:id="3" w:name="_Toc292456210"/>
    </w:p>
    <w:p w14:paraId="467F6DC6"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4" w:name="_Toc360188364"/>
      <w:bookmarkStart w:id="5" w:name="_Toc473560915"/>
      <w:bookmarkStart w:id="6" w:name="_Toc151714419"/>
      <w:r>
        <w:rPr>
          <w:rFonts w:ascii="Times New Roman" w:hAnsi="Times New Roman"/>
          <w:sz w:val="24"/>
          <w:u w:val="none"/>
        </w:rPr>
        <w:t>3.4.2.</w:t>
      </w:r>
      <w:r>
        <w:tab/>
      </w:r>
      <w:r>
        <w:rPr>
          <w:rFonts w:ascii="Times New Roman" w:hAnsi="Times New Roman"/>
          <w:sz w:val="24"/>
        </w:rPr>
        <w:t>C 09.02 – Γεωγραφική κατανομή των ανοιγμάτων με βάση την κατοικία του οφειλέτη: Ανοίγματα βάσει της προσέγγισης IRB</w:t>
      </w:r>
      <w:bookmarkEnd w:id="4"/>
      <w:r>
        <w:rPr>
          <w:rFonts w:ascii="Times New Roman" w:hAnsi="Times New Roman"/>
          <w:sz w:val="24"/>
        </w:rPr>
        <w:t xml:space="preserve"> (CR GB 2)</w:t>
      </w:r>
      <w:bookmarkEnd w:id="5"/>
      <w:bookmarkEnd w:id="6"/>
    </w:p>
    <w:p w14:paraId="21A320CB"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7" w:name="_Toc360188365"/>
      <w:bookmarkStart w:id="8" w:name="_Toc473560916"/>
      <w:bookmarkStart w:id="9" w:name="_Toc151714420"/>
      <w:r>
        <w:rPr>
          <w:rFonts w:ascii="Times New Roman" w:hAnsi="Times New Roman"/>
          <w:sz w:val="24"/>
          <w:u w:val="none"/>
        </w:rPr>
        <w:t>3.4.2.1.</w:t>
      </w:r>
      <w:r>
        <w:tab/>
      </w:r>
      <w:r>
        <w:rPr>
          <w:rFonts w:ascii="Times New Roman" w:hAnsi="Times New Roman"/>
          <w:sz w:val="24"/>
        </w:rPr>
        <w:t>Οδηγίες για συγκεκριμένες θέσεις</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5FD232EC" w14:textId="77777777" w:rsidTr="00822842">
        <w:tc>
          <w:tcPr>
            <w:tcW w:w="1188" w:type="dxa"/>
            <w:shd w:val="clear" w:color="auto" w:fill="CCCCCC"/>
          </w:tcPr>
          <w:p w14:paraId="0A2DD9C0" w14:textId="77777777" w:rsidR="009D6580" w:rsidRPr="002A677E" w:rsidRDefault="009D6580" w:rsidP="00822842">
            <w:pPr>
              <w:rPr>
                <w:rFonts w:ascii="Times New Roman" w:hAnsi="Times New Roman"/>
                <w:b/>
                <w:sz w:val="24"/>
              </w:rPr>
            </w:pPr>
            <w:r>
              <w:rPr>
                <w:rFonts w:ascii="Times New Roman" w:hAnsi="Times New Roman"/>
                <w:b/>
                <w:sz w:val="24"/>
              </w:rPr>
              <w:t>Στήλες</w:t>
            </w:r>
          </w:p>
        </w:tc>
        <w:tc>
          <w:tcPr>
            <w:tcW w:w="8640" w:type="dxa"/>
            <w:shd w:val="clear" w:color="auto" w:fill="CCCCCC"/>
          </w:tcPr>
          <w:p w14:paraId="1C07519A" w14:textId="77777777" w:rsidR="009D6580" w:rsidRPr="002A677E" w:rsidRDefault="009D6580" w:rsidP="00822842">
            <w:pPr>
              <w:ind w:left="72"/>
              <w:rPr>
                <w:rFonts w:ascii="Times New Roman" w:hAnsi="Times New Roman"/>
                <w:sz w:val="24"/>
              </w:rPr>
            </w:pPr>
          </w:p>
        </w:tc>
      </w:tr>
      <w:tr w:rsidR="009D6580" w:rsidRPr="002A677E" w14:paraId="4CF7BB7D" w14:textId="77777777" w:rsidTr="00822842">
        <w:tc>
          <w:tcPr>
            <w:tcW w:w="1188" w:type="dxa"/>
          </w:tcPr>
          <w:p w14:paraId="1DF8677F"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DA72BDB"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ΑΡΧΙΚΟ ΑΝΟΙΓΜΑ ΠΡΙΝ ΑΠΟ ΤΟΥΣ ΣΥΝΤΕΛΕΣΤΕΣ ΜΕΤΑΤΡΟΠΗΣ</w:t>
            </w:r>
          </w:p>
          <w:p w14:paraId="714A5DA7" w14:textId="77777777" w:rsidR="009D6580" w:rsidRPr="002A677E" w:rsidRDefault="009D6580" w:rsidP="00822842">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Ίδιος ορισμός με τον ορισμό της στήλης 0020 του υποδείγματος CR IRB</w:t>
            </w:r>
          </w:p>
        </w:tc>
      </w:tr>
      <w:tr w:rsidR="009D6580" w:rsidRPr="002A677E" w14:paraId="770F3897" w14:textId="77777777" w:rsidTr="00822842">
        <w:tc>
          <w:tcPr>
            <w:tcW w:w="1188" w:type="dxa"/>
          </w:tcPr>
          <w:p w14:paraId="56E092EF"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640" w:type="dxa"/>
          </w:tcPr>
          <w:p w14:paraId="0071C394"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Εκ των οποίων σε αθέτηση</w:t>
            </w:r>
          </w:p>
          <w:p w14:paraId="2768B5B2"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 xml:space="preserve">Αξία αρχικού ανοίγματος για τα ανοίγματα που έχουν ταξινομηθεί ως “ανοίγματα σε αθέτηση”, σύμφωνα με το άρθρο 178 </w:t>
            </w:r>
            <w:r>
              <w:rPr>
                <w:rFonts w:ascii="Times New Roman" w:hAnsi="Times New Roman"/>
                <w:sz w:val="24"/>
              </w:rPr>
              <w:t>του κανονισμού (ΕΕ) αριθ. 575/2013.</w:t>
            </w:r>
          </w:p>
        </w:tc>
      </w:tr>
      <w:tr w:rsidR="009D6580" w:rsidRPr="002A677E" w14:paraId="7AD6E18B" w14:textId="77777777" w:rsidTr="00822842">
        <w:tc>
          <w:tcPr>
            <w:tcW w:w="1188" w:type="dxa"/>
          </w:tcPr>
          <w:p w14:paraId="1DFAF6C6"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640" w:type="dxa"/>
          </w:tcPr>
          <w:p w14:paraId="3FD9DA2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Νέες αθετήσεις που παρατηρήθηκαν κατά την περίοδο</w:t>
            </w:r>
          </w:p>
          <w:p w14:paraId="2393DECB"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lastRenderedPageBreak/>
              <w:t xml:space="preserve">Το ποσό των αρχικών ανοιγμάτων που έχουν ταξινομηθεί ως “ανοίγματα σε αθέτηση”, κατά τη διάρκεια περιόδου 3 μηνών από την τελευταία ημερομηνία αναφοράς για την υποβολή αναφορών, αναφέρεται στο συγκεκριμένο σημείο έναντι της κατηγορίας ανοιγμάτων στην οποία ανήκε αρχικά ο οφειλέτης. </w:t>
            </w:r>
          </w:p>
        </w:tc>
      </w:tr>
      <w:tr w:rsidR="009D6580" w:rsidRPr="002A677E" w14:paraId="382342DD" w14:textId="77777777" w:rsidTr="00822842">
        <w:tc>
          <w:tcPr>
            <w:tcW w:w="1188" w:type="dxa"/>
          </w:tcPr>
          <w:p w14:paraId="20977C7F" w14:textId="77777777" w:rsidR="009D6580" w:rsidRPr="002A677E" w:rsidRDefault="009D6580" w:rsidP="00822842">
            <w:pPr>
              <w:rPr>
                <w:rFonts w:ascii="Times New Roman" w:hAnsi="Times New Roman"/>
                <w:sz w:val="24"/>
              </w:rPr>
            </w:pPr>
            <w:r>
              <w:rPr>
                <w:rFonts w:ascii="Times New Roman" w:hAnsi="Times New Roman"/>
                <w:sz w:val="24"/>
              </w:rPr>
              <w:lastRenderedPageBreak/>
              <w:t>0050</w:t>
            </w:r>
          </w:p>
        </w:tc>
        <w:tc>
          <w:tcPr>
            <w:tcW w:w="8640" w:type="dxa"/>
          </w:tcPr>
          <w:p w14:paraId="6E8FD64C"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Γενικές προσαρμογές πιστωτικού κινδύνου</w:t>
            </w:r>
          </w:p>
          <w:p w14:paraId="1F1D0A5D" w14:textId="77777777" w:rsidR="009D6580" w:rsidRPr="002A677E" w:rsidRDefault="009D6580" w:rsidP="00822842">
            <w:pPr>
              <w:rPr>
                <w:rFonts w:ascii="Times New Roman" w:hAnsi="Times New Roman"/>
                <w:b/>
                <w:sz w:val="24"/>
                <w:u w:val="single"/>
              </w:rPr>
            </w:pPr>
            <w:r>
              <w:rPr>
                <w:rFonts w:ascii="Times New Roman" w:hAnsi="Times New Roman"/>
                <w:sz w:val="24"/>
              </w:rPr>
              <w:t>Προσαρμογές πιστωτικού κινδύνου, όπως αναφέρονται στο άρθρο 110 του κανονισμού (ΕΕ) αριθ. 575/2013, καθώς και στον κανονισμό (ΕΕ) αριθ. 183/2014.</w:t>
            </w:r>
          </w:p>
        </w:tc>
      </w:tr>
      <w:tr w:rsidR="009D6580" w:rsidRPr="002A677E" w14:paraId="63C2E396" w14:textId="77777777" w:rsidTr="00822842">
        <w:tc>
          <w:tcPr>
            <w:tcW w:w="1188" w:type="dxa"/>
          </w:tcPr>
          <w:p w14:paraId="3BC8F127"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640" w:type="dxa"/>
          </w:tcPr>
          <w:p w14:paraId="26D828F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Ειδικές προσαρμογές πιστωτικού κινδύνου</w:t>
            </w:r>
          </w:p>
          <w:p w14:paraId="4DA8E76B" w14:textId="77777777" w:rsidR="009D6580" w:rsidRPr="002A677E" w:rsidRDefault="009D6580" w:rsidP="00822842">
            <w:pPr>
              <w:rPr>
                <w:rFonts w:ascii="Times New Roman" w:hAnsi="Times New Roman"/>
                <w:b/>
                <w:sz w:val="24"/>
                <w:u w:val="single"/>
              </w:rPr>
            </w:pPr>
            <w:r>
              <w:rPr>
                <w:rFonts w:ascii="Times New Roman" w:hAnsi="Times New Roman"/>
                <w:sz w:val="24"/>
              </w:rPr>
              <w:t>Προσαρμογές πιστωτικού κινδύνου, όπως αναφέρονται στο άρθρο 110 του κανονισμού (ΕΕ) αριθ. 575/2013, καθώς και στον κανονισμό (ΕΕ) αριθ. 183/2014.</w:t>
            </w:r>
          </w:p>
        </w:tc>
      </w:tr>
      <w:tr w:rsidR="009D6580" w:rsidRPr="002A677E" w14:paraId="24582208" w14:textId="77777777" w:rsidTr="00822842">
        <w:tc>
          <w:tcPr>
            <w:tcW w:w="1188" w:type="dxa"/>
          </w:tcPr>
          <w:p w14:paraId="46A1EB07"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4CC236D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Διαγραφές</w:t>
            </w:r>
          </w:p>
          <w:p w14:paraId="51BEEB5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Διαγραφές όπως αναφέρονται στο ΔΠΧΑ 9.5.4.4 και B5.4.9.</w:t>
            </w:r>
          </w:p>
        </w:tc>
      </w:tr>
      <w:tr w:rsidR="009D6580" w:rsidRPr="002A677E" w14:paraId="615BD0D9" w14:textId="77777777" w:rsidTr="00822842">
        <w:tc>
          <w:tcPr>
            <w:tcW w:w="1188" w:type="dxa"/>
          </w:tcPr>
          <w:p w14:paraId="641E5F2D"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7C362C1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Προσαρμογές πιστωτικού κινδύνου/διαγραφές για νέες αθετήσεις που παρατηρήθηκαν</w:t>
            </w:r>
          </w:p>
          <w:p w14:paraId="454774E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Άθροισμα των προσαρμογών πιστωτικού κινδύνου και των διαγραφών για τα ανοίγματα που ταξινομήθηκαν ως “ανοίγματα σε αθέτηση”, κατά τη διάρκεια περιόδου 3 μηνών από την τελευταία υποβολή στοιχείων.</w:t>
            </w:r>
          </w:p>
        </w:tc>
      </w:tr>
      <w:tr w:rsidR="009D6580" w:rsidRPr="002A677E" w14:paraId="4B7452D7" w14:textId="77777777" w:rsidTr="00822842">
        <w:tc>
          <w:tcPr>
            <w:tcW w:w="1188" w:type="dxa"/>
          </w:tcPr>
          <w:p w14:paraId="1A68115E"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256EF248" w14:textId="77777777" w:rsidR="009D6580" w:rsidRPr="002A677E" w:rsidRDefault="009D6580" w:rsidP="00822842">
            <w:pPr>
              <w:rPr>
                <w:rStyle w:val="InstructionsTabelleberschrift"/>
                <w:rFonts w:ascii="Times New Roman" w:hAnsi="Times New Roman"/>
                <w:bCs w:val="0"/>
                <w:sz w:val="24"/>
              </w:rPr>
            </w:pPr>
            <w:r>
              <w:rPr>
                <w:rStyle w:val="InstructionsTabelleberschrift"/>
                <w:rFonts w:ascii="Times New Roman" w:hAnsi="Times New Roman"/>
                <w:sz w:val="24"/>
              </w:rPr>
              <w:t>ΚΛΙΜΑΚΑ ΕΣΩΤΕΡΙΚΩΝ ΔΙΑΒΑΘΜΙΣΕΩΝ/ ΠΙΘΑΝΟΤΗΤΑ ΑΘΕΤΗΣΗΣ (PD) ΠΟΥ ΣΧΕΤΙΖΕΤΑΙ ΜΕ ΤΗ ΒΑΘΜΙΔΑ Ή ΟΜΑΔΑ ΟΦΕΙΛΕΤΗ (%)</w:t>
            </w:r>
          </w:p>
          <w:p w14:paraId="2C51714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0010 του υποδείγματος CR IRB</w:t>
            </w:r>
          </w:p>
        </w:tc>
      </w:tr>
      <w:tr w:rsidR="009D6580" w:rsidRPr="002A677E" w14:paraId="18989AFE" w14:textId="77777777" w:rsidTr="00822842">
        <w:tc>
          <w:tcPr>
            <w:tcW w:w="1188" w:type="dxa"/>
          </w:tcPr>
          <w:p w14:paraId="489AE0F7"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tcPr>
          <w:p w14:paraId="78B53BE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ΜΕΣΟ ΣΤΑΘΜΙΣΜΕΝΟ ΩΣ ΠΡΟΣ ΤΟ ΑΝΟΙΓΜΑ ΥΨΟΣ ΤΗΣ LGD (%)</w:t>
            </w:r>
          </w:p>
          <w:p w14:paraId="5BC89E8E"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 xml:space="preserve">Ίδιος ορισμός με τον ορισμό των στηλών 0230 και 0240 του υποδείγματος CR IRB: το μέσο σταθμισμένο ως προς το άνοιγμα ύψος της LGD (%) αναφέρεται σε όλα τα ανοίγματα, συμπεριλαμβανομένων των ανοιγμάτων έναντι μεγάλων οντοτήτων του χρηματοπιστωτικού τομέα και μη ρυθμιζόμενων οντοτήτων του χρηματοπιστωτικού τομέα. Εφαρμόζεται </w:t>
            </w:r>
            <w:r>
              <w:rPr>
                <w:rFonts w:ascii="Times New Roman" w:hAnsi="Times New Roman"/>
                <w:sz w:val="24"/>
              </w:rPr>
              <w:t xml:space="preserve">το </w:t>
            </w:r>
            <w:r>
              <w:rPr>
                <w:rStyle w:val="InstructionsTabelleText"/>
                <w:rFonts w:ascii="Times New Roman" w:hAnsi="Times New Roman"/>
                <w:sz w:val="24"/>
              </w:rPr>
              <w:t xml:space="preserve">άρθρο 181 παράγραφος 1 στοιχείο η) </w:t>
            </w:r>
            <w:r>
              <w:rPr>
                <w:rFonts w:ascii="Times New Roman" w:hAnsi="Times New Roman"/>
                <w:sz w:val="24"/>
              </w:rPr>
              <w:t>του κανονισμού (ΕΕ) αριθ. 575/2013.</w:t>
            </w:r>
          </w:p>
          <w:p w14:paraId="3A7794EA" w14:textId="77777777" w:rsidR="009D6580" w:rsidRPr="002A677E" w:rsidRDefault="009D6580" w:rsidP="00822842">
            <w:pPr>
              <w:rPr>
                <w:rFonts w:ascii="Times New Roman" w:hAnsi="Times New Roman"/>
                <w:b/>
                <w:sz w:val="24"/>
                <w:u w:val="single"/>
              </w:rPr>
            </w:pPr>
            <w:r>
              <w:rPr>
                <w:rFonts w:ascii="Times New Roman" w:hAnsi="Times New Roman"/>
                <w:sz w:val="24"/>
              </w:rPr>
              <w:t>Για τα ανοίγματα ειδικής δανειοδότησης που γίνεται εκτίμηση της PD, η αναφερόμενη αξία θα πρέπει να είναι είτε η εκτιμώμενη είτε η ρυθμιστική LGD. Για τα ανοίγματα ειδικής δανειοδότησης που αναφέρονται στο άρθρο 153 παράγραφος 5 του κανονισμού (ΕΕ) αριθ. 575/2013 δεν μπορούν να αναφερθούν δεδομένα, καθώς δεν είναι διαθέσιμα.</w:t>
            </w:r>
          </w:p>
        </w:tc>
      </w:tr>
      <w:tr w:rsidR="009D6580" w:rsidRPr="002A677E" w14:paraId="66756C12" w14:textId="77777777" w:rsidTr="00822842">
        <w:tc>
          <w:tcPr>
            <w:tcW w:w="1188" w:type="dxa"/>
          </w:tcPr>
          <w:p w14:paraId="317ECEC7"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640" w:type="dxa"/>
          </w:tcPr>
          <w:p w14:paraId="68CF6D3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Εκ των οποίων: σε αθέτηση</w:t>
            </w:r>
          </w:p>
          <w:p w14:paraId="789E281A"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 xml:space="preserve">Σταθμισμένη ως προς το άνοιγμα LGD για τα ανοίγματα που έχουν ταξινομηθεί ως “ανοίγματα σε αθέτηση”, σύμφωνα με το άρθρο 178 </w:t>
            </w:r>
            <w:r>
              <w:rPr>
                <w:rFonts w:ascii="Times New Roman" w:hAnsi="Times New Roman"/>
                <w:sz w:val="24"/>
              </w:rPr>
              <w:t>του κανονισμού (ΕΕ) αριθ. 575/2013.</w:t>
            </w:r>
          </w:p>
        </w:tc>
      </w:tr>
      <w:tr w:rsidR="009D6580" w:rsidRPr="002A677E" w14:paraId="187792F5" w14:textId="77777777" w:rsidTr="00822842">
        <w:tc>
          <w:tcPr>
            <w:tcW w:w="1188" w:type="dxa"/>
          </w:tcPr>
          <w:p w14:paraId="41BFEDD8" w14:textId="77777777" w:rsidR="009D6580" w:rsidRPr="002A677E" w:rsidRDefault="009D6580" w:rsidP="00822842">
            <w:pPr>
              <w:rPr>
                <w:rFonts w:ascii="Times New Roman" w:hAnsi="Times New Roman"/>
                <w:sz w:val="24"/>
              </w:rPr>
            </w:pPr>
            <w:r>
              <w:rPr>
                <w:rFonts w:ascii="Times New Roman" w:hAnsi="Times New Roman"/>
                <w:sz w:val="24"/>
              </w:rPr>
              <w:t>0105</w:t>
            </w:r>
          </w:p>
        </w:tc>
        <w:tc>
          <w:tcPr>
            <w:tcW w:w="8640" w:type="dxa"/>
          </w:tcPr>
          <w:p w14:paraId="7B14423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Αξία ανοίγματος</w:t>
            </w:r>
          </w:p>
          <w:p w14:paraId="533E4F5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0110 του υποδείγματος CR IRB</w:t>
            </w:r>
          </w:p>
        </w:tc>
      </w:tr>
      <w:tr w:rsidR="009D6580" w:rsidRPr="002A677E" w14:paraId="48402149" w14:textId="77777777" w:rsidTr="00822842">
        <w:tc>
          <w:tcPr>
            <w:tcW w:w="1188" w:type="dxa"/>
          </w:tcPr>
          <w:p w14:paraId="3E4D7142" w14:textId="77777777" w:rsidR="009D6580" w:rsidRPr="002A677E" w:rsidRDefault="009D6580" w:rsidP="00822842">
            <w:pPr>
              <w:rPr>
                <w:rFonts w:ascii="Times New Roman" w:hAnsi="Times New Roman"/>
                <w:sz w:val="24"/>
              </w:rPr>
            </w:pPr>
            <w:r>
              <w:rPr>
                <w:rFonts w:ascii="Times New Roman" w:hAnsi="Times New Roman"/>
                <w:sz w:val="24"/>
              </w:rPr>
              <w:lastRenderedPageBreak/>
              <w:t>0110</w:t>
            </w:r>
          </w:p>
        </w:tc>
        <w:tc>
          <w:tcPr>
            <w:tcW w:w="8640" w:type="dxa"/>
          </w:tcPr>
          <w:p w14:paraId="3BFEC9E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ΠΡΙΝ ΑΠΟ ΤΟΥΣ ΣΥΝΤΕΛΕΣΤΕΣ ΣΤΗΡΙΞΗΣ</w:t>
            </w:r>
          </w:p>
          <w:p w14:paraId="38950726"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0255 του υποδείγματος CR IRB</w:t>
            </w:r>
          </w:p>
        </w:tc>
      </w:tr>
      <w:tr w:rsidR="009D6580" w:rsidRPr="002A677E" w14:paraId="321AA4CE" w14:textId="77777777" w:rsidTr="00822842">
        <w:tc>
          <w:tcPr>
            <w:tcW w:w="1188" w:type="dxa"/>
          </w:tcPr>
          <w:p w14:paraId="5F49B73F"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640" w:type="dxa"/>
          </w:tcPr>
          <w:p w14:paraId="2A07E1E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Εκ των οποίων σε αθέτηση</w:t>
            </w:r>
          </w:p>
          <w:p w14:paraId="0B72119F"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 xml:space="preserve">Ποσό ανοίγματος σταθμισμένο ως προς τον κίνδυνο για τα ανοίγματα που έχουν ταξινομηθεί ως “ανοίγματα σε αθέτηση”, σύμφωνα με το άρθρο 178 παράγραφος 1 </w:t>
            </w:r>
            <w:r>
              <w:rPr>
                <w:rFonts w:ascii="Times New Roman" w:hAnsi="Times New Roman"/>
                <w:sz w:val="24"/>
              </w:rPr>
              <w:t>του κανονισμού (ΕΕ) αριθ. 575/2013.</w:t>
            </w:r>
          </w:p>
        </w:tc>
      </w:tr>
      <w:tr w:rsidR="009D6580" w:rsidRPr="002A677E" w14:paraId="4F58B17C" w14:textId="77777777" w:rsidTr="00822842">
        <w:tc>
          <w:tcPr>
            <w:tcW w:w="1188" w:type="dxa"/>
          </w:tcPr>
          <w:p w14:paraId="43313479" w14:textId="77777777" w:rsidR="009D6580" w:rsidRPr="002A677E" w:rsidRDefault="009D6580" w:rsidP="00822842">
            <w:pPr>
              <w:rPr>
                <w:rFonts w:ascii="Times New Roman" w:hAnsi="Times New Roman"/>
                <w:sz w:val="24"/>
              </w:rPr>
            </w:pPr>
            <w:r>
              <w:rPr>
                <w:rFonts w:ascii="Times New Roman" w:hAnsi="Times New Roman"/>
                <w:sz w:val="24"/>
              </w:rPr>
              <w:t>0121</w:t>
            </w:r>
          </w:p>
        </w:tc>
        <w:tc>
          <w:tcPr>
            <w:tcW w:w="8640" w:type="dxa"/>
          </w:tcPr>
          <w:p w14:paraId="51B6E44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ΠΡΟΣΑΡΜΟΓΗ ΣΤΟ ΣΤΑΘΜΙΣΜΕΝΟ ΩΣ ΠΡΟΣ ΤΟΝ ΚΙΝΔΥΝΟ ΠΟΣΟ ΑΝΟΙΓΜΑΤΟΣ ΛΟΓΩ ΣΥΝΤΕΛΕΣΤΗ ΣΤΗΡΙΞΗΣ ΤΩΝ ΜΜΕ</w:t>
            </w:r>
          </w:p>
          <w:p w14:paraId="7060DF05"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0256 του υποδείγματος CR IRB</w:t>
            </w:r>
          </w:p>
        </w:tc>
      </w:tr>
      <w:tr w:rsidR="009D6580" w:rsidRPr="002A677E" w14:paraId="6DA9FCB6" w14:textId="77777777" w:rsidTr="00822842">
        <w:tc>
          <w:tcPr>
            <w:tcW w:w="1188" w:type="dxa"/>
          </w:tcPr>
          <w:p w14:paraId="189DC6D4" w14:textId="77777777" w:rsidR="009D6580" w:rsidRPr="002A677E" w:rsidRDefault="009D6580" w:rsidP="00822842">
            <w:pPr>
              <w:rPr>
                <w:rFonts w:ascii="Times New Roman" w:hAnsi="Times New Roman"/>
                <w:sz w:val="24"/>
              </w:rPr>
            </w:pPr>
            <w:r>
              <w:rPr>
                <w:rFonts w:ascii="Times New Roman" w:hAnsi="Times New Roman"/>
                <w:sz w:val="24"/>
              </w:rPr>
              <w:t>0122</w:t>
            </w:r>
          </w:p>
        </w:tc>
        <w:tc>
          <w:tcPr>
            <w:tcW w:w="8640" w:type="dxa"/>
          </w:tcPr>
          <w:p w14:paraId="77E17241"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ΠΡΟΣΑΡΜΟΓΗ ΣΤΟ ΣΤΑΘΜΙΣΜΕΝΟ ΩΣ ΠΡΟΣ ΤΟΝ ΚΙΝΔΥΝΟ ΠΟΣΟ ΑΝΟΙΓΜΑΤΟΣ ΛΟΓΩ ΣΥΝΤΕΛΕΣΤΗ ΣΤΗΡΙΞΗΣ ΤΩΝ ΥΠΟΔΟΜΩΝ</w:t>
            </w:r>
          </w:p>
          <w:p w14:paraId="1EE90D25"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0257 του υποδείγματος CR IRB</w:t>
            </w:r>
          </w:p>
        </w:tc>
      </w:tr>
      <w:tr w:rsidR="009D6580" w:rsidRPr="002A677E" w14:paraId="0A79EDF4" w14:textId="77777777" w:rsidTr="00822842">
        <w:tc>
          <w:tcPr>
            <w:tcW w:w="1188" w:type="dxa"/>
          </w:tcPr>
          <w:p w14:paraId="2D50BBC4" w14:textId="77777777" w:rsidR="009D6580" w:rsidRPr="002A677E" w:rsidRDefault="009D6580" w:rsidP="00822842">
            <w:pPr>
              <w:rPr>
                <w:rFonts w:ascii="Times New Roman" w:hAnsi="Times New Roman"/>
                <w:sz w:val="24"/>
              </w:rPr>
            </w:pPr>
            <w:r>
              <w:rPr>
                <w:rFonts w:ascii="Times New Roman" w:hAnsi="Times New Roman"/>
                <w:sz w:val="24"/>
              </w:rPr>
              <w:t>0125</w:t>
            </w:r>
          </w:p>
        </w:tc>
        <w:tc>
          <w:tcPr>
            <w:tcW w:w="8640" w:type="dxa"/>
          </w:tcPr>
          <w:p w14:paraId="0D402C8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ΤΟΥΣ ΣΥΝΤΕΛΕΣΤΕΣ ΣΤΗΡΙΞΗΣ</w:t>
            </w:r>
          </w:p>
          <w:p w14:paraId="71F977E8"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0260 του υποδείγματος CR IRB</w:t>
            </w:r>
          </w:p>
        </w:tc>
      </w:tr>
      <w:tr w:rsidR="009D6580" w:rsidRPr="002A677E" w14:paraId="058051CC" w14:textId="77777777" w:rsidTr="00822842">
        <w:tc>
          <w:tcPr>
            <w:tcW w:w="1188" w:type="dxa"/>
          </w:tcPr>
          <w:p w14:paraId="02AA680F"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640" w:type="dxa"/>
          </w:tcPr>
          <w:p w14:paraId="5E66C6B0"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ΠΟΣΟ ΑΝΑΜΕΝΟΜΕΝΗΣ ΖΗΜΙΑΣ</w:t>
            </w:r>
          </w:p>
          <w:p w14:paraId="27E13378"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0280 του υποδείγματος CR IRB</w:t>
            </w:r>
          </w:p>
        </w:tc>
      </w:tr>
    </w:tbl>
    <w:p w14:paraId="26CEB25D" w14:textId="77777777" w:rsidR="009D6580" w:rsidRPr="002A677E"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4378F7EC" w14:textId="77777777" w:rsidTr="00822842">
        <w:tc>
          <w:tcPr>
            <w:tcW w:w="1188" w:type="dxa"/>
            <w:shd w:val="clear" w:color="auto" w:fill="CCCCCC"/>
          </w:tcPr>
          <w:p w14:paraId="629D568D" w14:textId="77777777" w:rsidR="009D6580" w:rsidRPr="002A677E" w:rsidRDefault="009D6580" w:rsidP="00822842">
            <w:pPr>
              <w:rPr>
                <w:rFonts w:ascii="Times New Roman" w:hAnsi="Times New Roman"/>
                <w:b/>
                <w:sz w:val="24"/>
              </w:rPr>
            </w:pPr>
            <w:r>
              <w:rPr>
                <w:rFonts w:ascii="Times New Roman" w:hAnsi="Times New Roman"/>
                <w:b/>
                <w:sz w:val="24"/>
              </w:rPr>
              <w:t>Γραμμές</w:t>
            </w:r>
          </w:p>
        </w:tc>
        <w:tc>
          <w:tcPr>
            <w:tcW w:w="8640" w:type="dxa"/>
            <w:shd w:val="clear" w:color="auto" w:fill="CCCCCC"/>
          </w:tcPr>
          <w:p w14:paraId="490E44FA" w14:textId="77777777" w:rsidR="009D6580" w:rsidRPr="002A677E" w:rsidRDefault="009D6580" w:rsidP="00822842">
            <w:pPr>
              <w:ind w:left="72"/>
              <w:rPr>
                <w:rFonts w:ascii="Times New Roman" w:hAnsi="Times New Roman"/>
                <w:sz w:val="24"/>
              </w:rPr>
            </w:pPr>
          </w:p>
        </w:tc>
      </w:tr>
      <w:tr w:rsidR="009D6580" w:rsidRPr="002A677E" w14:paraId="41D216F1" w14:textId="77777777" w:rsidTr="00822842">
        <w:tc>
          <w:tcPr>
            <w:tcW w:w="1188" w:type="dxa"/>
          </w:tcPr>
          <w:p w14:paraId="12CBEF0E" w14:textId="77777777" w:rsidR="009D6580" w:rsidRPr="002A677E" w:rsidRDefault="009D6580" w:rsidP="00822842">
            <w:pPr>
              <w:rPr>
                <w:rFonts w:ascii="Times New Roman" w:hAnsi="Times New Roman"/>
                <w:sz w:val="24"/>
              </w:rPr>
            </w:pPr>
            <w:r>
              <w:rPr>
                <w:rFonts w:ascii="Times New Roman" w:hAnsi="Times New Roman"/>
                <w:sz w:val="24"/>
              </w:rPr>
              <w:t>0010</w:t>
            </w:r>
          </w:p>
        </w:tc>
        <w:tc>
          <w:tcPr>
            <w:tcW w:w="8640" w:type="dxa"/>
          </w:tcPr>
          <w:p w14:paraId="349EA92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xml:space="preserve">Κεντρικές τράπεζες και κεντρικές κυβερνήσεις </w:t>
            </w:r>
          </w:p>
          <w:p w14:paraId="45CC186E" w14:textId="77777777" w:rsidR="009D6580" w:rsidRPr="002A677E" w:rsidRDefault="009D6580" w:rsidP="00822842">
            <w:pPr>
              <w:rPr>
                <w:rFonts w:ascii="Times New Roman" w:hAnsi="Times New Roman"/>
                <w:sz w:val="24"/>
              </w:rPr>
            </w:pPr>
            <w:r>
              <w:rPr>
                <w:rFonts w:ascii="Times New Roman" w:hAnsi="Times New Roman"/>
                <w:sz w:val="24"/>
              </w:rPr>
              <w:t>Άρθρο 147 παράγραφος 2 στοιχείο α) του κανονισμού (ΕΕ) αριθ. 575/2013</w:t>
            </w:r>
          </w:p>
        </w:tc>
      </w:tr>
      <w:tr w:rsidR="009D6580" w:rsidRPr="002A677E" w14:paraId="6125B13A" w14:textId="77777777" w:rsidTr="00822842">
        <w:tc>
          <w:tcPr>
            <w:tcW w:w="1188" w:type="dxa"/>
            <w:shd w:val="clear" w:color="auto" w:fill="auto"/>
          </w:tcPr>
          <w:p w14:paraId="33C6F35E" w14:textId="77777777" w:rsidR="009D6580" w:rsidRPr="002A677E" w:rsidRDefault="009D6580" w:rsidP="00822842">
            <w:pPr>
              <w:rPr>
                <w:rFonts w:ascii="Times New Roman" w:hAnsi="Times New Roman"/>
                <w:sz w:val="24"/>
              </w:rPr>
            </w:pPr>
            <w:r>
              <w:rPr>
                <w:rFonts w:ascii="Times New Roman" w:hAnsi="Times New Roman"/>
                <w:sz w:val="24"/>
              </w:rPr>
              <w:t>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77777777" w:rsidR="009D6580" w:rsidRDefault="009D6580" w:rsidP="00822842">
            <w:pPr>
              <w:rPr>
                <w:rFonts w:ascii="Times New Roman" w:hAnsi="Times New Roman"/>
                <w:b/>
                <w:sz w:val="24"/>
                <w:u w:val="single"/>
              </w:rPr>
            </w:pPr>
            <w:r>
              <w:rPr>
                <w:rFonts w:ascii="Times New Roman" w:hAnsi="Times New Roman"/>
                <w:b/>
                <w:sz w:val="24"/>
                <w:u w:val="single"/>
              </w:rPr>
              <w:t>Εκ των οποίων: Περιφερειακές κυβερνήσεις ή τοπικές αρχές</w:t>
            </w:r>
          </w:p>
          <w:p w14:paraId="4864E157" w14:textId="77777777" w:rsidR="009D6580" w:rsidRPr="002A677E" w:rsidRDefault="009D6580" w:rsidP="00822842">
            <w:pPr>
              <w:rPr>
                <w:rFonts w:ascii="Times New Roman" w:hAnsi="Times New Roman"/>
                <w:b/>
                <w:sz w:val="24"/>
                <w:u w:val="single"/>
              </w:rPr>
            </w:pPr>
            <w:r>
              <w:rPr>
                <w:rFonts w:ascii="Times New Roman" w:hAnsi="Times New Roman"/>
                <w:sz w:val="24"/>
              </w:rPr>
              <w:t>Άρθρο 147 παράγραφος 3α του κανονισμού (ΕΕ) αριθ. 575/2013</w:t>
            </w:r>
          </w:p>
        </w:tc>
      </w:tr>
      <w:tr w:rsidR="009D6580" w:rsidRPr="002A677E" w14:paraId="57997C4B" w14:textId="77777777" w:rsidTr="00822842">
        <w:tc>
          <w:tcPr>
            <w:tcW w:w="1188" w:type="dxa"/>
            <w:shd w:val="clear" w:color="auto" w:fill="auto"/>
          </w:tcPr>
          <w:p w14:paraId="7E0CEA1D" w14:textId="77777777" w:rsidR="009D6580" w:rsidRPr="002A677E" w:rsidRDefault="009D6580" w:rsidP="00822842">
            <w:pPr>
              <w:rPr>
                <w:rFonts w:ascii="Times New Roman" w:hAnsi="Times New Roman"/>
                <w:sz w:val="24"/>
              </w:rPr>
            </w:pPr>
            <w:r>
              <w:rPr>
                <w:rFonts w:ascii="Times New Roman" w:hAnsi="Times New Roman"/>
                <w:sz w:val="24"/>
              </w:rPr>
              <w:t>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Default="009D6580" w:rsidP="00822842">
            <w:pPr>
              <w:rPr>
                <w:rFonts w:ascii="Times New Roman" w:hAnsi="Times New Roman"/>
                <w:b/>
                <w:sz w:val="24"/>
                <w:u w:val="single"/>
              </w:rPr>
            </w:pPr>
            <w:r>
              <w:rPr>
                <w:rFonts w:ascii="Times New Roman" w:hAnsi="Times New Roman"/>
                <w:b/>
                <w:sz w:val="24"/>
                <w:u w:val="single"/>
              </w:rPr>
              <w:t>Περιφερειακές κυβερνήσεις ή τοπικές αρχές</w:t>
            </w:r>
          </w:p>
          <w:p w14:paraId="19FE9B53" w14:textId="77777777" w:rsidR="009D6580" w:rsidRPr="002A677E" w:rsidRDefault="009D6580" w:rsidP="00822842">
            <w:pPr>
              <w:rPr>
                <w:rFonts w:ascii="Times New Roman" w:hAnsi="Times New Roman"/>
                <w:b/>
                <w:sz w:val="24"/>
                <w:u w:val="single"/>
              </w:rPr>
            </w:pPr>
            <w:r>
              <w:rPr>
                <w:rFonts w:ascii="Times New Roman" w:hAnsi="Times New Roman"/>
                <w:sz w:val="24"/>
              </w:rPr>
              <w:t>Άρθρο 147 παράγραφος 2 στοιχείο α1) σημείο i) του κανονισμού (ΕΕ) αριθ. 575/2013</w:t>
            </w:r>
          </w:p>
        </w:tc>
      </w:tr>
      <w:tr w:rsidR="009D6580" w:rsidRPr="002A677E" w14:paraId="756631BD" w14:textId="77777777" w:rsidTr="00822842">
        <w:tc>
          <w:tcPr>
            <w:tcW w:w="1188" w:type="dxa"/>
            <w:shd w:val="clear" w:color="auto" w:fill="auto"/>
          </w:tcPr>
          <w:p w14:paraId="36422B7A" w14:textId="77777777" w:rsidR="009D6580" w:rsidRPr="002A677E" w:rsidRDefault="009D6580" w:rsidP="00822842">
            <w:pPr>
              <w:rPr>
                <w:rFonts w:ascii="Times New Roman" w:hAnsi="Times New Roman"/>
                <w:sz w:val="24"/>
              </w:rPr>
            </w:pPr>
            <w:r>
              <w:rPr>
                <w:rFonts w:ascii="Times New Roman" w:hAnsi="Times New Roman"/>
                <w:sz w:val="24"/>
              </w:rPr>
              <w:t>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Default="009D6580" w:rsidP="00822842">
            <w:pPr>
              <w:rPr>
                <w:rFonts w:ascii="Times New Roman" w:hAnsi="Times New Roman"/>
                <w:b/>
                <w:sz w:val="24"/>
                <w:u w:val="single"/>
              </w:rPr>
            </w:pPr>
            <w:r>
              <w:rPr>
                <w:rFonts w:ascii="Times New Roman" w:hAnsi="Times New Roman"/>
                <w:b/>
                <w:sz w:val="24"/>
                <w:u w:val="single"/>
              </w:rPr>
              <w:t xml:space="preserve">Οντότητες του δημόσιου τομέα </w:t>
            </w:r>
          </w:p>
          <w:p w14:paraId="1DE1AAE7" w14:textId="77777777" w:rsidR="009D6580" w:rsidRPr="002A677E" w:rsidRDefault="009D6580" w:rsidP="00822842">
            <w:pPr>
              <w:rPr>
                <w:rFonts w:ascii="Times New Roman" w:hAnsi="Times New Roman"/>
                <w:b/>
                <w:sz w:val="24"/>
                <w:u w:val="single"/>
              </w:rPr>
            </w:pPr>
            <w:r>
              <w:rPr>
                <w:rFonts w:ascii="Times New Roman" w:hAnsi="Times New Roman"/>
                <w:sz w:val="24"/>
              </w:rPr>
              <w:t>Άρθρο 147 παράγραφος 2 στοιχείο α1) σημείο iι) του κανονισμού (ΕΕ) αριθ. 575/2013</w:t>
            </w:r>
          </w:p>
        </w:tc>
      </w:tr>
      <w:tr w:rsidR="009D6580" w:rsidRPr="002A677E" w14:paraId="0C55C95D" w14:textId="77777777" w:rsidTr="00822842">
        <w:tc>
          <w:tcPr>
            <w:tcW w:w="1188" w:type="dxa"/>
          </w:tcPr>
          <w:p w14:paraId="6C8F06FC"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640" w:type="dxa"/>
          </w:tcPr>
          <w:p w14:paraId="460BDDF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Ιδρύματα</w:t>
            </w:r>
          </w:p>
          <w:p w14:paraId="504F46A3" w14:textId="77777777" w:rsidR="009D6580" w:rsidRPr="002A677E" w:rsidRDefault="009D6580" w:rsidP="00822842">
            <w:pPr>
              <w:rPr>
                <w:rFonts w:ascii="Times New Roman" w:hAnsi="Times New Roman"/>
                <w:sz w:val="24"/>
              </w:rPr>
            </w:pPr>
            <w:r>
              <w:rPr>
                <w:rFonts w:ascii="Times New Roman" w:hAnsi="Times New Roman"/>
                <w:sz w:val="24"/>
              </w:rPr>
              <w:t>Άρθρο 147 παράγραφος 2 στοιχείο β) του κανονισμού (ΕΕ) αριθ. 575/2013</w:t>
            </w:r>
          </w:p>
        </w:tc>
      </w:tr>
      <w:tr w:rsidR="009D6580" w:rsidRPr="002A677E" w14:paraId="2B29BE20" w14:textId="77777777" w:rsidTr="00822842">
        <w:tc>
          <w:tcPr>
            <w:tcW w:w="1188" w:type="dxa"/>
          </w:tcPr>
          <w:p w14:paraId="521AA8B6"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640" w:type="dxa"/>
          </w:tcPr>
          <w:p w14:paraId="63C7233C"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xml:space="preserve">Επιχειρήσεις </w:t>
            </w:r>
          </w:p>
          <w:p w14:paraId="699F9BD2"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lastRenderedPageBreak/>
              <w:t>Όλα τα ανοίγματα έναντι επιχειρήσεων, όπως προβλέπεται στο άρθρο 147 παράγραφος 2 στοιχείο γ) του κανονισμού (ΕΕ) αριθ. 575/2013</w:t>
            </w:r>
          </w:p>
        </w:tc>
      </w:tr>
      <w:tr w:rsidR="009D6580" w:rsidRPr="002A677E" w14:paraId="55C3FE5A" w14:textId="77777777" w:rsidTr="00822842">
        <w:tc>
          <w:tcPr>
            <w:tcW w:w="1188" w:type="dxa"/>
          </w:tcPr>
          <w:p w14:paraId="198D8F58" w14:textId="77777777" w:rsidR="009D6580" w:rsidRPr="002A677E" w:rsidRDefault="009D6580" w:rsidP="00822842">
            <w:pPr>
              <w:rPr>
                <w:rFonts w:ascii="Times New Roman" w:hAnsi="Times New Roman"/>
                <w:sz w:val="24"/>
              </w:rPr>
            </w:pPr>
            <w:r>
              <w:rPr>
                <w:rFonts w:ascii="Times New Roman" w:hAnsi="Times New Roman"/>
                <w:sz w:val="24"/>
              </w:rPr>
              <w:lastRenderedPageBreak/>
              <w:t>0050</w:t>
            </w:r>
          </w:p>
        </w:tc>
        <w:tc>
          <w:tcPr>
            <w:tcW w:w="8640" w:type="dxa"/>
          </w:tcPr>
          <w:p w14:paraId="66C0F4F0"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Εκ των οποίων: ΜΜΕ</w:t>
            </w:r>
          </w:p>
          <w:p w14:paraId="13819074"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Άρθρο 147 παράγραφος 2 στοιχείο γ) του κανονισμού (ΕΕ) αριθ. 575/2013</w:t>
            </w:r>
          </w:p>
          <w:p w14:paraId="6C8F6FE1" w14:textId="408BCC75" w:rsidR="009D6580" w:rsidRPr="002A677E" w:rsidRDefault="009D6580"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Για τους σκοπούς της κατάταξης σε αυτή την κατηγορία υποανοιγμάτων, οι αναφέρουσες οντότητες χρησιμοποιούν τον ορισμό των ΜΜΕ στο άρθρο 5 παράγραφος 8 του κανονισμού (ΕΕ) αριθ. 575/2013. </w:t>
            </w:r>
          </w:p>
        </w:tc>
      </w:tr>
      <w:tr w:rsidR="00B56773" w:rsidRPr="00E47484"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2A677E" w:rsidRDefault="00B56773" w:rsidP="007400C4">
            <w:pPr>
              <w:rPr>
                <w:rFonts w:ascii="Times New Roman" w:hAnsi="Times New Roman"/>
                <w:sz w:val="24"/>
              </w:rPr>
            </w:pPr>
            <w:r>
              <w:rPr>
                <w:rFonts w:ascii="Times New Roman" w:hAnsi="Times New Roman"/>
                <w:sz w:val="24"/>
              </w:rPr>
              <w:t>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77777777" w:rsidR="00B56773" w:rsidRDefault="00B56773" w:rsidP="007400C4">
            <w:pPr>
              <w:rPr>
                <w:rFonts w:ascii="Times New Roman" w:hAnsi="Times New Roman"/>
                <w:b/>
                <w:sz w:val="24"/>
                <w:u w:val="single"/>
              </w:rPr>
            </w:pPr>
            <w:r>
              <w:rPr>
                <w:rFonts w:ascii="Times New Roman" w:hAnsi="Times New Roman"/>
                <w:b/>
                <w:sz w:val="24"/>
                <w:u w:val="single"/>
              </w:rPr>
              <w:t>Εκ των οποίων: Μεγάλες επιχειρήσεις</w:t>
            </w:r>
          </w:p>
          <w:p w14:paraId="503F359E" w14:textId="77777777" w:rsidR="00B56773" w:rsidRPr="00B56773" w:rsidRDefault="00B56773" w:rsidP="00B56773">
            <w:pPr>
              <w:rPr>
                <w:rFonts w:ascii="Times New Roman" w:hAnsi="Times New Roman"/>
                <w:bCs/>
                <w:sz w:val="24"/>
              </w:rPr>
            </w:pPr>
            <w:r>
              <w:rPr>
                <w:rFonts w:ascii="Times New Roman" w:hAnsi="Times New Roman"/>
                <w:sz w:val="24"/>
              </w:rPr>
              <w:t>Άρθρο 147 παράγραφος 2 στοιχείο γ) του κανονισμού (ΕΕ) αριθ. 575/2013.</w:t>
            </w:r>
          </w:p>
          <w:p w14:paraId="23F8CBD6" w14:textId="77777777" w:rsidR="00B56773" w:rsidRPr="00E47484" w:rsidRDefault="00B56773" w:rsidP="007400C4">
            <w:pPr>
              <w:rPr>
                <w:rFonts w:ascii="Times New Roman" w:hAnsi="Times New Roman"/>
                <w:b/>
                <w:sz w:val="24"/>
                <w:u w:val="single"/>
              </w:rPr>
            </w:pPr>
            <w:r>
              <w:rPr>
                <w:rFonts w:ascii="Times New Roman" w:hAnsi="Times New Roman"/>
                <w:sz w:val="24"/>
              </w:rPr>
              <w:t>Για τους σκοπούς της κατάταξης σε αυτή την κατηγορία υποανοιγμάτων, οι αναφέρουσες οντότητες χρησιμοποιούν τον ορισμό των μεγάλων επιχειρήσεων στο άρθρο 142 παράγραφος 1 σημείο 5α) του κανονισμού (ΕΕ) αριθ. 575/2013.</w:t>
            </w:r>
            <w:r>
              <w:rPr>
                <w:rFonts w:ascii="Times New Roman" w:hAnsi="Times New Roman"/>
                <w:b/>
                <w:sz w:val="24"/>
                <w:u w:val="single"/>
              </w:rPr>
              <w:t xml:space="preserve"> </w:t>
            </w:r>
          </w:p>
        </w:tc>
      </w:tr>
      <w:tr w:rsidR="00B56773" w:rsidRPr="00E47484"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2A677E" w:rsidDel="000306F2" w:rsidRDefault="00B56773" w:rsidP="007400C4">
            <w:pPr>
              <w:rPr>
                <w:rFonts w:ascii="Times New Roman" w:hAnsi="Times New Roman"/>
                <w:sz w:val="24"/>
              </w:rPr>
            </w:pPr>
            <w:r>
              <w:rPr>
                <w:rFonts w:ascii="Times New Roman" w:hAnsi="Times New Roman"/>
                <w:sz w:val="24"/>
              </w:rPr>
              <w:t>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Default="00B56773" w:rsidP="007400C4">
            <w:pPr>
              <w:rPr>
                <w:rFonts w:ascii="Times New Roman" w:hAnsi="Times New Roman"/>
                <w:b/>
                <w:sz w:val="24"/>
                <w:u w:val="single"/>
              </w:rPr>
            </w:pPr>
            <w:r>
              <w:rPr>
                <w:rFonts w:ascii="Times New Roman" w:hAnsi="Times New Roman"/>
                <w:b/>
                <w:sz w:val="24"/>
                <w:u w:val="single"/>
              </w:rPr>
              <w:t>Ειδική δανειοδότηση</w:t>
            </w:r>
          </w:p>
          <w:p w14:paraId="510C1D3E" w14:textId="683EFC86" w:rsidR="00B56773" w:rsidRPr="00B56773" w:rsidDel="000306F2" w:rsidRDefault="00B56773" w:rsidP="007400C4">
            <w:pPr>
              <w:rPr>
                <w:rFonts w:ascii="Times New Roman" w:hAnsi="Times New Roman"/>
                <w:bCs/>
                <w:sz w:val="24"/>
              </w:rPr>
            </w:pPr>
            <w:r>
              <w:rPr>
                <w:rFonts w:ascii="Times New Roman" w:hAnsi="Times New Roman"/>
                <w:sz w:val="24"/>
              </w:rPr>
              <w:t>Άρθρο 147 παράγραφος 2 στοιχείο γ) σημείο ii) του κανονισμού (ΕΕ) αριθ. 575/2013. 1.</w:t>
            </w:r>
          </w:p>
        </w:tc>
      </w:tr>
      <w:tr w:rsidR="00B56773" w:rsidRPr="00E47484" w14:paraId="36179D5A" w14:textId="77777777" w:rsidTr="00822842">
        <w:tc>
          <w:tcPr>
            <w:tcW w:w="1188" w:type="dxa"/>
            <w:shd w:val="clear" w:color="auto" w:fill="auto"/>
          </w:tcPr>
          <w:p w14:paraId="7AF18366" w14:textId="6A1B1DDE" w:rsidR="00B56773" w:rsidRPr="72FDE0D4" w:rsidRDefault="00B56773" w:rsidP="00822842">
            <w:pPr>
              <w:rPr>
                <w:rFonts w:ascii="Times New Roman" w:hAnsi="Times New Roman"/>
                <w:sz w:val="24"/>
              </w:rPr>
            </w:pPr>
            <w:r>
              <w:rPr>
                <w:rFonts w:ascii="Times New Roman" w:hAnsi="Times New Roman"/>
                <w:sz w:val="24"/>
              </w:rPr>
              <w:t>0053-0056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021099" w:rsidRDefault="00B56773" w:rsidP="00B56773">
            <w:pPr>
              <w:rPr>
                <w:rFonts w:ascii="Times New Roman" w:hAnsi="Times New Roman"/>
                <w:b/>
                <w:sz w:val="24"/>
              </w:rPr>
            </w:pPr>
            <w:r>
              <w:rPr>
                <w:rFonts w:ascii="Times New Roman" w:hAnsi="Times New Roman"/>
                <w:b/>
                <w:sz w:val="24"/>
                <w:u w:val="single"/>
              </w:rPr>
              <w:t>Ειδική δανειοδότηση —</w:t>
            </w:r>
            <w:r>
              <w:rPr>
                <w:rFonts w:ascii="Times New Roman" w:hAnsi="Times New Roman"/>
                <w:b/>
                <w:sz w:val="24"/>
              </w:rPr>
              <w:t xml:space="preserve"> είδη ανοιγμάτων ειδικής δανειοδότησης</w:t>
            </w:r>
          </w:p>
          <w:p w14:paraId="1E4AC942" w14:textId="49F536D6" w:rsidR="00B56773" w:rsidRPr="00F16E4D" w:rsidRDefault="00B56773" w:rsidP="00822842">
            <w:pPr>
              <w:rPr>
                <w:rFonts w:ascii="Times New Roman" w:hAnsi="Times New Roman"/>
                <w:bCs/>
                <w:sz w:val="24"/>
              </w:rPr>
            </w:pPr>
            <w:r>
              <w:rPr>
                <w:rFonts w:ascii="Times New Roman" w:hAnsi="Times New Roman"/>
                <w:sz w:val="24"/>
              </w:rPr>
              <w:t>Τα ιδρύματα αναφέρουν τα είδη ανοιγμάτων ειδικής δανειοδότησης που αναφέρονται στο άρθρο 147 παράγραφος 8 δεύτερο εδάφιο στην αντίστοιχη γραμμή: Ειδική δανειοδότηση “χρηματοδότηση έργων”, “χρηματοδότηση για αγορά περιουσιακού στοιχείου”, “χρηματοδότηση εμπορευμάτων” και “IPRE”.</w:t>
            </w:r>
          </w:p>
        </w:tc>
      </w:tr>
      <w:tr w:rsidR="009D6580" w:rsidRPr="00E47484" w14:paraId="1E272EAA" w14:textId="77777777" w:rsidTr="00822842">
        <w:tc>
          <w:tcPr>
            <w:tcW w:w="1188" w:type="dxa"/>
            <w:shd w:val="clear" w:color="auto" w:fill="auto"/>
          </w:tcPr>
          <w:p w14:paraId="5B01A706" w14:textId="2033B95F" w:rsidR="009D6580" w:rsidRPr="002A677E" w:rsidRDefault="009D6580" w:rsidP="00822842">
            <w:pPr>
              <w:rPr>
                <w:rFonts w:ascii="Times New Roman" w:hAnsi="Times New Roman"/>
                <w:sz w:val="24"/>
              </w:rPr>
            </w:pPr>
            <w:r>
              <w:rPr>
                <w:rFonts w:ascii="Times New Roman" w:hAnsi="Times New Roman"/>
                <w:sz w:val="24"/>
              </w:rPr>
              <w:t>0057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Default="009D6580" w:rsidP="00822842">
            <w:pPr>
              <w:rPr>
                <w:rFonts w:ascii="Times New Roman" w:hAnsi="Times New Roman"/>
                <w:b/>
                <w:sz w:val="24"/>
                <w:u w:val="single"/>
              </w:rPr>
            </w:pPr>
            <w:r>
              <w:rPr>
                <w:rFonts w:ascii="Times New Roman" w:hAnsi="Times New Roman"/>
                <w:b/>
                <w:sz w:val="24"/>
                <w:u w:val="single"/>
              </w:rPr>
              <w:t>Αποκτηθείσες εισπρακτέες απαιτήσεις</w:t>
            </w:r>
          </w:p>
          <w:p w14:paraId="40628222" w14:textId="77777777" w:rsidR="009D6580" w:rsidRPr="00E47484" w:rsidRDefault="009D6580" w:rsidP="00822842">
            <w:pPr>
              <w:rPr>
                <w:rFonts w:ascii="Times New Roman" w:hAnsi="Times New Roman"/>
                <w:b/>
                <w:sz w:val="24"/>
                <w:u w:val="single"/>
              </w:rPr>
            </w:pPr>
            <w:r>
              <w:rPr>
                <w:rFonts w:ascii="Times New Roman" w:hAnsi="Times New Roman"/>
                <w:sz w:val="24"/>
              </w:rPr>
              <w:t>Άρθρο 147 παράγραφος 2 στοιχείο γ) σημείο iii) του κανονισμού (ΕΕ) αριθ. 575/2013.</w:t>
            </w:r>
          </w:p>
        </w:tc>
      </w:tr>
      <w:tr w:rsidR="00F16E4D" w:rsidRPr="002A677E" w14:paraId="27B47EEA" w14:textId="77777777" w:rsidTr="00822842">
        <w:tc>
          <w:tcPr>
            <w:tcW w:w="1188" w:type="dxa"/>
          </w:tcPr>
          <w:p w14:paraId="329ABF25" w14:textId="3906F1E5" w:rsidR="00F16E4D" w:rsidRPr="002A677E" w:rsidRDefault="00F16E4D" w:rsidP="00822842">
            <w:pPr>
              <w:rPr>
                <w:rFonts w:ascii="Times New Roman" w:hAnsi="Times New Roman"/>
                <w:sz w:val="24"/>
              </w:rPr>
            </w:pPr>
            <w:r>
              <w:rPr>
                <w:rFonts w:ascii="Times New Roman" w:hAnsi="Times New Roman"/>
                <w:sz w:val="24"/>
              </w:rPr>
              <w:t>0058</w:t>
            </w:r>
          </w:p>
        </w:tc>
        <w:tc>
          <w:tcPr>
            <w:tcW w:w="8640" w:type="dxa"/>
          </w:tcPr>
          <w:p w14:paraId="27CFAA09" w14:textId="513D8D7F" w:rsidR="00F16E4D" w:rsidRDefault="00F16E4D" w:rsidP="00822842">
            <w:pPr>
              <w:rPr>
                <w:rFonts w:ascii="Times New Roman" w:hAnsi="Times New Roman"/>
                <w:b/>
                <w:sz w:val="24"/>
                <w:u w:val="single"/>
              </w:rPr>
            </w:pPr>
            <w:r>
              <w:rPr>
                <w:rFonts w:ascii="Times New Roman" w:hAnsi="Times New Roman"/>
                <w:b/>
                <w:sz w:val="24"/>
                <w:u w:val="single"/>
              </w:rPr>
              <w:t>Άλλα</w:t>
            </w:r>
          </w:p>
          <w:p w14:paraId="75A3CB20" w14:textId="69737D7D" w:rsidR="00F16E4D" w:rsidRPr="002A677E" w:rsidRDefault="00F16E4D" w:rsidP="00822842">
            <w:pPr>
              <w:rPr>
                <w:rFonts w:ascii="Times New Roman" w:hAnsi="Times New Roman"/>
                <w:b/>
                <w:sz w:val="24"/>
                <w:u w:val="single"/>
              </w:rPr>
            </w:pPr>
            <w:r>
              <w:rPr>
                <w:rFonts w:ascii="Times New Roman" w:hAnsi="Times New Roman"/>
                <w:sz w:val="24"/>
              </w:rPr>
              <w:t>Άρθρο 147 παράγραφος 2 στοιχείο ιβ) σημείο i) του κανονισμού (ΕΕ) αριθ. 575/2013</w:t>
            </w:r>
          </w:p>
        </w:tc>
      </w:tr>
      <w:tr w:rsidR="009D6580" w:rsidRPr="002A677E" w14:paraId="3CAC5C4A" w14:textId="77777777" w:rsidTr="00822842">
        <w:tc>
          <w:tcPr>
            <w:tcW w:w="1188" w:type="dxa"/>
          </w:tcPr>
          <w:p w14:paraId="50AFEE21"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084F36E4"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Λιανική τραπεζική</w:t>
            </w:r>
          </w:p>
          <w:p w14:paraId="61F98691" w14:textId="77777777" w:rsidR="009D6580" w:rsidRPr="002A677E" w:rsidRDefault="009D6580" w:rsidP="00822842">
            <w:pPr>
              <w:rPr>
                <w:rFonts w:ascii="Times New Roman" w:hAnsi="Times New Roman"/>
                <w:sz w:val="24"/>
              </w:rPr>
            </w:pPr>
            <w:r>
              <w:rPr>
                <w:rFonts w:ascii="Times New Roman" w:hAnsi="Times New Roman"/>
                <w:sz w:val="24"/>
              </w:rPr>
              <w:t>Όλα τα ανοίγματα λιανικής τραπεζικής, όπως προβλέπεται στο άρθρο 147 παράγραφος 2 στοιχείο δ) του κανονισμού (ΕΕ) αριθ. 575/2013.</w:t>
            </w:r>
          </w:p>
        </w:tc>
      </w:tr>
      <w:tr w:rsidR="009D6580" w:rsidRPr="002A677E" w14:paraId="3126FC45" w14:textId="77777777" w:rsidTr="00822842">
        <w:tc>
          <w:tcPr>
            <w:tcW w:w="1188" w:type="dxa"/>
          </w:tcPr>
          <w:p w14:paraId="3B5D6723"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094A84E8" w14:textId="1D426AD8" w:rsidR="009D6580" w:rsidRPr="002A677E" w:rsidRDefault="005B37F0" w:rsidP="00822842">
            <w:pPr>
              <w:rPr>
                <w:rFonts w:ascii="Times New Roman" w:hAnsi="Times New Roman"/>
                <w:b/>
                <w:sz w:val="24"/>
                <w:u w:val="single"/>
              </w:rPr>
            </w:pPr>
            <w:r>
              <w:rPr>
                <w:rFonts w:ascii="Times New Roman" w:hAnsi="Times New Roman"/>
                <w:b/>
                <w:sz w:val="24"/>
                <w:u w:val="single"/>
              </w:rPr>
              <w:t>Εκ των οποίων: Λιανική τραπεζική – Εξασφάλιση με ακίνητη περιουσία</w:t>
            </w:r>
          </w:p>
          <w:p w14:paraId="35B1F6E7" w14:textId="4962CAD8" w:rsidR="00FD0F61" w:rsidRDefault="00FD0F61" w:rsidP="00822842">
            <w:pPr>
              <w:pStyle w:val="ListParagraph"/>
              <w:ind w:left="0"/>
              <w:rPr>
                <w:rFonts w:ascii="Times New Roman" w:hAnsi="Times New Roman"/>
                <w:sz w:val="24"/>
              </w:rPr>
            </w:pPr>
            <w:r>
              <w:rPr>
                <w:rFonts w:ascii="Times New Roman" w:hAnsi="Times New Roman"/>
                <w:sz w:val="24"/>
              </w:rPr>
              <w:t>Ανοίγματα λιανικής τραπεζικής, όπως ορίζονται στο άρθρο 147 παράγραφος 2 στοιχείο δ) του κανονισμού (ΕΕ) αριθ. 575/2013, εξασφαλισμένα με ακίνητη περιουσία, όπως ορίζεται στο άρθρο 4 παράγραφος 1 σημείο 75στ) στοιχείο δ) του κανονισμού (ΕΕ) αριθ. 575/2013.</w:t>
            </w:r>
          </w:p>
          <w:p w14:paraId="0CD06107" w14:textId="22291817" w:rsidR="009D6580" w:rsidRPr="002A677E" w:rsidRDefault="00FD0F61" w:rsidP="00822842">
            <w:pPr>
              <w:pStyle w:val="ListParagraph"/>
              <w:ind w:left="0"/>
              <w:rPr>
                <w:rFonts w:ascii="Times New Roman" w:hAnsi="Times New Roman"/>
                <w:sz w:val="24"/>
              </w:rPr>
            </w:pPr>
            <w:r>
              <w:rPr>
                <w:rFonts w:ascii="Times New Roman" w:hAnsi="Times New Roman"/>
                <w:sz w:val="24"/>
              </w:rPr>
              <w:t>.</w:t>
            </w:r>
          </w:p>
        </w:tc>
      </w:tr>
      <w:tr w:rsidR="009D6580" w:rsidRPr="002A677E" w14:paraId="49CD7917" w14:textId="77777777" w:rsidTr="00822842">
        <w:tc>
          <w:tcPr>
            <w:tcW w:w="1188" w:type="dxa"/>
          </w:tcPr>
          <w:p w14:paraId="3FA8BBC8"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4738C3E5" w14:textId="186F9DD4" w:rsidR="009D6580" w:rsidRPr="002A677E" w:rsidRDefault="00FD0F61" w:rsidP="00822842">
            <w:pPr>
              <w:rPr>
                <w:rFonts w:ascii="Times New Roman" w:hAnsi="Times New Roman"/>
                <w:b/>
                <w:sz w:val="24"/>
                <w:u w:val="single"/>
              </w:rPr>
            </w:pPr>
            <w:r>
              <w:rPr>
                <w:rFonts w:ascii="Times New Roman" w:hAnsi="Times New Roman"/>
                <w:b/>
                <w:sz w:val="24"/>
                <w:u w:val="single"/>
              </w:rPr>
              <w:t>Εκ των οποίων: ΜΜΕ</w:t>
            </w:r>
          </w:p>
          <w:p w14:paraId="67BFF2AB" w14:textId="02FB7D89" w:rsidR="009D6580" w:rsidRPr="002A677E" w:rsidRDefault="00FD0F61" w:rsidP="00822842">
            <w:pPr>
              <w:pStyle w:val="ListParagraph"/>
              <w:ind w:left="0"/>
              <w:rPr>
                <w:rFonts w:ascii="Times New Roman" w:hAnsi="Times New Roman"/>
                <w:sz w:val="24"/>
              </w:rPr>
            </w:pPr>
            <w:r>
              <w:rPr>
                <w:rFonts w:ascii="Times New Roman" w:hAnsi="Times New Roman"/>
                <w:sz w:val="24"/>
              </w:rPr>
              <w:t xml:space="preserve">Ανοίγματα λιανικής τραπεζικής, όπως ορίζονται στο άρθρο 147 παράγραφος 2 στοιχείο δ) του κανονισμού (ΕΕ) αριθ. 575/2013, τα οποία αναφέρονται στα σημεία B.6.1 έως B.6.4, εξασφαλισμένα με ακίνητη περιουσία, όπως ορίζεται στο άρθρο 4 παράγραφος 1 </w:t>
            </w:r>
            <w:r>
              <w:rPr>
                <w:rFonts w:ascii="Times New Roman" w:hAnsi="Times New Roman"/>
                <w:sz w:val="24"/>
              </w:rPr>
              <w:lastRenderedPageBreak/>
              <w:t xml:space="preserve">σημείο 75στ) στοιχείο δ) του κανονισμού (ΕΕ) αριθ. 575/2013, σε συνδυασμό με το άρθρο 5 παράγραφος 8 του κανονισμού (ΕΕ) αριθ. 575/2013. </w:t>
            </w:r>
          </w:p>
        </w:tc>
      </w:tr>
      <w:tr w:rsidR="009D6580" w:rsidRPr="00E47484" w14:paraId="7A63D877" w14:textId="77777777" w:rsidTr="00822842">
        <w:tc>
          <w:tcPr>
            <w:tcW w:w="1188" w:type="dxa"/>
            <w:shd w:val="clear" w:color="auto" w:fill="auto"/>
          </w:tcPr>
          <w:p w14:paraId="59E6C6E6" w14:textId="77777777" w:rsidR="009D6580" w:rsidRPr="002A677E" w:rsidRDefault="009D6580" w:rsidP="00822842">
            <w:pPr>
              <w:rPr>
                <w:rFonts w:ascii="Times New Roman" w:hAnsi="Times New Roman"/>
                <w:sz w:val="24"/>
              </w:rPr>
            </w:pPr>
            <w:r>
              <w:rPr>
                <w:rFonts w:ascii="Times New Roman" w:hAnsi="Times New Roman"/>
                <w:sz w:val="24"/>
              </w:rPr>
              <w:lastRenderedPageBreak/>
              <w:t>0090</w:t>
            </w:r>
          </w:p>
        </w:tc>
        <w:tc>
          <w:tcPr>
            <w:tcW w:w="8640" w:type="dxa"/>
            <w:shd w:val="clear" w:color="auto" w:fill="auto"/>
          </w:tcPr>
          <w:p w14:paraId="05695520" w14:textId="39C15E5F" w:rsidR="009D6580" w:rsidRPr="00E47484" w:rsidRDefault="00837F98" w:rsidP="00822842">
            <w:pPr>
              <w:rPr>
                <w:rFonts w:ascii="Times New Roman" w:hAnsi="Times New Roman"/>
                <w:b/>
                <w:sz w:val="24"/>
                <w:u w:val="single"/>
              </w:rPr>
            </w:pPr>
            <w:r>
              <w:rPr>
                <w:rFonts w:ascii="Times New Roman" w:hAnsi="Times New Roman"/>
                <w:b/>
                <w:sz w:val="24"/>
                <w:u w:val="single"/>
              </w:rPr>
              <w:t>Εκ των οποίων: Μη ΜΜΕ</w:t>
            </w:r>
          </w:p>
          <w:p w14:paraId="68647661" w14:textId="272EAD03" w:rsidR="00837F98" w:rsidRDefault="00837F98" w:rsidP="00234FB5">
            <w:pPr>
              <w:pStyle w:val="ListParagraph"/>
              <w:autoSpaceDE w:val="0"/>
              <w:autoSpaceDN w:val="0"/>
              <w:adjustRightInd w:val="0"/>
              <w:spacing w:before="0" w:after="0"/>
              <w:ind w:left="0"/>
              <w:jc w:val="left"/>
              <w:rPr>
                <w:rFonts w:ascii="Times New Roman" w:hAnsi="Times New Roman"/>
                <w:sz w:val="24"/>
              </w:rPr>
            </w:pPr>
            <w:r>
              <w:rPr>
                <w:rFonts w:ascii="Times New Roman" w:hAnsi="Times New Roman"/>
                <w:sz w:val="24"/>
              </w:rPr>
              <w:t>Ανοίγματα λιανικής τραπεζικής, όπως ορίζονται στο άρθρο 147 παράγραφος 2 στοιχείο δ) του κανονισμού (ΕΕ) αριθ. 575/2013, τα οποία αναφέρονται στα σημεία B.6.1 έως B.6.4, εξασφαλισμένα με ακίνητη περιουσία, όπως ορίζεται στο άρθρο 4 παράγραφος 1 σημείο 75στ) στοιχείο δ) του κανονισμού (ΕΕ) αριθ. 575/2013, όχι σε συνδυασμό με το άρθρο 5 παράγραφος 8 του κανονισμού (ΕΕ) αριθ. 575/2013.</w:t>
            </w:r>
          </w:p>
          <w:p w14:paraId="34F371DC" w14:textId="683F21EB" w:rsidR="009D6580" w:rsidRPr="00D10012" w:rsidRDefault="009D6580" w:rsidP="00822842">
            <w:pPr>
              <w:pStyle w:val="ListParagraph"/>
              <w:ind w:left="0"/>
              <w:rPr>
                <w:rFonts w:ascii="Times New Roman" w:hAnsi="Times New Roman"/>
                <w:bCs/>
                <w:sz w:val="24"/>
              </w:rPr>
            </w:pPr>
          </w:p>
        </w:tc>
      </w:tr>
      <w:tr w:rsidR="00910F63" w:rsidRPr="002A677E"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2A677E" w:rsidRDefault="00910F63" w:rsidP="007400C4">
            <w:pPr>
              <w:rPr>
                <w:rFonts w:ascii="Times New Roman" w:hAnsi="Times New Roman"/>
                <w:sz w:val="24"/>
              </w:rPr>
            </w:pPr>
            <w:r>
              <w:rPr>
                <w:rFonts w:ascii="Times New Roman" w:hAnsi="Times New Roman"/>
                <w:sz w:val="24"/>
              </w:rPr>
              <w:t>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2A677E" w:rsidRDefault="00910F63" w:rsidP="007400C4">
            <w:pPr>
              <w:rPr>
                <w:rFonts w:ascii="Times New Roman" w:hAnsi="Times New Roman"/>
                <w:b/>
                <w:sz w:val="24"/>
                <w:u w:val="single"/>
              </w:rPr>
            </w:pPr>
            <w:r>
              <w:rPr>
                <w:rFonts w:ascii="Times New Roman" w:hAnsi="Times New Roman"/>
                <w:b/>
                <w:sz w:val="24"/>
                <w:u w:val="single"/>
              </w:rPr>
              <w:t>Εξασφαλισμένα με οικιστικά ακίνητα</w:t>
            </w:r>
          </w:p>
          <w:p w14:paraId="3B8B837D" w14:textId="77777777" w:rsidR="00910F63" w:rsidRPr="00910F63" w:rsidRDefault="00910F63" w:rsidP="00910F63">
            <w:pPr>
              <w:rPr>
                <w:rFonts w:ascii="Times New Roman" w:hAnsi="Times New Roman"/>
                <w:bCs/>
                <w:sz w:val="24"/>
              </w:rPr>
            </w:pPr>
            <w:r>
              <w:rPr>
                <w:rFonts w:ascii="Times New Roman" w:hAnsi="Times New Roman"/>
                <w:sz w:val="24"/>
              </w:rPr>
              <w:t>Ανοίγματα λιανικής τραπεζικής, όπως προβλέπεται στο άρθρο 147 παράγραφος 2 στοιχείο δ) ii) του κανονισμού (ΕΕ) αριθ. 575/2013.</w:t>
            </w:r>
          </w:p>
          <w:p w14:paraId="7240267A" w14:textId="77777777" w:rsidR="00910F63" w:rsidRPr="002A677E" w:rsidRDefault="00910F63" w:rsidP="007400C4">
            <w:pPr>
              <w:rPr>
                <w:rFonts w:ascii="Times New Roman" w:hAnsi="Times New Roman"/>
                <w:b/>
                <w:sz w:val="24"/>
                <w:u w:val="single"/>
              </w:rPr>
            </w:pPr>
            <w:r>
              <w:rPr>
                <w:rFonts w:ascii="Times New Roman" w:hAnsi="Times New Roman"/>
                <w:sz w:val="24"/>
              </w:rPr>
              <w:t>Ως ανοίγματα λιανικής τραπεζικής εξασφαλισμένα με ακίνητα κατοικίας νοούνται όλα τα ανοίγματα λιανικής τραπεζικής που εξασφαλίζονται με ακίνητα κατοικίας που αναγνωρίζονται ως εξασφάλιση, ανεξάρτητα από τον λόγο της αξίας της εξασφάλισης προς το άνοιγμα ή τον σκοπό του δανείου.</w:t>
            </w:r>
          </w:p>
        </w:tc>
      </w:tr>
      <w:tr w:rsidR="009D6580" w:rsidRPr="002A677E" w14:paraId="38AD5BBA" w14:textId="77777777" w:rsidTr="00822842">
        <w:tc>
          <w:tcPr>
            <w:tcW w:w="1188" w:type="dxa"/>
          </w:tcPr>
          <w:p w14:paraId="48A5C8D2"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640" w:type="dxa"/>
          </w:tcPr>
          <w:p w14:paraId="1B160106" w14:textId="7C65E11F" w:rsidR="009D6580" w:rsidRPr="002A677E" w:rsidRDefault="009D6580" w:rsidP="00822842">
            <w:pPr>
              <w:rPr>
                <w:rFonts w:ascii="Times New Roman" w:hAnsi="Times New Roman"/>
                <w:b/>
                <w:sz w:val="24"/>
                <w:u w:val="single"/>
              </w:rPr>
            </w:pPr>
            <w:r>
              <w:rPr>
                <w:rFonts w:ascii="Times New Roman" w:hAnsi="Times New Roman"/>
                <w:b/>
                <w:sz w:val="24"/>
                <w:u w:val="single"/>
              </w:rPr>
              <w:t>Αποδεκτά ανακυκλούμενα</w:t>
            </w:r>
          </w:p>
          <w:p w14:paraId="363209C3"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σημείο i) σε συνδυασμό με το άρθρο 154 παράγραφος 4 του κανονισμού (ΕΕ) αριθ. 575/2013</w:t>
            </w:r>
          </w:p>
        </w:tc>
      </w:tr>
      <w:tr w:rsidR="009D6580" w:rsidRPr="002A677E" w14:paraId="26D0338D" w14:textId="77777777" w:rsidTr="00822842">
        <w:tc>
          <w:tcPr>
            <w:tcW w:w="1188" w:type="dxa"/>
          </w:tcPr>
          <w:p w14:paraId="6DA4B8E6" w14:textId="77777777" w:rsidR="009D6580" w:rsidRPr="002A677E" w:rsidRDefault="009D6580" w:rsidP="00822842">
            <w:pPr>
              <w:rPr>
                <w:rFonts w:ascii="Times New Roman" w:hAnsi="Times New Roman"/>
                <w:sz w:val="24"/>
              </w:rPr>
            </w:pPr>
            <w:r>
              <w:rPr>
                <w:rFonts w:ascii="Times New Roman" w:hAnsi="Times New Roman"/>
                <w:sz w:val="24"/>
              </w:rPr>
              <w:t>0105</w:t>
            </w:r>
          </w:p>
        </w:tc>
        <w:tc>
          <w:tcPr>
            <w:tcW w:w="8640" w:type="dxa"/>
          </w:tcPr>
          <w:p w14:paraId="63563096" w14:textId="485ECEE6" w:rsidR="009D6580" w:rsidRDefault="009D6580" w:rsidP="00822842">
            <w:pPr>
              <w:rPr>
                <w:rFonts w:ascii="Times New Roman" w:hAnsi="Times New Roman"/>
                <w:b/>
                <w:sz w:val="24"/>
                <w:u w:val="single"/>
              </w:rPr>
            </w:pPr>
            <w:r>
              <w:rPr>
                <w:rFonts w:ascii="Times New Roman" w:hAnsi="Times New Roman"/>
                <w:b/>
                <w:sz w:val="24"/>
                <w:u w:val="single"/>
              </w:rPr>
              <w:t>Αποκτηθείσες εισπρακτέες απαιτήσεις</w:t>
            </w:r>
          </w:p>
          <w:p w14:paraId="7C92CD05" w14:textId="77777777" w:rsidR="009D6580" w:rsidRPr="00B7761D" w:rsidRDefault="009D6580" w:rsidP="00822842">
            <w:pPr>
              <w:rPr>
                <w:rFonts w:cs="Calibri"/>
                <w:sz w:val="18"/>
                <w:szCs w:val="18"/>
              </w:rPr>
            </w:pPr>
            <w:r>
              <w:rPr>
                <w:rFonts w:ascii="Times New Roman" w:hAnsi="Times New Roman"/>
                <w:sz w:val="24"/>
              </w:rPr>
              <w:t>Ανοίγματα λιανικής τραπεζικής, όπως προβλέπεται στο άρθρο 147 παράγραφος 2 στοιχείο δ) σημείο iii) του κανονισμού (ΕΕ) αριθ. 575/2013</w:t>
            </w:r>
          </w:p>
        </w:tc>
      </w:tr>
      <w:tr w:rsidR="009D6580" w:rsidRPr="002A677E" w14:paraId="551F153F" w14:textId="77777777" w:rsidTr="00822842">
        <w:tc>
          <w:tcPr>
            <w:tcW w:w="1188" w:type="dxa"/>
          </w:tcPr>
          <w:p w14:paraId="1C567015"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640" w:type="dxa"/>
          </w:tcPr>
          <w:p w14:paraId="3B169086" w14:textId="5BA51B78" w:rsidR="009D6580" w:rsidRPr="002A677E" w:rsidRDefault="009D6580" w:rsidP="00822842">
            <w:pPr>
              <w:rPr>
                <w:rFonts w:ascii="Times New Roman" w:hAnsi="Times New Roman"/>
                <w:b/>
                <w:sz w:val="24"/>
                <w:u w:val="single"/>
              </w:rPr>
            </w:pPr>
            <w:r>
              <w:rPr>
                <w:rFonts w:ascii="Times New Roman" w:hAnsi="Times New Roman"/>
                <w:b/>
                <w:sz w:val="24"/>
                <w:u w:val="single"/>
              </w:rPr>
              <w:t>Άλλα ανοίγματα λιανικής τραπεζικής</w:t>
            </w:r>
          </w:p>
          <w:p w14:paraId="6BB335AD" w14:textId="5184DC86" w:rsidR="009D6580" w:rsidRPr="002A677E" w:rsidRDefault="009D6580" w:rsidP="00822842">
            <w:pPr>
              <w:pStyle w:val="ListParagraph"/>
              <w:ind w:left="0"/>
              <w:rPr>
                <w:rFonts w:ascii="Times New Roman" w:hAnsi="Times New Roman"/>
                <w:sz w:val="24"/>
              </w:rPr>
            </w:pPr>
            <w:r>
              <w:rPr>
                <w:rFonts w:ascii="Times New Roman" w:hAnsi="Times New Roman"/>
                <w:sz w:val="24"/>
              </w:rPr>
              <w:t>Άλλα ανοίγματα λιανικής τραπεζικής, όπως προβλέπεται στο άρθρο 147 παράγραφος 2 στοιχείο δ) σημείο iv) του κανονισμού (ΕΕ) αριθ. 575/2013.</w:t>
            </w:r>
          </w:p>
        </w:tc>
      </w:tr>
      <w:tr w:rsidR="009D6580" w:rsidRPr="002A677E" w14:paraId="1879AB2D" w14:textId="77777777" w:rsidTr="00822842">
        <w:tc>
          <w:tcPr>
            <w:tcW w:w="1188" w:type="dxa"/>
          </w:tcPr>
          <w:p w14:paraId="247F0534"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640" w:type="dxa"/>
          </w:tcPr>
          <w:p w14:paraId="37F76446" w14:textId="0C2F5C96" w:rsidR="009D6580" w:rsidRPr="002A677E" w:rsidRDefault="00837F98" w:rsidP="00822842">
            <w:pPr>
              <w:rPr>
                <w:rFonts w:ascii="Times New Roman" w:hAnsi="Times New Roman"/>
                <w:b/>
                <w:sz w:val="24"/>
                <w:u w:val="single"/>
              </w:rPr>
            </w:pPr>
            <w:r>
              <w:rPr>
                <w:rFonts w:ascii="Times New Roman" w:hAnsi="Times New Roman"/>
                <w:b/>
                <w:sz w:val="24"/>
                <w:u w:val="single"/>
              </w:rPr>
              <w:t>Εκ των οποίων: ΜΜΕ</w:t>
            </w:r>
          </w:p>
          <w:p w14:paraId="28CE96BD" w14:textId="7A3420F8" w:rsidR="009D6580" w:rsidRPr="002A677E" w:rsidRDefault="009D6580" w:rsidP="00822842">
            <w:pPr>
              <w:pStyle w:val="ListParagraph"/>
              <w:ind w:left="0"/>
              <w:rPr>
                <w:rFonts w:ascii="Times New Roman" w:hAnsi="Times New Roman"/>
                <w:sz w:val="24"/>
              </w:rPr>
            </w:pPr>
            <w:r>
              <w:rPr>
                <w:rFonts w:ascii="Times New Roman" w:hAnsi="Times New Roman"/>
                <w:sz w:val="24"/>
              </w:rPr>
              <w:t xml:space="preserve">Άλλα ανοίγματα λιανικής τραπεζικής, όπως προβλέπεται στο άρθρο 147 παράγραφος 2 στοιχείο δ) σημείο iv) του κανονισμού (ΕΕ) αριθ. 575/2013, σε συνδυασμό με το άρθρο 5 παράγραφος 8 του κανονισμού (ΕΕ) αριθ. 575/2013. </w:t>
            </w:r>
          </w:p>
        </w:tc>
      </w:tr>
      <w:tr w:rsidR="009D6580" w:rsidRPr="002A677E" w14:paraId="6140E6E8" w14:textId="77777777" w:rsidTr="00822842">
        <w:tc>
          <w:tcPr>
            <w:tcW w:w="1188" w:type="dxa"/>
          </w:tcPr>
          <w:p w14:paraId="4DD00789"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640" w:type="dxa"/>
          </w:tcPr>
          <w:p w14:paraId="40BDF108" w14:textId="2B96A314" w:rsidR="009D6580" w:rsidRPr="002A677E" w:rsidRDefault="00837F98" w:rsidP="00822842">
            <w:pPr>
              <w:rPr>
                <w:rFonts w:ascii="Times New Roman" w:hAnsi="Times New Roman"/>
                <w:b/>
                <w:sz w:val="24"/>
                <w:u w:val="single"/>
              </w:rPr>
            </w:pPr>
            <w:r>
              <w:rPr>
                <w:rFonts w:ascii="Times New Roman" w:hAnsi="Times New Roman"/>
                <w:b/>
                <w:sz w:val="24"/>
                <w:u w:val="single"/>
              </w:rPr>
              <w:t>Εκ των οποίων: Μη ΜΜΕ</w:t>
            </w:r>
          </w:p>
          <w:p w14:paraId="51D486B6" w14:textId="251D2008" w:rsidR="009D6580" w:rsidRPr="002A677E" w:rsidRDefault="00837F98" w:rsidP="00822842">
            <w:pPr>
              <w:rPr>
                <w:rFonts w:ascii="Times New Roman" w:hAnsi="Times New Roman"/>
                <w:sz w:val="24"/>
              </w:rPr>
            </w:pPr>
            <w:r>
              <w:rPr>
                <w:rFonts w:ascii="Times New Roman" w:hAnsi="Times New Roman"/>
                <w:sz w:val="24"/>
              </w:rPr>
              <w:t>Άλλα ανοίγματα λιανικής τραπεζικής, όπως προβλέπεται στο άρθρο 147 παράγραφος 2 στοιχείο δ) σημείο iv) του κανονισμού (ΕΕ) αριθ. 575/2013, όχι σε συνδυασμό με το άρθρο 5 παράγραφος 8 του κανονισμού (ΕΕ) αριθ. 575/2013.</w:t>
            </w:r>
          </w:p>
        </w:tc>
      </w:tr>
      <w:tr w:rsidR="009D6580" w:rsidRPr="002A677E" w14:paraId="70A29A85" w14:textId="77777777" w:rsidTr="00822842">
        <w:tc>
          <w:tcPr>
            <w:tcW w:w="1188" w:type="dxa"/>
          </w:tcPr>
          <w:p w14:paraId="5C287489" w14:textId="77777777" w:rsidR="009D6580" w:rsidRPr="002A677E" w:rsidRDefault="009D6580" w:rsidP="00822842">
            <w:pPr>
              <w:rPr>
                <w:rFonts w:ascii="Times New Roman" w:hAnsi="Times New Roman"/>
                <w:sz w:val="24"/>
              </w:rPr>
            </w:pPr>
            <w:r>
              <w:rPr>
                <w:rFonts w:ascii="Times New Roman" w:hAnsi="Times New Roman"/>
                <w:sz w:val="24"/>
              </w:rPr>
              <w:t>0132</w:t>
            </w:r>
          </w:p>
        </w:tc>
        <w:tc>
          <w:tcPr>
            <w:tcW w:w="8640" w:type="dxa"/>
          </w:tcPr>
          <w:p w14:paraId="170B9280"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Οργανισμοί συλλογικών επενδύσεων (ΟΣΕ)</w:t>
            </w:r>
          </w:p>
          <w:p w14:paraId="4237C58D" w14:textId="4E266C1C" w:rsidR="009D6580" w:rsidRDefault="009D6580" w:rsidP="00822842">
            <w:pPr>
              <w:rPr>
                <w:rFonts w:ascii="Times New Roman" w:hAnsi="Times New Roman"/>
                <w:b/>
                <w:sz w:val="24"/>
                <w:u w:val="single"/>
              </w:rPr>
            </w:pPr>
            <w:r>
              <w:rPr>
                <w:rFonts w:ascii="Times New Roman" w:hAnsi="Times New Roman"/>
                <w:sz w:val="24"/>
              </w:rPr>
              <w:t>Άρθρο 147 παράγραφος 2 στοιχείο ε1)</w:t>
            </w:r>
            <w:r>
              <w:t xml:space="preserve"> </w:t>
            </w:r>
            <w:r>
              <w:rPr>
                <w:rFonts w:ascii="Times New Roman" w:hAnsi="Times New Roman"/>
                <w:sz w:val="24"/>
              </w:rPr>
              <w:t>του κανονισμού (ΕΕ) αριθ. 575/2013</w:t>
            </w:r>
          </w:p>
        </w:tc>
      </w:tr>
      <w:tr w:rsidR="009D6580" w:rsidRPr="002A677E" w14:paraId="72EBDFDD" w14:textId="77777777" w:rsidTr="00822842">
        <w:tc>
          <w:tcPr>
            <w:tcW w:w="1188" w:type="dxa"/>
          </w:tcPr>
          <w:p w14:paraId="290EDA87" w14:textId="77777777" w:rsidR="009D6580" w:rsidRPr="002A677E" w:rsidRDefault="009D6580" w:rsidP="00822842">
            <w:pPr>
              <w:rPr>
                <w:rFonts w:ascii="Times New Roman" w:hAnsi="Times New Roman"/>
                <w:sz w:val="24"/>
              </w:rPr>
            </w:pPr>
            <w:r>
              <w:rPr>
                <w:rFonts w:ascii="Times New Roman" w:hAnsi="Times New Roman"/>
                <w:sz w:val="24"/>
              </w:rPr>
              <w:t>0133</w:t>
            </w:r>
          </w:p>
        </w:tc>
        <w:tc>
          <w:tcPr>
            <w:tcW w:w="8640" w:type="dxa"/>
          </w:tcPr>
          <w:p w14:paraId="39E22A69"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Προσέγγιση εξέτασης</w:t>
            </w:r>
          </w:p>
          <w:p w14:paraId="3481CEEB"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lastRenderedPageBreak/>
              <w:t>Ίδιος ορισμός με τον ορισμό της γραμμής 0190 του υποδείγματος CR IRB</w:t>
            </w:r>
          </w:p>
        </w:tc>
      </w:tr>
      <w:tr w:rsidR="009D6580" w:rsidRPr="002A677E" w14:paraId="6520599F" w14:textId="77777777" w:rsidTr="00822842">
        <w:tc>
          <w:tcPr>
            <w:tcW w:w="1188" w:type="dxa"/>
          </w:tcPr>
          <w:p w14:paraId="5DF820F6" w14:textId="77777777" w:rsidR="009D6580" w:rsidRPr="002A677E" w:rsidRDefault="009D6580" w:rsidP="00822842">
            <w:pPr>
              <w:rPr>
                <w:rFonts w:ascii="Times New Roman" w:hAnsi="Times New Roman"/>
                <w:sz w:val="24"/>
              </w:rPr>
            </w:pPr>
            <w:r>
              <w:rPr>
                <w:rFonts w:ascii="Times New Roman" w:hAnsi="Times New Roman"/>
                <w:sz w:val="24"/>
              </w:rPr>
              <w:lastRenderedPageBreak/>
              <w:t>0134</w:t>
            </w:r>
          </w:p>
        </w:tc>
        <w:tc>
          <w:tcPr>
            <w:tcW w:w="8640" w:type="dxa"/>
          </w:tcPr>
          <w:p w14:paraId="13156AFE"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Προσέγγιση βάσει εντολής</w:t>
            </w:r>
          </w:p>
          <w:p w14:paraId="37B63BC9"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Ίδιος ορισμός με τον ορισμό της γραμμής 0200 του υποδείγματος CR IRB</w:t>
            </w:r>
          </w:p>
        </w:tc>
      </w:tr>
      <w:tr w:rsidR="009D6580" w:rsidRPr="002A677E" w14:paraId="57B2C532" w14:textId="77777777" w:rsidTr="00822842">
        <w:tc>
          <w:tcPr>
            <w:tcW w:w="1188" w:type="dxa"/>
          </w:tcPr>
          <w:p w14:paraId="251B0D2B" w14:textId="77777777" w:rsidR="009D6580" w:rsidRPr="002A677E" w:rsidRDefault="009D6580" w:rsidP="00822842">
            <w:pPr>
              <w:rPr>
                <w:rFonts w:ascii="Times New Roman" w:hAnsi="Times New Roman"/>
                <w:sz w:val="24"/>
              </w:rPr>
            </w:pPr>
            <w:r>
              <w:rPr>
                <w:rFonts w:ascii="Times New Roman" w:hAnsi="Times New Roman"/>
                <w:sz w:val="24"/>
              </w:rPr>
              <w:t>0135</w:t>
            </w:r>
          </w:p>
        </w:tc>
        <w:tc>
          <w:tcPr>
            <w:tcW w:w="8640" w:type="dxa"/>
          </w:tcPr>
          <w:p w14:paraId="19D4ED63"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Εφεδρική προσέγγιση</w:t>
            </w:r>
          </w:p>
          <w:p w14:paraId="18A39C60"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Ίδιος ορισμός με τον ορισμό της γραμμής 0210 του υποδείγματος CR IRB</w:t>
            </w:r>
          </w:p>
        </w:tc>
      </w:tr>
      <w:bookmarkEnd w:id="3"/>
      <w:tr w:rsidR="009D6580" w:rsidRPr="002A677E"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Μετοχικό κεφάλαιο</w:t>
            </w:r>
          </w:p>
          <w:p w14:paraId="1A033F11" w14:textId="77777777" w:rsidR="009D6580" w:rsidRPr="002A677E" w:rsidRDefault="009D6580" w:rsidP="00822842">
            <w:pPr>
              <w:rPr>
                <w:rFonts w:ascii="Times New Roman" w:hAnsi="Times New Roman"/>
                <w:b/>
                <w:sz w:val="24"/>
                <w:u w:val="single"/>
              </w:rPr>
            </w:pPr>
            <w:r>
              <w:rPr>
                <w:rFonts w:ascii="Times New Roman" w:hAnsi="Times New Roman"/>
                <w:sz w:val="24"/>
              </w:rPr>
              <w:t>Ανοίγματα σε μετοχές, όπως προβλέπεται στο άρθρο 147 παράγραφος 2 στοιχείο ε) του κανονισμού (ΕΕ) αριθ. 575/2013</w:t>
            </w:r>
          </w:p>
        </w:tc>
      </w:tr>
      <w:tr w:rsidR="009D6580" w:rsidRPr="002A677E"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Συνολικά ανοίγματα</w:t>
            </w:r>
          </w:p>
        </w:tc>
      </w:tr>
    </w:tbl>
    <w:p w14:paraId="77289230" w14:textId="77777777" w:rsidR="009D6580" w:rsidRPr="002A677E" w:rsidRDefault="009D6580" w:rsidP="009D6580">
      <w:pPr>
        <w:spacing w:before="0" w:after="200" w:line="312" w:lineRule="auto"/>
        <w:jc w:val="left"/>
        <w:rPr>
          <w:rFonts w:ascii="Times New Roman" w:hAnsi="Times New Roman"/>
          <w:sz w:val="24"/>
        </w:rPr>
      </w:pPr>
    </w:p>
    <w:p w14:paraId="6A7D32B9"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0" w:name="_Toc360188366"/>
      <w:bookmarkStart w:id="11" w:name="_Toc473560917"/>
      <w:bookmarkStart w:id="12" w:name="_Toc151714421"/>
      <w:r>
        <w:rPr>
          <w:rFonts w:ascii="Times New Roman" w:hAnsi="Times New Roman"/>
          <w:sz w:val="24"/>
          <w:u w:val="none"/>
        </w:rPr>
        <w:t>3.4.3.</w:t>
      </w:r>
      <w:r>
        <w:tab/>
      </w:r>
      <w:r>
        <w:rPr>
          <w:rFonts w:ascii="Times New Roman" w:hAnsi="Times New Roman"/>
          <w:sz w:val="24"/>
        </w:rPr>
        <w:t>C 09.04 – Κατανομή των πιστωτικών ανοιγμάτων που είναι σημαντικά για τον υπολογισμό του αντικυκλικού κεφαλαιακού αποθέματος ασφαλείας ανά χώρα και του ποσοστού αντικυκλικού κεφαλαιακού αποθέματος ασφαλείας ειδικά για το κάθε ίδρυμα</w:t>
      </w:r>
      <w:bookmarkEnd w:id="10"/>
      <w:r>
        <w:rPr>
          <w:rFonts w:ascii="Times New Roman" w:hAnsi="Times New Roman"/>
          <w:sz w:val="24"/>
        </w:rPr>
        <w:t xml:space="preserve"> (CCB)</w:t>
      </w:r>
      <w:bookmarkEnd w:id="11"/>
      <w:bookmarkEnd w:id="12"/>
    </w:p>
    <w:p w14:paraId="600FC3A3"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3" w:name="_Toc360188367"/>
      <w:bookmarkStart w:id="14" w:name="_Toc473560918"/>
      <w:bookmarkStart w:id="15" w:name="_Toc151714422"/>
      <w:r>
        <w:rPr>
          <w:rFonts w:ascii="Times New Roman" w:hAnsi="Times New Roman"/>
          <w:sz w:val="24"/>
          <w:u w:val="none"/>
        </w:rPr>
        <w:t>3.4.3.1.</w:t>
      </w:r>
      <w:r>
        <w:tab/>
      </w:r>
      <w:r>
        <w:rPr>
          <w:rFonts w:ascii="Times New Roman" w:hAnsi="Times New Roman"/>
          <w:sz w:val="24"/>
        </w:rPr>
        <w:t>Γενικές παρατηρήσεις</w:t>
      </w:r>
      <w:bookmarkEnd w:id="13"/>
      <w:bookmarkEnd w:id="14"/>
      <w:bookmarkEnd w:id="15"/>
    </w:p>
    <w:p w14:paraId="57D13BA6"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88</w:t>
      </w:r>
      <w:r>
        <w:fldChar w:fldCharType="end"/>
      </w:r>
      <w:r>
        <w:t>.</w:t>
      </w:r>
      <w:r>
        <w:tab/>
        <w:t xml:space="preserve">Το εν λόγω υπόδειγμα εφαρμόζεται για τη λήψη περισσότερων πληροφοριών σχετικά με τα στοιχεία του αντικυκλικού κεφαλαιακού αποθέματος ασφαλείας ειδικά για το κάθε ίδρυμα. Οι απαιτούμενες πληροφορίες αφορούν τις απαιτήσεις ιδίων κεφαλαίων που προσδιορίζονται σύμφωνα με το τρίτο μέρος τίτλος II και τίτλος IV του κανονισμού (ΕΕ) αριθ. 575/2013, καθώς και τη γεωγραφική θέση των πιστωτικών ανοιγμάτων, των ανοιγμάτων τιτλοποίησης και των ανοιγμάτων του χαρτοφυλακίου συναλλαγών που είναι σημαντικά για τον υπολογισμό του αντικυκλικού κεφαλαιακού αποθέματος ασφαλείας ειδικά για το κάθε ίδρυμα (CCB), σύμφωνα με το άρθρο 140 της οδηγίας 2013/36/ΕΕ (σχετικές εκθέσεις σε πιστωτικό κίνδυνο). </w:t>
      </w:r>
    </w:p>
    <w:p w14:paraId="10EA3DAD"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89</w:t>
      </w:r>
      <w:r>
        <w:fldChar w:fldCharType="end"/>
      </w:r>
      <w:r>
        <w:t>.</w:t>
      </w:r>
      <w:r>
        <w:tab/>
        <w:t xml:space="preserve">Οι πληροφορίες στο υπόδειγμα C 09.04 απαιτούνται για το “Σύνολο” των σχετικών πιστωτικών ανοιγμάτων σε όλες τις δικαιοδοσίες στις οποίες υπάγονται τα ανοίγματα και χωριστά για κάθε δικαιοδοσία στην οποία υπάγονται τα σχετικά πιστωτικά ανοίγματα. Τα συνολικά αριθμητικά στοιχεία, καθώς οι πληροφορίες για κάθε δικαιοδοσία, αναφέρονται σε μια χωριστή διάσταση. </w:t>
      </w:r>
    </w:p>
    <w:p w14:paraId="054CDEAF"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90</w:t>
      </w:r>
      <w:r>
        <w:fldChar w:fldCharType="end"/>
      </w:r>
      <w:r>
        <w:t>.</w:t>
      </w:r>
      <w:r>
        <w:tab/>
        <w:t>Το κατώτατο όριο που προβλέπεται στο άρθρο 5 παράγραφος 5 του παρόντος εκτελεστικού κανονισμού δεν εφαρμόζεται για την αναφορά της συγκεκριμένης κατανομής.</w:t>
      </w:r>
    </w:p>
    <w:bookmarkStart w:id="16" w:name="_Hlk151650982"/>
    <w:p w14:paraId="710781F7"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91</w:t>
      </w:r>
      <w:r>
        <w:fldChar w:fldCharType="end"/>
      </w:r>
      <w:r>
        <w:t>.</w:t>
      </w:r>
      <w:r>
        <w:tab/>
        <w:t>Για τον προσδιορισμό της γεωγραφικής θέσης, τα ανοίγματα κατατάσσονται βάσει του άμεσου οφειλέτη, όπως προβλέπεται στον κατ’ εξουσιοδότηση κανονισμό (ΕΕ) αριθ. 1152/2014 της Επιτροπής</w:t>
      </w:r>
      <w:r>
        <w:footnoteReference w:id="1"/>
      </w:r>
      <w:r>
        <w:t xml:space="preserve">. Επομένως, οι τεχνικές μείωσης του </w:t>
      </w:r>
      <w:r>
        <w:lastRenderedPageBreak/>
        <w:t>πιστωτικού κινδύνου δεν επηρεάζουν την κατάταξη ενός ανοίγματος στη γεωγραφική του θέση, για τους σκοπούς της υποβολής πληροφοριών που καθορίζονται στο παρόν υπόδειγμα.</w:t>
      </w:r>
    </w:p>
    <w:p w14:paraId="4811C8E1"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7" w:name="_Toc360188368"/>
      <w:bookmarkStart w:id="18" w:name="_Toc473560919"/>
      <w:bookmarkStart w:id="19" w:name="_Toc151714423"/>
      <w:bookmarkEnd w:id="16"/>
      <w:r>
        <w:rPr>
          <w:rFonts w:ascii="Times New Roman" w:hAnsi="Times New Roman"/>
          <w:sz w:val="24"/>
          <w:u w:val="none"/>
        </w:rPr>
        <w:t>3.4.3.2.</w:t>
      </w:r>
      <w:r>
        <w:tab/>
      </w:r>
      <w:r>
        <w:rPr>
          <w:rFonts w:ascii="Times New Roman" w:hAnsi="Times New Roman"/>
          <w:sz w:val="24"/>
        </w:rPr>
        <w:t>Οδηγίες για συγκεκριμένες θέσεις</w:t>
      </w:r>
      <w:bookmarkEnd w:id="17"/>
      <w:bookmarkEnd w:id="18"/>
      <w:bookmarkEnd w:id="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1A9B1D" w14:textId="77777777" w:rsidTr="00822842">
        <w:tc>
          <w:tcPr>
            <w:tcW w:w="1697" w:type="dxa"/>
            <w:shd w:val="clear" w:color="auto" w:fill="CCCCCC"/>
          </w:tcPr>
          <w:p w14:paraId="6D544C28" w14:textId="77777777" w:rsidR="009D6580" w:rsidRPr="002A677E" w:rsidRDefault="009D6580" w:rsidP="00822842">
            <w:pPr>
              <w:rPr>
                <w:rFonts w:ascii="Times New Roman" w:hAnsi="Times New Roman"/>
                <w:b/>
                <w:sz w:val="24"/>
              </w:rPr>
            </w:pPr>
            <w:r>
              <w:rPr>
                <w:rFonts w:ascii="Times New Roman" w:hAnsi="Times New Roman"/>
                <w:b/>
                <w:sz w:val="24"/>
              </w:rPr>
              <w:t>Στήλες</w:t>
            </w:r>
          </w:p>
        </w:tc>
        <w:tc>
          <w:tcPr>
            <w:tcW w:w="8131" w:type="dxa"/>
            <w:shd w:val="clear" w:color="auto" w:fill="CCCCCC"/>
          </w:tcPr>
          <w:p w14:paraId="55FA945D" w14:textId="77777777" w:rsidR="009D6580" w:rsidRPr="002A677E" w:rsidRDefault="009D6580" w:rsidP="00822842">
            <w:pPr>
              <w:ind w:left="72"/>
              <w:rPr>
                <w:rFonts w:ascii="Times New Roman" w:hAnsi="Times New Roman"/>
                <w:sz w:val="24"/>
              </w:rPr>
            </w:pPr>
          </w:p>
        </w:tc>
      </w:tr>
      <w:tr w:rsidR="009D6580" w:rsidRPr="002A677E" w14:paraId="6B14BCBD" w14:textId="77777777" w:rsidTr="00822842">
        <w:tc>
          <w:tcPr>
            <w:tcW w:w="1697" w:type="dxa"/>
          </w:tcPr>
          <w:p w14:paraId="5CBD6D84" w14:textId="77777777" w:rsidR="009D6580" w:rsidRPr="002A677E" w:rsidRDefault="009D6580" w:rsidP="00822842">
            <w:pPr>
              <w:rPr>
                <w:rStyle w:val="InstructionsTabelleText"/>
                <w:rFonts w:ascii="Times New Roman" w:hAnsi="Times New Roman"/>
                <w:sz w:val="24"/>
              </w:rPr>
            </w:pPr>
            <w:r>
              <w:rPr>
                <w:rFonts w:ascii="Times New Roman" w:hAnsi="Times New Roman"/>
                <w:sz w:val="24"/>
              </w:rPr>
              <w:t>0010</w:t>
            </w:r>
          </w:p>
        </w:tc>
        <w:tc>
          <w:tcPr>
            <w:tcW w:w="8131" w:type="dxa"/>
          </w:tcPr>
          <w:p w14:paraId="6A1F53D1"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Ποσό</w:t>
            </w:r>
          </w:p>
          <w:p w14:paraId="4EDF6439" w14:textId="77777777" w:rsidR="009D6580" w:rsidRPr="002A677E" w:rsidRDefault="009D6580" w:rsidP="00822842">
            <w:pPr>
              <w:rPr>
                <w:rFonts w:ascii="Times New Roman" w:hAnsi="Times New Roman"/>
                <w:b/>
                <w:sz w:val="24"/>
                <w:u w:val="single"/>
              </w:rPr>
            </w:pPr>
            <w:r>
              <w:rPr>
                <w:rFonts w:ascii="Times New Roman" w:hAnsi="Times New Roman"/>
                <w:sz w:val="24"/>
              </w:rPr>
              <w:t>Η αξία των σχετικών πιστωτικών ανοιγμάτων και των συνδεόμενων απαιτήσεων ιδίων κεφαλαίων, που προσδιορίζεται σύμφωνα με τις οδηγίες για την αντίστοιχη γραμμή.</w:t>
            </w:r>
          </w:p>
        </w:tc>
      </w:tr>
      <w:tr w:rsidR="009D6580" w:rsidRPr="002A677E" w14:paraId="29BB3D71" w14:textId="77777777" w:rsidTr="00822842">
        <w:tc>
          <w:tcPr>
            <w:tcW w:w="1697" w:type="dxa"/>
          </w:tcPr>
          <w:p w14:paraId="15999D4B" w14:textId="77777777" w:rsidR="009D6580" w:rsidRPr="002A677E" w:rsidRDefault="009D6580" w:rsidP="00822842">
            <w:pPr>
              <w:rPr>
                <w:sz w:val="24"/>
              </w:rPr>
            </w:pPr>
            <w:r>
              <w:rPr>
                <w:rFonts w:ascii="Times New Roman" w:hAnsi="Times New Roman"/>
                <w:sz w:val="24"/>
              </w:rPr>
              <w:t>0020</w:t>
            </w:r>
          </w:p>
        </w:tc>
        <w:tc>
          <w:tcPr>
            <w:tcW w:w="8131" w:type="dxa"/>
          </w:tcPr>
          <w:p w14:paraId="4133F8D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Ποσοστό</w:t>
            </w:r>
          </w:p>
          <w:p w14:paraId="01DD816F" w14:textId="77777777" w:rsidR="009D6580" w:rsidRPr="002A677E" w:rsidRDefault="009D6580" w:rsidP="00822842">
            <w:pPr>
              <w:rPr>
                <w:rFonts w:ascii="Times New Roman" w:hAnsi="Times New Roman"/>
                <w:b/>
                <w:bCs/>
                <w:sz w:val="24"/>
                <w:u w:val="single"/>
                <w:lang w:eastAsia="de-DE"/>
              </w:rPr>
            </w:pPr>
          </w:p>
        </w:tc>
      </w:tr>
      <w:tr w:rsidR="009D6580" w:rsidRPr="002A677E" w14:paraId="2A8BD3C1" w14:textId="77777777" w:rsidTr="00822842">
        <w:tc>
          <w:tcPr>
            <w:tcW w:w="1697" w:type="dxa"/>
          </w:tcPr>
          <w:p w14:paraId="0F30E1C9"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131" w:type="dxa"/>
          </w:tcPr>
          <w:p w14:paraId="61529C4E"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b/>
                <w:sz w:val="24"/>
                <w:u w:val="single"/>
              </w:rPr>
              <w:t>Ποιοτικές πληροφορίες</w:t>
            </w:r>
          </w:p>
          <w:p w14:paraId="394356B2"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Οι εν λόγω πληροφορίες αναφέρονται μόνο για τη χώρα κατοικίας του ιδρύματος (τη δικαιοδοσία που αντιστοιχεί στο οικείο κράτος μέλος καταγωγής) και το “Σύνολο” όλων των χωρών. </w:t>
            </w:r>
          </w:p>
          <w:p w14:paraId="6761B5E4"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Τα ιδρύματα αναφέρουν είτε {y} είτε {n}, σύμφωνα με τις οδηγίες για την αντίστοιχη γραμμή.</w:t>
            </w:r>
          </w:p>
        </w:tc>
      </w:tr>
    </w:tbl>
    <w:p w14:paraId="51476A7B" w14:textId="77777777" w:rsidR="009D6580" w:rsidRPr="002A677E"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F6A5AE" w14:textId="77777777" w:rsidTr="00822842">
        <w:tc>
          <w:tcPr>
            <w:tcW w:w="1697" w:type="dxa"/>
            <w:shd w:val="clear" w:color="auto" w:fill="CCCCCC"/>
          </w:tcPr>
          <w:p w14:paraId="3BCCC295" w14:textId="77777777" w:rsidR="009D6580" w:rsidRPr="002A677E" w:rsidRDefault="009D6580" w:rsidP="00822842">
            <w:pPr>
              <w:rPr>
                <w:rFonts w:ascii="Times New Roman" w:hAnsi="Times New Roman"/>
                <w:b/>
                <w:sz w:val="24"/>
              </w:rPr>
            </w:pPr>
            <w:r>
              <w:rPr>
                <w:rFonts w:ascii="Times New Roman" w:hAnsi="Times New Roman"/>
                <w:b/>
                <w:sz w:val="24"/>
              </w:rPr>
              <w:t>Γραμμές</w:t>
            </w:r>
          </w:p>
        </w:tc>
        <w:tc>
          <w:tcPr>
            <w:tcW w:w="8131" w:type="dxa"/>
            <w:shd w:val="clear" w:color="auto" w:fill="CCCCCC"/>
          </w:tcPr>
          <w:p w14:paraId="39519610" w14:textId="77777777" w:rsidR="009D6580" w:rsidRPr="002A677E" w:rsidRDefault="009D6580" w:rsidP="00822842">
            <w:pPr>
              <w:ind w:left="72"/>
              <w:rPr>
                <w:rFonts w:ascii="Times New Roman" w:hAnsi="Times New Roman"/>
                <w:sz w:val="24"/>
              </w:rPr>
            </w:pPr>
          </w:p>
        </w:tc>
      </w:tr>
      <w:tr w:rsidR="009D6580" w:rsidRPr="002A677E" w14:paraId="70661EF5" w14:textId="77777777" w:rsidTr="00822842">
        <w:tc>
          <w:tcPr>
            <w:tcW w:w="1697" w:type="dxa"/>
          </w:tcPr>
          <w:p w14:paraId="563EAAB9" w14:textId="77777777" w:rsidR="009D6580" w:rsidRPr="002A677E" w:rsidRDefault="009D6580" w:rsidP="00822842">
            <w:pPr>
              <w:rPr>
                <w:rStyle w:val="InstructionsTabelleText"/>
                <w:rFonts w:ascii="Times New Roman" w:hAnsi="Times New Roman"/>
                <w:sz w:val="24"/>
              </w:rPr>
            </w:pPr>
            <w:r>
              <w:rPr>
                <w:rFonts w:ascii="Times New Roman" w:hAnsi="Times New Roman"/>
                <w:sz w:val="24"/>
              </w:rPr>
              <w:t>0010-0020</w:t>
            </w:r>
          </w:p>
        </w:tc>
        <w:tc>
          <w:tcPr>
            <w:tcW w:w="8131" w:type="dxa"/>
          </w:tcPr>
          <w:p w14:paraId="3D2862F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Σχετικά πιστωτικά ανοίγματα – Πιστωτικός κίνδυνος</w:t>
            </w:r>
          </w:p>
          <w:p w14:paraId="516A26FA" w14:textId="77777777" w:rsidR="009D6580" w:rsidRPr="002A677E" w:rsidRDefault="009D6580" w:rsidP="00822842">
            <w:pPr>
              <w:rPr>
                <w:rFonts w:ascii="Times New Roman" w:hAnsi="Times New Roman"/>
                <w:b/>
                <w:sz w:val="24"/>
                <w:u w:val="single"/>
              </w:rPr>
            </w:pPr>
            <w:r>
              <w:rPr>
                <w:rFonts w:ascii="Times New Roman" w:hAnsi="Times New Roman"/>
                <w:sz w:val="24"/>
              </w:rPr>
              <w:t>Σχετικά πιστωτικά ανοίγματα, όπως προβλέπεται στο άρθρο 140 παράγραφος 4 στοιχείο α) της οδηγίας 2013/36/ΕΕ.</w:t>
            </w:r>
          </w:p>
        </w:tc>
      </w:tr>
      <w:tr w:rsidR="009D6580" w:rsidRPr="002A677E" w14:paraId="527A1F7E" w14:textId="77777777" w:rsidTr="00822842">
        <w:tc>
          <w:tcPr>
            <w:tcW w:w="1697" w:type="dxa"/>
          </w:tcPr>
          <w:p w14:paraId="18BE8A8D" w14:textId="77777777" w:rsidR="009D6580" w:rsidRPr="002A677E" w:rsidRDefault="009D6580" w:rsidP="00822842">
            <w:pPr>
              <w:rPr>
                <w:sz w:val="24"/>
              </w:rPr>
            </w:pPr>
            <w:r>
              <w:rPr>
                <w:rFonts w:ascii="Times New Roman" w:hAnsi="Times New Roman"/>
                <w:sz w:val="24"/>
              </w:rPr>
              <w:t>0010</w:t>
            </w:r>
          </w:p>
        </w:tc>
        <w:tc>
          <w:tcPr>
            <w:tcW w:w="8131" w:type="dxa"/>
          </w:tcPr>
          <w:p w14:paraId="60D60C47"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Αξία ανοίγματος βάσει της τυποποιημένης προσέγγισης</w:t>
            </w:r>
          </w:p>
          <w:p w14:paraId="0EA1DD75"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Αξία ανοίγματος, η οποία υπολογίζεται βάσει του άρθρου 111 του κανονισμού (ΕΕ) αριθ. 575/2013 για τα σχετικά πιστωτικά ανοίγματα, όπως προβλέπεται στο άρθρο 140 παράγραφος 4 στοιχείο α) της οδηγίας 2013/36/ΕΕ. </w:t>
            </w:r>
          </w:p>
          <w:p w14:paraId="72B986ED"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Η αξία ανοίγματος θέσεων τιτλοποίησης που τηρούνται εντός του τραπεζικού χαρτοφυλακίου δεν περιλαμβάνεται στη συγκεκριμένη γραμμή, και δηλώνεται στη γραμμή 0055.</w:t>
            </w:r>
          </w:p>
        </w:tc>
      </w:tr>
      <w:tr w:rsidR="009D6580" w:rsidRPr="002A677E" w14:paraId="367F78C6" w14:textId="77777777" w:rsidTr="00822842">
        <w:tc>
          <w:tcPr>
            <w:tcW w:w="1697" w:type="dxa"/>
          </w:tcPr>
          <w:p w14:paraId="3217061B"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131" w:type="dxa"/>
          </w:tcPr>
          <w:p w14:paraId="385211C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Αξία ανοίγματος βάσει της προσέγγισης IRB</w:t>
            </w:r>
          </w:p>
          <w:p w14:paraId="3F80BC36"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Αξία ανοίγματος, η οποία υπολογίζεται βάσει του άρθρου 166 του κανονισμού (ΕΕ) αριθ. 575/2013 για τα σχετικά πιστωτικά ανοίγματα, όπως προβλέπεται στο άρθρο 140 παράγραφος 4 στοιχείο α) της οδηγίας 2013/36/ΕΕ. </w:t>
            </w:r>
          </w:p>
          <w:p w14:paraId="48C130F1" w14:textId="77777777" w:rsidR="009D6580" w:rsidRPr="002A677E" w:rsidRDefault="009D6580" w:rsidP="00822842">
            <w:pPr>
              <w:rPr>
                <w:rFonts w:ascii="Times New Roman" w:hAnsi="Times New Roman"/>
                <w:b/>
                <w:bCs/>
                <w:sz w:val="24"/>
                <w:u w:val="single"/>
              </w:rPr>
            </w:pPr>
            <w:r>
              <w:rPr>
                <w:rFonts w:ascii="Times New Roman" w:hAnsi="Times New Roman"/>
                <w:sz w:val="24"/>
              </w:rPr>
              <w:lastRenderedPageBreak/>
              <w:t>Η αξία ανοίγματος θέσεων τιτλοποίησης που τηρούνται εντός του τραπεζικού χαρτοφυλακίου δεν περιλαμβάνεται στη συγκεκριμένη γραμμή, και δηλώνεται στη γραμμή 0055.</w:t>
            </w:r>
          </w:p>
        </w:tc>
      </w:tr>
      <w:tr w:rsidR="009D6580" w:rsidRPr="002A677E" w14:paraId="613420F2" w14:textId="77777777" w:rsidTr="00822842">
        <w:tc>
          <w:tcPr>
            <w:tcW w:w="1697" w:type="dxa"/>
          </w:tcPr>
          <w:p w14:paraId="53491AFF" w14:textId="77777777" w:rsidR="009D6580" w:rsidRPr="002A677E" w:rsidRDefault="009D6580" w:rsidP="00822842">
            <w:pPr>
              <w:rPr>
                <w:rFonts w:ascii="Times New Roman" w:hAnsi="Times New Roman"/>
                <w:sz w:val="24"/>
              </w:rPr>
            </w:pPr>
            <w:r>
              <w:rPr>
                <w:rFonts w:ascii="Times New Roman" w:hAnsi="Times New Roman"/>
                <w:sz w:val="24"/>
              </w:rPr>
              <w:lastRenderedPageBreak/>
              <w:t>0030-0040</w:t>
            </w:r>
          </w:p>
        </w:tc>
        <w:tc>
          <w:tcPr>
            <w:tcW w:w="8131" w:type="dxa"/>
          </w:tcPr>
          <w:p w14:paraId="369D850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Σχετικά πιστωτικά ανοίγματα – Κίνδυνος αγοράς</w:t>
            </w:r>
          </w:p>
          <w:p w14:paraId="54050F98" w14:textId="77777777" w:rsidR="009D6580" w:rsidRPr="002A677E" w:rsidRDefault="009D6580" w:rsidP="00822842">
            <w:pPr>
              <w:rPr>
                <w:rFonts w:ascii="Times New Roman" w:hAnsi="Times New Roman"/>
                <w:b/>
                <w:bCs/>
                <w:sz w:val="24"/>
                <w:u w:val="single"/>
              </w:rPr>
            </w:pPr>
            <w:r>
              <w:rPr>
                <w:rFonts w:ascii="Times New Roman" w:hAnsi="Times New Roman"/>
                <w:sz w:val="24"/>
              </w:rPr>
              <w:t>Σχετικά πιστωτικά ανοίγματα, όπως αναφέρεται στο άρθρο 140 παράγραφος 4 στοιχείο β) της οδηγίας 2013/36/ΕΕ.</w:t>
            </w:r>
          </w:p>
        </w:tc>
      </w:tr>
      <w:tr w:rsidR="009D6580" w:rsidRPr="002A677E" w14:paraId="670769C5" w14:textId="77777777" w:rsidTr="00822842">
        <w:tc>
          <w:tcPr>
            <w:tcW w:w="1697" w:type="dxa"/>
          </w:tcPr>
          <w:p w14:paraId="27E0BEE1"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131" w:type="dxa"/>
          </w:tcPr>
          <w:p w14:paraId="740784D8"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Άθροισμα θετικών και αρνητικών θέσεων ανοιγμάτων χαρτοφυλακίου συναλλαγών βάσει τυποποιημένων προσεγγίσεων</w:t>
            </w:r>
          </w:p>
          <w:p w14:paraId="5F803AC4"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Άθροισμα καθαρών θετικών και καθαρών αρνητικών θέσεων, βάσει του άρθρου 327 του κανονισμού (ΕΕ) αριθ. 575/2013, των σχετικών πιστωτικών ανοιγμάτων, όπως προβλέπεται στο άρθρο 140 παράγραφος 4 στοιχείο β) της οδηγίας 2013/36/ΕΕ, που υπόκεινται σε απαιτήσεις ιδίων κεφαλαίων σύμφωνα με το τρίτο μέρος τίτλος IV κεφάλαιο 2 του κανονισμού (ΕΕ) αριθ. 575/2013: </w:t>
            </w:r>
          </w:p>
          <w:p w14:paraId="555B6B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ανοίγματα σε χρεωστικούς τίτλους πλην της τιτλοποίησης,</w:t>
            </w:r>
          </w:p>
          <w:p w14:paraId="2F347ECD"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ανοίγματα σε θέσεις τιτλοποίησης εντός του χαρτοφυλακίου συναλλαγών,</w:t>
            </w:r>
          </w:p>
          <w:p w14:paraId="0BF14848"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ανοίγματα σε χαρτοφυλάκια διαπραγμάτευσης συσχετίσεων,</w:t>
            </w:r>
          </w:p>
          <w:p w14:paraId="426EA2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ανοίγματα σε μετοχικούς τίτλους,</w:t>
            </w:r>
          </w:p>
          <w:p w14:paraId="29596F16"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ανοίγματα σε ΟΣΕ, όταν υπολογίζονται κεφαλαιακές απαιτήσεις σύμφωνα με το άρθρο 348 του κανονισμού (ΕΕ) αριθ. 575/2013.</w:t>
            </w:r>
          </w:p>
        </w:tc>
      </w:tr>
      <w:tr w:rsidR="009D6580" w:rsidRPr="002A677E" w14:paraId="1B5F6FE5" w14:textId="77777777" w:rsidTr="00822842">
        <w:tc>
          <w:tcPr>
            <w:tcW w:w="1697" w:type="dxa"/>
          </w:tcPr>
          <w:p w14:paraId="22718F0C"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131" w:type="dxa"/>
          </w:tcPr>
          <w:p w14:paraId="7989891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Αξία ανοιγμάτων χαρτοφυλακίου συναλλαγών βάσει εσωτερικών υποδειγμάτων</w:t>
            </w:r>
          </w:p>
          <w:p w14:paraId="2C5D070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Για τα σχετικά πιστωτικά ανοίγματα, όπως προβλέπεται στο άρθρο 140 παράγραφος 4 στοιχείο β) της οδηγίας 2013/36/ΕΕ, που υπόκεινται σε απαιτήσεις ιδίων κεφαλαίων σύμφωνα με το τρίτο μέρος τίτλος IV κεφάλαια 2 και 5 του κανονισμού (ΕΕ) αριθ. 575/2013, αναφέρεται το άθροισμα των ακόλουθων στοιχείων:</w:t>
            </w:r>
          </w:p>
          <w:p w14:paraId="07E28E81"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Εύλογη αξία μη παράγωγων θέσεων που αντιπροσωπεύουν σχετικά πιστωτικά ανοίγματα, όπως προβλέπεται στο άρθρο 140 παράγραφος 4 στοιχείο β) της οδηγίας 2013/36/ΕΕ, η οποία προσδιορίζεται σύμφωνα με το άρθρο 104 του κανονισμού (ΕΕ) αριθ. 575/2013.</w:t>
            </w:r>
          </w:p>
          <w:p w14:paraId="198195E0"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Ονομαστική αξία παραγώγων που αντιπροσωπεύουν σχετικά πιστωτικά ανοίγματα, όπως προβλέπεται στο άρθρο 140 παράγραφος 4 στοιχείο β) της οδηγίας 2013/36/ΕΕ.</w:t>
            </w:r>
          </w:p>
        </w:tc>
      </w:tr>
      <w:tr w:rsidR="009D6580" w:rsidRPr="002A677E" w14:paraId="6BA1E71E" w14:textId="77777777" w:rsidTr="00822842">
        <w:tc>
          <w:tcPr>
            <w:tcW w:w="1697" w:type="dxa"/>
          </w:tcPr>
          <w:p w14:paraId="37545C8A"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131" w:type="dxa"/>
          </w:tcPr>
          <w:p w14:paraId="3A6EE46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Σχετικά πιστωτικά ανοίγματα – Θέσεις τιτλοποίησης εντός του τραπεζικού χαρτοφυλακίου</w:t>
            </w:r>
          </w:p>
          <w:p w14:paraId="4B3C8407" w14:textId="77777777" w:rsidR="009D6580" w:rsidRPr="002A677E" w:rsidRDefault="009D6580" w:rsidP="00822842">
            <w:pPr>
              <w:rPr>
                <w:rFonts w:ascii="Times New Roman" w:hAnsi="Times New Roman"/>
                <w:sz w:val="24"/>
              </w:rPr>
            </w:pPr>
            <w:r>
              <w:rPr>
                <w:rFonts w:ascii="Times New Roman" w:hAnsi="Times New Roman"/>
                <w:sz w:val="24"/>
              </w:rPr>
              <w:t>Αξία ανοίγματος, η οποία υπολογίζεται βάσει του άρθρου 248 του κανονισμού (ΕΕ) αριθ. 575/2013 για τα σχετικά πιστωτικά ανοίγματα, όπως προβλέπεται στο άρθρο 140 παράγραφος 4 στοιχείο γ) της οδηγίας 2013/36/ΕΕ.</w:t>
            </w:r>
          </w:p>
        </w:tc>
      </w:tr>
      <w:tr w:rsidR="009D6580" w:rsidRPr="002A677E" w14:paraId="2A6651FC" w14:textId="77777777" w:rsidTr="00822842">
        <w:tc>
          <w:tcPr>
            <w:tcW w:w="1697" w:type="dxa"/>
          </w:tcPr>
          <w:p w14:paraId="3D2C5D4A" w14:textId="77777777" w:rsidR="009D6580" w:rsidRPr="002A677E" w:rsidRDefault="009D6580" w:rsidP="00822842">
            <w:pPr>
              <w:rPr>
                <w:rFonts w:ascii="Times New Roman" w:hAnsi="Times New Roman"/>
                <w:sz w:val="24"/>
              </w:rPr>
            </w:pPr>
            <w:r>
              <w:rPr>
                <w:rFonts w:ascii="Times New Roman" w:hAnsi="Times New Roman"/>
                <w:sz w:val="24"/>
              </w:rPr>
              <w:t>0070-0110</w:t>
            </w:r>
          </w:p>
        </w:tc>
        <w:tc>
          <w:tcPr>
            <w:tcW w:w="8131" w:type="dxa"/>
          </w:tcPr>
          <w:p w14:paraId="6A03AF3B"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Απαιτήσεις και συντελεστές στάθμισης ιδίων κεφαλαίων</w:t>
            </w:r>
          </w:p>
        </w:tc>
      </w:tr>
      <w:tr w:rsidR="009D6580" w:rsidRPr="002A677E" w14:paraId="5C042A5F" w14:textId="77777777" w:rsidTr="00822842">
        <w:tc>
          <w:tcPr>
            <w:tcW w:w="1697" w:type="dxa"/>
          </w:tcPr>
          <w:p w14:paraId="32640B70"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131" w:type="dxa"/>
          </w:tcPr>
          <w:p w14:paraId="431787D4"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Συνολικές απαιτήσεις ιδίων κεφαλαίων για αντικυκλικό κεφαλαιακό απόθεμα ασφαλείας (CCB)</w:t>
            </w:r>
          </w:p>
          <w:p w14:paraId="78C29612" w14:textId="77777777" w:rsidR="009D6580" w:rsidRPr="002A677E" w:rsidRDefault="009D6580" w:rsidP="00822842">
            <w:pPr>
              <w:rPr>
                <w:rFonts w:ascii="Times New Roman" w:hAnsi="Times New Roman"/>
                <w:b/>
                <w:bCs/>
                <w:sz w:val="24"/>
                <w:u w:val="single"/>
              </w:rPr>
            </w:pPr>
            <w:r>
              <w:rPr>
                <w:rFonts w:ascii="Times New Roman" w:hAnsi="Times New Roman"/>
                <w:sz w:val="24"/>
              </w:rPr>
              <w:t>Το άθροισμα των γραμμών 0080, 0090 και 0100.</w:t>
            </w:r>
          </w:p>
        </w:tc>
      </w:tr>
      <w:tr w:rsidR="009D6580" w:rsidRPr="002A677E" w14:paraId="7D74E37B" w14:textId="77777777" w:rsidTr="00822842">
        <w:tc>
          <w:tcPr>
            <w:tcW w:w="1697" w:type="dxa"/>
          </w:tcPr>
          <w:p w14:paraId="26DA65D7" w14:textId="77777777" w:rsidR="009D6580" w:rsidRPr="002A677E" w:rsidRDefault="009D6580" w:rsidP="00822842">
            <w:pPr>
              <w:rPr>
                <w:rFonts w:ascii="Times New Roman" w:hAnsi="Times New Roman"/>
                <w:sz w:val="24"/>
              </w:rPr>
            </w:pPr>
            <w:r>
              <w:rPr>
                <w:rFonts w:ascii="Times New Roman" w:hAnsi="Times New Roman"/>
                <w:sz w:val="24"/>
              </w:rPr>
              <w:lastRenderedPageBreak/>
              <w:t>0080</w:t>
            </w:r>
          </w:p>
        </w:tc>
        <w:tc>
          <w:tcPr>
            <w:tcW w:w="8131" w:type="dxa"/>
          </w:tcPr>
          <w:p w14:paraId="2381AF17"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Απαιτήσεις ιδίων κεφαλαίων για τα σχετικά πιστωτικά ανοίγματα – Πιστωτικός κίνδυνος </w:t>
            </w:r>
          </w:p>
          <w:p w14:paraId="4126D1D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Απαιτήσεις ιδίων κεφαλαίων που υπολογίζονται σύμφωνα με το τρίτο μέρος τίτλος II κεφάλαια 1 έως 4 και κεφάλαιο 6 του κανονισμού (ΕΕ) αριθ. 575/2013 για τα σχετικά πιστωτικά ανοίγματα, όπως προβλέπεται στο άρθρο 140 παράγραφος 4 στοιχείο α) της οδηγίας 2013/36/ΕΕ, στην υπό εξέταση χώρα.</w:t>
            </w:r>
          </w:p>
          <w:p w14:paraId="094DA9D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Οι απαιτήσεις ιδίων κεφαλαίων για θέσεις τιτλοποίησης εντός του τραπεζικού χαρτοφυλακίου δεν περιλαμβάνονται στη συγκεκριμένη γραμμή και αναφέρονται στη γραμμή 0100.</w:t>
            </w:r>
          </w:p>
          <w:p w14:paraId="037A1499" w14:textId="77777777" w:rsidR="009D6580" w:rsidRPr="002A677E" w:rsidRDefault="009D6580" w:rsidP="00822842">
            <w:pPr>
              <w:rPr>
                <w:rFonts w:ascii="Times New Roman" w:hAnsi="Times New Roman"/>
                <w:b/>
                <w:bCs/>
                <w:sz w:val="24"/>
                <w:u w:val="single"/>
              </w:rPr>
            </w:pPr>
            <w:r>
              <w:rPr>
                <w:rFonts w:ascii="Times New Roman" w:hAnsi="Times New Roman"/>
                <w:sz w:val="24"/>
              </w:rPr>
              <w:t>Οι απαιτήσεις ιδίων κεφαλαίων ισούνται με το 8 % του ποσού του σταθμισμένου ως προς τον κίνδυνο ανοίγματος, που προσδιορίζεται σύμφωνα με τις διατάξεις του τρίτου μέρους τίτλος II κεφάλαια 1 έως 4 και κεφάλαιο 6 του κανονισμού (ΕΕ) αριθ. 575/2013.</w:t>
            </w:r>
          </w:p>
        </w:tc>
      </w:tr>
      <w:tr w:rsidR="009D6580" w:rsidRPr="002A677E" w14:paraId="6CE5DB0E" w14:textId="77777777" w:rsidTr="00822842">
        <w:tc>
          <w:tcPr>
            <w:tcW w:w="1697" w:type="dxa"/>
          </w:tcPr>
          <w:p w14:paraId="0847E4D7"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131" w:type="dxa"/>
          </w:tcPr>
          <w:p w14:paraId="4922C90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Απαιτήσεις ιδίων κεφαλαίων για τα σχετικά πιστωτικά ανοίγματα – Κίνδυνος αγοράς </w:t>
            </w:r>
          </w:p>
          <w:p w14:paraId="5686B88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Απαιτήσεις ιδίων κεφαλαίων που υπολογίζονται σύμφωνα με το τρίτο μέρος τίτλος IV κεφάλαιο 2 του κανονισμού (ΕΕ) αριθ. 575/2013, όσον αφορά τον ειδικό κίνδυνο, ή σύμφωνα με το τρίτο μέρος τίτλος IV κεφάλαιο 5 του κανονισμού (ΕΕ) αριθ. 575/2013, όσον αφορά τον αυξημένο κίνδυνο αθέτησης και μεταβολής της πιστοληπτικής αξιολόγησης για τα σχετικά πιστωτικά ανοίγματα, όπως προβλέπεται στο άρθρο 140 παράγραφος 4 στοιχείο β) της οδηγίας 2013/36/ΕΕ, στην εν λόγω χώρα. </w:t>
            </w:r>
          </w:p>
          <w:p w14:paraId="09611817"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Στις απαιτήσεις ιδίων κεφαλαίων για τα σχετικά πιστωτικά ανοίγματα βάσει του πλαισίου για τον κίνδυνο αγοράς περιλαμβάνονται, μεταξύ άλλων, οι απαιτήσεις ιδίων κεφαλαίων για τις θέσεις τιτλοποίησης βάσει του τρίτου μέρους τίτλος IV κεφάλαιο 2 του κανονισμού (ΕΕ) αριθ. 575/2013 και οι απαιτήσεις ιδίων κεφαλαίων για τα ανοίγματα σε οργανισμούς συλλογικών επενδύσεων, που καθορίζονται σύμφωνα με το άρθρο 348 του εν λόγω κανονισμού.</w:t>
            </w:r>
          </w:p>
        </w:tc>
      </w:tr>
      <w:tr w:rsidR="009D6580" w:rsidRPr="002A677E" w14:paraId="655D63DC" w14:textId="77777777" w:rsidTr="00822842">
        <w:tc>
          <w:tcPr>
            <w:tcW w:w="1697" w:type="dxa"/>
          </w:tcPr>
          <w:p w14:paraId="4911AAD6"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131" w:type="dxa"/>
          </w:tcPr>
          <w:p w14:paraId="45D3AC3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Απαιτήσεις ιδίων κεφαλαίων για τα σχετικά πιστωτικά ανοίγματα – Θέσεις τιτλοποίησης εντός του τραπεζικού χαρτοφυλακίου</w:t>
            </w:r>
          </w:p>
          <w:p w14:paraId="6483412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Απαιτήσεις ιδίων κεφαλαίων που υπολογίζονται σύμφωνα με το τρίτο μέρος τίτλος II κεφάλαιο 5 του κανονισμού (ΕΕ) αριθ. 575/2013 για τα σχετικά πιστωτικά ανοίγματα, όπως προβλέπεται στο άρθρο 140 παράγραφος 4 στοιχείο γ) της οδηγίας 2013/36/ΕΕ στην εν λόγω χώρα.</w:t>
            </w:r>
          </w:p>
          <w:p w14:paraId="1A6665D5" w14:textId="77777777" w:rsidR="009D6580" w:rsidRPr="002A677E" w:rsidRDefault="009D6580" w:rsidP="00822842">
            <w:pPr>
              <w:rPr>
                <w:rFonts w:ascii="Times New Roman" w:hAnsi="Times New Roman"/>
                <w:b/>
                <w:bCs/>
                <w:sz w:val="24"/>
                <w:u w:val="single"/>
              </w:rPr>
            </w:pPr>
            <w:r>
              <w:rPr>
                <w:rFonts w:ascii="Times New Roman" w:hAnsi="Times New Roman"/>
                <w:sz w:val="24"/>
              </w:rPr>
              <w:t>Οι απαιτήσεις ιδίων κεφαλαίων ισούνται με το 8 % του ποσού του σταθμισμένου ως προς τον κίνδυνο ανοίγματος που υπολογίζεται σύμφωνα με το τρίτο μέρος τίτλος II κεφάλαιο 5 του κανονισμού (ΕΕ) αριθ. 575/2013.</w:t>
            </w:r>
          </w:p>
        </w:tc>
      </w:tr>
      <w:tr w:rsidR="009D6580" w:rsidRPr="002A677E" w14:paraId="4015A9D7" w14:textId="77777777" w:rsidTr="00822842">
        <w:tc>
          <w:tcPr>
            <w:tcW w:w="1697" w:type="dxa"/>
          </w:tcPr>
          <w:p w14:paraId="4ACCD3B3"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131" w:type="dxa"/>
          </w:tcPr>
          <w:p w14:paraId="2EE25FA2"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Συντελεστές στάθμισης των απαιτήσεων ιδίων κεφαλαίων</w:t>
            </w:r>
          </w:p>
          <w:p w14:paraId="3D7B8904" w14:textId="77777777" w:rsidR="009D6580" w:rsidRPr="002A677E" w:rsidRDefault="009D6580" w:rsidP="00822842">
            <w:pPr>
              <w:rPr>
                <w:rFonts w:ascii="Times New Roman" w:hAnsi="Times New Roman"/>
                <w:sz w:val="24"/>
              </w:rPr>
            </w:pPr>
            <w:r>
              <w:rPr>
                <w:rFonts w:ascii="Times New Roman" w:hAnsi="Times New Roman"/>
                <w:sz w:val="24"/>
              </w:rPr>
              <w:t>Ο συντελεστής στάθμισης που εφαρμόζεται στο ποσοστό αντικυκλικού κεφαλαιακού αποθέματος ασφαλείας σε κάθε χώρα υπολογίζεται ως ποσοστό των απαιτήσεων ιδίων κεφαλαίων ως εξής:</w:t>
            </w:r>
          </w:p>
          <w:p w14:paraId="47443D03" w14:textId="77777777" w:rsidR="009D6580" w:rsidRPr="002A677E" w:rsidRDefault="009D6580" w:rsidP="00822842">
            <w:pPr>
              <w:rPr>
                <w:rFonts w:ascii="Times New Roman" w:hAnsi="Times New Roman"/>
                <w:sz w:val="24"/>
              </w:rPr>
            </w:pPr>
            <w:r>
              <w:rPr>
                <w:rFonts w:ascii="Times New Roman" w:hAnsi="Times New Roman"/>
                <w:sz w:val="24"/>
              </w:rPr>
              <w:lastRenderedPageBreak/>
              <w:t>1.</w:t>
            </w:r>
            <w:r>
              <w:tab/>
            </w:r>
            <w:r>
              <w:rPr>
                <w:rFonts w:ascii="Times New Roman" w:hAnsi="Times New Roman"/>
                <w:sz w:val="24"/>
              </w:rPr>
              <w:t xml:space="preserve">Αριθμητής: Οι συνολικές απαιτήσεις ιδίων κεφαλαίων που σχετίζονται με τα σχετικά πιστωτικά ανοίγματα στην λόγω χώρα [γραμμή 0070, στήλη 0010, δελτίο χώρας], </w:t>
            </w:r>
          </w:p>
          <w:p w14:paraId="1FE57EC6" w14:textId="77777777" w:rsidR="009D6580" w:rsidRPr="002A677E" w:rsidRDefault="009D6580" w:rsidP="00822842">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Παρονομαστής: Οι συνολικές απαιτήσεις ιδίων κεφαλαίων που σχετίζονται με όλα τα πιστωτικά ανοίγματα τα οποία είναι σημαντικά για τον υπολογισμό του αντικυκλικού κεφαλαιακού αποθέματος ασφαλείας, όπως προβλέπεται στο άρθρο 140 παράγραφος 4 της οδηγίας 2013/36/ΕΕ [γραμμή 0070, στήλη 0010· “Σύνολο”].</w:t>
            </w:r>
          </w:p>
          <w:p w14:paraId="423D2DDF" w14:textId="77777777" w:rsidR="009D6580" w:rsidRPr="002A677E" w:rsidRDefault="009D6580" w:rsidP="00822842">
            <w:pPr>
              <w:rPr>
                <w:rFonts w:ascii="Times New Roman" w:hAnsi="Times New Roman"/>
                <w:b/>
                <w:bCs/>
                <w:sz w:val="24"/>
                <w:u w:val="single"/>
              </w:rPr>
            </w:pPr>
            <w:r>
              <w:rPr>
                <w:rFonts w:ascii="Times New Roman" w:hAnsi="Times New Roman"/>
                <w:sz w:val="24"/>
              </w:rPr>
              <w:t>Δεν αναφέρονται πληροφορίες σχετικά με τους συντελεστές στάθμισης των απαιτήσεων ιδίων κεφαλαίων για το “Σύνολο” όλων των χωρών.</w:t>
            </w:r>
          </w:p>
        </w:tc>
      </w:tr>
      <w:tr w:rsidR="009D6580" w:rsidRPr="002A677E" w14:paraId="5C4BC14D" w14:textId="77777777" w:rsidTr="00822842">
        <w:tc>
          <w:tcPr>
            <w:tcW w:w="1697" w:type="dxa"/>
          </w:tcPr>
          <w:p w14:paraId="1A21712D" w14:textId="77777777" w:rsidR="009D6580" w:rsidRPr="002A677E" w:rsidRDefault="009D6580" w:rsidP="00822842">
            <w:pPr>
              <w:rPr>
                <w:rFonts w:ascii="Times New Roman" w:hAnsi="Times New Roman"/>
                <w:sz w:val="24"/>
              </w:rPr>
            </w:pPr>
            <w:r>
              <w:rPr>
                <w:rFonts w:ascii="Times New Roman" w:hAnsi="Times New Roman"/>
                <w:sz w:val="24"/>
              </w:rPr>
              <w:lastRenderedPageBreak/>
              <w:t>0120-0140</w:t>
            </w:r>
          </w:p>
        </w:tc>
        <w:tc>
          <w:tcPr>
            <w:tcW w:w="8131" w:type="dxa"/>
          </w:tcPr>
          <w:p w14:paraId="0FFF9D8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Ποσοστά αντικυκλικού κεφαλαιακού αποθέματος ασφαλείας</w:t>
            </w:r>
          </w:p>
        </w:tc>
      </w:tr>
      <w:tr w:rsidR="009D6580" w:rsidRPr="002A677E" w14:paraId="3D2AE883" w14:textId="77777777" w:rsidTr="00822842">
        <w:tc>
          <w:tcPr>
            <w:tcW w:w="1697" w:type="dxa"/>
          </w:tcPr>
          <w:p w14:paraId="61437EB6"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131" w:type="dxa"/>
          </w:tcPr>
          <w:p w14:paraId="756100DA"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Ποσοστό αντικυκλικού κεφαλαιακού αποθέματος ασφαλείας που καθορίζεται από την εντεταλμένη αρχή</w:t>
            </w:r>
          </w:p>
          <w:p w14:paraId="256AAB4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Ποσοστό αντικυκλικού κεφαλαιακού αποθέματος ασφαλείας που καθορίζεται για την εν λόγω χώρα από την εντεταλμένη αρχή αυτής της χώρας, σύμφωνα με τα άρθρα 136, 137, 139, το άρθρο 140 παράγραφος 2 στοιχεία α) και γ) και το άρθρο 140 παράγραφος 3 στοιχείο β) της οδηγίας 2013/36/ΕΕ.</w:t>
            </w:r>
          </w:p>
          <w:p w14:paraId="08387A1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Η συγκεκριμένη γραμμή παραμένει κενή, εφόσον η εντεταλμένη αρχή της εν λόγω χώρας δεν έχει ορίσει ποσοστό αντικυκλικού κεφαλαιακού αποθέματος ασφαλείας γι’ αυτήν τη χώρα.</w:t>
            </w:r>
          </w:p>
          <w:p w14:paraId="79AF7A0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Δεν αναφέρονται ποσοστά αντικυκλικού κεφαλαιακού αποθέματος ασφαλείας που καθορίστηκαν από την εντεταλμένη αρχή αλλά δεν εφαρμόζονται ακόμη στην εν λόγω χώρα κατά την ημερομηνία αναφοράς για την υποβολή αναφορών.</w:t>
            </w:r>
          </w:p>
          <w:p w14:paraId="5BEA0E13" w14:textId="77777777" w:rsidR="009D6580" w:rsidRPr="002A677E" w:rsidRDefault="009D6580" w:rsidP="00822842">
            <w:pPr>
              <w:rPr>
                <w:rFonts w:ascii="Times New Roman" w:hAnsi="Times New Roman"/>
                <w:b/>
                <w:bCs/>
                <w:sz w:val="24"/>
                <w:u w:val="single"/>
              </w:rPr>
            </w:pPr>
            <w:r>
              <w:rPr>
                <w:rFonts w:ascii="Times New Roman" w:hAnsi="Times New Roman"/>
                <w:sz w:val="24"/>
              </w:rPr>
              <w:t xml:space="preserve">Δεν αναφέρονται πληροφορίες σχετικά με το ποσοστό αντικυκλικού κεφαλαιακού αποθέματος ασφαλείας που καθορίστηκε από την εντεταλμένη αρχή για το “Σύνολο” όλων των χωρών. </w:t>
            </w:r>
          </w:p>
        </w:tc>
      </w:tr>
      <w:tr w:rsidR="009D6580" w:rsidRPr="002A677E" w14:paraId="01E6253D" w14:textId="77777777" w:rsidTr="00822842">
        <w:tc>
          <w:tcPr>
            <w:tcW w:w="1697" w:type="dxa"/>
          </w:tcPr>
          <w:p w14:paraId="3226BBDD"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131" w:type="dxa"/>
          </w:tcPr>
          <w:p w14:paraId="1301D1B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Ποσοστό αντικυκλικού κεφαλαιακού αποθέματος ασφαλείας που εφαρμόζεται στη χώρα του ιδρύματος</w:t>
            </w:r>
          </w:p>
          <w:p w14:paraId="47D66D49"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Ποσοστό αντικυκλικού κεφαλαιακού αποθέματος ασφαλείας που εφαρμόζεται στην εν λόγω χώρα, το οποίο καθορίστηκε από την εντεταλμένη αρχή της χώρας κατοικίας του ιδρύματος, σύμφωνα με τα άρθρα 137, 138, 139, το άρθρο 140 παράγραφος 2 στοιχείο β) και το άρθρο 140 παράγραφος 3 στοιχείο α) της οδηγίας 2013/36/ΕΕ. Δεν αναφέρονται ποσοστά αντικυκλικού κεφαλαιακού αποθέματος ασφαλείας που δεν εφαρμόζονται ακόμη κατά την ημερομηνία αναφοράς για την υποβολή αναφορών.</w:t>
            </w:r>
          </w:p>
          <w:p w14:paraId="082B5846" w14:textId="77777777" w:rsidR="009D6580" w:rsidRPr="002A677E" w:rsidRDefault="009D6580" w:rsidP="00822842">
            <w:pPr>
              <w:rPr>
                <w:rFonts w:ascii="Times New Roman" w:hAnsi="Times New Roman"/>
                <w:b/>
                <w:bCs/>
                <w:sz w:val="24"/>
                <w:u w:val="single"/>
              </w:rPr>
            </w:pPr>
            <w:r>
              <w:rPr>
                <w:rFonts w:ascii="Times New Roman" w:hAnsi="Times New Roman"/>
                <w:sz w:val="24"/>
              </w:rPr>
              <w:t>Δεν αναφέρονται πληροφορίες σχετικά με το ποσοστό αντικυκλικού κεφαλαιακού αποθέματος ασφαλείας που εφαρμόζεται στη χώρα του ιδρύματος για το “Σύνολο” όλων των χωρών.</w:t>
            </w:r>
          </w:p>
        </w:tc>
      </w:tr>
      <w:tr w:rsidR="009D6580" w:rsidRPr="002A677E" w14:paraId="3FF424DB" w14:textId="77777777" w:rsidTr="00822842">
        <w:tc>
          <w:tcPr>
            <w:tcW w:w="1697" w:type="dxa"/>
          </w:tcPr>
          <w:p w14:paraId="752F444A"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131" w:type="dxa"/>
          </w:tcPr>
          <w:p w14:paraId="315BAE64"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Ποσοστό αντικυκλικού κεφαλαιακού αποθέματος ασφαλείας ειδικά για το κάθε ίδρυμα </w:t>
            </w:r>
          </w:p>
          <w:p w14:paraId="253E0547"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Ποσοστό αντικυκλικού κεφαλαιακού αποθέματος ασφαλείας, που υπολογίζεται σύμφωνα με το άρθρο 140 παράγραφος 1 της οδηγίας 2013/36/ΕΕ. </w:t>
            </w:r>
          </w:p>
          <w:p w14:paraId="575D2B3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lastRenderedPageBreak/>
              <w:t>Το ποσοστό αντικυκλικού κεφαλαιακού αποθέματος ασφαλείας ειδικά για το κάθε ίδρυμα υπολογίζεται ως ο σταθμισμένος μέσος όρος των ποσοστών αντικυκλικού αποθέματος ασφαλείας που ισχύουν στις δικαιοδοσίες στις οποίες υπάγονται ή εφαρμόζονται τα σχετικά πιστωτικά ανοίγματα του ιδρύματος για τους σκοπούς του άρθρου 140 δυνάμει του άρθρου 139 παράγραφοι 2 ή 3 της οδηγίας 2013/36/ΕΕ. Το σχετικό ποσοστό αντικυκλικού κεφαλαιακού αποθέματος ασφαλείας αναφέρεται στη [γραμμή 0120, στήλη 0020, δελτίο χώρας] ή στη [γραμμή 0130, στήλη 0020, δελτίο χώρας], ανάλογα με την περίπτωση.</w:t>
            </w:r>
          </w:p>
          <w:p w14:paraId="2C4ECBB2" w14:textId="77777777" w:rsidR="009D6580" w:rsidRPr="002A677E" w:rsidRDefault="009D6580" w:rsidP="00822842">
            <w:pPr>
              <w:autoSpaceDE w:val="0"/>
              <w:autoSpaceDN w:val="0"/>
              <w:adjustRightInd w:val="0"/>
              <w:rPr>
                <w:rFonts w:ascii="Times New Roman" w:hAnsi="Times New Roman"/>
                <w:b/>
                <w:strike/>
                <w:sz w:val="24"/>
              </w:rPr>
            </w:pPr>
            <w:r>
              <w:rPr>
                <w:rFonts w:ascii="Times New Roman" w:hAnsi="Times New Roman"/>
                <w:sz w:val="24"/>
              </w:rPr>
              <w:t xml:space="preserve">Ο συντελεστής στάθμισης που εφαρμόζεται στο ποσοστό αντικυκλικού αποθέματος ασφαλείας σε κάθε χώρα είναι το ποσοστό των απαιτήσεων ιδίων κεφαλαίων στις συνολικές απαιτήσεις ιδίων κεφαλαίων, και αναφέρεται στη [γραμμή 0110, στήλη 0020, δελτίο χώρας]. </w:t>
            </w:r>
          </w:p>
          <w:p w14:paraId="65E93DC9" w14:textId="77777777" w:rsidR="009D6580" w:rsidRPr="002A677E" w:rsidRDefault="009D6580" w:rsidP="00822842">
            <w:pPr>
              <w:rPr>
                <w:rFonts w:ascii="Times New Roman" w:hAnsi="Times New Roman"/>
                <w:b/>
                <w:bCs/>
                <w:sz w:val="24"/>
                <w:u w:val="single"/>
              </w:rPr>
            </w:pPr>
            <w:r>
              <w:rPr>
                <w:rFonts w:ascii="Times New Roman" w:hAnsi="Times New Roman"/>
                <w:sz w:val="24"/>
              </w:rPr>
              <w:t>Οι πληροφορίες σχετικά με το ποσοστό αντικυκλικού κεφαλαιακού αποθέματος ασφαλείας ειδικά για το κάθε ίδρυμα αναφέρονται μόνο για το “Σύνολο” όλων των χωρών και όχι χωριστά για κάθε χώρα.</w:t>
            </w:r>
          </w:p>
        </w:tc>
      </w:tr>
      <w:tr w:rsidR="009D6580" w:rsidRPr="002A677E" w14:paraId="0CA64D03" w14:textId="77777777" w:rsidTr="00822842">
        <w:tc>
          <w:tcPr>
            <w:tcW w:w="1697" w:type="dxa"/>
          </w:tcPr>
          <w:p w14:paraId="1436C16C" w14:textId="77777777" w:rsidR="009D6580" w:rsidRPr="002A677E" w:rsidRDefault="009D6580" w:rsidP="00822842">
            <w:pPr>
              <w:rPr>
                <w:rFonts w:ascii="Times New Roman" w:hAnsi="Times New Roman"/>
                <w:sz w:val="24"/>
              </w:rPr>
            </w:pPr>
            <w:r>
              <w:rPr>
                <w:rFonts w:ascii="Times New Roman" w:hAnsi="Times New Roman"/>
                <w:sz w:val="24"/>
              </w:rPr>
              <w:lastRenderedPageBreak/>
              <w:t>0150 - 0160</w:t>
            </w:r>
          </w:p>
        </w:tc>
        <w:tc>
          <w:tcPr>
            <w:tcW w:w="8131" w:type="dxa"/>
          </w:tcPr>
          <w:p w14:paraId="13A71A3D"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Χρήση του κατώτατου ορίου 2 %</w:t>
            </w:r>
          </w:p>
        </w:tc>
      </w:tr>
      <w:tr w:rsidR="009D6580" w:rsidRPr="002A677E" w14:paraId="4C39701D" w14:textId="77777777" w:rsidTr="00822842">
        <w:tc>
          <w:tcPr>
            <w:tcW w:w="1697" w:type="dxa"/>
          </w:tcPr>
          <w:p w14:paraId="62E51E11"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131" w:type="dxa"/>
          </w:tcPr>
          <w:p w14:paraId="0ABF51F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b/>
                <w:sz w:val="24"/>
                <w:u w:val="single"/>
              </w:rPr>
              <w:t>Χρήση του κατώτατου ορίου 2 % για τα γενικά πιστωτικά ανοίγματα</w:t>
            </w:r>
            <w:r>
              <w:rPr>
                <w:rFonts w:ascii="Times New Roman" w:hAnsi="Times New Roman"/>
                <w:sz w:val="24"/>
              </w:rPr>
              <w:t xml:space="preserve"> </w:t>
            </w:r>
          </w:p>
          <w:p w14:paraId="68B71CE8"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Σύμφωνα με το άρθρο 2 παράγραφος 5 στοιχείο β) του κατ’ εξουσιοδότηση κανονισμού (ΕΕ) αριθ. 1152/2014 της Επιτροπής, γενικά πιστωτικά ανοίγματα στο εξωτερικό, των οποίων το συνολικό πιστωτικό άνοιγμα δεν υπερβαίνει το 2 % του συνόλου των γενικών πιστωτικών ανοιγμάτων, των ανοιγμάτων του χαρτοφυλακίου συναλλαγών και των ανοιγμάτων τιτλοποίησης του εν λόγω ιδρύματος, μπορούν να θεωρούνται ότι βρίσκονται στο κράτος μέλος καταγωγής του ιδρύματος. Το σύνολο των γενικών πιστωτικών ανοιγμάτων, των ανοιγμάτων του χαρτοφυλακίου συναλλαγών και των ανοιγμάτων τιτλοποίησης υπολογίζεται με τον αποκλεισμό των γενικών πιστωτικών ανοιγμάτων των οποίων ο τόπος προσδιορίζεται σύμφωνα με το άρθρο 2 παράγραφος 5 στοιχείο α) και το άρθρο 2 παράγραφος 4 του κατ’ εξουσιοδότηση κανονισμού (ΕΕ) αριθ. 1152/2014 της Επιτροπής.</w:t>
            </w:r>
          </w:p>
          <w:p w14:paraId="53DCDD6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Εάν το ίδρυμα εφαρμόζει την εν λόγω παρέκκλιση, αναγράφει “y” στο υπόδειγμα για τη δικαιοδοσία που αντιστοιχεί στο οικείο κράτος μέλος καταγωγής, καθώς και για το “Σύνολο” όλων των χωρών.</w:t>
            </w:r>
          </w:p>
          <w:p w14:paraId="5B2597B2"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Εάν ένα ίδρυμα δεν εφαρμόζει την εν λόγω παρέκκλιση, αναγράφει “n” στο αντίστοιχο κελί.</w:t>
            </w:r>
          </w:p>
        </w:tc>
      </w:tr>
      <w:tr w:rsidR="009D6580" w:rsidRPr="002A677E" w14:paraId="7179BBF6" w14:textId="77777777" w:rsidTr="00822842">
        <w:tc>
          <w:tcPr>
            <w:tcW w:w="1697" w:type="dxa"/>
          </w:tcPr>
          <w:p w14:paraId="528EEA51" w14:textId="77777777" w:rsidR="009D6580" w:rsidRPr="002A677E" w:rsidRDefault="009D6580" w:rsidP="00822842">
            <w:pPr>
              <w:rPr>
                <w:rFonts w:ascii="Times New Roman" w:hAnsi="Times New Roman"/>
                <w:sz w:val="24"/>
              </w:rPr>
            </w:pPr>
            <w:r>
              <w:rPr>
                <w:rFonts w:ascii="Times New Roman" w:hAnsi="Times New Roman"/>
                <w:sz w:val="24"/>
              </w:rPr>
              <w:t>0160</w:t>
            </w:r>
          </w:p>
        </w:tc>
        <w:tc>
          <w:tcPr>
            <w:tcW w:w="8131" w:type="dxa"/>
          </w:tcPr>
          <w:p w14:paraId="4FC000D6"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b/>
                <w:sz w:val="24"/>
                <w:u w:val="single"/>
              </w:rPr>
              <w:t>Χρήση του κατώτατου ορίου 2 % για τα ανοίγματα του χαρτοφυλακίου συναλλαγών</w:t>
            </w:r>
          </w:p>
          <w:p w14:paraId="13ED02AA"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Σύμφωνα με το άρθρο 3 παράγραφος 3 του κατ’ εξουσιοδότηση κανονισμού (ΕΕ) αριθ.1152/2014 της Επιτροπής, τα ιδρύματα, των οποίων το σύνολο των ανοιγμάτων του χαρτοφυλακίου συναλλαγών δεν υπερβαίνει το 2 % των συνολικών γενικών πιστωτικών ανοιγμάτων, των ανοιγμάτων του χαρτοφυλακίου συναλλαγών και των ανοιγμάτων τιτλοποίησης, μπορούν να θεωρούν ότι τα ανοίγματα αυτά βρίσκονται στο κράτος μέλος καταγωγής του ιδρύματος.</w:t>
            </w:r>
          </w:p>
          <w:p w14:paraId="068BDCF9" w14:textId="77777777" w:rsidR="009D6580" w:rsidRPr="002A677E" w:rsidRDefault="009D6580" w:rsidP="00822842">
            <w:pPr>
              <w:rPr>
                <w:rFonts w:ascii="Times New Roman" w:hAnsi="Times New Roman"/>
                <w:sz w:val="24"/>
              </w:rPr>
            </w:pPr>
            <w:r>
              <w:rPr>
                <w:rFonts w:ascii="Times New Roman" w:hAnsi="Times New Roman"/>
                <w:sz w:val="24"/>
              </w:rPr>
              <w:lastRenderedPageBreak/>
              <w:t>Εάν το ίδρυμα εφαρμόζει την εν λόγω παρέκκλιση, αναγράφει “y” στο υπόδειγμα για τη δικαιοδοσία που αντιστοιχεί στο οικείο κράτος μέλος καταγωγής, καθώς και για το “Σύνολο” όλων των χωρών.</w:t>
            </w:r>
          </w:p>
          <w:p w14:paraId="3EA8EC30" w14:textId="77777777" w:rsidR="009D6580" w:rsidRPr="002A677E" w:rsidRDefault="009D6580" w:rsidP="00822842">
            <w:pPr>
              <w:rPr>
                <w:rFonts w:ascii="Times New Roman" w:hAnsi="Times New Roman"/>
                <w:b/>
                <w:bCs/>
                <w:sz w:val="24"/>
                <w:u w:val="single"/>
              </w:rPr>
            </w:pPr>
            <w:r>
              <w:rPr>
                <w:rFonts w:ascii="Times New Roman" w:hAnsi="Times New Roman"/>
                <w:sz w:val="24"/>
              </w:rPr>
              <w:t>Εάν ένα ίδρυμα δεν εφαρμόζει την εν λόγω παρέκκλιση, αναγράφει “n” στο αντίστοιχο κελί.</w:t>
            </w:r>
          </w:p>
        </w:tc>
      </w:tr>
    </w:tbl>
    <w:p w14:paraId="41871259" w14:textId="57D25BB3" w:rsidR="009D6580" w:rsidRDefault="00155364">
      <w:r>
        <w:lastRenderedPageBreak/>
        <w:t>»</w:t>
      </w:r>
    </w:p>
    <w:p w14:paraId="6D451BBA" w14:textId="77777777" w:rsidR="009D6580" w:rsidRDefault="009D6580"/>
    <w:sectPr w:rsidR="009D6580">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3790" w14:textId="77777777" w:rsidR="00071022" w:rsidRDefault="00071022" w:rsidP="00E26A90">
      <w:pPr>
        <w:spacing w:after="0"/>
      </w:pPr>
      <w:r>
        <w:separator/>
      </w:r>
    </w:p>
  </w:endnote>
  <w:endnote w:type="continuationSeparator" w:id="0">
    <w:p w14:paraId="0E38E4C2" w14:textId="77777777" w:rsidR="00071022" w:rsidRDefault="00071022"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Times New Roman"/>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BA46F" w14:textId="77777777" w:rsidR="00155364" w:rsidRDefault="001553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13145" w14:textId="77777777" w:rsidR="00155364" w:rsidRDefault="001553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85372" w14:textId="77777777" w:rsidR="00155364" w:rsidRDefault="001553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6DF55" w14:textId="77777777" w:rsidR="00071022" w:rsidRDefault="00071022" w:rsidP="00E26A90">
      <w:pPr>
        <w:spacing w:after="0"/>
      </w:pPr>
      <w:r>
        <w:separator/>
      </w:r>
    </w:p>
  </w:footnote>
  <w:footnote w:type="continuationSeparator" w:id="0">
    <w:p w14:paraId="0EAFC9C2" w14:textId="77777777" w:rsidR="00071022" w:rsidRDefault="00071022" w:rsidP="00E26A90">
      <w:pPr>
        <w:spacing w:after="0"/>
      </w:pPr>
      <w:r>
        <w:continuationSeparator/>
      </w:r>
    </w:p>
  </w:footnote>
  <w:footnote w:id="1">
    <w:p w14:paraId="662CB3FE" w14:textId="77777777" w:rsidR="009D6580" w:rsidRPr="0002267E" w:rsidRDefault="009D6580" w:rsidP="009D6580">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Κατ’ εξουσιοδότηση κανονισμός (ΕΕ) αριθ. 1152/2014 της Επιτροπής, της 4ης Ιουνίου 2014, για τη συμπλήρωση της οδηγίας 2013/36/ΕΕ του Ευρωπαϊκού Κοινοβουλίου και του Συμβουλίου όσον αφορά τα ρυθμιστικά τεχνικά πρότυπα για τον προσδιορισμό της γεωγραφικής θέσης των οικείων πιστωτικών ανοιγμάτων για τον υπολογισμό των ποσοστών αντικυκλικών κεφαλαιακών αποθεμάτων ειδικά για το κάθε ίδρυμα (ΕΕ L 309 της 30.10.2014, σ.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752C86DD" w:rsidR="00E26A90" w:rsidRPr="00E26A90" w:rsidRDefault="00155364" w:rsidP="00E26A90">
                          <w:pPr>
                            <w:spacing w:after="0"/>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752C86DD" w:rsidR="00E26A90" w:rsidRPr="00E26A90" w:rsidRDefault="00155364" w:rsidP="00E26A90">
                    <w:pPr>
                      <w:spacing w:after="0"/>
                      <w:rPr>
                        <w:rFonts w:ascii="Calibri" w:eastAsia="Calibri" w:hAnsi="Calibri" w:cs="Calibri"/>
                        <w:noProof/>
                        <w:color w:val="000000"/>
                        <w:sz w:val="24"/>
                      </w:rPr>
                    </w:pPr>
                    <w:r>
                      <w:rPr>
                        <w:rFonts w:ascii="Calibri" w:hAnsi="Calibri"/>
                        <w:color w:val="000000"/>
                        <w:sz w:val="24"/>
                      </w:rPr>
                      <w:t>ΕΑΤ τακτική χρήση</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C5380"/>
    <w:rsid w:val="00117723"/>
    <w:rsid w:val="00123FDD"/>
    <w:rsid w:val="00155364"/>
    <w:rsid w:val="001A2CA7"/>
    <w:rsid w:val="0020657D"/>
    <w:rsid w:val="00234FB5"/>
    <w:rsid w:val="0035336C"/>
    <w:rsid w:val="00381D02"/>
    <w:rsid w:val="003C36D5"/>
    <w:rsid w:val="003D18F9"/>
    <w:rsid w:val="005644CB"/>
    <w:rsid w:val="005B37F0"/>
    <w:rsid w:val="005E7811"/>
    <w:rsid w:val="00631623"/>
    <w:rsid w:val="0064771D"/>
    <w:rsid w:val="00681B25"/>
    <w:rsid w:val="006D3385"/>
    <w:rsid w:val="007F4E89"/>
    <w:rsid w:val="00837F98"/>
    <w:rsid w:val="00910F63"/>
    <w:rsid w:val="009860C5"/>
    <w:rsid w:val="009D6580"/>
    <w:rsid w:val="00A6002C"/>
    <w:rsid w:val="00A931D0"/>
    <w:rsid w:val="00AF2BE6"/>
    <w:rsid w:val="00B3003C"/>
    <w:rsid w:val="00B56773"/>
    <w:rsid w:val="00B71F25"/>
    <w:rsid w:val="00BA13AD"/>
    <w:rsid w:val="00C04862"/>
    <w:rsid w:val="00D25C41"/>
    <w:rsid w:val="00DD798A"/>
    <w:rsid w:val="00E26A90"/>
    <w:rsid w:val="00E50DD0"/>
    <w:rsid w:val="00EF07A1"/>
    <w:rsid w:val="00F16E4D"/>
    <w:rsid w:val="00FB1404"/>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el-GR"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el-GR"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el-GR"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el-GR"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el-GR"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el-GR"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el-G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el-GR"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el-GR"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el-GR"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el-GR"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el-GR"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el-GR"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el-GR"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el-GR"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el-GR"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el-GR"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D6580"/>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el-GR"/>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el-GR"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3.xml><?xml version="1.0" encoding="utf-8"?>
<ds:datastoreItem xmlns:ds="http://schemas.openxmlformats.org/officeDocument/2006/customXml" ds:itemID="{E6F3ECCF-DE0B-42D3-846D-2F9F3F666EA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4430</Words>
  <Characters>26008</Characters>
  <Application>Microsoft Office Word</Application>
  <DocSecurity>0</DocSecurity>
  <Lines>684</Lines>
  <Paragraphs>468</Paragraphs>
  <ScaleCrop>false</ScaleCrop>
  <Company/>
  <LinksUpToDate>false</LinksUpToDate>
  <CharactersWithSpaces>29970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2025-01-13T10:47:00Z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2025-01-13T10:47:07Z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975b52ad-c837-4344-8b61-fc3cd40c3bd0</vt:lpwstr>
  </property>
  <property fmtid="{D5CDD505-2E9C-101B-9397-08002B2CF9AE}" pid="9" name="MSIP_Label_6bd9ddd1-4d20-43f6-abfa-fc3c07406f94_ContentBits">
    <vt:lpwstr>0</vt:lpwstr>
  </property>
</Properties>
</file>