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SV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BILAGA II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”BILAGA II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INSTRUKTIONER FÖR RAPPORTERING AV KAPITALBAS OCH KAPITALBASKRAV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DEL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MALLRELATERADE INSTRUKTIONER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10.00 – Kreditrisk och motpartsrisk och transaktioner utan samtidig prestation: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Exponeringar enligt internmetoden som omfattas av bestämmelser om kapitalgolv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Allmänna kommentarer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91b.</w:t>
      </w:r>
      <w:r>
        <w:t xml:space="preserve"> </w:t>
      </w:r>
      <w:r>
        <w:t xml:space="preserve">Institut som tillämpar internmetoden ska i C 10.00 rapportera exponeringar enligt internmetoden uppdelade på exponeringsklasser enligt schablonmetoden och information om beräkningen av det totala riskvägda exponeringsbeloppet enligt schablonmetoden för dessa exponeringar.</w:t>
      </w:r>
      <w:r>
        <w:t xml:space="preserve"> </w:t>
      </w:r>
      <w:r>
        <w:t xml:space="preserve">I kolumnerna 0100–0120 anges information om effekten av övergångsbestämmelser avseende kapitalgolvet för dessa exponeringar.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91c.</w:t>
      </w:r>
      <w:r>
        <w:t xml:space="preserve"> </w:t>
      </w:r>
      <w:r>
        <w:t xml:space="preserve">Institut som tillämpar metoden med interna modeller enligt kapitel 6 avsnitt 6 i förordning (EU) nr 575/2013 för att beräkna exponeringsbelopp för exponeringar enligt schablonmetoden, ska rapportera uppgifter i rad 0270 i denna mall.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Instruktioner för specifika positioner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Kolumn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URSPRUNGLIG EXPONERING FÖRE KONVERTERINGSFAKTORER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instruktioner för mall C 07.00, kolumn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VÄRDEJUSTERINGAR OCH AVSÄTTNINGAR AVSEENDE DEN URSPRUNGLIGA EXPONERINGEN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instruktioner för mall C 07.00, kolumn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 NETTO EFTER VÄRDEJUSTERINGAR OCH AVSÄTTNINGAR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kolumnerna 0010 och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EXPONERINGSVÄRDE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Se instruktioner för mall C 07.00, kolumn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TILL FÖLJD AV MOTPARTSRISK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instruktioner för mall C 07.00, kolumn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0060–0080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KAPITALGOLV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92.3 och 92.5 i förordning (EU) nr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Totalt riskvägt exponeringsbelopp enligt schablonmetoden (S-TREA) beräknat i enlighet med artikel 92.5 i förordning (EU) nr 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TILL FÖLJD AV MOTPARTSRISK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S-TREA för motpartsrisk beräknat i enlighet med de metoder som fastställs i del tre avdelning II kapitel 6 i förordning (EU) nr 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MED EN KREDITVÄRDERING AV ETT UTSETT EXTERNT KREDITVÄRDERINGSINSTITUT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112 a–d, f, g, l, n, o och q i förordning (EU) nr 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0090–0110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MEMORANDUMPOSTER: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RISKVÄGT EXPONERINGSBELOPP AVSEENDE EFFEKTERNA AV TILLÄMPNINGEN AV VISSA ÖVERGÅNGSBESTÄMMELSER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Artiklarna 92.3 och 465 i förordning (EU) nr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Skillnaden mellan det riskvägda exponeringsbeloppet utan tillämpning av övergångsbestämmelserna, och det riskvägda exponeringsbeloppet med tillämpning av övergångsbestämmelserna, ska rapporteras.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SÄKRADE GENOM PANTRÄTT I BOSTADSFASTIGHETER UPP TILL 55 % AV EGENDOMENS VÄRDE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465.5 a i förordning (EU) nr 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SÄKRADE GENOM PANTRÄTT I BOSTADSFASTIGHETER MELLAN 55 % OCH 80 % AV EGENDOMENS VÄRDE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465.5 b i förordning (EU) nr 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MOT FÖRETAG UTAN KREDITVÄRDERING MED PD-SKATTNING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465.3 i förordning (EU) nr 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ENLIGT INTERNMETODEN SOM OMFATTAS AV MOTPARTSRISK ENLIGT METODEN MED INTERNA MODELLER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465.4 i förordning (EU) nr 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Rad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SUMMA EXPONERINGAR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Artiklarna 92.3 och artiklarna 95, 96 och 98 i förordning (EU) nr 575/2013.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Ytterligare striktare tillsynskrav baserade på artikel 124 i förordning (EU) nr 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rapportera de ytterligare riskvägda exponeringsbelopp som krävs för att uppfylla de striktare tillsynskrav som har meddelats dem efter samråd med EBA, i enlighet med artikel 124.2 och 124.5 i förordning (EU) nr 575/2013 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Exponeringsklasser enligt schablonmetoden förutom positioner i värdepapperisering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Totala exponeringar i mallen för kreditrisk enligt schablonmetoden (CR SA).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 exponeringsklasser enligt schablonmetoden som avses är de som anges i artikel 112 i förordning (EU) nr 575/2013, med undantag av värdepapperiseringspositioner.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Nationella regeringar eller centralbanker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Delstatliga eller lokala självstyrelseorgan och myndigheter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Offentliga organ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Multilaterala utvecklingsbanker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Internationella organisationer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Institut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Företag – övriga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mot företag utan kreditvärdering med PD-skattning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465.3 i förordning (EU) nr 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Förvärvade fordringar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enligt internmetoden hänförs till exponeringsklassen ”förvärvade fordringar” i enlighet med artikel 147.2 c iii i förordning (EU) nr 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Företag – specialutlåning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Hushåll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Kvalificerade rullande exponeringar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enligt internmetoden hänförs till exponeringsklassen </w:t>
            </w:r>
            <w:r>
              <w:rPr>
                <w:sz w:val="24"/>
                <w:rFonts w:ascii="Times New Roman" w:hAnsi="Times New Roman"/>
              </w:rPr>
              <w:t xml:space="preserve">”förvärvade fordringar”</w:t>
            </w:r>
            <w:r>
              <w:rPr>
                <w:sz w:val="24"/>
                <w:rFonts w:ascii="Times New Roman" w:hAnsi="Times New Roman"/>
              </w:rPr>
              <w:t xml:space="preserve"> i enlighet med artikel 147.2 d i i förordning (EU) nr 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Förvärvade fordringar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enligt internmetoden hänförs till exponeringsklassen ”förvärvade fordringar” i enlighet med artikel 147.2 d iii i förordning (EU) nr 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 fast egendom och exponering mot förvärv eller exploatering av eller byggnation på mark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säkrade genom panträtt i bostadsfastigheter upp till 55 % av egendomens värde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465.5 a i förordning (EU) nr 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säkrade genom panträtt i bostadsfastigheter mellan 55 % och 80 % av egendomens värde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465.5 b i förordning (EU) nr 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bostadsfastigheter – ej inkomstgenererande fastigheter (säkrade)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bostadsfastigheter – ej inkomstgenererande fastigheter (ej säkrade)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bostadsfastigheter – övriga – ej inkomstgenererande fastigheter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bostadsfastigheter – inkomstgenererande fastigheter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kommersiella fastigheter – övriga - inkomstgenererande fastigheter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kommersiella fastigheter – ej inkomstgenererande fastigheter (säkrade)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kommersiella fastigheter – ej inkomstgenererande fastigheter (ej säkrade)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kommersiella fastigheter – övriga - ej inkomstgenererande fastigheter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kommersiella fastigheter – inkomstgenererande fastigheter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Säkrade genom panträtt i kommersiella fastigheter – övriga - inkomstgenererande fastigheter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Förvärv eller exploatering av eller byggnation på mark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Varav: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Kategoriserade som säkrade genom bostadsfastigheter enligt internmetoden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enligt internmetoden hänförs till exponeringsklassen ”</w:t>
            </w:r>
            <w:r>
              <w:rPr>
                <w:sz w:val="24"/>
                <w:rFonts w:ascii="Times New Roman" w:hAnsi="Times New Roman"/>
              </w:rPr>
              <w:t xml:space="preserve">förvärvade fordringar</w:t>
            </w:r>
            <w:r>
              <w:rPr>
                <w:sz w:val="24"/>
                <w:rFonts w:ascii="Times New Roman" w:hAnsi="Times New Roman"/>
              </w:rPr>
              <w:t xml:space="preserve">” i enlighet med artikel 147.2 d ii i förordning (EU) nr 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Fallerande exponeringar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mot efterställda skulder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Säkerställda obligationer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Fordringar på institut och företag med kortfristigt kreditbetyg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Företag för kollektiva investeringar (fond)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Aktier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Övriga poster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mallen för kreditrisk enligt schablonmetoden (CR SA)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</w:rPr>
              <w:t xml:space="preserve">MEMORANDUMPOSTER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Företag – Grundläggande internmetoden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Exponeringar mot företag som behandlas enligt den grundläggande internmetoden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Företag – Avancerade internmetoden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Exponeringar mot företag som behandlas enligt den avancerade internmetoden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Exponeringar enligt schablonmetoden som omfattas av motpartsrisk enligt metoden med interna modeller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465.4 i förordning (EU) nr 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Ordinarie använd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Ordinarie användning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Ordinarie använd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Ordinarie användning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Ordinarie använd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Ordinarie användning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Ordinarie användning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Ordinarie användning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sv-SE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602C7E-1459-45A6-8D7C-9793CEF38CE1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