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SV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BILAGA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”BILAGA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INSTRUKTIONER FÖR RAPPORTERING AV KAPITALBAS OCH KAPITALBASKRAV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DEL II: MALLRELATERADE INSTRUKTIONER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EXPONERINGAR MOT KRYPTOTILLGÅNGAR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 xml:space="preserve">10.1 </w:t>
      </w:r>
      <w:r>
        <w:rPr>
          <w:rFonts w:ascii="Times New Roman" w:hAnsi="Times New Roman"/>
          <w:sz w:val="24"/>
        </w:rPr>
        <w:t>Allmänna kommentarer</w:t>
      </w:r>
    </w:p>
    <w:p w14:paraId="6942FA35" w14:textId="77777777" w:rsidR="005F103E" w:rsidRDefault="005F103E" w:rsidP="00CF4FBC">
      <w:pPr>
        <w:pStyle w:val="InstructionsText2"/>
      </w:pPr>
      <w:r>
        <w:t>Denna mall ska användas för att tillhandahålla uppgifter om exponeringar mot kryptotillgångar i enlighet med artikel 501d.2 och 501d.3 i förordning (EU) nr 575/2013.</w:t>
      </w:r>
    </w:p>
    <w:p w14:paraId="4985A436" w14:textId="77777777" w:rsidR="005F103E" w:rsidRDefault="005F103E" w:rsidP="005F103E">
      <w:pPr>
        <w:pStyle w:val="InstructionsText2"/>
      </w:pPr>
      <w:r>
        <w:t>Kryptotillgångsexponeringar ska endast rapporteras i denna mall.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 Instruktioner för specifika positioner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Kolumn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Rättsliga hänvisningar och instruktioner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Exponeringsvärde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>Värdet av de kryptotillgångsexponeringar för olika typer av kryptotillgångar som avses i artikel 501d.2 i förordning (EU) nr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Riskvägda exponeringsbelopp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>Artikel 501d.2 i förordning (EU) nr 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>Riskvägda exponeringsbelopp för de olika typer av kryptotillgångsexponeringar som har beräknats i enlighet med artikel 501d.2 i förordning (EU) nr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Rad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Rättsliga hänvisningar och instruktioner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Summa exponeringar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Totalt värde beräknat som summan av raderna 0020, 0030 och 0040. Värdet i kolumn 0020 ska motsvara det totala riskvägda exponeringsbelopp som har rapporterats på rad 0780 i mall C 02.00 (Kapitalbaskrav).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Kryptotillgångsexponeringar mot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tokeniserade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traditionella tillgångar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Artikel 501d.2 a</w:t>
            </w:r>
            <w:r>
              <w:t xml:space="preserve"> i förordning (EU) nr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Exponeringar mot tillgångsanknutna token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lastRenderedPageBreak/>
              <w:t>Artikel 501d.2 b i förordning (EU) nr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Exponeringar mot andra kryptotillgångar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Artikel 501d.2 c</w:t>
            </w:r>
            <w:r>
              <w:t xml:space="preserve"> i förordning (EU) nr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t>Andra kryptotillgångsexponeringar än de som avses i artikel 501d.2 a och b i förordning (EU) nr 575/2013.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Rad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Memorandumpost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Exponeringar mot andra kryptotillgångar uttryckta som en procentandel av institutets primärkapital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t>Artikel 501d.3 i förordning (EU) nr 575/2013.”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Ordinarie användn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Ordinarie användning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Ordinarie användn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Ordinarie användning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Ordinarie användn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Ordinarie användning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sv-SE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0D10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274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7BE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sv-S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sv-S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sv-S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sv-S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sv-S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sv-S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sv-S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sv-S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sv-S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sv-S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sv-S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sv-S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v-S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sv-S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24C30565-77B2-4ACD-BE55-F4B906A737EE}"/>
</file>

<file path=customXml/itemProps4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1561</Characters>
  <Application>Microsoft Office Word</Application>
  <DocSecurity>0</DocSecurity>
  <Lines>55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2025-01-27T09:34:08Z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0883cfc6-460b-44ea-a55d-055e4de81f9d</vt:lpwstr>
  </property>
  <property fmtid="{D5CDD505-2E9C-101B-9397-08002B2CF9AE}" pid="9" name="MSIP_Label_6bd9ddd1-4d20-43f6-abfa-fc3c07406f94_ContentBits">
    <vt:lpwstr>0</vt:lpwstr>
  </property>
</Properties>
</file>