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FI</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LIITE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”LIITE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OMIEN VAROJEN JA OMIEN VAROJEN VAATIMUSTEN RAPORTOINTIA KOSKEVAT OHJEET</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OSA II: LOMAKKEISIIN LIITTYVÄT OHJEET</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Pr>
          <w:rFonts w:ascii="Times New Roman" w:hAnsi="Times New Roman"/>
          <w:sz w:val="24"/>
          <w:u w:val="none"/>
        </w:rPr>
        <w:tab/>
      </w:r>
      <w:r>
        <w:rPr>
          <w:rFonts w:ascii="Times New Roman" w:hAnsi="Times New Roman"/>
          <w:sz w:val="24"/>
        </w:rPr>
        <w:t>Markkinariskilomakkeet</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158</w:t>
      </w:r>
      <w:r w:rsidRPr="004B0EC7">
        <w:fldChar w:fldCharType="end"/>
      </w:r>
      <w:r>
        <w:t>.</w:t>
      </w:r>
      <w:r>
        <w:tab/>
        <w:t xml:space="preserve"> Nämä ohjeet koskevat lomakkeita, joissa ilmoitetaan tiedot, jotka liittyvät omien varojen vaatimusten laskemiseen standardimenetelmän mukaisesti valuuttakurssiriskin (MKR SSA FX), hyödykeriskin (MKR SSA COM), korkoriskin (MKR SSA TDI, MKR SSA SEC, MKR SSA CTP) ja osakeriskin (MKR SSA EQU) osalta. Lisäksi tähän osaan sisältyvät ohjeet, jotka koskevat lomaketta, joka on tarkoitettu omien varojen vaatimusten sisäisten mallien menetelmän mukaista laskemista koskevien tietojen ilmoittamiseen (MKR IM).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159</w:t>
      </w:r>
      <w:r w:rsidRPr="004B0EC7">
        <w:fldChar w:fldCharType="end"/>
      </w:r>
      <w:r>
        <w:t>.</w:t>
      </w:r>
      <w:r>
        <w:tab/>
        <w:t xml:space="preserve"> Kaupankäynnin kohteena olevan vieraan pääoman ehtoisen rahoitusinstrumentin tai osakkeen (taikka vieraan pääoman ehtoisen johdannaisen tai osakejohdannaisen) positioriski jaetaan kahteen osatekijään kyseiseen riskiin liittyvän pääomavaatimuksen laskemiseksi. Ensimmäinen osatekijä on erityisriski – eli kyseisen rahoitusinstrumentin hinnanmuutosriski, johon vaikuttavat rahoitusinstrumentin liikkeeseenlaskijaan tai, johdannaisen ollessa kyseessä, johdannaisen kohde-etuutena olevan rahoitusinstrumentin liikkeeseenlaskijaan liittyvät seikat. Toinen osatekijä on yleisriski – eli kyseisen rahoitusinstrumentin hinnanmuutosriski, joka syntyy korkotason vaihteluista (kun kyseessä ovat kaupankäynnin kohteena olevat vieraan pääoman ehtoiset rahoitusinstrumentit tai vieraan pääoman ehtoiset johdannaiset) tai osakemarkkinoiden yleisestä muutoksesta, joka ei johdu yksittäisten arvopapereiden ominaispiirteistä (kun kyseessä ovat osakkeet tai osakejohdannaiset). </w:t>
      </w:r>
      <w:bookmarkEnd w:id="16"/>
      <w:r>
        <w:t xml:space="preserve">Erityisten rahoitusinstrumenttien yleinen käsittely ja niitä koskevat nettoutusmenettelyt esitetään asetuksen (EU) N:o 575/2013 326–333 artiklassa.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Pr>
          <w:rFonts w:ascii="Times New Roman" w:hAnsi="Times New Roman"/>
          <w:sz w:val="24"/>
          <w:u w:val="none"/>
        </w:rPr>
        <w:tab/>
      </w:r>
      <w:r>
        <w:rPr>
          <w:rFonts w:ascii="Times New Roman" w:hAnsi="Times New Roman"/>
          <w:sz w:val="24"/>
        </w:rPr>
        <w:t>C 18.01 – Markkinariski: kaupankäynnin kohteena olevien vieraan pääoman ehtoisten rahoitusinstrumenttien positioriskeihin sovellettava yksinkertaistettu standardimenetelmä</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Pr>
          <w:rFonts w:ascii="Times New Roman" w:hAnsi="Times New Roman"/>
          <w:sz w:val="24"/>
          <w:u w:val="none"/>
        </w:rPr>
        <w:tab/>
      </w:r>
      <w:r>
        <w:rPr>
          <w:rFonts w:ascii="Times New Roman" w:hAnsi="Times New Roman"/>
          <w:sz w:val="24"/>
        </w:rPr>
        <w:t>Yleiset huomautukset</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160</w:t>
      </w:r>
      <w:r w:rsidRPr="004B0EC7">
        <w:fldChar w:fldCharType="end"/>
      </w:r>
      <w:r>
        <w:t>.</w:t>
      </w:r>
      <w:r>
        <w:tab/>
        <w:t xml:space="preserve"> Tässä lomakkeessa ilmoitetaan kaupankäynnin kohteena olevia vieraan pääoman ehtoisia rahoitusinstrumentteja koskevat positiot ja niihin liittyviä positioriskejä koskevat omien varojen vaatimukset standardimenetelmän mukaisesti (asetuksen (EU) N:o 575/2013 325 artiklan 2 kohdan a alakohta). Asetuksessa (EU) </w:t>
      </w:r>
      <w:r>
        <w:lastRenderedPageBreak/>
        <w:t>N:o 575/2013 mainitut erilaiset riskit ja menetelmät otetaan riveittäin huomioon. Lomakkeisiin MKR SSA SEC ja MKR SSA CTP sisällytettyihin vastuisiin liittyvä erityisriski on ilmoitettava ainoastaan kokonaismäärää kuvaavassa MKR SSA TDI -lomakkeessa. Kyseisissä lomakkeissa ilmoitetut omien varojen vaatimukset on siirrettävä soluun {0325;0060} (arvopaperistamiset) ja soluun {0330;0060} (korrelaatiokaupankäyntisalkku)</w:t>
      </w:r>
    </w:p>
    <w:p w14:paraId="7C8420A5" w14:textId="7A817DE2"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161</w:t>
      </w:r>
      <w:r w:rsidRPr="004B0EC7">
        <w:fldChar w:fldCharType="end"/>
      </w:r>
      <w:r>
        <w:t>.</w:t>
      </w:r>
      <w:r>
        <w:tab/>
        <w:t xml:space="preserve"> Tämän lomakkeen tiedot täytetään erikseen ”kokonaismäärän” osalta ja ennalta määritellyn valuuttaluettelon osalta, joka esitetään seuraavassa: </w:t>
      </w:r>
      <w:bookmarkStart w:id="32" w:name="OLE_LINK1"/>
      <w:r>
        <w:t>EUR, ALL, BGN, CZK, DKK, EGP, GBP, HUF, ISK, JPY, MKD, NOK, PLN, RON, RUB, RSD, SEK, CHF, TRY, UAH, USD</w:t>
      </w:r>
      <w:bookmarkEnd w:id="32"/>
      <w:r>
        <w:t xml:space="preserve"> ja yksi jäännöslomake kaikille muille valuutoille.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Pr>
          <w:rFonts w:ascii="Times New Roman" w:hAnsi="Times New Roman"/>
          <w:sz w:val="24"/>
          <w:u w:val="none"/>
        </w:rPr>
        <w:tab/>
      </w:r>
      <w:r>
        <w:rPr>
          <w:rFonts w:ascii="Times New Roman" w:hAnsi="Times New Roman"/>
          <w:sz w:val="24"/>
        </w:rPr>
        <w:t>Tiettyjä positioita koskevat ohjeet</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4B0EC7" w14:paraId="2FB66B69" w14:textId="77777777" w:rsidTr="00672D2A">
        <w:tc>
          <w:tcPr>
            <w:tcW w:w="988" w:type="dxa"/>
          </w:tcPr>
          <w:p w14:paraId="3487AAF4" w14:textId="5C866DDF" w:rsidR="000B0B09" w:rsidRPr="004B0EC7" w:rsidRDefault="00FD1FEC"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0C799784" w14:textId="63DC6E88" w:rsidR="000B0B09" w:rsidRPr="004B0EC7" w:rsidRDefault="000B0B09" w:rsidP="00D24331">
            <w:pPr>
              <w:rPr>
                <w:rFonts w:ascii="Times New Roman" w:hAnsi="Times New Roman"/>
                <w:sz w:val="24"/>
              </w:rPr>
            </w:pPr>
            <w:r>
              <w:rPr>
                <w:rFonts w:ascii="Times New Roman" w:hAnsi="Times New Roman"/>
                <w:sz w:val="24"/>
              </w:rPr>
              <w:t>Asetuksen (EU) N:o 575/2013 102 artikla ja 105 artiklan 1 kohta. Nämä ovat bruttopositioita, joita ei ole nettoutettu rahoitusinstrumenteilla, mutta niihin ei asetuksen (EU) N:o 575/2013 345 artiklan 1 kohdan ensimmäisen alakohdan toisen virkkeen mukaisesti sisällytetä merkintäsitoumuksia, joita kolmannet osapuolet ovat antaneet tai joissa alkuperäinen merkitsijä on tehnyt sopimuksen merkinnän kohteena olevien osakkeiden edelleenlunastuksesta. Myös näihin bruttopositioihin pätee pitkien ja lyhyiden positioiden välinen yleinen ero, jonka osalta ks. asetuksen (EU) N:o 575/2013 328 artiklan 2 kohta.</w:t>
            </w:r>
          </w:p>
        </w:tc>
      </w:tr>
      <w:tr w:rsidR="000B0B09" w:rsidRPr="004B0EC7" w14:paraId="05A2AFD3" w14:textId="77777777" w:rsidTr="00672D2A">
        <w:tc>
          <w:tcPr>
            <w:tcW w:w="988" w:type="dxa"/>
          </w:tcPr>
          <w:p w14:paraId="0443676D" w14:textId="0F5B0E68" w:rsidR="000B0B09" w:rsidRPr="004B0EC7" w:rsidRDefault="00FD1FEC"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38649486" w14:textId="21B59DB4" w:rsidR="000B0B09" w:rsidRPr="004B0EC7" w:rsidRDefault="000B0B09" w:rsidP="005B04C9">
            <w:pPr>
              <w:rPr>
                <w:rFonts w:ascii="Times New Roman" w:hAnsi="Times New Roman"/>
                <w:sz w:val="24"/>
              </w:rPr>
            </w:pPr>
            <w:r>
              <w:rPr>
                <w:rFonts w:ascii="Times New Roman" w:hAnsi="Times New Roman"/>
                <w:sz w:val="24"/>
              </w:rPr>
              <w:t>Asetuksen (EU) N:o 575/2013 327–329 artikla ja 334 artikla. Pitkien ja lyhyiden positioiden välisen eron osalta ks. asetuksen (EU) N:o 575/2013 328 artiklan 2 kohta.</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Tässä tarkoitetaan nettopositioita, joihin sovelletaan pääomavaatimusta asetuksen (EU) N:o 575/2013 kolmannen osan IV osaston 2 luvussa säädettyjen menetelmien mukaisesti.</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 ENNEN KOROTUSKERTOIMIEN SOVELTAMISTA</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Asetuksen (EU) N:o 575/2013 kolmannen osan IV osaston 2 luvun mukainen asianmukaista positiota koskeva omien varojen vaatimus ennen kyseisen asetuksen 325 artiklan 2 kohdan a alakohdan i ja d alakohdassa säädettyjen korotuskertoimien soveltamista.</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2B71E9D1" w14:textId="77777777" w:rsidR="000C566F" w:rsidRPr="004B0EC7" w:rsidRDefault="000B0B09" w:rsidP="00D24331">
            <w:pPr>
              <w:rPr>
                <w:rFonts w:ascii="Times New Roman" w:hAnsi="Times New Roman"/>
                <w:sz w:val="24"/>
              </w:rPr>
            </w:pPr>
            <w:r>
              <w:rPr>
                <w:rFonts w:ascii="Times New Roman" w:hAnsi="Times New Roman"/>
                <w:sz w:val="24"/>
              </w:rPr>
              <w:t>Asetuksen (EU) N:o 575/2013 92 artiklan 4 kohdan b alakohdan i alakohta.</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Tulos, joka saadaan kertomalla omien varojen vaatimus kertoimella 12,5 asetuksen (EU) N:o 575/2013 92 artiklan 6 kohdan b alakohdan mukaisesti ja sovellettavalla korotuskertoimella kyseisen asetuksen 325 artiklan 2 kohdan a alakohdan i alakohdan ja d alakohdan mukaisesti.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4B0EC7" w14:paraId="278DCECA" w14:textId="77777777" w:rsidTr="00672D2A">
        <w:trPr>
          <w:trHeight w:val="1168"/>
        </w:trPr>
        <w:tc>
          <w:tcPr>
            <w:tcW w:w="987" w:type="dxa"/>
          </w:tcPr>
          <w:p w14:paraId="2275EBA9" w14:textId="617A3379" w:rsidR="000B0B09" w:rsidRPr="004B0EC7" w:rsidRDefault="00FD1FEC"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KAUPANKÄYNTIVARASTOON KUULUVAT KAUPANKÄYNNIN KOHTEENA OLEVAT VIERAAN PÄÄOMAN EHTOISET RAHOITUSINSTRUMENTIT</w:t>
            </w:r>
          </w:p>
          <w:p w14:paraId="12C841B7" w14:textId="0DE276AE" w:rsidR="000B0B09" w:rsidRPr="004B0EC7" w:rsidRDefault="000B0B09" w:rsidP="00D24331">
            <w:pPr>
              <w:rPr>
                <w:rFonts w:ascii="Times New Roman" w:hAnsi="Times New Roman"/>
                <w:sz w:val="24"/>
              </w:rPr>
            </w:pPr>
            <w:r>
              <w:rPr>
                <w:rFonts w:ascii="Times New Roman" w:hAnsi="Times New Roman"/>
                <w:sz w:val="24"/>
              </w:rPr>
              <w:t>Asetuksen (EU) N:o 575/2013 92 artiklan 4 kohdan b alakohdan i alakohdan ja asetuksen (EU) N:o 575/2013 kolmannen osan IV osaston 2 luvun mukaiset kaupankäynnin kohteena oleviin vieraan pääoman ehtoisiin rahoitusvälineisiin kaupankäyntivarastossa liittyvät positiot ja niitä vastaavat positioriskille lasketut omien varojen vaatimukset ilmoitetaan riskiluokan, maturiteetin ja sovellettavan menetelmän mukaan.</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YLEISRISKI.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Johdannaiset</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Tässä ilmoitetaan kaupankäyntivarastossa olevien positioiden korkoriskin laskentaan sisällytettävät johdannaiset ottaen tarvittaessa huomioon asetuksen (EU) N:o 575/2013 328–331 artikla.</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varat ja velat</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Tässä tarkoitetaan rahoitusinstrumentteja, jotka eivät ole johdannaisia ja jotka sisällytetään kaupankäyntivarastossa olevien positioiden korkoriskin laskentaan. </w:t>
            </w:r>
          </w:p>
        </w:tc>
      </w:tr>
      <w:tr w:rsidR="000B0B09" w:rsidRPr="004B0EC7" w14:paraId="177EBA5C" w14:textId="77777777" w:rsidTr="00672D2A">
        <w:tc>
          <w:tcPr>
            <w:tcW w:w="987" w:type="dxa"/>
          </w:tcPr>
          <w:p w14:paraId="2B740B72" w14:textId="60413000" w:rsidR="000B0B09" w:rsidRPr="004B0EC7" w:rsidRDefault="00FD1FEC"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MATURITEETTIPOHJAINEN MENETELMÄ</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Tässä ilmoitetaan asetuksen (EU) N:o 575/2013 339 artiklan 1–8 kohdassa tarkoitetun maturiteettipohjaisen menetelmän soveltamisalaan kuuluvat positiot kaupankäynnin kohteena olevissa vieraan pääoman ehtoisissa rahoitusvälineissä ja niitä vastaavat asetuksen (EU) N:o 575/2013 339 artiklan 9 kohdan mukaisesti lasketut omien varojen vaatimukset. Positio eritellään alueiden 1, 2 ja 3 kesken ja nämä alueet puolestaan rahoitusinstrumenttien maturiteetin mukaan.</w:t>
            </w:r>
          </w:p>
        </w:tc>
      </w:tr>
      <w:tr w:rsidR="000B0B09" w:rsidRPr="004B0EC7" w14:paraId="79DAC997" w14:textId="77777777" w:rsidTr="00672D2A">
        <w:tc>
          <w:tcPr>
            <w:tcW w:w="987" w:type="dxa"/>
          </w:tcPr>
          <w:p w14:paraId="73C021ED" w14:textId="5A73115D" w:rsidR="000B0B09" w:rsidRPr="004B0EC7" w:rsidRDefault="00FD1FEC"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YLEISRISKI. DURAATIOPOHJAINEN MENETELMÄ</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Tässä ilmoitetaan asetuksen (EU) N:o 575/2013 340 artiklan 1–6 kohdassa tarkoitetun duraatiopohjaisen menetelmän soveltamisalaan kuuluvat positiot kaupankäynnin kohteena olevissa vieraan pääoman ehtoisissa rahoitusvälineissä ja niitä vastaavat asetuksen (EU) N:o 575/2013 340 artiklan 7 kohdan mukaisesti lasketut omien varojen vaatimukset. Positio eritellään alueiden 1, 2 ja 3 kesken.</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ERITYISRISKI</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Riveillä 0251, 0325 ja 0330 ilmoitettujen määrien summa.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Tässä tarkoitetaan kaupankäynnin kohteena olevissa vieraan pääoman ehtoisissa rahoitusvälineisissä olevia positioita, joihin sovelletaan erityisriskiin liittyviä pääomavaatimuksia ja vastaavia pääomavaatimuksia asetuksen (EU) N:o 575/2013 92 artiklan 4 kohdan b alakohdan, 335 artiklan, 336 artiklan 1, 2 ja 3 kohdan sekä 337 ja 338 artiklan mukaisesti. Myös asetuksen (EU) N:o 575/2013 327 artiklan 1 kohdan viimeinen virke on otettava huomioon.</w:t>
            </w:r>
          </w:p>
        </w:tc>
      </w:tr>
      <w:tr w:rsidR="000B0B09" w:rsidRPr="004B0EC7" w14:paraId="6F8691E7" w14:textId="77777777" w:rsidTr="00672D2A">
        <w:tc>
          <w:tcPr>
            <w:tcW w:w="987" w:type="dxa"/>
          </w:tcPr>
          <w:p w14:paraId="5CD5E31A" w14:textId="156460BF" w:rsidR="000B0B09" w:rsidRPr="004B0EC7" w:rsidRDefault="00FD1FEC"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Muita kuin arvopaperistettuja vieraan pääoman ehtoisia rahoitusinstrumentteja koskeva omien varojen vaatimus</w:t>
            </w:r>
          </w:p>
          <w:p w14:paraId="19437B35" w14:textId="77777777" w:rsidR="000B0B09" w:rsidRPr="004B0EC7" w:rsidRDefault="000B0B09" w:rsidP="007B2F85">
            <w:pPr>
              <w:rPr>
                <w:rFonts w:ascii="Times New Roman" w:hAnsi="Times New Roman"/>
                <w:sz w:val="24"/>
              </w:rPr>
            </w:pPr>
            <w:r>
              <w:rPr>
                <w:rFonts w:ascii="Times New Roman" w:hAnsi="Times New Roman"/>
                <w:sz w:val="24"/>
              </w:rPr>
              <w:lastRenderedPageBreak/>
              <w:t>Riveillä 260–321 ilmoitettujen määrien summa.</w:t>
            </w:r>
          </w:p>
          <w:p w14:paraId="4CDA5DEB" w14:textId="3E49784D" w:rsidR="000B0B09" w:rsidRPr="004B0EC7" w:rsidRDefault="000B0B09" w:rsidP="00BD2FE7">
            <w:pPr>
              <w:rPr>
                <w:rFonts w:ascii="Times New Roman" w:hAnsi="Times New Roman"/>
                <w:sz w:val="24"/>
              </w:rPr>
            </w:pPr>
            <w:r>
              <w:rPr>
                <w:rFonts w:ascii="Times New Roman" w:hAnsi="Times New Roman"/>
                <w:sz w:val="24"/>
              </w:rPr>
              <w:t xml:space="preserve">Omien varojen vaatimus, joka liittyy niihin n:nnen tappion luottojohdannaisiin, joilla ei ole ulkoisen tahon antamaa luottoluokitusta, on laskettava laskemalla yhteen referenssiomaisuuserien riskipainot (asetuksen (EU) N:o 575/2013 332 artiklan 1 kohdan e alakohta ja asetuksen (EU) N:o 575/2013 332 artiklan 1 kohdan toinen alakohta – ”läpikatsomismenetelmä”). N:nnen tappion luottojohdannaiset, joilla on ulkoisen tahon antama luottoluokitus (asetuksen (EU) N:o 575/2013 332 artiklan 1 kohdan kolmas alakohta), on ilmoitettava erikseen rivillä 321. </w:t>
            </w:r>
          </w:p>
          <w:p w14:paraId="7051ED04" w14:textId="663FE04C" w:rsidR="000B0B09" w:rsidRPr="004B0EC7" w:rsidRDefault="000B0B09" w:rsidP="00BD2FE7">
            <w:pPr>
              <w:rPr>
                <w:rFonts w:ascii="Times New Roman" w:hAnsi="Times New Roman"/>
                <w:sz w:val="24"/>
              </w:rPr>
            </w:pPr>
            <w:r>
              <w:rPr>
                <w:rFonts w:ascii="Times New Roman" w:hAnsi="Times New Roman"/>
                <w:sz w:val="24"/>
              </w:rPr>
              <w:t>Niiden positioiden ilmoittaminen, joihin sovelletaan asetuksen (EU) N:o 575/2013 336 artiklan 3 kohtaa: Joukkolainoille, joille voidaan asetuksen (EU) N:o 575/2013 129 artiklan 3 kohdan mukaisesti antaa kaupankäyntivaraston ulkopuolella 10 prosentin riskipaino (katetut joukkolainat), on olemassa erityiskäsittely. Erityiset omien varojen vaatimukset edustavat puolta asetuksen (EU) N:o 575/2013 336 artiklan taulukossa 1 tarkoitetun toisen luokan prosenttiosuudesta. Kyseiset positiot on luokiteltava riveihin 0280–0300 lopulliseen erääntymispäivään jäljellä olevan maturiteetin mukaisesti.</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Jos korkopositioiden yleisriskiltä on suojauduttu luottojohdannaisella, sovelletaan asetuksen (EU) N:o 575/2013 346 ja 347 artiklaa.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Arvopaperistamisvälineitä koskeva omien varojen vaatimus</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Tässä tarkoitetaan MKR SSA SEC -lomakkeen sarakkeessa 0601 ilmoitettujen omien varojen vaatimusten kokonaismäärää, Omien varojen vaatimusten kokonaismäärä ilmoitetaan ainoastaan MKR SSA TDI -lomakkeen kokonaismäärän tasolla.</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Korrelaatiokaupankäyntisalkkua koskeva omien varojen vaatimus</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Tässä tarkoitetaan MKR SSA CTP -lomakkeen sarakkeessa 0450 ilmoitettujen omien varojen vaatimusten kokonaismäärää. Omien varojen vaatimusten kokonaismäärä ilmoitetaan ainoastaan MKR SSA TDI -lomakkeen kokonaismäärän tasolla.</w:t>
            </w:r>
          </w:p>
        </w:tc>
      </w:tr>
      <w:tr w:rsidR="000B0B09" w:rsidRPr="004B0EC7" w14:paraId="230D0723" w14:textId="77777777" w:rsidTr="00672D2A">
        <w:tc>
          <w:tcPr>
            <w:tcW w:w="987" w:type="dxa"/>
          </w:tcPr>
          <w:p w14:paraId="26241DA3" w14:textId="7FF23B7E" w:rsidR="000B0B09" w:rsidRPr="004B0EC7" w:rsidRDefault="00032F6A"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OPTIOIHIN SOVELLETTAVAT LISÄVAATIMUKSET (MUUT KUIN DELTAA KOSKEVAT RISKIT) </w:t>
            </w:r>
          </w:p>
          <w:p w14:paraId="3B19069A" w14:textId="2AE3D272" w:rsidR="000B0B09" w:rsidRPr="004B0EC7" w:rsidRDefault="000B0B09" w:rsidP="00BD2FE7">
            <w:pPr>
              <w:rPr>
                <w:rFonts w:ascii="Times New Roman" w:hAnsi="Times New Roman"/>
                <w:sz w:val="24"/>
              </w:rPr>
            </w:pPr>
            <w:r>
              <w:rPr>
                <w:rFonts w:ascii="Times New Roman" w:hAnsi="Times New Roman"/>
                <w:sz w:val="24"/>
              </w:rPr>
              <w:t>Asetuksen (EU) N:o 575/2013 329 artiklan 3 kohta</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Muihin kuin deltariskeihin liittyvät optioita koskevat lisävaatimukset ilmoitetaan niiden laskennassa käytetyn menetelmän mukaan jaoteltuina.</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Pr>
          <w:rFonts w:ascii="Times New Roman" w:hAnsi="Times New Roman"/>
          <w:sz w:val="24"/>
          <w:u w:val="none"/>
        </w:rPr>
        <w:tab/>
      </w:r>
      <w:r>
        <w:rPr>
          <w:rFonts w:ascii="Times New Roman" w:hAnsi="Times New Roman"/>
          <w:sz w:val="24"/>
        </w:rPr>
        <w:t>C 19.01 – Markkinariski: Arvopaperistamisiin liittyvään erityisriskiin sovellettava yksinkertaistettu standardimenetelmä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Pr>
          <w:rFonts w:ascii="Times New Roman" w:hAnsi="Times New Roman"/>
          <w:sz w:val="24"/>
          <w:u w:val="none"/>
        </w:rPr>
        <w:tab/>
      </w:r>
      <w:r>
        <w:rPr>
          <w:rFonts w:ascii="Times New Roman" w:hAnsi="Times New Roman"/>
          <w:sz w:val="24"/>
        </w:rPr>
        <w:t>Yleiset huomautukset</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162</w:t>
      </w:r>
      <w:r w:rsidRPr="004B0EC7">
        <w:fldChar w:fldCharType="end"/>
      </w:r>
      <w:r>
        <w:t>.</w:t>
      </w:r>
      <w:r>
        <w:tab/>
        <w:t xml:space="preserve"> Tässä lomakkeessa kerätään tietoja positioista (brutto-/nettopositiot ja lyhyet/pitkät positiot) sekä niihin liittyvistä omien varojen vaatimuksista, jotka koskevat standardimenetelmän mukaista positioriskin erityisriskitekijää </w:t>
      </w:r>
      <w:r>
        <w:lastRenderedPageBreak/>
        <w:t xml:space="preserve">arvopaperistamisissa/uudelleenarvopaperistamisissa, jotka kuuluvat kaupankäyntivarastoon (tätä ei voida soveltaa korrelaatiokaupankäyntisalkkuun). </w:t>
      </w:r>
    </w:p>
    <w:p w14:paraId="2729DF95" w14:textId="73D4DCFE"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163</w:t>
      </w:r>
      <w:r w:rsidRPr="004B0EC7">
        <w:fldChar w:fldCharType="end"/>
      </w:r>
      <w:r>
        <w:t>.</w:t>
      </w:r>
      <w:r>
        <w:tab/>
        <w:t xml:space="preserve"> MKR SSA SEC -lomakkeessa esitetään omien varojen vaatimus vain arvopaperistamispositioita koskevan erityisriskin osalta asetuksen (EU) N:o 575/2013 335 artiklan mukaisesti yhdessä kyseisen asetuksen 337 artiklan kanssa. Jos kaupankäyntivarastoon kuuluvat arvopaperistamispositiot on suojattu luottojohdannaisilla, sovelletaan asetuksen (EU) N:o 575/2013 346 ja 347 artiklaa. Kaikkien kaupankäyntivaraston positioiden ilmoittamiseen on olemassa ainoastaan yksi lomake siitä riippumatta siitä, mitä menetelmää laitokset soveltavat määrittääkseen riskipainon kullekin positiolle asetuksen (EU) N:o 575/2013 kolmannen osan II osaston 5 luvun mukaisesti. Näiden positioiden yleisriskin omien varojen vaatimukset ilmoitetaan käyttämällä MKR SSA TDI -lomaketta tai MKR IM -lomaketta.</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164</w:t>
      </w:r>
      <w:r w:rsidRPr="004B0EC7">
        <w:fldChar w:fldCharType="end"/>
      </w:r>
      <w:r>
        <w:t>. Positiot, joihin sovelletaan 1 250 prosentin riskipainoa, voidaan vaihtoehtoisesti vähentää ydinpääomasta (CET1) (ks. asetuksen (EU) N:o 575/2013 244 artiklan 1 kohdan b alakohta, 245 artiklan 1 kohdan b alakohta ja 253 artikla). Tällöin ne on ilmoitettava CA1 -lomakkeen rivillä 0460.</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rPr>
          <w:rFonts w:ascii="Times New Roman" w:hAnsi="Times New Roman"/>
          <w:sz w:val="24"/>
          <w:u w:val="none"/>
        </w:rPr>
        <w:tab/>
      </w:r>
      <w:r>
        <w:rPr>
          <w:rFonts w:ascii="Times New Roman" w:hAnsi="Times New Roman"/>
          <w:sz w:val="24"/>
        </w:rPr>
        <w:t>Tiettyjä positioita koskevat ohjeet</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C55547" w:rsidRPr="004B0EC7" w14:paraId="25DD94D3" w14:textId="77777777" w:rsidTr="000911FE">
        <w:tc>
          <w:tcPr>
            <w:tcW w:w="1413" w:type="dxa"/>
          </w:tcPr>
          <w:p w14:paraId="1C45AB39" w14:textId="24BDFAEC" w:rsidR="00C55547" w:rsidRPr="004B0EC7" w:rsidRDefault="00FD1FEC"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503F4241" w14:textId="5A1E85D7" w:rsidR="00C55547" w:rsidRPr="004B0EC7" w:rsidRDefault="00C55547" w:rsidP="007062FD">
            <w:pPr>
              <w:rPr>
                <w:rFonts w:ascii="Times New Roman" w:hAnsi="Times New Roman"/>
                <w:sz w:val="24"/>
              </w:rPr>
            </w:pPr>
            <w:r>
              <w:rPr>
                <w:rStyle w:val="InstructionsTabelleText"/>
                <w:rFonts w:ascii="Times New Roman" w:hAnsi="Times New Roman"/>
                <w:sz w:val="24"/>
              </w:rPr>
              <w:t xml:space="preserve">Asetuksen (EU) N:o 575/2013 102 artikla ja 105 artiklan 1 kohta yhdessä kyseisen asetuksen 337 artiklan kanssa (arvopaperistamispositiot). Myös näihin bruttopositioihin pätee pitkien ja lyhyiden positioiden välinen yleinen ero, jonka osalta ks. asetuksen (EU) N:o 575/2013 328 artiklan 2 kohta. </w:t>
            </w:r>
          </w:p>
        </w:tc>
      </w:tr>
      <w:tr w:rsidR="00C55547" w:rsidRPr="004B0EC7" w14:paraId="22839602" w14:textId="77777777" w:rsidTr="000911FE">
        <w:tc>
          <w:tcPr>
            <w:tcW w:w="1413" w:type="dxa"/>
          </w:tcPr>
          <w:p w14:paraId="40A33AFE" w14:textId="3FFD1295" w:rsidR="00C55547" w:rsidRPr="004B0EC7" w:rsidRDefault="00FD1FEC"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Fonts w:ascii="Times New Roman" w:hAnsi="Times New Roman"/>
                <w:b/>
                <w:sz w:val="24"/>
                <w:u w:val="single"/>
              </w:rPr>
              <w:t>(-) OMISTA VAROISTA VÄHENNETYT POSITIOT (PITKÄT JA LYHYET)</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Asetuksen (EU) N:o 575/2013 244 artiklan 1 kohdan b alakohta, 245 artiklan 1 kohdan b alakohta ja 253 artikla</w:t>
            </w:r>
          </w:p>
        </w:tc>
      </w:tr>
      <w:tr w:rsidR="00C55547" w:rsidRPr="004B0EC7" w14:paraId="16C58348" w14:textId="77777777" w:rsidTr="000911FE">
        <w:tc>
          <w:tcPr>
            <w:tcW w:w="1413" w:type="dxa"/>
          </w:tcPr>
          <w:p w14:paraId="2D1E9030" w14:textId="2F5A1126" w:rsidR="00C55547" w:rsidRPr="004B0EC7" w:rsidRDefault="00FD1FEC"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Fonts w:ascii="Times New Roman" w:hAnsi="Times New Roman"/>
                <w:b/>
                <w:sz w:val="24"/>
                <w:u w:val="single"/>
              </w:rPr>
              <w:t>NETTOPOSITIOT (PITKÄT JA LYHYET)</w:t>
            </w:r>
          </w:p>
          <w:p w14:paraId="54C14D76" w14:textId="7E4CA859"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Asetuksen (EU) N:o 575/2013 327, 328, 329 ja 334 artikla Pitkien ja lyhyiden positioiden välisen eron osalta ks. asetuksen (EU) N:o 575/2013 328 artiklan 2 kohta.</w:t>
            </w:r>
          </w:p>
        </w:tc>
      </w:tr>
      <w:tr w:rsidR="00C55547" w:rsidRPr="004B0EC7" w14:paraId="0BDF729C" w14:textId="77777777" w:rsidTr="000911FE">
        <w:tc>
          <w:tcPr>
            <w:tcW w:w="1413" w:type="dxa"/>
          </w:tcPr>
          <w:p w14:paraId="324A2BB6" w14:textId="0C38AA15" w:rsidR="00C55547" w:rsidRPr="004B0EC7" w:rsidRDefault="00FD1FEC"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RISKIPAINOJEN MUKAAN JAOTELTUINA</w:t>
            </w:r>
          </w:p>
          <w:p w14:paraId="3ECFC065" w14:textId="41D71775" w:rsidR="00C3548F"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Asetuksen (EU) N:o 575/2013 259–262 artikla, 263 artiklan taulukot 1 ja 2, 264 artiklan taulukot 3 ja 4 sekä 266 artikla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Pitkät ja lyhyet positiot on eriteltävä erikseen.</w:t>
            </w:r>
          </w:p>
        </w:tc>
      </w:tr>
      <w:tr w:rsidR="00C55547" w:rsidRPr="004B0EC7" w14:paraId="2A20E80A" w14:textId="77777777" w:rsidTr="000911FE">
        <w:tc>
          <w:tcPr>
            <w:tcW w:w="1413" w:type="dxa"/>
          </w:tcPr>
          <w:p w14:paraId="163C862B" w14:textId="101914B0" w:rsidR="00C55547" w:rsidRPr="004B0EC7" w:rsidRDefault="00FD1FEC"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MENETELMIEN MUKAAN JAOTELTUNA</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Asetuksen (EU) N:o 575/2013 254 artikla</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Fonts w:ascii="Times New Roman" w:hAnsi="Times New Roman"/>
                <w:sz w:val="24"/>
              </w:rPr>
              <w:lastRenderedPageBreak/>
              <w:t>Asetuksen (EU) N:o 575/2013 259 ja 260 artikla</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Asetuksen (EU) N:o 575/2013 261 ja 262 artikla</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Fonts w:ascii="Times New Roman" w:hAnsi="Times New Roman"/>
                <w:sz w:val="24"/>
              </w:rPr>
              <w:t>Asetuksen (EU) N:o 575/2013 263 ja 264 artikla</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SISÄINEN ARVIOINTIMENETELMÄ</w:t>
            </w:r>
          </w:p>
          <w:p w14:paraId="5354C48C" w14:textId="67E47F49" w:rsidR="00C55547" w:rsidRPr="004B0EC7" w:rsidRDefault="00C55547" w:rsidP="007062FD">
            <w:pPr>
              <w:rPr>
                <w:rFonts w:ascii="Times New Roman" w:hAnsi="Times New Roman"/>
                <w:bCs/>
                <w:sz w:val="24"/>
                <w:u w:val="single"/>
              </w:rPr>
            </w:pPr>
            <w:r>
              <w:rPr>
                <w:rStyle w:val="InstructionsTabelleText"/>
                <w:rFonts w:ascii="Times New Roman" w:hAnsi="Times New Roman"/>
                <w:sz w:val="24"/>
              </w:rPr>
              <w:t>Asetuksen (EU) N:o 575/2013 254 ja 265 artikla sekä 266 artiklan 5 kohta</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ERITYISKÄSITTELY EHDOT TÄYTTÄVIEN JÄRJESTÄMÄTTÖMIEN VASTUIDEN ARVOPAPERISTAMISTEN YLIMMILLE ETUOIKEUSLUOKILLE</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Asetuksen (EU) N:o 575/2013 269 a artiklan 3 kohta</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 (RW = 1 250 %)</w:t>
            </w:r>
          </w:p>
          <w:p w14:paraId="1684F52F" w14:textId="43F3FE5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Asetuksen (EU) N:o 575/2013 254 artiklan 7 kohta</w:t>
            </w:r>
          </w:p>
        </w:tc>
      </w:tr>
      <w:tr w:rsidR="00C55547" w:rsidRPr="004B0EC7" w14:paraId="11316298" w14:textId="77777777" w:rsidTr="000911FE">
        <w:tc>
          <w:tcPr>
            <w:tcW w:w="1413" w:type="dxa"/>
          </w:tcPr>
          <w:p w14:paraId="00B9220E" w14:textId="59E2C02D" w:rsidR="00C55547" w:rsidRPr="004B0EC7" w:rsidRDefault="00FD1FEC"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ASETUKSEN (EU) 2017/2402 2 LUVUN RIKKOMISESTA JOHTUVA VAIKUTUS (OIKAISU) YHTEENSÄ</w:t>
            </w:r>
          </w:p>
          <w:p w14:paraId="3FBEAE4C" w14:textId="027236B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Asetuksen (EU) N:o 575/2013 270 a artikla</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ENNEN YLÄRAJAA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Tässä sovelletaan asetuksen (EU) N:o 575/2013 337 artiklaa ottamatta huomioon kyseisen asetuksen 335 artiklaa, jossa annetaan laitokselle mahdollisuus oman harkinnan mukaan rajata painotuksen tulos ja nettopositio maksukyvyttömyysriskiin liittyvän tappion enimmäismäärän suuruiseksi.</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YLÄRAJAN JÄLKEEN/OMIEN VAROJEN VAATIMUKSET YHTEENSÄ ENNEN KORJAUSKERTOIMEN SOVELTAMISTA</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Tässä sovelletaan asetuksen (EU) N:o 575/2013 337 artiklaa ottaen huomioon 335 artiklan laitokselle antama harkintamahdollisuus.</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Rivit</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VASTUUT YHTEENSÄ</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Tässä tarkoitetaan liikkeessä olevien (kaupankäyntivarastoon kuuluvien) arvopaperistamisvastuiden ja uudelleenarvopaperistamisvastuiden kokonaismäärää, jonka laitos ilmoittaa alullepanijan tai sijoittajan tai järjestäjän ominaisuudessa.</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ja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ARVOPAPERISTAMISPOSITIOT</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Asetuksen (EU) N:o 575/2013 4 artiklan 1 kohdan 62 alakohta</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ja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UUDELLEENARVOPAPERISTAMISPOSITIOT</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Asetuksen (EU) N:o 575/2013 4 artiklan 1 kohdan 64 alakohta</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0041, 0071 ja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JOSTA: ERIYTETYN PÄÄOMAKOHTELUN EHDOT TÄYTTÄVÄT ARVOPAPERISTAMISET</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t>Tässä ilmoitetaan niiden arvopaperistamispositioiden kokonaismäärä, jotka täyttävät asetuksen (EU) N:o 575/2013 243 artiklassa tai kyseisen asetuksen 270 artiklassa vahvistetut kriteerit ja joihin voidaan sen takia soveltaa eriytettyä pääomakohtelua.</w:t>
            </w:r>
          </w:p>
        </w:tc>
      </w:tr>
      <w:tr w:rsidR="00C55547" w:rsidRPr="004B0EC7" w14:paraId="5FAF4052" w14:textId="77777777" w:rsidTr="000911FE">
        <w:tc>
          <w:tcPr>
            <w:tcW w:w="1413" w:type="dxa"/>
          </w:tcPr>
          <w:p w14:paraId="39486578" w14:textId="17931832" w:rsidR="00C55547" w:rsidRPr="004B0EC7" w:rsidRDefault="00FD1FEC"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ALULLEPANIJA</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Asetuksen (EU) N:o 575/2013 4 artiklan 1 kohdan 13 alakohta</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3E00B48" w:rsidR="00C55547" w:rsidRPr="004B0EC7" w:rsidRDefault="00FD1FEC"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SIJOITTAJA</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Tässä tarkoitetaan luottolaitosta, jolla on hallussaan arvopaperistamispositio arvopaperistamistransaktiossa, jossa se ei ole alullepanija, järjestäjä eikä alkuperäinen luotonantaja.</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11E275CC" w:rsidR="00C55547" w:rsidRPr="004B0EC7" w:rsidRDefault="00FD1FEC"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JÄRJESTÄJÄ</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Asetuksen (EU) N:o 575/2013 4 artiklan 1 kohdan 14 alakohta</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Jos järjestäjä arvopaperistaa samalla myös omia varojaan, sen on täytettävä alullepanijaa koskevien rivien tiedot omien arvopaperistettujen omaisuuseriensä osalta.</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Pr>
          <w:rFonts w:ascii="Times New Roman" w:hAnsi="Times New Roman"/>
          <w:sz w:val="24"/>
          <w:u w:val="none"/>
        </w:rPr>
        <w:tab/>
      </w:r>
      <w:r>
        <w:rPr>
          <w:rFonts w:ascii="Times New Roman" w:hAnsi="Times New Roman"/>
          <w:sz w:val="24"/>
        </w:rPr>
        <w:t>C 20.01 - Markkinariski: Korrelaatiokaupankäyntisalkkuun liittyvään erityisriskiin sovellettava yksinkertaistettu standardimenetelmä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Pr>
          <w:rFonts w:ascii="Times New Roman" w:hAnsi="Times New Roman"/>
          <w:sz w:val="24"/>
          <w:u w:val="none"/>
        </w:rPr>
        <w:tab/>
      </w:r>
      <w:r>
        <w:rPr>
          <w:rFonts w:ascii="Times New Roman" w:hAnsi="Times New Roman"/>
          <w:sz w:val="24"/>
        </w:rPr>
        <w:t>Yleiset huomautukset</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165</w:t>
      </w:r>
      <w:r w:rsidRPr="004B0EC7">
        <w:fldChar w:fldCharType="end"/>
      </w:r>
      <w:r>
        <w:t>. Tässä lomakkeessa kerätään tietoja korrelaatiokaupankäyntisalkussa (CTP) olevista positioista (jotka koostuvat arvopaperistamispositioista, n:nnen tappion luottojohdannaisista ja muista CTP-positioista asetuksen (EU) N:o 575/2013 338 artiklan 3 kohdan mukaisesti) sekä standardimenetelmän mukaisista niitä vastaavista omien varojen vaatimuksista.</w:t>
      </w:r>
    </w:p>
    <w:p w14:paraId="7D9D9B10" w14:textId="72D4CBCA"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166</w:t>
      </w:r>
      <w:r w:rsidRPr="004B0EC7">
        <w:fldChar w:fldCharType="end"/>
      </w:r>
      <w:r>
        <w:t>.</w:t>
      </w:r>
      <w:r>
        <w:tab/>
        <w:t xml:space="preserve"> MKR SSA CTP -lomakkeessa esitetään omien varojen vaatimus vain korrelaatiokaupankäyntisalkkuun sisällytettyjä positioita koskevan erityisriskin osalta asetuksen (EU) N:o 575/2013 335 artiklan mukaisesti luettuna yhdessä kyseisen asetuksen 338 artiklan 2 ja 3 kohdan kanssa. Jos kaupankäyntivarastoon kuuluvat CTP-positiot on suojattu luottojohdannaisilla, sovelletaan asetuksen (EU) N:o 575/2013 346 ja 347 artiklaa. Kaikkien kaupankäyntivarastoon kuuluvien CTP-positioiden ilmoittamiseen on olemassa ainoastaan yksi lomake siitä riippumatta siitä, mitä menetelmää laitokset soveltavat määrittääkseen riskipainon kullekin positiolle asetuksen (EU) N:o 575/2013 kolmannen osan II osaston 5 luvun mukaisesti. Näiden positioiden yleisriskin omien varojen vaatimukset ilmoitetaan käyttämällä MKR SSA TDI -lomaketta tai MKR IM -lomaketta.</w:t>
      </w:r>
    </w:p>
    <w:p w14:paraId="2252BE4F" w14:textId="6A0EE270"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167</w:t>
      </w:r>
      <w:r w:rsidRPr="004B0EC7">
        <w:fldChar w:fldCharType="end"/>
      </w:r>
      <w:r>
        <w:t>.</w:t>
      </w:r>
      <w:r>
        <w:tab/>
        <w:t xml:space="preserve"> Lomakkeessa eritellään arvopaperistamispositiot, n:nnen tappion luottojohdannaiset ja muut CTP-positiot. Arvopaperistamispositiot on aina </w:t>
      </w:r>
      <w:r>
        <w:lastRenderedPageBreak/>
        <w:t xml:space="preserve">ilmoitettava riveillä 0030, 0060 tai 0090 (sen mukaan, mikä on laitoksen asema arvopaperistamisessa). N:nnen tappion luottojohdannaiset ilmoitetaan aina rivillä 0110. ”Muut CTP-positiot” ovat sellaisia positioita, jotka eivät kuulu arvopaperistamispositioihin eivätkä n:nnen tappion luottojohdannaisiin (ks. asetuksen (EU) N:o 575/2013 338 artiklan 3 kohta) mutta ovat kuitenkin suorassa yhteydessä jompaankumpaan näistä kahdesta positiosta (suojaustarkoituksensa vuoksi). </w:t>
      </w:r>
    </w:p>
    <w:p w14:paraId="5B5B9C2A" w14:textId="21A69FAD"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168</w:t>
      </w:r>
      <w:r w:rsidRPr="004B0EC7">
        <w:fldChar w:fldCharType="end"/>
      </w:r>
      <w:r>
        <w:t>.</w:t>
      </w:r>
      <w:r>
        <w:tab/>
        <w:t xml:space="preserve"> Positiot, joihin sovelletaan 1 250 prosentin riskipainoa, voidaan vaihtoehtoisesti vähentää ydinpääomasta (CET1) (ks. asetuksen (EU) N:o 575/2013 244 artiklan 1 kohdan b alakohta, 245 artiklan 1 kohdan b alakohta ja 253 artikla). Tällöin ne on ilmoitettava CA1 -lomakkeen rivillä 0460.</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rPr>
          <w:rFonts w:ascii="Times New Roman" w:hAnsi="Times New Roman"/>
          <w:sz w:val="24"/>
          <w:u w:val="none"/>
        </w:rPr>
        <w:tab/>
      </w:r>
      <w:r>
        <w:rPr>
          <w:rFonts w:ascii="Times New Roman" w:hAnsi="Times New Roman"/>
          <w:sz w:val="24"/>
        </w:rPr>
        <w:t>Tiettyjä positioita koskevat ohjeet</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C55547" w:rsidRPr="004B0EC7" w14:paraId="697D3EB6" w14:textId="77777777" w:rsidTr="00E10B85">
        <w:tc>
          <w:tcPr>
            <w:tcW w:w="1016" w:type="dxa"/>
          </w:tcPr>
          <w:p w14:paraId="5A814BB2" w14:textId="7BF5160A" w:rsidR="00C55547" w:rsidRPr="004B0EC7" w:rsidRDefault="00032F6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KAIKKI POSITIOT (PITKÄT JA LYHYET)</w:t>
            </w:r>
          </w:p>
          <w:p w14:paraId="4F3CF7CB" w14:textId="017BAB06" w:rsidR="005C14B0" w:rsidRPr="004B0EC7" w:rsidRDefault="00C55547" w:rsidP="00E10B85">
            <w:pPr>
              <w:rPr>
                <w:rFonts w:ascii="Times New Roman" w:hAnsi="Times New Roman"/>
                <w:sz w:val="24"/>
              </w:rPr>
            </w:pPr>
            <w:r>
              <w:rPr>
                <w:rFonts w:ascii="Times New Roman" w:hAnsi="Times New Roman"/>
                <w:sz w:val="24"/>
              </w:rPr>
              <w:t>Tässä viitataan asetuksen (EU) N:o 575/2013 102 artiklaan ja 105 artiklan 1 kohtaan yhdessä kyseisen asetuksen 338 artiklan 2 ja 3 kohdan kanssa (positiot, jotka on sisällytetty korrelaatiokaupankäyntisalkkuun).</w:t>
            </w:r>
          </w:p>
          <w:p w14:paraId="70FB0860" w14:textId="005CBA75" w:rsidR="00C55547" w:rsidRPr="004B0EC7" w:rsidRDefault="00C55547" w:rsidP="0002267E">
            <w:pPr>
              <w:rPr>
                <w:rFonts w:ascii="Times New Roman" w:hAnsi="Times New Roman"/>
                <w:sz w:val="24"/>
              </w:rPr>
            </w:pPr>
            <w:r>
              <w:rPr>
                <w:rFonts w:ascii="Times New Roman" w:hAnsi="Times New Roman"/>
                <w:sz w:val="24"/>
              </w:rPr>
              <w:t>Myös näihin bruttopositioihin pätee pitkien ja lyhyiden positioiden välinen yleinen ero, jonka osalta ks. asetuksen (EU) N:o 575/2013 328 artiklan 2 kohta.</w:t>
            </w:r>
          </w:p>
        </w:tc>
      </w:tr>
      <w:tr w:rsidR="00C55547" w:rsidRPr="004B0EC7" w14:paraId="3641769F" w14:textId="77777777" w:rsidTr="00E10B85">
        <w:tc>
          <w:tcPr>
            <w:tcW w:w="1016" w:type="dxa"/>
          </w:tcPr>
          <w:p w14:paraId="04DBC56E" w14:textId="449E306C" w:rsidR="00C55547" w:rsidRPr="004B0EC7" w:rsidRDefault="00032F6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OMISTA VAROISTA VÄHENNETYT POSITIOT (PITKÄT JA LYHYET)</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Asetuksen (EU) N:o 575/2013 253 artikla </w:t>
            </w:r>
          </w:p>
        </w:tc>
      </w:tr>
      <w:tr w:rsidR="00C55547" w:rsidRPr="004B0EC7" w14:paraId="6E312180" w14:textId="77777777" w:rsidTr="00E10B85">
        <w:tc>
          <w:tcPr>
            <w:tcW w:w="1016" w:type="dxa"/>
          </w:tcPr>
          <w:p w14:paraId="08709592" w14:textId="3F6A2A7F" w:rsidR="00C55547" w:rsidRPr="004B0EC7" w:rsidRDefault="00032F6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NETTOPOSITIOT (PITKÄT JA LYHYET)</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Asetuksen (EU) N:o 575/2013 327, 328, 329 ja 334 artikla </w:t>
            </w:r>
          </w:p>
          <w:p w14:paraId="6C03F093" w14:textId="2B98C3C7" w:rsidR="00C55547" w:rsidRPr="004B0EC7" w:rsidRDefault="00C55547" w:rsidP="00E64BFE">
            <w:pPr>
              <w:rPr>
                <w:rFonts w:ascii="Times New Roman" w:hAnsi="Times New Roman"/>
                <w:sz w:val="24"/>
              </w:rPr>
            </w:pPr>
            <w:r>
              <w:rPr>
                <w:rFonts w:ascii="Times New Roman" w:hAnsi="Times New Roman"/>
                <w:sz w:val="24"/>
              </w:rPr>
              <w:t>Pitkien ja lyhyiden positioiden välisen eron osalta ks. asetuksen (EU) N:o 575/2013 328 artiklan 2 kohta.</w:t>
            </w:r>
          </w:p>
        </w:tc>
      </w:tr>
      <w:tr w:rsidR="00C55547" w:rsidRPr="004B0EC7" w14:paraId="6F83AB99" w14:textId="77777777" w:rsidTr="00E10B85">
        <w:tc>
          <w:tcPr>
            <w:tcW w:w="1016" w:type="dxa"/>
          </w:tcPr>
          <w:p w14:paraId="6DDF2435" w14:textId="2F8A8206" w:rsidR="00C55547" w:rsidRPr="004B0EC7" w:rsidRDefault="00032F6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NETTOPOSITIOT RISKIPAINOJEN MUKAAN JAOTELTUINA</w:t>
            </w:r>
          </w:p>
          <w:p w14:paraId="691F4414" w14:textId="030DE019" w:rsidR="00C55547" w:rsidRPr="004B0EC7" w:rsidRDefault="00133396" w:rsidP="001F2389">
            <w:pPr>
              <w:rPr>
                <w:rFonts w:ascii="Times New Roman" w:hAnsi="Times New Roman"/>
                <w:sz w:val="24"/>
              </w:rPr>
            </w:pPr>
            <w:r>
              <w:rPr>
                <w:rStyle w:val="InstructionsTabelleText"/>
                <w:rFonts w:ascii="Times New Roman" w:hAnsi="Times New Roman"/>
                <w:sz w:val="24"/>
              </w:rPr>
              <w:t>Asetuksen (EU) N:o 575/2013 259–262 artikla, 263 artiklan taulukot 1 ja 2, 264 artiklan taulukot 3 ja 4 sekä 266 artikla</w:t>
            </w:r>
          </w:p>
        </w:tc>
      </w:tr>
      <w:tr w:rsidR="00C55547" w:rsidRPr="004B0EC7" w14:paraId="495D2FD0" w14:textId="77777777" w:rsidTr="00E10B85">
        <w:tc>
          <w:tcPr>
            <w:tcW w:w="1016" w:type="dxa"/>
          </w:tcPr>
          <w:p w14:paraId="295B01D9" w14:textId="0B609959" w:rsidR="00C55547" w:rsidRPr="004B0EC7" w:rsidRDefault="00032F6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MENETELMIEN MUKAAN JAOTELTUNA</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Asetuksen (EU) N:o 575/2013 254 artikla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259 ja 260 artikla</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261 ja 262 artikla</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lastRenderedPageBreak/>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263 ja 264 artikla</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SISÄINEN ARVIOINTIMENETELMÄ</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254 ja 265 artikla ja 266 artiklan 5 kohta</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ERITYISKÄSITTELY EHDOT TÄYTTÄVIEN JÄRJESTÄMÄTTÖMIEN VASTUIDEN ARVOPAPERISTAMISTEN YLIMMILLE ETUOIKEUSLUOKILLE</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Asetuksen (EU) N:o 575/2013 269 a artiklan 3 kohta</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 (RW = 1 250 %)</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Asetuksen (EU) N:o 575/2013 254 artiklan 7 kohta</w:t>
            </w:r>
          </w:p>
        </w:tc>
      </w:tr>
      <w:tr w:rsidR="00C55547" w:rsidRPr="004B0EC7" w14:paraId="16A48520" w14:textId="77777777" w:rsidTr="00E10B85">
        <w:tc>
          <w:tcPr>
            <w:tcW w:w="1016" w:type="dxa"/>
          </w:tcPr>
          <w:p w14:paraId="04D4F5AC" w14:textId="3898F34D" w:rsidR="00C55547" w:rsidRPr="004B0EC7" w:rsidRDefault="00032F6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ENNEN YLÄRAJAA – PAINOTETUT PITKÄT/LYHYET NETTOPOSITIOT</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Tässä sovelletaan asetuksen (EU) N:o 575/2013 338 artiklaa ottamatta huomioon kyseisen asetuksen 335 artiklan laitokselle antamaa harkintamahdollisuutta. </w:t>
            </w:r>
          </w:p>
        </w:tc>
      </w:tr>
      <w:tr w:rsidR="00C55547" w:rsidRPr="004B0EC7" w14:paraId="566ACCB3" w14:textId="77777777" w:rsidTr="00E10B85">
        <w:tc>
          <w:tcPr>
            <w:tcW w:w="1016" w:type="dxa"/>
          </w:tcPr>
          <w:p w14:paraId="4093CA68" w14:textId="3A713CA6" w:rsidR="00C55547" w:rsidRPr="004B0EC7" w:rsidRDefault="00032F6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YLÄRAJAN JÄLKEEN – PAINOTETUT PITKÄT/LYHYET NETTOPOSITIOT</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Tässä sovelletaan asetuksen (EU) N:o 575/2013 338 artiklaa ottaen huomioon 335 artiklan laitokselle antama harkintamahdollisuus.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OMIEN VAROJEN VAATIMUKSET YHTEENSÄ ENNEN KOROTUSKERTOIMEN SOVELTAMISTA</w:t>
            </w:r>
          </w:p>
          <w:p w14:paraId="7DEA5D32" w14:textId="77777777" w:rsidR="00C55547" w:rsidRPr="004B0EC7" w:rsidRDefault="00C55547" w:rsidP="00E10B85">
            <w:pPr>
              <w:rPr>
                <w:rFonts w:ascii="Times New Roman" w:hAnsi="Times New Roman"/>
                <w:sz w:val="24"/>
              </w:rPr>
            </w:pPr>
            <w:r>
              <w:rPr>
                <w:rFonts w:ascii="Times New Roman" w:hAnsi="Times New Roman"/>
                <w:sz w:val="24"/>
              </w:rPr>
              <w:t>Omien varojen vaatimus määritetään siten, että se on suurempi seuraavista kahdesta luvusta: i) vain pitkiin nettopositioihin (sarake 0430) sovellettava erityisriskiä koskeva vaatimus tai ii) vain lyhyisiin nettopositioihin (sarake 0440) sovellettava erityisriskiä koskeva vaatimus.</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8067"/>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Rivit</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VASTUUT YHTEENSÄ</w:t>
            </w:r>
          </w:p>
          <w:p w14:paraId="47BDA358" w14:textId="77777777" w:rsidR="00C55547" w:rsidRPr="004B0EC7" w:rsidRDefault="00C55547" w:rsidP="00E10B85">
            <w:pPr>
              <w:rPr>
                <w:rFonts w:ascii="Times New Roman" w:hAnsi="Times New Roman"/>
                <w:sz w:val="24"/>
              </w:rPr>
            </w:pPr>
            <w:r>
              <w:rPr>
                <w:rFonts w:ascii="Times New Roman" w:hAnsi="Times New Roman"/>
                <w:sz w:val="24"/>
              </w:rPr>
              <w:t>Tässä tarkoitetaan jäljellä olevien (korrelaatiokaupankäyntisalkkuun kuuluvien) positioiden kokonaismäärää, jonka laitos ilmoittaa alullepanijan, sijoittajan tai järjestäjän ominaisuudessa.</w:t>
            </w:r>
          </w:p>
        </w:tc>
      </w:tr>
      <w:tr w:rsidR="00C55547" w:rsidRPr="004B0EC7" w14:paraId="4F9E3B66" w14:textId="77777777" w:rsidTr="00E10B85">
        <w:tc>
          <w:tcPr>
            <w:tcW w:w="1008" w:type="dxa"/>
          </w:tcPr>
          <w:p w14:paraId="4294FDFC" w14:textId="50AB55B8" w:rsidR="00C55547" w:rsidRPr="004B0EC7" w:rsidRDefault="00032F6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ALULLEPANIJA</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Asetuksen (EU) N:o 575/2013 4 artiklan 1 kohdan 13 alakohta </w:t>
            </w:r>
          </w:p>
        </w:tc>
      </w:tr>
      <w:tr w:rsidR="00C55547" w:rsidRPr="004B0EC7" w14:paraId="1113CFCE" w14:textId="77777777" w:rsidTr="00E10B85">
        <w:tc>
          <w:tcPr>
            <w:tcW w:w="1008" w:type="dxa"/>
          </w:tcPr>
          <w:p w14:paraId="045998CB" w14:textId="36FA11B2" w:rsidR="00C55547" w:rsidRPr="004B0EC7" w:rsidRDefault="00032F6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SIJOITTAJA</w:t>
            </w:r>
          </w:p>
          <w:p w14:paraId="5507389D" w14:textId="77777777" w:rsidR="00C55547" w:rsidRPr="004B0EC7" w:rsidRDefault="00C55547">
            <w:pPr>
              <w:rPr>
                <w:rFonts w:ascii="Times New Roman" w:hAnsi="Times New Roman"/>
                <w:sz w:val="24"/>
              </w:rPr>
            </w:pPr>
            <w:r>
              <w:rPr>
                <w:rFonts w:ascii="Times New Roman" w:hAnsi="Times New Roman"/>
                <w:sz w:val="24"/>
              </w:rPr>
              <w:t>Tässä tarkoitetaan luottolaitosta, jolla on hallussaan arvopaperistamispositio arvopaperistamistransaktiossa, jossa se ei ole alullepanija, järjestäjä eikä alkuperäinen luotonantaja.</w:t>
            </w:r>
          </w:p>
        </w:tc>
      </w:tr>
      <w:tr w:rsidR="00C55547" w:rsidRPr="004B0EC7" w14:paraId="3AE4557E" w14:textId="77777777" w:rsidTr="00E10B85">
        <w:tc>
          <w:tcPr>
            <w:tcW w:w="1008" w:type="dxa"/>
          </w:tcPr>
          <w:p w14:paraId="4017D379" w14:textId="4F2FE2EE" w:rsidR="00C55547" w:rsidRPr="004B0EC7" w:rsidRDefault="00032F6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JÄRJESTÄJÄ</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Asetuksen (EU) N:o 575/2013 4 artiklan 1 kohdan 14 alakohta </w:t>
            </w:r>
          </w:p>
          <w:p w14:paraId="7911CCA2" w14:textId="77777777" w:rsidR="00C55547" w:rsidRPr="004B0EC7" w:rsidRDefault="005F3BBE" w:rsidP="005F3BBE">
            <w:pPr>
              <w:rPr>
                <w:rFonts w:ascii="Times New Roman" w:hAnsi="Times New Roman"/>
                <w:sz w:val="24"/>
              </w:rPr>
            </w:pPr>
            <w:r>
              <w:rPr>
                <w:rFonts w:ascii="Times New Roman" w:hAnsi="Times New Roman"/>
                <w:sz w:val="24"/>
              </w:rPr>
              <w:t>Jos järjestäjä arvopaperistaa samalla myös omia varojaan, sen on täytettävä alullepanijaa koskevien rivien tiedot omien arvopaperistettujen omaisuuseriensä osalta.</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ja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ARVOPAPERISTAMISPOSITIOT</w:t>
            </w:r>
          </w:p>
          <w:p w14:paraId="3E2839F4" w14:textId="4835C00E" w:rsidR="00C55547" w:rsidRPr="004B0EC7" w:rsidRDefault="00C55547" w:rsidP="00E10B85">
            <w:pPr>
              <w:rPr>
                <w:rFonts w:ascii="Times New Roman" w:hAnsi="Times New Roman"/>
                <w:sz w:val="24"/>
              </w:rPr>
            </w:pPr>
            <w:r>
              <w:rPr>
                <w:rFonts w:ascii="Times New Roman" w:hAnsi="Times New Roman"/>
                <w:sz w:val="24"/>
              </w:rPr>
              <w:t>Korrelaatiokaupankäyntisalkku koostuu arvopaperistamispositioista, n:nnen tappion luottojohdannaisista ja mahdollisesti myös muista suojauspositioista, jotka täyttävät asetuksen (EU) N:o 575/2013 338 artiklan 2 ja 3 kohdassa asetetut kriteerit.</w:t>
            </w:r>
          </w:p>
          <w:p w14:paraId="284429BF" w14:textId="77777777" w:rsidR="00C55547" w:rsidRPr="004B0EC7" w:rsidRDefault="00C55547" w:rsidP="00E10B85">
            <w:pPr>
              <w:rPr>
                <w:rFonts w:ascii="Times New Roman" w:hAnsi="Times New Roman"/>
                <w:sz w:val="24"/>
              </w:rPr>
            </w:pPr>
            <w:r>
              <w:rPr>
                <w:rFonts w:ascii="Times New Roman" w:hAnsi="Times New Roman"/>
                <w:sz w:val="24"/>
              </w:rPr>
              <w:t>Arvopaperistamisvastuiden johdannaiset, jotka tarjoavat suhteellisen osuuden, ja positiot, joilla suojataan korrelaatiokaupankäyntisalkun positioita, sisällytetään riville ”muut CTP-positiot”.</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N:NNEN TAPPION LUOTTOJOHDANNAISET</w:t>
            </w:r>
          </w:p>
          <w:p w14:paraId="298FC0AB" w14:textId="5115C116" w:rsidR="00C55547" w:rsidRPr="004B0EC7" w:rsidRDefault="00C55547" w:rsidP="00E10B85">
            <w:pPr>
              <w:rPr>
                <w:rFonts w:ascii="Times New Roman" w:hAnsi="Times New Roman"/>
                <w:sz w:val="24"/>
              </w:rPr>
            </w:pPr>
            <w:r>
              <w:rPr>
                <w:rFonts w:ascii="Times New Roman" w:hAnsi="Times New Roman"/>
                <w:sz w:val="24"/>
              </w:rPr>
              <w:t>Asetuksen (EU) N:o 575/2013 347 artiklan mukaiset n:nnen tappion luottojohdannaiset ja niitä suojaavat n:nnen tappion luottojohdannaiset ilmoitetaan kummatkin tässä kohdassa.</w:t>
            </w:r>
          </w:p>
          <w:p w14:paraId="0ADF3C10" w14:textId="77777777" w:rsidR="00C55547" w:rsidRPr="004B0EC7" w:rsidRDefault="00C55547" w:rsidP="00E10B85">
            <w:pPr>
              <w:rPr>
                <w:rFonts w:ascii="Times New Roman" w:hAnsi="Times New Roman"/>
                <w:sz w:val="24"/>
              </w:rPr>
            </w:pPr>
            <w:r>
              <w:rPr>
                <w:rFonts w:ascii="Times New Roman" w:hAnsi="Times New Roman"/>
                <w:sz w:val="24"/>
              </w:rPr>
              <w:t>Alullepanijan, sijoittajan ja järjestäjän positioita ei n:nnen tappion luottojohdannaisten kohdalla voida soveltaa. Tämän takia n:nnen tappion luottojohdannaisista ei voida esittää samankaltaista erittelyä kuin arvopaperistamispositioista.</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ja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MUUT KORRELAATIOKAUPANKÄYNTISALKKUPOSITIOT</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Tähän kohtaan sisällytetään seuraavat positiot: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arvopaperistamisvastuiden johdannaiset, jotka tarjoavat suhteellisen osuuden, ja positiot, joilla suojataan korrelaatiokaupankäyntisalkun positioita;</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asetuksen (EU) N:o 575/2013 346 artiklan mukaisesti luottojohdannaisilla suojatut korrelaatiokaupankäyntisalkun positiot;</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muut positiot, jotka täyttävät asetuksen (EU) N:o 575/2013 338 artiklan 3 kohdan edellytykset.</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t>5.4.</w:t>
      </w:r>
      <w:r>
        <w:rPr>
          <w:rFonts w:ascii="Times New Roman" w:hAnsi="Times New Roman"/>
          <w:sz w:val="24"/>
          <w:u w:val="none"/>
        </w:rPr>
        <w:tab/>
      </w:r>
      <w:r>
        <w:rPr>
          <w:rFonts w:ascii="Times New Roman" w:hAnsi="Times New Roman"/>
          <w:sz w:val="24"/>
        </w:rPr>
        <w:t>C 21.01 – Markkinariski: osakkeisiin liittyvään positioriskiin sovellettava yksinkertaistettu standardimenetelmä</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Pr>
          <w:rFonts w:ascii="Times New Roman" w:hAnsi="Times New Roman"/>
          <w:sz w:val="24"/>
          <w:u w:val="none"/>
        </w:rPr>
        <w:tab/>
      </w:r>
      <w:r>
        <w:rPr>
          <w:rFonts w:ascii="Times New Roman" w:hAnsi="Times New Roman"/>
          <w:sz w:val="24"/>
        </w:rPr>
        <w:t>Yleiset huomautukset</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169</w:t>
      </w:r>
      <w:r w:rsidRPr="004B0EC7">
        <w:fldChar w:fldCharType="end"/>
      </w:r>
      <w:r>
        <w:t>.</w:t>
      </w:r>
      <w:r>
        <w:tab/>
        <w:t xml:space="preserve"> Tässä lomakkeessa ilmoitetaan tiedot sellaisia osakkeita koskevista positioista ja niihin liittyvää positioriskiä koskevista omien varojen vaatimuksista, jotka kuuluvat kaupankäyntivarastoon ja joita käsitellään standardimenetelmän mukaisesti.</w:t>
      </w:r>
    </w:p>
    <w:p w14:paraId="3AF5EC7C" w14:textId="2604BD99" w:rsidR="00B828CC" w:rsidRPr="004B0EC7" w:rsidRDefault="008F3052" w:rsidP="00660845">
      <w:pPr>
        <w:pStyle w:val="InstructionsText2"/>
        <w:numPr>
          <w:ilvl w:val="0"/>
          <w:numId w:val="0"/>
        </w:numPr>
        <w:ind w:left="993"/>
      </w:pPr>
      <w:r w:rsidRPr="004B0EC7">
        <w:lastRenderedPageBreak/>
        <w:fldChar w:fldCharType="begin"/>
      </w:r>
      <w:r w:rsidRPr="004B0EC7">
        <w:instrText>seq paragraphs</w:instrText>
      </w:r>
      <w:r w:rsidRPr="004B0EC7">
        <w:fldChar w:fldCharType="separate"/>
      </w:r>
      <w:r w:rsidR="00771068" w:rsidRPr="004B0EC7">
        <w:t>170</w:t>
      </w:r>
      <w:r w:rsidRPr="004B0EC7">
        <w:fldChar w:fldCharType="end"/>
      </w:r>
      <w:r>
        <w:t>.</w:t>
      </w:r>
      <w:r>
        <w:tab/>
        <w:t xml:space="preserve"> Tämän lomakkeen tiedot täytetään erikseen ’kokonaismäärän’ osalta ja seuraavan ennalta määritellyn markkinaluettelon osalta: Albania, Bulgaria, Egypti, entinen Jugoslavian tasavalta Makedonia, Islanti, Japani, Liechtenstein, Norja, Puola, Romania, Ruotsi, Serbia, Sveitsi, Tanska, Tšekki, Turkki, Ukraina, Unkari, Venäjän federaatio, Yhdistynyt kuningaskunta, Yhdysvallat, euroalue ja yksi jäännöslomake kaikkia muita markkinoita varten. Tämän ilmoittamisvaatimuksen kohdalla käsitteellä ”markkina” tarkoitetaan ”maata” (lukuun ottamatta euroalueeseen kuuluvia maita, ks. komission delegoitu asetus (EU) N:o 525/2014</w:t>
      </w:r>
      <w:r w:rsidR="00B828CC" w:rsidRPr="004B0EC7">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Pr>
          <w:rFonts w:ascii="Times New Roman" w:hAnsi="Times New Roman"/>
          <w:sz w:val="24"/>
          <w:u w:val="none"/>
        </w:rPr>
        <w:tab/>
      </w:r>
      <w:r>
        <w:rPr>
          <w:rFonts w:ascii="Times New Roman" w:hAnsi="Times New Roman"/>
          <w:sz w:val="24"/>
        </w:rPr>
        <w:t>Tiettyjä positioita koskevat ohjeet</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4B0EC7" w14:paraId="1B6DCA2D" w14:textId="77777777" w:rsidTr="00672D2A">
        <w:tc>
          <w:tcPr>
            <w:tcW w:w="988" w:type="dxa"/>
          </w:tcPr>
          <w:p w14:paraId="2E10DD05" w14:textId="54CB35BF"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KAIKKI POSITIOT (PITKÄT JA LYHYET)</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Asetuksen (EU) N:o 575/2013 102 artikla ja 105 artiklan 1 kohta.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Nämä ovat bruttopositioita, joita ei ole nettoutettu rahoitusinstrumenteilla, mutta niihin ei asetuksen (EU) N:o 575/2013 345 artiklan 1 kohdan ensimmäisen alakohdan toisen virkkeen mukaisesti sisällytetä merkintäsitoumuksia, joita kolmannet osapuolet ovat antaneet tai joissa alkuperäinen merkitsijä on tehnyt sopimuksen merkinnän kohteena olevien osakkeiden edelleenlunastuksesta. </w:t>
            </w:r>
          </w:p>
        </w:tc>
      </w:tr>
      <w:tr w:rsidR="000B0B09" w:rsidRPr="004B0EC7" w14:paraId="518A8218" w14:textId="77777777" w:rsidTr="00672D2A">
        <w:tc>
          <w:tcPr>
            <w:tcW w:w="988" w:type="dxa"/>
          </w:tcPr>
          <w:p w14:paraId="5DF1DDF0" w14:textId="466B0D80"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t>0030–0040</w:t>
            </w:r>
            <w:r w:rsidR="002F79EA">
              <w:rPr>
                <w:rFonts w:ascii="Times New Roman" w:hAnsi="Times New Roman"/>
                <w:sz w:val="24"/>
              </w:rPr>
              <w:t xml:space="preserve">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Asetuksen (EU) N:o 575/2013 327, 329, 332, 341 ja 345 artikla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Tässä tarkoitetaan nettopositioita, joihin sovelletaan pääomavaatimusta asetuksen (EU) N:o 575/2013 kolmannen osan IV osaston 2 luvussa säädettyjen menetelmien mukaisesti. Pääomavaatimus on laskettava erikseen kunkin maan kansallisen markkinan osalta. Tähän sarakkeeseen ei merkitä asetuksen (EU) N:o 575/2013 344 artiklan 4 kohdan toisessa virkkeessä tarkoitettuja osakeindeksifutuuripositioita.</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 ENNEN KOROTUSKERTOIMIEN SOVELTAMISTA</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Asetuksen (EU) N:o 575/2013 kolmannen osan IV osaston 2 luvun mukainen omien varojen vaatimus ennen kyseisen asetuksen 325 artiklan 2 kohdan a alakohdan ii alakohdassa säädettyjen korotuskertoimien soveltamista.</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Asetuksen (EU) N:o 575/2013 92 artiklan 4 kohdan b alakohdan i alakohta.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Tulos, joka saadaan kertomalla omien varojen vaatimus kertoimella 12,5 asetuksen (EU) N:o 575/2013 92 artiklan 6 kohdan b alakohdan mukaisesti ja </w:t>
            </w:r>
            <w:r>
              <w:rPr>
                <w:rFonts w:ascii="Times New Roman" w:hAnsi="Times New Roman"/>
                <w:sz w:val="24"/>
              </w:rPr>
              <w:lastRenderedPageBreak/>
              <w:t>korotuskertoimella kyseisen asetuksen 325 artiklan 2 kohdan a alakohdan ii alakohdan mukaisesti.</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4B0EC7" w14:paraId="7546B05C" w14:textId="77777777" w:rsidTr="00672D2A">
        <w:tc>
          <w:tcPr>
            <w:tcW w:w="1008" w:type="dxa"/>
          </w:tcPr>
          <w:p w14:paraId="7BE875B0" w14:textId="3C6ABA17"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KAUPANKÄYNTIVARASTOON KUULUVAT OSAKKEET</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Tässä tarkoitetaan asetuksen (EU) N:o 575/2013 92 artiklan 4 kohdan b alakohdan i alakohdan mukaista ja kyseisen asetuksen kolmannen osan IV osaston 2 luvun 3 jakson mukaista positioriskiä koskevia omien varojen vaatimuksia.</w:t>
            </w:r>
          </w:p>
        </w:tc>
      </w:tr>
      <w:tr w:rsidR="000B0B09" w:rsidRPr="004B0EC7" w14:paraId="06FCC7F1" w14:textId="77777777" w:rsidTr="00672D2A">
        <w:tc>
          <w:tcPr>
            <w:tcW w:w="1008" w:type="dxa"/>
          </w:tcPr>
          <w:p w14:paraId="33E8BCC6" w14:textId="59989150"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YLEISRISKI</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Tässä tarkoitetaan osakepositioita, joihin liittyy yleisriski (asetuksen (EU) N:o 575/2013 343 artikla), ja niitä vastaavia kyseisen asetuksen kolmannen osan IV osaston 2 luvun 3 jakson mukaisia omien varojen vaatimuksia.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Kummatkin jaottelut (rivit 0021/0022 ja 0030/0040) ovat jaotteluja, jotka kattavat kaikki yleisriskin alaiset positiot.</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Riveillä 0021 ja 0022 kerätään tietoja instrumenteittain suoritettavasta erittelystä.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Ainoastaan riveillä 0030 ja 0040 tehtyä erittelyä käytetään omien varojen vaatimusten laskennan perustana.</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Johdannaiset</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Tässä ilmoitetaan kaupankäyntivarastossa olevien positioiden riskin laskentaan sisällytettävät johdannaiset ottaen tarvittaessa huomioon asetuksen (EU) N:o 575/2013 329 ja 332 artikla.</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Muut varat ja velat</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Tässä tarkoitetaan rahoitusinstrumentteja, jotka eivät ole johdannaisia ja jotka sisällytetään kaupankäyntivarastossa olevien positioiden osakeriskin laskentaan.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Pörssissä noteeratut osakeindeksifutuurit, jotka on laajasti hajautettu ja joihin sovelletaan erityismenettelyä</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Tässä tarkoitetaan komission täytäntöönpanoasetuksen (EU) N:o 945/2014</w:t>
            </w:r>
            <w:r w:rsidR="00A11C6E" w:rsidRPr="004B0EC7">
              <w:rPr>
                <w:rStyle w:val="FootnoteReference"/>
              </w:rPr>
              <w:footnoteReference w:id="3"/>
            </w:r>
            <w:r>
              <w:rPr>
                <w:rFonts w:ascii="Times New Roman" w:hAnsi="Times New Roman"/>
                <w:sz w:val="24"/>
              </w:rPr>
              <w:t xml:space="preserve"> mukaisia pörssissä noteerattuja osakeindeksifutuureita, jotka on laajasti hajautettu ja joihin sovelletaan erityistä menetelmää.</w:t>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Näihin positioihin kohdistuu ainoastaan yleisriski, eikä niitä näin ollen ilmoiteta rivillä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osakkeet kuin pörssissä noteeratut osakeindeksifutuurit, jotka on laajasti hajautettu</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Tässä tarkoitetaan muita osakepositioita, joihin liittyy erityisriski, ja niitä vastaavia omien varojen vaatimuksia asetuksen (EU) N:o 575/2013 343 artiklan mukaisesti, mukaan lukien kyseisen asetuksen 344 artiklan 3 kohdan mukaisesti käsiteltävät osakeindeksifutuuripositiot.</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ERITYISRISKI</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lastRenderedPageBreak/>
              <w:t xml:space="preserve">Tässä tarkoitetaan osakepositioita, joihin liittyy erityisriski, ja niitä vastaavia omien varojen vaatimuksia asetuksen (EU) N:o 575/2013 342 artiklan mukaisesti, lukuun ottamatta kyseisen asetuksen 344 artiklan 4 kohdan mukaisesti käsiteltäviä osakeindeksifutuuripositioita. </w:t>
            </w:r>
          </w:p>
        </w:tc>
      </w:tr>
      <w:tr w:rsidR="000B0B09" w:rsidRPr="004B0EC7" w14:paraId="63780725" w14:textId="77777777" w:rsidTr="00672D2A">
        <w:tc>
          <w:tcPr>
            <w:tcW w:w="1008" w:type="dxa"/>
          </w:tcPr>
          <w:p w14:paraId="573EB4E8" w14:textId="4D1DCE9C"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Asetuksen (EU) N:o 575/2013 329 artiklan 2 ja 3 kohta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Pr>
          <w:rFonts w:ascii="Times New Roman" w:hAnsi="Times New Roman"/>
          <w:sz w:val="24"/>
          <w:u w:val="none"/>
        </w:rPr>
        <w:tab/>
      </w:r>
      <w:r>
        <w:rPr>
          <w:rFonts w:ascii="Times New Roman" w:hAnsi="Times New Roman"/>
          <w:sz w:val="24"/>
        </w:rPr>
        <w:t>C 22.01 – Markkinariski: valuuttakurssiriskiin sovellettava yksinkertaistettu standardimenetelmä</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Pr>
          <w:rFonts w:ascii="Times New Roman" w:hAnsi="Times New Roman"/>
          <w:sz w:val="24"/>
          <w:u w:val="none"/>
        </w:rPr>
        <w:tab/>
      </w:r>
      <w:r>
        <w:rPr>
          <w:rFonts w:ascii="Times New Roman" w:hAnsi="Times New Roman"/>
          <w:sz w:val="24"/>
        </w:rPr>
        <w:t>Yleiset huomautukset</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171</w:t>
      </w:r>
      <w:r w:rsidRPr="004B0EC7">
        <w:fldChar w:fldCharType="end"/>
      </w:r>
      <w:r>
        <w:t>. Laitosten on ilmoitettava tiedot positioista kussakin valuutassa (myös raportointivaluutassa) ja vastaavista valuuttakurssiriskiä koskevista omien varojen vaatimuksista standardimenetelmän mukaan. Positiot lasketaan kunkin valuutan (myös euron) ja kullan osalta, minkä lisäksi lasketaan positiot yhteistä sijoitustoimintaa harjoittavissa yrityksissä.</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172</w:t>
      </w:r>
      <w:r w:rsidRPr="004B0EC7">
        <w:fldChar w:fldCharType="end"/>
      </w:r>
      <w:r>
        <w:t>.</w:t>
      </w:r>
      <w:r>
        <w:tab/>
        <w:t xml:space="preserve"> Tämän lomakkeen rivit 0100–0480 on ilmoitettava, vaikka laitoksia ei vaadita laskemaan valuuttakurssiriskin omien varojen vaatimuksia asetuksen (EU) N:o 575/2013 351 artiklan mukaisesti. Näihin lisätietoeriin sisällytetään kaikki raportointivaluutan määräiset positiot riippumatta siitä, otetaanko ne huomioon asetuksen (EU) N:o 575/2013 354 artiklaa sovellettaessa. Lomakkeen lisätietoerien rivit 0130–0480 täytetään erikseen kaikkien unionin jäsenvaltioiden valuuttojen ja seuraavien valuuttojen osalta: GBP, USD, CHF, JPY, RUB, TRY, AUD, CAD, RSD, ALL, UAH, MKD, EGP, ARS, BRL, MXN, HKD, ICK, TWD, NZD, NOK, SGD, KRW, CNY ja kaikkien muiden valuuttojen osalta.</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Pr>
          <w:rFonts w:ascii="Times New Roman" w:hAnsi="Times New Roman"/>
          <w:sz w:val="24"/>
          <w:u w:val="none"/>
        </w:rPr>
        <w:tab/>
      </w:r>
      <w:r>
        <w:rPr>
          <w:rFonts w:ascii="Times New Roman" w:hAnsi="Times New Roman"/>
          <w:sz w:val="24"/>
        </w:rPr>
        <w:t>Tiettyjä positioita koskevat ohjeet</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4B0EC7" w14:paraId="159B4B41" w14:textId="77777777" w:rsidTr="00672D2A">
        <w:tc>
          <w:tcPr>
            <w:tcW w:w="988" w:type="dxa"/>
          </w:tcPr>
          <w:p w14:paraId="0ABA9E21" w14:textId="155CDA8B"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Tässä tarkoitetaan omaisuuseristä, saatavista ja vastaavanlaisista eristä aiheutuvia asetuksen (EU) N:o 575/2013 352 artiklan 1 kohdassa tarkoitettuja bruttopositioita.</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Asetuksen (EU) N:o 575/2013 352 artiklan 2 kohdan mukaan ja toimivaltaisten viranomaisten luvalla positioita, jotka laitos on ottanut suojautuakseen vakavaraisuussuhteeseensa haitallisesti vaikuttavilta valuuttakurssin vaikutuksilta kyseisen asetuksen 92 artiklan 1 kohdan mukaisesti, ja positioita, jotka koskevat omien varojen laskennassa jo vähennettyjä eriä, ei ilmoiteta.</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6B2081A9"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Asetuksen (EU) N:o 575/2013 352 artiklan 3 kohta, 352 artiklan 4 kohdan ensimmäiset kaksi virkettä ja 353 artikla</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Nettopositiot lasketaan jokaista valuuttaa kohden asetuksen (EU) N:o 575/2013 352 artiklan 1 kohdan mukaisesti. Näin ollen samanaikaisesti saatetaan ilmoittaa sekä pitkiä että lyhyitä positioita.</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E4A6732"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352 artiklan 4 kohdan kolmas virke ja 353 ja 354 artikla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6946C908"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POSITIOT, JOIHIN SOVELLETAAN PÄÄOMAVAATIMUSTA (PITKÄT JA LYHYET)</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Kunkin valuutan kohdalla pitkät ja lyhyet nettopositiot lasketaan vähentämällä lyhyiden positioiden kokonaismäärä pitkien positioiden kokonaismäärästä.</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Pitkät nettopositiot kussakin valuuttaoperaatiossa lasketaan yhteen, jolloin saadaan pitkä nettopositio tässä valuutassa.</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Lyhyet nettopositiot kussakin valuuttaoperaatiossa lasketaan yhteen, jolloin saadaan lyhyt nettopositio tässä valuutassa.</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 xml:space="preserve">Nettouttamatta jääneet positiot muissa kuin raportointivaluutassa lisätään positioihin, joihin sovelletaan pääomavaatimuksia muissa valuutoissa (rivi 030), sarakkeessa 060 tai 070 lyhyiden tai pitkien positioiden </w:t>
            </w:r>
            <w:proofErr w:type="gramStart"/>
            <w:r>
              <w:rPr>
                <w:rFonts w:ascii="Times New Roman" w:hAnsi="Times New Roman"/>
                <w:sz w:val="24"/>
              </w:rPr>
              <w:t>järjestelmästä riippuen</w:t>
            </w:r>
            <w:proofErr w:type="gramEnd"/>
            <w:r>
              <w:rPr>
                <w:rFonts w:ascii="Times New Roman" w:hAnsi="Times New Roman"/>
                <w:sz w:val="24"/>
              </w:rPr>
              <w:t>.</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 (NETTOUTETUT)</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läheisesti keskenään korreloivien valuuttojen nettoutettuja positioita.</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 ENNEN KOROTUSKERTOIMIEN SOVELTAMISTA</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kolmannen osan IV osaston 3 luvun mukainen asianmukaista positiota koskeva omien varojen vaatimus ennen kyseisen asetuksen 325 artiklan 2 kohdan b alakohdan mukaisen korotuskertoimen soveltamista.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Asetuksen (EU) N:o 575/2013 92 artiklan 4 kohdan c alakohta.</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Tulos, joka saadaan kertomalla omien varojen vaatimus kertoimella 12,5 asetuksen (EU) N:o 575/2013 92 artiklan 6 kohdan b alakohdan mukaisesti ja korotuskertoimella kyseisen asetuksen 325 artiklan 2 kohdan b alakohdan mukaisesti.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YHTEENSÄ</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kaikkia muissa kuin raportointivaluutassa olevia positioita ja niitä raportointivaluutassa olevia positioita, jotka otetaan huomioon asetuksen (EU) N:o 575/2013 354 artiklaa sovellettaessa, sekä vastaavia omien varojen vaatimuksia kyseisen asetuksen 92 artiklan 4 kohdan c alakohdassa tarkoitetun valuuttakurssiriskin osalta, ottaen huomioon asetuksen (EU) N:o 575/2013 352 artiklan 2 ja 4 kohta (muunnetaan raportointivaluutaksi).</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LÄHEISESTI KORRELOIVAT VALUUTAT</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asetuksen (EU) N:o 575/2013 354 artiklassa tarkoitettujen läheisesti keskenään korreloivien valuuttojen osalta.</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Läheisesti korreloivat valuutat: </w:t>
            </w:r>
            <w:r>
              <w:rPr>
                <w:rFonts w:ascii="Times New Roman" w:hAnsi="Times New Roman"/>
                <w:b/>
                <w:i/>
                <w:sz w:val="24"/>
                <w:u w:val="single"/>
              </w:rPr>
              <w:t>joista</w:t>
            </w:r>
            <w:r>
              <w:rPr>
                <w:rFonts w:ascii="Times New Roman" w:hAnsi="Times New Roman"/>
                <w:b/>
                <w:sz w:val="24"/>
                <w:u w:val="single"/>
              </w:rPr>
              <w:t>: raportointivaluutta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Raportointivaluutassa olevat positiot, jotka otetaan asetuksen (EU) N:o 575/2013 354 artiklan mukaisesti huomioon pääomavaatimusten laskennassa.</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MUUT VALUUTAT (mukaan luettuina yhteistä sijoitustoimintaa harjoittavien yritysten positiot, joita käsitellään eri valuuttoina)</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niiden valuuttojen osalta, joihin sovelletaan asetuksen (EU) N:o 575/2013 351 artiklassa ja 352 artiklan 2 ja 4 kohdassa tarkoitettua yleistä menettelyä.</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Erillisinä valuuttoina asetuksen (EU) N:o 575/2013 353 artiklan mukaisesti käsiteltävien yhteistä sijoitustoimintaa harjoittavien yritysten positioiden ilmoittaminen:</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Erillisinä valuuttoina käsiteltäviä yhteistä sijoitustoimintaa harjoittavien yritysten positioita voidaan käsitellä kahdella eri tavalla omien varojen vaatimusten laskemista varten:</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Modifioitu kullan arvoon perustuva käsittely, jos yhteistä sijoitustoimintaa harjoittavan yrityksen sijoituksen suunta ei ole tiedossa (nämä yhteistä sijoitustoimintaa harjoittavat yritykset lisätään laitoksen kokonaisnettovaluuttapositioon).</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Pr>
                <w:rFonts w:ascii="Times New Roman" w:hAnsi="Times New Roman"/>
                <w:sz w:val="24"/>
              </w:rPr>
              <w:tab/>
              <w:t>Jos yhteistä sijoitustoimintaa harjoittavan yrityksen sijoituksen suunta on tiedossa, nämä yhteistä sijoitustoimintaa harjoittavat yritykset lisätään avoimeen kokonaisvaluuttapositioon (lyhyeen tai pitkään sen mukaan, mikä on yrityksen suunta).</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Näiden yhteistä sijoitustoimintaa harjoittavien yritysten positioiden ilmoittaminen on yhteydessä omien varojen vaatimusten laskentaan.</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KULTA</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Tässä tarkoitetaan positioita ja niitä vastaavia omien varojen vaatimuksia niiden valuuttojen osalta, joihin sovelletaan asetuksen (EU) N:o 575/2013 351 artiklassa ja 352 artiklan 2 ja 4 kohdassa tarkoitettua yleistä menettelyä.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6AD31237"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Asetuksen (EU) N:o 575/2013 352 artiklan 5 ja 6 kohta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Muihin kuin deltariskeihin liittyvät optioita koskevat lisävaatimukset ilmoitetaan niiden laskennassa käytetyn menetelmän mukaan jaoteltuina.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388D0112"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Yhteenlasketut positiot (mukaan luettuna raportointivaluuttaa koskevat positiot) jaoteltuina vastuutyypin mukaan</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Positioiden kokonaismäärä eritellään johdannaisiin, muihin varoihin ja velkoihin sekä taseen ulkopuolisiin eriin.</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 varat ja velat kuin taseen ulkopuoliset erät ja johdannaiset</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ilmoitetaan positiot, joita ei ilmoiteta rivillä 0110 tai 0120.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Taseen ulkopuoliset erät</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asetuksen (EU) N:o 575/2013 352 artiklan soveltamisalaan kuuluvia ja kyseisen asetuksen liitteessä I mainittuja eriä riippumatta valuutasta, jonka määräisiä ne ovat, paitsi arvopapereilla toteuttavista rahoitustoimista ja pitkän selvitysajan liiketoimista tai tuotteiden ristikkäisnettoutusta koskevista sopimuksista syntyviä eriä.</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Johdannaiset</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Positiot, jotka arvostetaan asetuksen (EU) N:o 575/2013 352 artiklan mukaisesti</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LISÄTIETOERÄT: VALUUTTAPOSITIOT</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Lomakkeen lisätietoerien tiedot täytetään erikseen kaikkien unionin jäsenvaltioiden valuuttojen osalta, valuuttojen GBP, USD, CHF, JPY, RUB, TRY, AUD, CAD, RSD, ALL, UAH, MKD, EGP, ARS, BRL, MXN, HKD, ICK, TWD, NZD, NOK, SGD, KRW, CNY, ja kaikkien muiden valuuttojen osalta.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Muut</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Kultapositiot ja yhteistä sijoitustoimintaa harjoittavissa yrityksissä olevat positiot, joita käsitellään erillisenä valuuttana asetuksen (EU) N:o 575/2013 353 artiklan 3 kohdan mukaisesti, on sisällytettävä tälle riville.</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lastRenderedPageBreak/>
        <w:t>5.6.</w:t>
      </w:r>
      <w:r>
        <w:rPr>
          <w:rFonts w:ascii="Times New Roman" w:hAnsi="Times New Roman"/>
          <w:sz w:val="24"/>
          <w:u w:val="none"/>
        </w:rPr>
        <w:tab/>
      </w:r>
      <w:r>
        <w:rPr>
          <w:rFonts w:ascii="Times New Roman" w:hAnsi="Times New Roman"/>
          <w:sz w:val="24"/>
        </w:rPr>
        <w:t>C 23.01 – Markkinariski: hyödykeriskiin sovellettava yksinkertaistettu standardimenetelmä</w:t>
      </w:r>
      <w:bookmarkEnd w:id="124"/>
      <w:bookmarkEnd w:id="125"/>
      <w:bookmarkEnd w:id="126"/>
      <w:bookmarkEnd w:id="127"/>
      <w:bookmarkEnd w:id="128"/>
      <w:r>
        <w:rPr>
          <w:rFonts w:ascii="Times New Roman" w:hAnsi="Times New Roman"/>
          <w:sz w:val="24"/>
        </w:rPr>
        <w:t xml:space="preserve">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Pr>
          <w:rFonts w:ascii="Times New Roman" w:hAnsi="Times New Roman"/>
          <w:sz w:val="24"/>
          <w:u w:val="none"/>
        </w:rPr>
        <w:tab/>
      </w:r>
      <w:r>
        <w:rPr>
          <w:rFonts w:ascii="Times New Roman" w:hAnsi="Times New Roman"/>
          <w:sz w:val="24"/>
        </w:rPr>
        <w:t>Yleiset huomautukset</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173</w:t>
      </w:r>
      <w:r w:rsidRPr="004B0EC7">
        <w:fldChar w:fldCharType="end"/>
      </w:r>
      <w:r>
        <w:t>.</w:t>
      </w:r>
      <w:r>
        <w:tab/>
        <w:t xml:space="preserve"> Tässä lomakkeessa kerätään tietoja hyödykepositioista ja niitä vastaavista omien varojen vaatimuksista, joita käsitellään standardimenetelmän mukaisesti.</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Pr>
          <w:rFonts w:ascii="Times New Roman" w:hAnsi="Times New Roman"/>
          <w:sz w:val="24"/>
          <w:u w:val="none"/>
        </w:rPr>
        <w:tab/>
      </w:r>
      <w:r>
        <w:rPr>
          <w:rFonts w:ascii="Times New Roman" w:hAnsi="Times New Roman"/>
          <w:sz w:val="24"/>
        </w:rPr>
        <w:t>Tiettyjä positioita koskevat ohjeet</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4B0EC7" w14:paraId="12CECACA" w14:textId="77777777" w:rsidTr="00672D2A">
        <w:tc>
          <w:tcPr>
            <w:tcW w:w="986" w:type="dxa"/>
          </w:tcPr>
          <w:p w14:paraId="6FA50BBC" w14:textId="7B30401C"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POSITIOT (PITKÄT JA LYHYET)</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pitkiä/lyhyitä bruttopositioita, jotka otetaan huomioon samaa hyödykettä koskevina positioina asetuksen (EU) N:o 575/2013 357 artiklan 4 kohdan mukaisesti (ks. myös asetuksen (EU) N:o 575/2013 359 artiklan 1 kohta).</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14649002"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t>0030–0040</w:t>
            </w:r>
            <w:r w:rsidR="002F79EA">
              <w:rPr>
                <w:rFonts w:ascii="Times New Roman" w:hAnsi="Times New Roman"/>
                <w:sz w:val="24"/>
              </w:rPr>
              <w:t xml:space="preserve">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NETTOPOSITIOT (PITKÄT JA LYHYET)</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Sellaisena kuin se on määriteltynä asetuksen (EU) N:o 575/2013 357 artiklan 3 kohdassa.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JOIHIN SOVELLETAAN PÄÄOMAVAATIMUSTA</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nettopositioita, joihin sovelletaan pääomavaatimusta asetuksen (EU) N:o 575/2013 kolmannen osan IV osaston 4 luvussa säädettyjen menetelmien mukaisesti.</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 ENNEN KOROTUSKERTOIMIEN SOVELTAMISTA</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Asetuksen (EU) N:o 575/2013 kolmannen osan IV osaston 4 luvun mukaan laskettu omien varojen vaatimus ennen kyseisen asetuksen 325 artiklan 2 kohdan mukaisen korotuskertoimen soveltamista.</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Asetuksen (EU) N:o 575/2013 92 artiklan 4 kohdan c alakohta.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Tulos, joka saadaan kertomalla omien varojen vaatimus kertoimella 12,5 asetuksen (EU) N:o 575/2013 92 artiklan 6 kohdan b alakohdan mukaisesti ja korotuskertoimella kyseisen asetuksen 325 artiklan 2 kohdan c alakohdan mukaisesti.</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YHTEENLASKETUT HYÖDYKEPOSITIOT</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Tässä tarkoitetaan hyödykepositioita ja niiden markkinariskiä koskevia omien varojen vaatimuksia asetuksen (EU) N:o 575/2013 92 artiklan 4 kohdan c alakohdan ja kyseisen asetuksen kolmannen osan IV osaston 4 luvun mukaisesti. </w:t>
            </w:r>
          </w:p>
        </w:tc>
      </w:tr>
      <w:tr w:rsidR="000B0B09" w:rsidRPr="004B0EC7" w14:paraId="216F1AEE" w14:textId="77777777" w:rsidTr="00672D2A">
        <w:tc>
          <w:tcPr>
            <w:tcW w:w="987" w:type="dxa"/>
          </w:tcPr>
          <w:p w14:paraId="62D08C2C" w14:textId="10E42C1B" w:rsidR="000B0B09" w:rsidRPr="004B0EC7" w:rsidRDefault="00032F6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HYÖDYKELUOKITTAIN</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Raportointitarkoituksia varten hyödykkeet on ryhmiteltävä asetuksen (EU) N:o 575/2013 361 artiklan taulukossa 2 tarkoitettuihin neljään hyödykkeiden luokkaan.</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MATURITEETTIPOHJAINEN MENETELMÄ</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asetuksen (EU) N:o 575/2013 359 artiklassa tarkoitettua maturiteettipohjaista menetelmää.</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LAAJENNETTU MATURITEETTIPOHJAINEN MENETELMÄ</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asetuksen (EU) N:o 575/2013 361 artiklassa tarkoitettua laajennettua maturiteettipohjaista menetelmää.</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YKSINKERTAISTETTU MENETELMÄ</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hyödykepositioita, joihin sovelletaan asetuksen (EU) N:o 575/2013 360 artiklassa tarkoitettua yksinkertaistettua menetelmää.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851EF61"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Asetuksen (EU) N:o 575/2013 358 artiklan 4 kohta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Markkinariskin sisäiset mallit</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Pr>
          <w:rFonts w:ascii="Times New Roman" w:hAnsi="Times New Roman"/>
          <w:sz w:val="24"/>
          <w:u w:val="none"/>
        </w:rPr>
        <w:tab/>
      </w:r>
      <w:r>
        <w:rPr>
          <w:rFonts w:ascii="Times New Roman" w:hAnsi="Times New Roman"/>
          <w:sz w:val="24"/>
        </w:rPr>
        <w:t>Yleiset huomautukset</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174</w:t>
      </w:r>
      <w:r w:rsidRPr="004B0EC7">
        <w:fldChar w:fldCharType="end"/>
      </w:r>
      <w:r>
        <w:t>.</w:t>
      </w:r>
      <w:r>
        <w:tab/>
        <w:t xml:space="preserve"> Tässä lomakkeessa eritellään VaR-luku (Value-at-Risk, todennäköinen tappioluku) ja stressitestattu VaR-luku eri markkinariskien mukaan (velka-, osakekurssi-, valuuttakurssi- ja hyödykeriskien mukaan) ja ilmoitetaan muut omien varojen vaatimusten laskennassa sovellettavat tiedot.</w:t>
      </w:r>
    </w:p>
    <w:p w14:paraId="3DD1046B" w14:textId="4AD05ACF"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175</w:t>
      </w:r>
      <w:r w:rsidRPr="004B0EC7">
        <w:fldChar w:fldCharType="end"/>
      </w:r>
      <w:r>
        <w:t>.</w:t>
      </w:r>
      <w:r>
        <w:tab/>
        <w:t xml:space="preserve"> Yleisesti ottaen laitosten käyttämän lomakkeen rakenteesta riippuu, voidaanko yleisriskiä ja erityisriskiä koskevat luvut määritellä ja ilmoittaa erikseen vai ainoastaan yhdessä. Tämä pätee myös VaR-luvun / stressitestatun VaR-luvun jakamisessa riskiluokkiin (korkoriskin, osakeriskin, hyödykeriskin ja valuuttakurssiriskin mukaan). Laitos voi jättää kyseiset jaottelut ilmoittamatta, jos se osoittaa, että näiden lukujen ilmoittaminen olisi kohtuuttoman työlästä.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lastRenderedPageBreak/>
        <w:t>5.7.2.</w:t>
      </w:r>
      <w:r>
        <w:rPr>
          <w:rFonts w:ascii="Times New Roman" w:hAnsi="Times New Roman"/>
          <w:sz w:val="24"/>
          <w:u w:val="none"/>
        </w:rPr>
        <w:tab/>
      </w:r>
      <w:r>
        <w:rPr>
          <w:rFonts w:ascii="Times New Roman" w:hAnsi="Times New Roman"/>
          <w:sz w:val="24"/>
        </w:rPr>
        <w:t>Tiettyjä positioita koskevat ohjeet</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Sarakkeet</w:t>
            </w:r>
          </w:p>
        </w:tc>
      </w:tr>
      <w:tr w:rsidR="000B0B09" w:rsidRPr="004B0EC7" w14:paraId="27C19C3C" w14:textId="77777777" w:rsidTr="00672D2A">
        <w:tc>
          <w:tcPr>
            <w:tcW w:w="993" w:type="dxa"/>
          </w:tcPr>
          <w:p w14:paraId="10AA4817" w14:textId="4E454EF0"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Value at Risk (VaR)</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Tällä tarkoitetaan suurinta potentiaalista tappiota, joka aiheutuisi hinnan muutoksesta määrätyllä todennäköisyydellä ja tietyllä aikavälillä.</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Kerroin (mc) × edellisten 60 arkipäivän keskiarvo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Asetuksen (EU) N:o 575/2013 364 artiklan 1 kohdan a alakohdan ii alakohta ja 365 artiklan 1 kohta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Edellisen päivän VaR-luku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364 artiklan 1 kohdan a alakohdan i alakohta ja 365 artiklan 1 kohta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0EDDE60B"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Stressitestattu VaR</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Pr>
                <w:rFonts w:ascii="Times New Roman" w:hAnsi="Times New Roman"/>
                <w:sz w:val="24"/>
              </w:rPr>
              <w:t>Tällä tarkoitetaan suurinta potentiaalista tappiota, joka aiheutuisi hinnan muutoksesta määrätyllä todennäköisyydellä ja tietyllä aikavälillä ja joka on määritetty käyttämällä syötetietoja, jotka on kalibroitu suhteessa historiatietoihin sellaiselta yhtäjaksoiselta 12 kuukauden ajanjaksolta, jonka aikana on esiintynyt laitoksen salkun kannalta merkityksellistä rahoitusmarkkinoiden stressiä.</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Kerroin (mc) × edellisten 60 arkipäivän keskiarvo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Asetuksen (EU) N:o 575/2013 364 artiklan 1 kohdan b alakohdan ii alakohta ja 365 artiklan 1 kohta</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Tuorein saatavilla oleva luku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364 artiklan 1 kohdan b alakohdan i alakohta ja 365 artiklan 1 kohta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283FADE4"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MAKSUKYVYTTÖMYYSRISKIÄ JA LUOTTOLUOKAN SIIRTYMÄRISKIÄ KOSKEVA OMIEN VAROJEN VAATIMUS</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Tällä tarkoitetaan suurinta mahdollista tappiota, joka aiheutuisi asetuksen (EU) N:o 575/2013 364 artiklan 2 kohdan b alakohdan ja kolmannen osan IV osaston 5 luvun 4 jakson mukaisesti laskettuihin maksukyvyttömyysriskiin ja luottoluokan siirtymäriskiin liittyvästä hinnan muutoksesta.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viikon keskimääräinen mittaustulos</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Asetuksen (EU) N:o 575/2013 364 artiklan 2 kohdan b alakohdan ii alakohta ja kolmannen osan IV osaston 5 luvun 4 jakso</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Viimeisin mittaustulos</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Asetuksen (EU) N:o 575/2013 364 artiklan 2 kohdan b alakohdan i alakohta ja kolmannen osan IV osaston 5 luvun 4 jakso</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239C510A"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KAIKKI KORRELAATIOKAUPANKÄYNTISALKUN HINTARISKIEN OMIEN VAROJEN VAATIMUKSET</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ALARAJA</w:t>
            </w:r>
          </w:p>
          <w:p w14:paraId="08424932" w14:textId="6F00A60B" w:rsidR="000B0B09" w:rsidRPr="004B0EC7" w:rsidRDefault="000B0B09" w:rsidP="000B0B09">
            <w:pPr>
              <w:rPr>
                <w:rFonts w:ascii="Times New Roman" w:hAnsi="Times New Roman"/>
                <w:sz w:val="24"/>
              </w:rPr>
            </w:pPr>
            <w:r>
              <w:rPr>
                <w:rFonts w:ascii="Times New Roman" w:hAnsi="Times New Roman"/>
                <w:sz w:val="24"/>
              </w:rPr>
              <w:t>Asetuksen (EU) N:o 575/2013 364 artiklan 3 kohdan c alakohta.</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prosenttia omien varojen vaatimuksesta, joka laskettaisiin asetuksen (EU) N:o 575/2013 338 artiklan 1 kohdan mukaisesti ”kaikkien hintariskien” pääomavaatimukseen sisältyvien kaikkien positioiden osalta.</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5A004510" w:rsidR="000B0B09" w:rsidRPr="004B0EC7" w:rsidRDefault="00032F6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VIIKON KESKIMÄÄRÄINEN MITTAUSTULOS JA VIIMEISIN MITTAUSTULOS</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Asetuksen (EU) N:o 575/2013 364 artiklan 3 kohdan b alakohta</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VIIMEISIN MITTAUSTULOS</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Asetuksen (EU) N:o 575/2013 364 artiklan 3 kohdan a alakohta</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OMIEN VAROJEN VAATIMUKSET</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Tässä ilmoitetaan asetuksen (EU) N:o 575/2013 364 artiklassa tarkoitetut omien varojen vaatimukset, jotka lasketaan kaikkien riskitekijöiden osalta ja joiden laskennassa otetaan tarvittaessa huomioon korrelaatiovaikutukset ja maksukyvyttömyysriski ja luottoluokan siirtymäriski sekä kaikki korrelaatiokaupankäyntisalkkuun liittyvät hintariskit mutta joihin ei sisällytetä arvopaperistamiseen liittyviä pääomavaatimuksia eikä n:nnen tappion luottojohdannaisista asetuksen (EU) N:o 575/2013 364 artiklan 2 kohdan mukaisesti.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KOKONAISRISKIN MÄÄRÄ</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Asetuksen (EU) N:o 575/2013 92 artiklan 7 kohdan b alakohta.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tulosta, joka saadaan kertomalla omien varojen vaatimukset kertoimella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Ylitysten lukumäärä (edellisten 250 arkipäivän aikana)</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Tämä kohta liittyy asetuksen (EU) N:o 575/2013 366 artiklaan.</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Tässä ilmoitetaan niiden ylitysten lukumäärä, joiden perusteella lisäkerroin määritetään. Jos laitoksilla on lupa jättää tietyt ylitykset lisäkertoimen laskennassa huomiotta asetuksen (EU) N:o 575/2013 500 c artiklan mukaisesti, tässä sarakkeessa ilmoitettujen ylitysten lukumäärään ei saa sisältyä kyseisiä huomiotta jätettyjä ylityksiä.</w:t>
            </w:r>
          </w:p>
        </w:tc>
      </w:tr>
      <w:tr w:rsidR="000B0B09" w:rsidRPr="004B0EC7" w14:paraId="6B35F841" w14:textId="77777777" w:rsidTr="00672D2A">
        <w:tc>
          <w:tcPr>
            <w:tcW w:w="993" w:type="dxa"/>
          </w:tcPr>
          <w:p w14:paraId="2EA668BF" w14:textId="1037F2AA"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w:t>
            </w:r>
            <w:r w:rsidR="00032F6A">
              <w:rPr>
                <w:rFonts w:ascii="Times New Roman" w:hAnsi="Times New Roman"/>
                <w:sz w:val="24"/>
              </w:rPr>
              <w:t>–</w:t>
            </w:r>
            <w:r>
              <w:rPr>
                <w:rFonts w:ascii="Times New Roman" w:hAnsi="Times New Roman"/>
                <w:sz w:val="24"/>
              </w:rPr>
              <w:t>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VaR-kerroin (mc) ja SVaR-kerroin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Asetuksen (EU) N:o 575/2013 366 artiklassa tarkoitettu rekisteri.</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lastRenderedPageBreak/>
              <w:t>Tässä ilmoitetaan omien varojen vaatimusten laskentaan tosiasiallisesti sovellettavat kertoimet, tarvittaessa asetuksen (EU) N:o 575/2013 500 c artiklan soveltamisen jälkeen.</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3919B76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w:t>
            </w:r>
            <w:r w:rsidR="00032F6A">
              <w:rPr>
                <w:rFonts w:ascii="Times New Roman" w:hAnsi="Times New Roman"/>
                <w:sz w:val="24"/>
              </w:rPr>
              <w:t>–</w:t>
            </w:r>
            <w:r>
              <w:rPr>
                <w:rFonts w:ascii="Times New Roman" w:hAnsi="Times New Roman"/>
                <w:sz w:val="24"/>
              </w:rPr>
              <w:t>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KORRELAATIOKAUPANKÄYNTISALKUN ALARAJAA KOSKEVA ARVIOITU OMIEN VAROJEN VAATIMUS – PAINOTETUT PITKÄT/LYHYET NETTOPOSITIOT RAJAN JÄLKEEN</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Tässä ilmoitetaan määrä, joka muodostaa perustan pääomavaatimuksen alarajan laskemiselle kaikkien hintariskien osalta asetuksen (EU) N:o 575/2013 364 artiklan 3 kohdan c alakohdan mukaisesti ja jonka laskennassa otetaan huomioon kyseisen asetuksen 335 artiklassa annettu harkintamahdollisuus, jonka mukaan laitos voi asettaa painon ja nettoposition tulon ylärajaksi maksukyvyttömyysriskiin liittyvän tappion enimmäismäärän.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POSITIOT YHTEENSÄ</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Tässä tarkoitetaan positio-, valuuttakurssi- ja hyödykeriskin osaa, johon viitataan asetuksen (EU) N:o 575/2013 363 artiklan 1 kohdassa ja joka liittyy kyseisen asetuksen 367 artiklan 2 kohdassa määriteltyihin riskitekijöihin.</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Sarakkeiden 0030–0060 (VaR-luku ja stressitestattu VaR-luku) luvut kokonaismäärää kuvaavalla rivillä eivät vastaa asianmukaisten riskitekijöiden jaettuja arvoja VaR-luvun / stressitestatun VaR-luvun osalta.</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KAUPANKÄYNNIN KOHTEENA OLEVAT VIERAAN PÄÄOMAN EHTOISET RAHOITUSINSTRUMENTIT (TDI)</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Tässä tarkoitetaan positioriskin osaa, johon viitataan asetuksen (EU) N:o 575/2013 363 artiklan 1 kohdassa ja joka liittyy kyseisen asetuksen 367 artiklan 2 kohdassa määriteltyihin korkoriskitekijöihin.</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YLEISRISKI</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Asetuksen (EU) N:o 575/2013 362 artiklassa tarkoitettu yleisriski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ERITYISRISKI</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Asetuksen (EU) N:o 575/2013 362 artiklassa tarkoitettu erityisriski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positioriskin osaa, johon viitataan asetuksen (EU) N:o 575/2013 363 artiklan 1 kohdassa ja joka liittyy kyseisen asetuksen 367 artiklan 2 kohdan c alakohdassa määriteltyihin osakeriskitekijöihin.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 – YLEISRISKI</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Asetuksen (EU) N:o 575/2013 362 artiklassa tarkoitettu yleisriski</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OSAKKEET – ERITYISRISKI</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Asetuksen (EU) N:o 575/2013 362 artiklassa tarkoitettu erityisriski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VALUUTTAKURSSIRISKI</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Asetuksen (EU) N:o 575/2013 363 artiklan 1 kohta ja 367 artiklan 2 kohdan b alakohta</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HYÖDYKERISKI</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Asetuksen (EU) N:o 575/2013 363 artiklan 1 kohta ja 367 artiklan 2 kohdan d alakohta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YHTEENLASKETTU YLEISRISKI</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Tässä tarkoitetaan markkinariskiä, joka aiheutuu kaupankäynnin kohteena olevien vieraan pääoman ehtoisten rahoitusinstrumenttien, osakkeiden, valuutan ja hyödykkeiden yleisestä liikehdinnästä markkinoilla. Ilmoitetaan VaR-luku kaikkien riskitekijöiden muodostaman yleisriskin osalta (ottaen tarvittaessa huomioon korrelaatiovaikutukset).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YHTEENLASKETTU ERITYISRISKI</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Tässä tarkoitetaan kaupankäynnin kohteena olevien vieraan pääoman ehtoisten rahoitusinstrumenttien ja osakkeiden erityisriskitekijää. Ilmoitetaan VaR-luku kaupankäyntivaraston osakkeiden ja vieraan pääoman ehtoisten rahoitusinstrumenttien erityisriskin osalta (ottaen tarvittaessa huomioon korrelaatiovaikutukset).</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ab/>
      </w:r>
      <w:r>
        <w:rPr>
          <w:rFonts w:ascii="Times New Roman" w:hAnsi="Times New Roman"/>
          <w:sz w:val="20"/>
        </w:rPr>
        <w:t>Komission delegoitu asetus (EU) N:o 525/2014, annettu 12 päivänä maaliskuuta 2014, Euroopan parlamentin ja neuvoston asetuksen (EU) N:o 575/2013 täydentämisestä markkinan määritelmää koskevilla teknisillä sääntelystandardeilla (EUVL L 148, 20.5.2014, s. 15).</w:t>
      </w:r>
    </w:p>
  </w:footnote>
  <w:footnote w:id="3">
    <w:p w14:paraId="018474C7" w14:textId="77777777" w:rsidR="00C3070C" w:rsidRPr="00A11C6E" w:rsidRDefault="00C3070C">
      <w:pPr>
        <w:pStyle w:val="FootnoteText"/>
      </w:pPr>
      <w:r>
        <w:rPr>
          <w:rStyle w:val="FootnoteReference"/>
        </w:rPr>
        <w:footnoteRef/>
      </w:r>
      <w:r>
        <w:tab/>
        <w:t>Komission täytäntöönpanoasetus (EU) N:o 945/2014, annettu 4 päivänä syyskuuta 2014, Euroopan parlamentin ja neuvoston asetuksen (EU) N:o 575/2013 mukaisia relevantteja asianmukaisesti hajautettuja indeksejä koskevista teknisistä täytäntöönpanostandardeista.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2F6A"/>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0AD"/>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1FEC"/>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aliases w:val="Title 2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i-F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fi-FI"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04226752-85C1-4236-8809-484387A6B16F}"/>
</file>

<file path=customXml/itemProps4.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46</TotalTime>
  <Pages>22</Pages>
  <Words>5378</Words>
  <Characters>40777</Characters>
  <Application>Microsoft Office Word</Application>
  <DocSecurity>0</DocSecurity>
  <Lines>1102</Lines>
  <Paragraphs>562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SIHTO Jo (DGT)</cp:lastModifiedBy>
  <cp:revision>6</cp:revision>
  <dcterms:created xsi:type="dcterms:W3CDTF">2024-06-19T18:18:00Z</dcterms:created>
  <dcterms:modified xsi:type="dcterms:W3CDTF">2025-01-06T14:18:00Z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2025-01-06T13:31:54Z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7dbad8e4-d5a9-4fdc-8dde-17f019cc168a</vt:lpwstr>
  </property>
  <property fmtid="{D5CDD505-2E9C-101B-9397-08002B2CF9AE}" pid="9" name="MSIP_Label_6bd9ddd1-4d20-43f6-abfa-fc3c07406f94_ContentBits">
    <vt:lpwstr>0</vt:lpwstr>
  </property>
</Properties>
</file>