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3FB1" w14:textId="63C39F53" w:rsidR="00FA1E0E" w:rsidRDefault="00CB4F08" w:rsidP="00FA1E0E">
      <w:pPr>
        <w:jc w:val="center"/>
        <w:rPr>
          <w:rFonts w:ascii="Times New Roman" w:hAnsi="Times New Roman"/>
          <w:sz w:val="24"/>
          <w:szCs w:val="22"/>
        </w:rPr>
      </w:pPr>
      <w:r>
        <w:rPr>
          <w:rFonts w:ascii="Times New Roman" w:hAnsi="Times New Roman"/>
          <w:sz w:val="24"/>
        </w:rPr>
        <w:t>FR</w:t>
      </w:r>
    </w:p>
    <w:p w14:paraId="2A534E61" w14:textId="77777777" w:rsidR="00FA1E0E" w:rsidRDefault="00FA1E0E" w:rsidP="00FA1E0E">
      <w:pPr>
        <w:rPr>
          <w:rFonts w:asciiTheme="minorHAnsi" w:hAnsiTheme="minorHAnsi"/>
          <w:sz w:val="22"/>
        </w:rPr>
      </w:pPr>
    </w:p>
    <w:p w14:paraId="4613AAF8" w14:textId="77777777" w:rsidR="00C61CB8" w:rsidRPr="00037E7B" w:rsidRDefault="00C61CB8" w:rsidP="00C61CB8">
      <w:pPr>
        <w:jc w:val="center"/>
        <w:rPr>
          <w:rFonts w:ascii="Times New Roman" w:hAnsi="Times New Roman"/>
          <w:sz w:val="24"/>
        </w:rPr>
      </w:pPr>
      <w:r>
        <w:rPr>
          <w:rFonts w:ascii="Times New Roman" w:hAnsi="Times New Roman"/>
          <w:sz w:val="24"/>
        </w:rPr>
        <w:t>ANNEXE II</w:t>
      </w:r>
    </w:p>
    <w:p w14:paraId="7B92C63B" w14:textId="77777777" w:rsidR="00C61CB8" w:rsidRPr="00037E7B" w:rsidRDefault="00C61CB8" w:rsidP="00C61CB8">
      <w:pPr>
        <w:jc w:val="center"/>
        <w:rPr>
          <w:rFonts w:ascii="Times New Roman" w:hAnsi="Times New Roman"/>
          <w:sz w:val="24"/>
        </w:rPr>
      </w:pPr>
      <w:r>
        <w:rPr>
          <w:rFonts w:ascii="Times New Roman" w:hAnsi="Times New Roman"/>
          <w:sz w:val="24"/>
        </w:rPr>
        <w:t>«ANNEXE II</w:t>
      </w:r>
    </w:p>
    <w:p w14:paraId="48CBB2FB" w14:textId="77777777" w:rsidR="00C61CB8" w:rsidRPr="00037E7B" w:rsidRDefault="00C61CB8" w:rsidP="00C61CB8">
      <w:pPr>
        <w:jc w:val="center"/>
        <w:rPr>
          <w:rFonts w:ascii="Times New Roman" w:hAnsi="Times New Roman"/>
          <w:b/>
          <w:sz w:val="24"/>
        </w:rPr>
      </w:pPr>
      <w:r>
        <w:rPr>
          <w:rFonts w:ascii="Times New Roman" w:hAnsi="Times New Roman"/>
          <w:b/>
          <w:sz w:val="24"/>
        </w:rPr>
        <w:t>INSTRUCTIONS POUR REMPLIR LA DÉCLARATION RELATIVE AUX FONDS PROPRES ET EXIGENCES DE FONDS PROPRES</w:t>
      </w:r>
    </w:p>
    <w:p w14:paraId="499E103D" w14:textId="77777777" w:rsidR="00C61CB8" w:rsidRDefault="00C61CB8" w:rsidP="00C61CB8"/>
    <w:p w14:paraId="4FE1D1D2" w14:textId="77777777" w:rsidR="00C61CB8" w:rsidRDefault="00C61CB8" w:rsidP="00C61CB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PARTIE II: INSTRUCTIONS CONCERNANT LES MODÈLES</w:t>
      </w:r>
    </w:p>
    <w:p w14:paraId="253B4114" w14:textId="345C01BC" w:rsidR="00C61CB8" w:rsidRDefault="00C61CB8" w:rsidP="00C61CB8">
      <w:pPr>
        <w:spacing w:before="0" w:after="0"/>
        <w:jc w:val="left"/>
        <w:rPr>
          <w:rStyle w:val="InstructionsTabelleText"/>
          <w:rFonts w:ascii="Times New Roman" w:hAnsi="Times New Roman"/>
          <w:sz w:val="24"/>
        </w:rPr>
      </w:pPr>
    </w:p>
    <w:p w14:paraId="6D3C634C" w14:textId="77777777" w:rsidR="00C61CB8" w:rsidRPr="00736637"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SOLVABILITÉ DU GROUPE: INFORMATIONS SUR LES FILIALES (GS)</w:t>
      </w:r>
    </w:p>
    <w:p w14:paraId="6AEF8BD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Pr>
          <w:rFonts w:ascii="Times New Roman" w:hAnsi="Times New Roman"/>
          <w:sz w:val="24"/>
          <w:u w:val="none"/>
        </w:rPr>
        <w:t>2.1.</w:t>
      </w:r>
      <w:r>
        <w:rPr>
          <w:rFonts w:ascii="Times New Roman" w:hAnsi="Times New Roman"/>
          <w:sz w:val="24"/>
          <w:u w:val="none"/>
        </w:rPr>
        <w:tab/>
      </w:r>
      <w:r>
        <w:rPr>
          <w:rFonts w:ascii="Times New Roman" w:hAnsi="Times New Roman"/>
          <w:sz w:val="24"/>
        </w:rPr>
        <w:t>Remarques générales</w:t>
      </w:r>
      <w:bookmarkEnd w:id="0"/>
      <w:bookmarkEnd w:id="1"/>
      <w:bookmarkEnd w:id="2"/>
      <w:bookmarkEnd w:id="3"/>
      <w:bookmarkEnd w:id="4"/>
      <w:bookmarkEnd w:id="5"/>
      <w:bookmarkEnd w:id="6"/>
    </w:p>
    <w:p w14:paraId="02D50DC7"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27</w:t>
      </w:r>
      <w:r>
        <w:fldChar w:fldCharType="end"/>
      </w:r>
      <w:r>
        <w:t>.</w:t>
      </w:r>
      <w:r>
        <w:tab/>
        <w:t>Les modèles C 06.01 et C 06.02 seront utilisés si les exigences de fonds propres sont calculées sur une base consolidée. Le modèle C 06.02 se compose de quatre parties, afin de collecter des informations sur chacune des différentes entités (y compris l'établissement déclarant) incluses dans le périmètre de consolidation.</w:t>
      </w:r>
    </w:p>
    <w:p w14:paraId="427E4E34" w14:textId="77777777" w:rsidR="00173F08" w:rsidRPr="002A677E" w:rsidRDefault="00173F08" w:rsidP="00173F08">
      <w:pPr>
        <w:pStyle w:val="InstructionsText2"/>
        <w:numPr>
          <w:ilvl w:val="0"/>
          <w:numId w:val="0"/>
        </w:numPr>
        <w:ind w:left="993"/>
      </w:pPr>
      <w:r>
        <w:t>(a)</w:t>
      </w:r>
      <w:r>
        <w:tab/>
        <w:t>Entités comprises dans le périmètre de consolidation;</w:t>
      </w:r>
    </w:p>
    <w:p w14:paraId="028B029B" w14:textId="77777777" w:rsidR="00173F08" w:rsidRPr="002A677E" w:rsidRDefault="00173F08" w:rsidP="00173F08">
      <w:pPr>
        <w:pStyle w:val="InstructionsText2"/>
        <w:numPr>
          <w:ilvl w:val="0"/>
          <w:numId w:val="0"/>
        </w:numPr>
        <w:ind w:left="993"/>
      </w:pPr>
      <w:r>
        <w:t>(b)</w:t>
      </w:r>
      <w:r>
        <w:tab/>
        <w:t>Informations détaillées sur la solvabilité du groupe;</w:t>
      </w:r>
    </w:p>
    <w:p w14:paraId="29EF9308" w14:textId="77777777" w:rsidR="00173F08" w:rsidRPr="002A677E" w:rsidRDefault="00173F08" w:rsidP="00173F08">
      <w:pPr>
        <w:pStyle w:val="InstructionsText2"/>
        <w:numPr>
          <w:ilvl w:val="0"/>
          <w:numId w:val="0"/>
        </w:numPr>
        <w:ind w:left="993"/>
      </w:pPr>
      <w:r>
        <w:t>(c)</w:t>
      </w:r>
      <w:r>
        <w:tab/>
        <w:t>Informations sur la contribution des différentes entités à la solvabilité du groupe;</w:t>
      </w:r>
    </w:p>
    <w:p w14:paraId="66E85F84" w14:textId="77777777" w:rsidR="00173F08" w:rsidRPr="002A677E" w:rsidRDefault="00173F08" w:rsidP="00173F08">
      <w:pPr>
        <w:pStyle w:val="InstructionsText2"/>
        <w:numPr>
          <w:ilvl w:val="0"/>
          <w:numId w:val="0"/>
        </w:numPr>
        <w:ind w:left="993"/>
      </w:pPr>
      <w:r>
        <w:t>(d)</w:t>
      </w:r>
      <w:r>
        <w:tab/>
        <w:t>Informations sur les coussins de fonds propres.</w:t>
      </w:r>
    </w:p>
    <w:p w14:paraId="7BA531FA" w14:textId="4CB1D9D5" w:rsidR="00173F08" w:rsidRPr="002A677E" w:rsidRDefault="00173F08" w:rsidP="00173F08">
      <w:pPr>
        <w:pStyle w:val="InstructionsText2"/>
        <w:numPr>
          <w:ilvl w:val="0"/>
          <w:numId w:val="0"/>
        </w:numPr>
      </w:pPr>
      <w:r>
        <w:fldChar w:fldCharType="begin"/>
      </w:r>
      <w:r>
        <w:instrText>seq paragraphs</w:instrText>
      </w:r>
      <w:r>
        <w:fldChar w:fldCharType="separate"/>
      </w:r>
      <w:r>
        <w:t>28</w:t>
      </w:r>
      <w:r>
        <w:fldChar w:fldCharType="end"/>
      </w:r>
      <w:r>
        <w:t>.</w:t>
      </w:r>
      <w:r>
        <w:tab/>
        <w:t>Les établissements ayant obtenu une dérogation conformément à l'article 7 du règlement (UE) nº 575/2013 ne rempliront que les colonnes</w:t>
      </w:r>
      <w:r w:rsidR="00CB4F08">
        <w:t> 0010</w:t>
      </w:r>
      <w:r>
        <w:t xml:space="preserve"> à</w:t>
      </w:r>
      <w:r w:rsidR="00CB4F08">
        <w:t> </w:t>
      </w:r>
      <w:r>
        <w:t>0065 et 0250 à 0400.</w:t>
      </w:r>
    </w:p>
    <w:p w14:paraId="0B7B3AA9"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29</w:t>
      </w:r>
      <w:r>
        <w:fldChar w:fldCharType="end"/>
      </w:r>
      <w:r>
        <w:t>.</w:t>
      </w:r>
      <w:r>
        <w:tab/>
        <w:t>Les chiffres déclarés tiennent compte de toutes les dispositions transitoires applicables du règlement (UE) nº 575/2013 qui sont applicables à la date de déclaration concernée.</w:t>
      </w:r>
    </w:p>
    <w:p w14:paraId="11861C2C"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Pr>
          <w:rFonts w:ascii="Times New Roman" w:hAnsi="Times New Roman"/>
          <w:sz w:val="24"/>
          <w:u w:val="none"/>
        </w:rPr>
        <w:t>2.2.</w:t>
      </w:r>
      <w:r>
        <w:rPr>
          <w:rFonts w:ascii="Times New Roman" w:hAnsi="Times New Roman"/>
          <w:sz w:val="24"/>
          <w:u w:val="none"/>
        </w:rPr>
        <w:tab/>
      </w:r>
      <w:r>
        <w:rPr>
          <w:rFonts w:ascii="Times New Roman" w:hAnsi="Times New Roman"/>
          <w:sz w:val="24"/>
        </w:rPr>
        <w:t>Informations détaillées sur la solvabilité du groupe</w:t>
      </w:r>
      <w:bookmarkEnd w:id="7"/>
      <w:bookmarkEnd w:id="8"/>
      <w:bookmarkEnd w:id="9"/>
    </w:p>
    <w:p w14:paraId="60F36EFE" w14:textId="73A5C871" w:rsidR="00173F08" w:rsidRPr="002A677E" w:rsidRDefault="00173F08" w:rsidP="00173F08">
      <w:pPr>
        <w:pStyle w:val="InstructionsText2"/>
        <w:numPr>
          <w:ilvl w:val="0"/>
          <w:numId w:val="0"/>
        </w:numPr>
      </w:pPr>
      <w:r>
        <w:fldChar w:fldCharType="begin"/>
      </w:r>
      <w:r>
        <w:instrText>seq paragraphs</w:instrText>
      </w:r>
      <w:r>
        <w:fldChar w:fldCharType="separate"/>
      </w:r>
      <w:r>
        <w:t>30</w:t>
      </w:r>
      <w:r>
        <w:fldChar w:fldCharType="end"/>
      </w:r>
      <w:r>
        <w:t>.</w:t>
      </w:r>
      <w:r>
        <w:tab/>
        <w:t>La deuxième partie du modèle C 06.02 (Informations détaillées sur la solvabilité du groupe), de la colonne</w:t>
      </w:r>
      <w:r w:rsidR="00CB4F08">
        <w:t> 0070</w:t>
      </w:r>
      <w:r>
        <w:t xml:space="preserve"> à</w:t>
      </w:r>
      <w:r w:rsidR="00CB4F08">
        <w:t> </w:t>
      </w:r>
      <w:r>
        <w:t>0240, vise à rassembler des données sur les établissements de crédit et les autres entreprises financières réglementées, qui sont effectivement soumises, sur base individuelle, à des exigences de solvabilité particulières. Pour chacune de ces entités faisant partie du périmètre de consolidation, cette partie traite des exigences de fonds propres pour chaque catégorie de risque, ainsi que des fonds propres aux fins de solvabilité.</w:t>
      </w:r>
    </w:p>
    <w:p w14:paraId="75F5EA26"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31</w:t>
      </w:r>
      <w:r>
        <w:fldChar w:fldCharType="end"/>
      </w:r>
      <w:r>
        <w:t>.</w:t>
      </w:r>
      <w:r>
        <w:tab/>
        <w:t>En cas de consolidation proportionnelle des participations, les chiffres concernant les exigences de fonds propres et les fonds propres reflèteront les montants proportionnels respectifs.</w:t>
      </w:r>
    </w:p>
    <w:p w14:paraId="7624B8E0"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Pr>
          <w:rFonts w:ascii="Times New Roman" w:hAnsi="Times New Roman"/>
          <w:sz w:val="24"/>
          <w:u w:val="none"/>
        </w:rPr>
        <w:lastRenderedPageBreak/>
        <w:t>2.3.</w:t>
      </w:r>
      <w:r>
        <w:rPr>
          <w:rFonts w:ascii="Times New Roman" w:hAnsi="Times New Roman"/>
          <w:sz w:val="24"/>
          <w:u w:val="none"/>
        </w:rPr>
        <w:tab/>
      </w:r>
      <w:r>
        <w:rPr>
          <w:rFonts w:ascii="Times New Roman" w:hAnsi="Times New Roman"/>
          <w:sz w:val="24"/>
        </w:rPr>
        <w:t>Informations sur la contribution des différentes entités à la solvabilité du groupe</w:t>
      </w:r>
      <w:bookmarkEnd w:id="10"/>
      <w:bookmarkEnd w:id="11"/>
      <w:bookmarkEnd w:id="12"/>
    </w:p>
    <w:p w14:paraId="79D559FD" w14:textId="55C33F50" w:rsidR="00173F08" w:rsidRPr="002A677E" w:rsidRDefault="00173F08" w:rsidP="00173F08">
      <w:pPr>
        <w:pStyle w:val="InstructionsText2"/>
        <w:numPr>
          <w:ilvl w:val="0"/>
          <w:numId w:val="0"/>
        </w:numPr>
      </w:pPr>
      <w:r>
        <w:fldChar w:fldCharType="begin"/>
      </w:r>
      <w:r>
        <w:instrText>seq paragraphs</w:instrText>
      </w:r>
      <w:r>
        <w:fldChar w:fldCharType="separate"/>
      </w:r>
      <w:r>
        <w:t>32</w:t>
      </w:r>
      <w:r>
        <w:fldChar w:fldCharType="end"/>
      </w:r>
      <w:r>
        <w:t>.</w:t>
      </w:r>
      <w:r>
        <w:tab/>
        <w:t>L'objectif de la troisième partie du modèle C 06.02 et du modèle C 06.01 (informations sur les contributions à la solvabilité du groupe de toutes les entités faisant partie du périmètre de consolidation en vertu du règlement (UE) nº 575/2013), y compris celles qui, sur base individuelle, ne sont pas soumises à des exigences de solvabilité particulières, de la colonne 0250 à 0400, est d'identifier les entités du groupe qui génèrent les risques et lèvent des fonds propres sur les marchés, sur la base des données disponibles ou pouvant être exploitées sans recalculer le ratio de fonds propres sur une base individuelle ou sous-consolidée. Au niveau de l'entité, les chiffres relatifs aux risques comme aux fonds propres constituent des contributions aux chiffres du groupe et non des éléments d'un ratio de solvabilité individuelle. En conséquence, ils ne sont pas comparables entre eux.</w:t>
      </w:r>
    </w:p>
    <w:p w14:paraId="08EA3F6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33</w:t>
      </w:r>
      <w:r>
        <w:fldChar w:fldCharType="end"/>
      </w:r>
      <w:r>
        <w:t>.</w:t>
      </w:r>
      <w:r>
        <w:tab/>
        <w:t>Dans la troisième partie du modèle figurent les montants des intérêts minoritaires, des fonds propres additionnels de catégorie 1 reconnaissables et des fonds propres de catégorie 2 reconnaissables dans les fonds propres consolidés.</w:t>
      </w:r>
    </w:p>
    <w:p w14:paraId="1D8F8CC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34</w:t>
      </w:r>
      <w:r>
        <w:fldChar w:fldCharType="end"/>
      </w:r>
      <w:r>
        <w:t>.</w:t>
      </w:r>
      <w:r>
        <w:tab/>
        <w:t>Étant donné que, dans cette troisième partie, il est fait référence aux «contributions», les chiffres à déclarer différeront, le cas échéant, des chiffres déclarés dans les colonnes qui se rapportent aux données détaillées sur la solvabilité du groupe.</w:t>
      </w:r>
    </w:p>
    <w:p w14:paraId="27180B1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35</w:t>
      </w:r>
      <w:r>
        <w:fldChar w:fldCharType="end"/>
      </w:r>
      <w:r>
        <w:t>.</w:t>
      </w:r>
      <w:r>
        <w:tab/>
        <w:t>Le principe est de supprimer de façon homogène les expositions croisées au sein d'un même groupe, tant sur le plan des risques que des fonds propres, afin de couvrir les montants déclarés dans le modèle CA consolidé du groupe en additionnant les montants déclarés pour chaque entité dans le modèle «solvabilité du groupe». Un lien direct avec le modèle CA n’est pas possible lorsque le seuil de 1 % n'est pas dépassé.</w:t>
      </w:r>
    </w:p>
    <w:p w14:paraId="606DC9DE"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36</w:t>
      </w:r>
      <w:r>
        <w:fldChar w:fldCharType="end"/>
      </w:r>
      <w:r>
        <w:t>.</w:t>
      </w:r>
      <w:r>
        <w:tab/>
        <w:t>Les établissements définissent la méthode la plus appropriée de ventilation entre les différentes entités en vue de tenir compte des éventuels effets de la diversification pour le risque de marché et le risque opérationnel.</w:t>
      </w:r>
    </w:p>
    <w:p w14:paraId="6EE62E0D" w14:textId="3E60B495" w:rsidR="00173F08" w:rsidRPr="002A677E" w:rsidRDefault="00173F08" w:rsidP="00173F08">
      <w:pPr>
        <w:pStyle w:val="InstructionsText2"/>
        <w:numPr>
          <w:ilvl w:val="0"/>
          <w:numId w:val="0"/>
        </w:numPr>
      </w:pPr>
      <w:r>
        <w:fldChar w:fldCharType="begin"/>
      </w:r>
      <w:r>
        <w:instrText>seq paragraphs</w:instrText>
      </w:r>
      <w:r>
        <w:fldChar w:fldCharType="separate"/>
      </w:r>
      <w:r>
        <w:t>37</w:t>
      </w:r>
      <w:r>
        <w:fldChar w:fldCharType="end"/>
      </w:r>
      <w:r>
        <w:t>.</w:t>
      </w:r>
      <w:r>
        <w:tab/>
        <w:t>Il est possible qu'un groupe consolidé soit inclus dans un autre groupe consolidé. Cela signifie que les entités appartenant à un sous-groupe font l'objet d'une déclaration individuelle (entité par entité) dans le modèle GS du groupe entier, même si ce sous-groupe est lui-même soumis à des exigences de déclaration. Un sous-groupe soumis à des exigences de déclaration doit également remplir le modèle GS sur une base individuelle (entité par entité), bien que ces données soient incluses dans le modèle GS d'un groupe consolidé de niveau supérieur.</w:t>
      </w:r>
    </w:p>
    <w:p w14:paraId="0F8191D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38</w:t>
      </w:r>
      <w:r>
        <w:fldChar w:fldCharType="end"/>
      </w:r>
      <w:r>
        <w:t>.</w:t>
      </w:r>
      <w:r>
        <w:tab/>
        <w:t>Un établissement déclare les données relatives à la contribution d'une entité lorsque sa contribution au montant total d'exposition au risque dépasse 1 % du montant total d'exposition au risque du groupe ou lorsque sa contribution au total des fonds propres dépasse 1 % du total des fonds propres du groupe. Ce seuil ne s'applique pas aux filiales ou sous-groupes qui fournissent des fonds propres au groupe (sous la forme d'intérêts minoritaires, d'instruments de fonds propres additionnels de catégorie 1 ou d'instruments de fonds propres de catégorie 2 reconnaissables inclus dans les fonds propres).</w:t>
      </w:r>
    </w:p>
    <w:p w14:paraId="78C505AC"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3" w:name="_Toc473560891"/>
      <w:bookmarkStart w:id="14" w:name="_Toc151714379"/>
      <w:r>
        <w:rPr>
          <w:rFonts w:ascii="Times New Roman" w:hAnsi="Times New Roman"/>
          <w:sz w:val="24"/>
          <w:u w:val="none"/>
        </w:rPr>
        <w:t>2.4.</w:t>
      </w:r>
      <w:r>
        <w:rPr>
          <w:rFonts w:ascii="Times New Roman" w:hAnsi="Times New Roman"/>
          <w:sz w:val="24"/>
          <w:u w:val="none"/>
        </w:rPr>
        <w:tab/>
      </w:r>
      <w:r>
        <w:rPr>
          <w:rFonts w:ascii="Times New Roman" w:hAnsi="Times New Roman"/>
          <w:sz w:val="24"/>
        </w:rPr>
        <w:t>C 06.01 – SOLVABILITÉ DU GROUPE: INFORMATIONS SUR LES FILIALES - Total (GS Total)</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4A15857B" w14:textId="77777777" w:rsidTr="00822842">
        <w:tc>
          <w:tcPr>
            <w:tcW w:w="1188" w:type="dxa"/>
            <w:shd w:val="clear" w:color="auto" w:fill="CCCCCC"/>
          </w:tcPr>
          <w:p w14:paraId="3977A18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Colonnes</w:t>
            </w:r>
          </w:p>
        </w:tc>
        <w:tc>
          <w:tcPr>
            <w:tcW w:w="8640" w:type="dxa"/>
            <w:shd w:val="clear" w:color="auto" w:fill="CCCCCC"/>
          </w:tcPr>
          <w:p w14:paraId="3D7B9BD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Instructions</w:t>
            </w:r>
          </w:p>
        </w:tc>
      </w:tr>
      <w:tr w:rsidR="00173F08" w:rsidRPr="002A677E" w14:paraId="0E9AB27C" w14:textId="77777777" w:rsidTr="00822842">
        <w:tc>
          <w:tcPr>
            <w:tcW w:w="1188" w:type="dxa"/>
          </w:tcPr>
          <w:p w14:paraId="36AE906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61E5CB2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ENTITÉS COMPRISES DANS LE PÉRIMÈTRE DE CONSOLIDATION</w:t>
            </w:r>
          </w:p>
          <w:p w14:paraId="47AE8E6C"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Voir instructions pour C 06.02</w:t>
            </w:r>
          </w:p>
        </w:tc>
      </w:tr>
      <w:tr w:rsidR="00173F08" w:rsidRPr="002A67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COUSSINS DE FONDS PROPRES</w:t>
            </w:r>
          </w:p>
          <w:p w14:paraId="4257537D"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Voir instructions pour C 06.02</w:t>
            </w:r>
          </w:p>
        </w:tc>
      </w:tr>
    </w:tbl>
    <w:p w14:paraId="20B2DE5D" w14:textId="77777777" w:rsidR="00173F08" w:rsidRPr="002A677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Ligne</w:t>
            </w:r>
          </w:p>
        </w:tc>
        <w:tc>
          <w:tcPr>
            <w:tcW w:w="8640" w:type="dxa"/>
            <w:shd w:val="clear" w:color="auto" w:fill="CCCCCC"/>
          </w:tcPr>
          <w:p w14:paraId="49120A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Instructions</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0489F3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TOTAL</w:t>
            </w:r>
          </w:p>
          <w:p w14:paraId="0D110F46"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Le total représente la somme des valeurs déclarées dans toutes les lignes du modèle C 06.02.</w:t>
            </w:r>
          </w:p>
        </w:tc>
      </w:tr>
    </w:tbl>
    <w:p w14:paraId="6ED4F138" w14:textId="77777777" w:rsidR="00173F08" w:rsidRPr="002A677E" w:rsidRDefault="00173F08" w:rsidP="00173F08">
      <w:pPr>
        <w:pStyle w:val="InstructionsText"/>
      </w:pPr>
    </w:p>
    <w:p w14:paraId="7A36DFA3"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5" w:name="_Toc473560892"/>
      <w:bookmarkStart w:id="16" w:name="_Toc151714380"/>
      <w:r>
        <w:rPr>
          <w:rFonts w:ascii="Times New Roman" w:hAnsi="Times New Roman"/>
          <w:sz w:val="24"/>
          <w:u w:val="none"/>
        </w:rPr>
        <w:t>2.5.</w:t>
      </w:r>
      <w:r>
        <w:rPr>
          <w:rFonts w:ascii="Times New Roman" w:hAnsi="Times New Roman"/>
          <w:sz w:val="24"/>
          <w:u w:val="none"/>
        </w:rPr>
        <w:tab/>
      </w:r>
      <w:r>
        <w:rPr>
          <w:rFonts w:ascii="Times New Roman" w:hAnsi="Times New Roman"/>
          <w:sz w:val="24"/>
        </w:rPr>
        <w:t>C 06.02 - SOLVABILITÉ DU GROUPE: INFORMATIONS SUR LES FILIALES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381D52BF" w14:textId="77777777" w:rsidTr="00822842">
        <w:tc>
          <w:tcPr>
            <w:tcW w:w="1188" w:type="dxa"/>
            <w:shd w:val="clear" w:color="auto" w:fill="CCCCCC"/>
          </w:tcPr>
          <w:p w14:paraId="262E587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Colonnes</w:t>
            </w:r>
          </w:p>
        </w:tc>
        <w:tc>
          <w:tcPr>
            <w:tcW w:w="8640" w:type="dxa"/>
            <w:shd w:val="clear" w:color="auto" w:fill="CCCCCC"/>
          </w:tcPr>
          <w:p w14:paraId="5B03B4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Instructions</w:t>
            </w:r>
          </w:p>
        </w:tc>
      </w:tr>
      <w:tr w:rsidR="00173F08" w:rsidRPr="002A677E" w14:paraId="3BC0042D" w14:textId="77777777" w:rsidTr="00822842">
        <w:tc>
          <w:tcPr>
            <w:tcW w:w="1188" w:type="dxa"/>
          </w:tcPr>
          <w:p w14:paraId="57FC2EB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00983D2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ENTITÉS COMPRISES DANS LE PÉRIMÈTRE DE CONSOLIDATION</w:t>
            </w:r>
          </w:p>
          <w:p w14:paraId="6B6FD15E" w14:textId="1EFC8DC6"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Ce modèle vise à collecter des informations sur toutes les entités faisant partie du périmètre de consolidation, sur une base individuelle (entité par entité), conformément au</w:t>
            </w:r>
            <w:r>
              <w:rPr>
                <w:rFonts w:ascii="Times New Roman" w:hAnsi="Times New Roman"/>
                <w:sz w:val="24"/>
              </w:rPr>
              <w:t xml:space="preserve"> chapitre 2 du titre II de la première partie du règlement (UE) nº 575/2013</w:t>
            </w:r>
            <w:r>
              <w:rPr>
                <w:rStyle w:val="InstructionsTabelleText"/>
                <w:rFonts w:ascii="Times New Roman" w:hAnsi="Times New Roman"/>
                <w:sz w:val="24"/>
              </w:rPr>
              <w:t>.</w:t>
            </w:r>
          </w:p>
        </w:tc>
      </w:tr>
      <w:tr w:rsidR="00173F08" w:rsidRPr="002A677E" w14:paraId="7681C175" w14:textId="77777777" w:rsidTr="00822842">
        <w:tc>
          <w:tcPr>
            <w:tcW w:w="1188" w:type="dxa"/>
          </w:tcPr>
          <w:p w14:paraId="506D0F7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02F7D96C"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NOM</w:t>
            </w:r>
          </w:p>
          <w:p w14:paraId="795CC1B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Nom de l'entité faisant partie du périmètre de consolidation.</w:t>
            </w:r>
          </w:p>
        </w:tc>
      </w:tr>
      <w:tr w:rsidR="00173F08" w:rsidRPr="002A677E" w14:paraId="2E707E2D" w14:textId="77777777" w:rsidTr="00822842">
        <w:tc>
          <w:tcPr>
            <w:tcW w:w="1188" w:type="dxa"/>
          </w:tcPr>
          <w:p w14:paraId="6AE7AD3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4EC559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CODE</w:t>
            </w:r>
          </w:p>
          <w:p w14:paraId="099B8601" w14:textId="77777777" w:rsidR="00173F08" w:rsidRPr="002A677E" w:rsidRDefault="00173F08" w:rsidP="00822842">
            <w:pPr>
              <w:pStyle w:val="InstructionsText"/>
              <w:rPr>
                <w:rStyle w:val="InstructionsTabelleText"/>
              </w:rPr>
            </w:pPr>
            <w:r>
              <w:rPr>
                <w:rStyle w:val="InstructionsTabelleText"/>
              </w:rPr>
              <w:t>Le code faisant partie d’un identifiant de ligne doit être propre à chaque entité déclarée. Pour les établissements et les entreprises d’assurance, le code correspond au code LEI. Pour les autres entités, le code correspond au code LEI ou, à défaut, à un code national. Ce code est unique et il est utilisé de manière constante dans tous les modèles et dans le temps. Sa valeur ne peut pas être nulle.</w:t>
            </w:r>
          </w:p>
        </w:tc>
      </w:tr>
      <w:tr w:rsidR="00173F08" w:rsidRPr="002A677E" w14:paraId="082E2FA1" w14:textId="77777777" w:rsidTr="00822842">
        <w:tc>
          <w:tcPr>
            <w:tcW w:w="1188" w:type="dxa"/>
          </w:tcPr>
          <w:p w14:paraId="2CA545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5B6693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TYPE DE CODE</w:t>
            </w:r>
          </w:p>
          <w:p w14:paraId="094070A5"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Les établissements identifient le type de code déclaré dans la colonne 0021 par la mention «Code LEI» ou «Code non LEI».</w:t>
            </w:r>
            <w:r>
              <w:rPr>
                <w:rStyle w:val="FormatvorlageInstructionsTabelleText"/>
                <w:rFonts w:ascii="Times New Roman" w:hAnsi="Times New Roman"/>
                <w:sz w:val="24"/>
              </w:rPr>
              <w:t xml:space="preserve"> Le type de code doit toujours être déclaré.</w:t>
            </w:r>
          </w:p>
        </w:tc>
      </w:tr>
      <w:tr w:rsidR="00173F08" w:rsidRPr="002A677E" w14:paraId="115CCEB9" w14:textId="77777777" w:rsidTr="00822842">
        <w:tc>
          <w:tcPr>
            <w:tcW w:w="1188" w:type="dxa"/>
          </w:tcPr>
          <w:p w14:paraId="6EE5E41D" w14:textId="77777777" w:rsidR="00173F08" w:rsidRPr="002A677E" w:rsidDel="00BF0637" w:rsidRDefault="00173F08" w:rsidP="00822842">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046D285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CODE NATIONAL</w:t>
            </w:r>
          </w:p>
          <w:p w14:paraId="6AB087F6" w14:textId="77777777" w:rsidR="00173F08" w:rsidRPr="002A677E" w:rsidDel="00BF0637" w:rsidRDefault="00173F08" w:rsidP="00822842">
            <w:pPr>
              <w:rPr>
                <w:rStyle w:val="InstructionsTabelleberschrift"/>
                <w:rFonts w:ascii="Times New Roman" w:hAnsi="Times New Roman"/>
                <w:sz w:val="24"/>
              </w:rPr>
            </w:pPr>
            <w:r>
              <w:rPr>
                <w:rFonts w:ascii="Times New Roman" w:hAnsi="Times New Roman"/>
                <w:sz w:val="24"/>
              </w:rPr>
              <w:t>Les établissements peuvent en outre déclarer le code national lorsqu’ils déclarent le code LEI en tant qu’identifiant dans la colonne «Code».</w:t>
            </w:r>
          </w:p>
        </w:tc>
      </w:tr>
      <w:tr w:rsidR="00173F08" w:rsidRPr="002A677E" w14:paraId="6D220418" w14:textId="77777777" w:rsidTr="00822842">
        <w:tc>
          <w:tcPr>
            <w:tcW w:w="1188" w:type="dxa"/>
          </w:tcPr>
          <w:p w14:paraId="3073475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51843D3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ÉTABLISSEMENT OU ÉQUIVALENT (OUI / NON)</w:t>
            </w:r>
          </w:p>
          <w:p w14:paraId="592DC07F"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lastRenderedPageBreak/>
              <w:t>Indiquer «OUI» lorsque l'entité est soumise aux exigences de fonds propres en vertu du règlement (UE) nº 575/2013 et de la directive 2013/36/UE ou de dispositions au moins équivalentes aux dispositions de Bâle.</w:t>
            </w:r>
          </w:p>
          <w:p w14:paraId="4B3EAD9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Dans le cas contraire, on indiquera «NON».</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rFonts w:ascii="Times New Roman" w:hAnsi="Times New Roman"/>
                <w:sz w:val="24"/>
              </w:rPr>
            </w:pPr>
            <w:r>
              <w:rPr>
                <w:rStyle w:val="InstructionsTabelleText"/>
                <w:rFonts w:ascii="Wingdings" w:hAnsi="Wingdings"/>
                <w:sz w:val="24"/>
              </w:rPr>
              <w:t></w:t>
            </w:r>
            <w:r>
              <w:rPr>
                <w:rStyle w:val="InstructionsTabelleText"/>
                <w:rFonts w:ascii="Wingdings" w:hAnsi="Wingdings"/>
                <w:sz w:val="24"/>
              </w:rPr>
              <w:tab/>
            </w:r>
            <w:r>
              <w:rPr>
                <w:rStyle w:val="InstructionsTabelleText"/>
                <w:rFonts w:ascii="Times New Roman" w:hAnsi="Times New Roman"/>
                <w:sz w:val="24"/>
              </w:rPr>
              <w:t>Intérêts minoritaires:</w:t>
            </w:r>
          </w:p>
          <w:p w14:paraId="753444E9"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 xml:space="preserve"> Article 81, paragraphe 1, point a) ii), et article 82, paragraphe 1, point a) ii), du règlement (UE) nº 575/2013.</w:t>
            </w:r>
          </w:p>
          <w:p w14:paraId="714487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En ce qui concerne les intérêts minoritaires et les instruments de fonds propres additionnels de catégorie 1 et les instruments de fonds propres de catégorie 2 émis par les filiales, les filiales dont les instruments peuvent être éligibles seront des établissements ou des entreprises soumis aux exigences du règlement (UE) nº 575/2013 en vertu de la législation nationale en vigueur.</w:t>
            </w:r>
          </w:p>
        </w:tc>
      </w:tr>
      <w:tr w:rsidR="00173F08" w:rsidRPr="002A677E" w14:paraId="7BBFE780" w14:textId="77777777" w:rsidTr="00822842">
        <w:tc>
          <w:tcPr>
            <w:tcW w:w="1188" w:type="dxa"/>
          </w:tcPr>
          <w:p w14:paraId="4D04116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0035</w:t>
            </w:r>
          </w:p>
        </w:tc>
        <w:tc>
          <w:tcPr>
            <w:tcW w:w="8640" w:type="dxa"/>
          </w:tcPr>
          <w:p w14:paraId="301D03B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TYPE D’ENTITÉ</w:t>
            </w:r>
          </w:p>
          <w:p w14:paraId="64249F7B" w14:textId="77777777" w:rsidR="00173F08" w:rsidRPr="002A677E" w:rsidRDefault="00173F08" w:rsidP="00822842">
            <w:pPr>
              <w:rPr>
                <w:rStyle w:val="InstructionsTabelleText"/>
                <w:rFonts w:ascii="Times New Roman" w:hAnsi="Times New Roman"/>
                <w:bCs/>
                <w:sz w:val="24"/>
              </w:rPr>
            </w:pPr>
            <w:r>
              <w:rPr>
                <w:rStyle w:val="InstructionsTabelleText"/>
                <w:rFonts w:ascii="Times New Roman" w:hAnsi="Times New Roman"/>
                <w:sz w:val="24"/>
              </w:rPr>
              <w:t>Le type d’entité est déclaré selon les catégories suivantes:</w:t>
            </w:r>
          </w:p>
          <w:p w14:paraId="6C071244"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w:t>
            </w:r>
            <w:r>
              <w:rPr>
                <w:rStyle w:val="InstructionsTabelleText"/>
                <w:rFonts w:ascii="Times New Roman" w:hAnsi="Times New Roman"/>
                <w:sz w:val="24"/>
              </w:rPr>
              <w:tab/>
              <w:t>établissement de crédit</w:t>
            </w:r>
          </w:p>
          <w:p w14:paraId="665499B6" w14:textId="5E9CDB59"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b/>
            </w:r>
            <w:r>
              <w:rPr>
                <w:rFonts w:ascii="Times New Roman" w:hAnsi="Times New Roman"/>
                <w:sz w:val="24"/>
              </w:rPr>
              <w:t>Article</w:t>
            </w:r>
            <w:r w:rsidR="00CB4F08">
              <w:rPr>
                <w:rFonts w:ascii="Times New Roman" w:hAnsi="Times New Roman"/>
                <w:sz w:val="24"/>
              </w:rPr>
              <w:t> </w:t>
            </w:r>
            <w:r>
              <w:rPr>
                <w:rFonts w:ascii="Times New Roman" w:hAnsi="Times New Roman"/>
                <w:sz w:val="24"/>
              </w:rPr>
              <w:t>4, paragraphe 1, point</w:t>
            </w:r>
            <w:r w:rsidR="00CB4F08">
              <w:rPr>
                <w:rFonts w:ascii="Times New Roman" w:hAnsi="Times New Roman"/>
                <w:sz w:val="24"/>
              </w:rPr>
              <w:t> </w:t>
            </w:r>
            <w:r>
              <w:rPr>
                <w:rFonts w:ascii="Times New Roman" w:hAnsi="Times New Roman"/>
                <w:sz w:val="24"/>
              </w:rPr>
              <w:t>1), du règlement (UE) nº 575/2013;</w:t>
            </w:r>
          </w:p>
          <w:p w14:paraId="5699C13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rPr>
                <w:rStyle w:val="InstructionsTabelleText"/>
                <w:rFonts w:ascii="Times New Roman" w:hAnsi="Times New Roman"/>
                <w:sz w:val="24"/>
              </w:rPr>
              <w:tab/>
              <w:t>entreprise d'investissement</w:t>
            </w:r>
          </w:p>
          <w:p w14:paraId="63975777" w14:textId="110C8339"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Article</w:t>
            </w:r>
            <w:r w:rsidR="00CB4F08">
              <w:rPr>
                <w:rFonts w:ascii="Times New Roman" w:hAnsi="Times New Roman"/>
                <w:sz w:val="24"/>
              </w:rPr>
              <w:t> </w:t>
            </w:r>
            <w:r>
              <w:rPr>
                <w:rFonts w:ascii="Times New Roman" w:hAnsi="Times New Roman"/>
                <w:sz w:val="24"/>
              </w:rPr>
              <w:t>4, paragraphe 1, point</w:t>
            </w:r>
            <w:r w:rsidR="00CB4F08">
              <w:rPr>
                <w:rFonts w:ascii="Times New Roman" w:hAnsi="Times New Roman"/>
                <w:sz w:val="24"/>
              </w:rPr>
              <w:t> </w:t>
            </w:r>
            <w:r>
              <w:rPr>
                <w:rFonts w:ascii="Times New Roman" w:hAnsi="Times New Roman"/>
                <w:sz w:val="24"/>
              </w:rPr>
              <w:t>2), du règlement (UE) nº 575/2013.</w:t>
            </w:r>
          </w:p>
          <w:p w14:paraId="4003584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rPr>
                <w:rStyle w:val="InstructionsTabelleText"/>
                <w:rFonts w:ascii="Times New Roman" w:hAnsi="Times New Roman"/>
                <w:sz w:val="24"/>
              </w:rPr>
              <w:tab/>
              <w:t>établissement financier (autre)</w:t>
            </w:r>
          </w:p>
          <w:p w14:paraId="5B5F8DA3" w14:textId="3D0A99DA"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Article</w:t>
            </w:r>
            <w:r w:rsidR="00CB4F08">
              <w:rPr>
                <w:rFonts w:ascii="Times New Roman" w:hAnsi="Times New Roman"/>
                <w:sz w:val="24"/>
              </w:rPr>
              <w:t> </w:t>
            </w:r>
            <w:r>
              <w:rPr>
                <w:rFonts w:ascii="Times New Roman" w:hAnsi="Times New Roman"/>
                <w:sz w:val="24"/>
              </w:rPr>
              <w:t>4, paragraphe</w:t>
            </w:r>
            <w:r w:rsidR="00CB4F08">
              <w:rPr>
                <w:rFonts w:ascii="Times New Roman" w:hAnsi="Times New Roman"/>
                <w:sz w:val="24"/>
              </w:rPr>
              <w:t> </w:t>
            </w:r>
            <w:r>
              <w:rPr>
                <w:rFonts w:ascii="Times New Roman" w:hAnsi="Times New Roman"/>
                <w:sz w:val="24"/>
              </w:rPr>
              <w:t>1, points</w:t>
            </w:r>
            <w:r w:rsidR="00CB4F08">
              <w:rPr>
                <w:rFonts w:ascii="Times New Roman" w:hAnsi="Times New Roman"/>
                <w:sz w:val="24"/>
              </w:rPr>
              <w:t> </w:t>
            </w:r>
            <w:r>
              <w:rPr>
                <w:rFonts w:ascii="Times New Roman" w:hAnsi="Times New Roman"/>
                <w:sz w:val="24"/>
              </w:rPr>
              <w:t>20), 21) et 26) du règlement (UE) nº 575/2013</w:t>
            </w:r>
          </w:p>
          <w:p w14:paraId="7BC9963B" w14:textId="76B95B64" w:rsidR="00173F08" w:rsidRPr="002A677E" w:rsidRDefault="00173F08" w:rsidP="00822842">
            <w:pPr>
              <w:tabs>
                <w:tab w:val="left" w:pos="372"/>
              </w:tabs>
              <w:ind w:left="399" w:hanging="399"/>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Les établissements financiers au sens de l'article 4, paragraphe 1, point 26), du règlement (UE) nº 575/2013 qui ne sont pas inclus dans les catégories d), e) ou g);</w:t>
            </w:r>
          </w:p>
          <w:p w14:paraId="7F95447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rPr>
                <w:rStyle w:val="InstructionsTabelleText"/>
                <w:rFonts w:ascii="Times New Roman" w:hAnsi="Times New Roman"/>
                <w:sz w:val="24"/>
              </w:rPr>
              <w:tab/>
              <w:t>compagnie financière holding (mixte)</w:t>
            </w:r>
          </w:p>
          <w:p w14:paraId="1C70DDA8" w14:textId="23158306"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Article</w:t>
            </w:r>
            <w:r w:rsidR="00CB4F08">
              <w:rPr>
                <w:rFonts w:ascii="Times New Roman" w:hAnsi="Times New Roman"/>
                <w:sz w:val="24"/>
              </w:rPr>
              <w:t> </w:t>
            </w:r>
            <w:r>
              <w:rPr>
                <w:rFonts w:ascii="Times New Roman" w:hAnsi="Times New Roman"/>
                <w:sz w:val="24"/>
              </w:rPr>
              <w:t>4, paragraphe</w:t>
            </w:r>
            <w:r w:rsidR="00CB4F08">
              <w:rPr>
                <w:rFonts w:ascii="Times New Roman" w:hAnsi="Times New Roman"/>
                <w:sz w:val="24"/>
              </w:rPr>
              <w:t> </w:t>
            </w:r>
            <w:r>
              <w:rPr>
                <w:rFonts w:ascii="Times New Roman" w:hAnsi="Times New Roman"/>
                <w:sz w:val="24"/>
              </w:rPr>
              <w:t>1, points</w:t>
            </w:r>
            <w:r w:rsidR="00CB4F08">
              <w:rPr>
                <w:rFonts w:ascii="Times New Roman" w:hAnsi="Times New Roman"/>
                <w:sz w:val="24"/>
              </w:rPr>
              <w:t> </w:t>
            </w:r>
            <w:r>
              <w:rPr>
                <w:rFonts w:ascii="Times New Roman" w:hAnsi="Times New Roman"/>
                <w:sz w:val="24"/>
              </w:rPr>
              <w:t>20) et 21), du règlement (UE) nº 575/2013</w:t>
            </w:r>
          </w:p>
          <w:p w14:paraId="30F427B6"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rPr>
                <w:rStyle w:val="InstructionsTabelleText"/>
                <w:rFonts w:ascii="Times New Roman" w:hAnsi="Times New Roman"/>
                <w:sz w:val="24"/>
              </w:rPr>
              <w:tab/>
              <w:t>entreprise de services auxiliaires</w:t>
            </w:r>
          </w:p>
          <w:p w14:paraId="21A43501" w14:textId="1E9E0C40"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Article</w:t>
            </w:r>
            <w:r w:rsidR="00CB4F08">
              <w:rPr>
                <w:rFonts w:ascii="Times New Roman" w:hAnsi="Times New Roman"/>
                <w:sz w:val="24"/>
              </w:rPr>
              <w:t> </w:t>
            </w:r>
            <w:r>
              <w:rPr>
                <w:rFonts w:ascii="Times New Roman" w:hAnsi="Times New Roman"/>
                <w:sz w:val="24"/>
              </w:rPr>
              <w:t>4, paragraphe 1, point</w:t>
            </w:r>
            <w:r w:rsidR="00CB4F08">
              <w:rPr>
                <w:rFonts w:ascii="Times New Roman" w:hAnsi="Times New Roman"/>
                <w:sz w:val="24"/>
              </w:rPr>
              <w:t> </w:t>
            </w:r>
            <w:r>
              <w:rPr>
                <w:rFonts w:ascii="Times New Roman" w:hAnsi="Times New Roman"/>
                <w:sz w:val="24"/>
              </w:rPr>
              <w:t>18), du règlement (UE) nº 575/2013.</w:t>
            </w:r>
          </w:p>
          <w:p w14:paraId="33923092"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rPr>
                <w:rStyle w:val="InstructionsTabelleText"/>
                <w:rFonts w:ascii="Times New Roman" w:hAnsi="Times New Roman"/>
                <w:sz w:val="24"/>
              </w:rPr>
              <w:tab/>
              <w:t>entité de titrisation (SSPE),</w:t>
            </w:r>
          </w:p>
          <w:p w14:paraId="0A5E1647" w14:textId="6DE362BB"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Article</w:t>
            </w:r>
            <w:r w:rsidR="00CB4F08">
              <w:rPr>
                <w:rFonts w:ascii="Times New Roman" w:hAnsi="Times New Roman"/>
                <w:sz w:val="24"/>
              </w:rPr>
              <w:t> </w:t>
            </w:r>
            <w:r>
              <w:rPr>
                <w:rFonts w:ascii="Times New Roman" w:hAnsi="Times New Roman"/>
                <w:sz w:val="24"/>
              </w:rPr>
              <w:t>4, paragraphe 1, point</w:t>
            </w:r>
            <w:r w:rsidR="00CB4F08">
              <w:rPr>
                <w:rFonts w:ascii="Times New Roman" w:hAnsi="Times New Roman"/>
                <w:sz w:val="24"/>
              </w:rPr>
              <w:t> </w:t>
            </w:r>
            <w:r>
              <w:rPr>
                <w:rFonts w:ascii="Times New Roman" w:hAnsi="Times New Roman"/>
                <w:sz w:val="24"/>
              </w:rPr>
              <w:t>66), du règlement (UE) nº 575/2013.</w:t>
            </w:r>
          </w:p>
          <w:p w14:paraId="56894EF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rPr>
                <w:rStyle w:val="InstructionsTabelleText"/>
                <w:rFonts w:ascii="Times New Roman" w:hAnsi="Times New Roman"/>
                <w:sz w:val="24"/>
              </w:rPr>
              <w:tab/>
              <w:t>société d'obligations garanties</w:t>
            </w:r>
          </w:p>
          <w:p w14:paraId="6CA79499" w14:textId="77777777" w:rsidR="00173F08" w:rsidRPr="002A677E" w:rsidRDefault="00173F08" w:rsidP="00822842">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Entité établie pour émettre des obligations garanties ou pour détenir des sûretés qui garantissent de telles obligations, si elle n’entre dans aucune des catégories a), b), ou d) à f) ci-dessus;</w:t>
            </w:r>
          </w:p>
          <w:p w14:paraId="73FCB23B"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(h)</w:t>
            </w:r>
            <w:r>
              <w:rPr>
                <w:rStyle w:val="InstructionsTabelleText"/>
                <w:rFonts w:ascii="Times New Roman" w:hAnsi="Times New Roman"/>
                <w:sz w:val="24"/>
              </w:rPr>
              <w:tab/>
              <w:t>autre type d’entité</w:t>
            </w:r>
          </w:p>
          <w:p w14:paraId="404E7CFE" w14:textId="77777777" w:rsidR="00173F08" w:rsidRPr="002A677E" w:rsidRDefault="00173F08" w:rsidP="00822842">
            <w:pPr>
              <w:tabs>
                <w:tab w:val="left" w:pos="372"/>
              </w:tabs>
              <w:ind w:left="372"/>
              <w:rPr>
                <w:rStyle w:val="InstructionsTabelleberschrift"/>
                <w:rFonts w:ascii="Times New Roman" w:hAnsi="Times New Roman"/>
                <w:b w:val="0"/>
                <w:sz w:val="24"/>
              </w:rPr>
            </w:pPr>
            <w:r>
              <w:rPr>
                <w:rStyle w:val="InstructionsTabelleberschrift"/>
                <w:rFonts w:ascii="Times New Roman" w:hAnsi="Times New Roman"/>
                <w:sz w:val="24"/>
              </w:rPr>
              <w:t>Entité autre que celles visées aux points a) à g).</w:t>
            </w:r>
          </w:p>
          <w:p w14:paraId="1E1DE3FB" w14:textId="77777777" w:rsidR="00173F08" w:rsidRPr="002A677E" w:rsidRDefault="00173F08" w:rsidP="00822842">
            <w:pPr>
              <w:tabs>
                <w:tab w:val="left" w:pos="372"/>
              </w:tabs>
              <w:rPr>
                <w:rStyle w:val="InstructionsTabelleberschrift"/>
                <w:rFonts w:ascii="Times New Roman" w:hAnsi="Times New Roman"/>
                <w:b w:val="0"/>
                <w:sz w:val="24"/>
              </w:rPr>
            </w:pPr>
            <w:r>
              <w:rPr>
                <w:rStyle w:val="InstructionsTabelleberschrift"/>
                <w:rFonts w:ascii="Times New Roman" w:hAnsi="Times New Roman"/>
                <w:sz w:val="24"/>
              </w:rPr>
              <w:t>Lorsqu'une entité n’est pas soumise au</w:t>
            </w:r>
            <w:r>
              <w:rPr>
                <w:rFonts w:ascii="Times New Roman" w:hAnsi="Times New Roman"/>
                <w:sz w:val="24"/>
              </w:rPr>
              <w:t xml:space="preserve"> règlement (UE) nº 575/2013 </w:t>
            </w:r>
            <w:r>
              <w:rPr>
                <w:rStyle w:val="InstructionsTabelleberschrift"/>
                <w:rFonts w:ascii="Times New Roman" w:hAnsi="Times New Roman"/>
                <w:sz w:val="24"/>
              </w:rPr>
              <w:t>et</w:t>
            </w:r>
            <w:r>
              <w:rPr>
                <w:rFonts w:ascii="Times New Roman" w:hAnsi="Times New Roman"/>
                <w:sz w:val="24"/>
              </w:rPr>
              <w:t xml:space="preserve"> à la directive 2013/36/UE, </w:t>
            </w:r>
            <w:r>
              <w:rPr>
                <w:rStyle w:val="InstructionsTabelleberschrift"/>
                <w:rFonts w:ascii="Times New Roman" w:hAnsi="Times New Roman"/>
                <w:sz w:val="24"/>
              </w:rPr>
              <w:t>mais est soumise à des dispositions au moins équivalentes aux dispositions Bâle, la catégorie applicable est déterminée sur la base d'une obligation de moyens.</w:t>
            </w:r>
          </w:p>
        </w:tc>
      </w:tr>
      <w:tr w:rsidR="00173F08" w:rsidRPr="002A677E" w14:paraId="177D0BA5" w14:textId="77777777" w:rsidTr="00822842">
        <w:tc>
          <w:tcPr>
            <w:tcW w:w="1188" w:type="dxa"/>
          </w:tcPr>
          <w:p w14:paraId="0C21191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6CCCE12B"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PÉRIMÈTRE DES DONNÉES: </w:t>
            </w:r>
            <w:r>
              <w:rPr>
                <w:rFonts w:ascii="Times New Roman" w:hAnsi="Times New Roman"/>
                <w:b/>
                <w:caps/>
                <w:sz w:val="24"/>
                <w:u w:val="single"/>
              </w:rPr>
              <w:t>sur base individuelle intégralement consolidée (SF) ou sur base individuelle partiellement consolidée (SP)</w:t>
            </w:r>
          </w:p>
          <w:p w14:paraId="0AE72FF3" w14:textId="474F9BDD" w:rsidR="00173F08" w:rsidRPr="002A677E" w:rsidRDefault="00173F08" w:rsidP="00822842">
            <w:pPr>
              <w:rPr>
                <w:rStyle w:val="Heading1Char"/>
                <w:rFonts w:ascii="Times New Roman" w:hAnsi="Times New Roman"/>
                <w:sz w:val="24"/>
              </w:rPr>
            </w:pPr>
            <w:r>
              <w:rPr>
                <w:rFonts w:ascii="Times New Roman" w:hAnsi="Times New Roman"/>
                <w:sz w:val="24"/>
              </w:rPr>
              <w:t>Indiquer «</w:t>
            </w:r>
            <w:r>
              <w:rPr>
                <w:rStyle w:val="InstructionsTabelleText"/>
                <w:rFonts w:ascii="Times New Roman" w:hAnsi="Times New Roman"/>
                <w:sz w:val="24"/>
              </w:rPr>
              <w:t>SF</w:t>
            </w:r>
            <w:r>
              <w:rPr>
                <w:rFonts w:ascii="Times New Roman" w:hAnsi="Times New Roman"/>
                <w:sz w:val="24"/>
              </w:rPr>
              <w:t>» pour les filiales individuelles totalement consolidées.</w:t>
            </w:r>
          </w:p>
          <w:p w14:paraId="62274488" w14:textId="541B57E8" w:rsidR="00173F08" w:rsidRPr="002A677E" w:rsidRDefault="00173F08" w:rsidP="00822842">
            <w:pPr>
              <w:rPr>
                <w:rStyle w:val="InstructionsTabelleText"/>
                <w:rFonts w:ascii="Times New Roman" w:hAnsi="Times New Roman"/>
                <w:smallCaps/>
                <w:sz w:val="24"/>
              </w:rPr>
            </w:pPr>
            <w:r>
              <w:rPr>
                <w:rFonts w:ascii="Times New Roman" w:hAnsi="Times New Roman"/>
                <w:sz w:val="24"/>
              </w:rPr>
              <w:t>Indiquer «</w:t>
            </w:r>
            <w:r>
              <w:rPr>
                <w:rStyle w:val="InstructionsTabelleText"/>
                <w:rFonts w:ascii="Times New Roman" w:hAnsi="Times New Roman"/>
                <w:sz w:val="24"/>
              </w:rPr>
              <w:t>SP</w:t>
            </w:r>
            <w:r>
              <w:rPr>
                <w:rFonts w:ascii="Times New Roman" w:hAnsi="Times New Roman"/>
                <w:sz w:val="24"/>
              </w:rPr>
              <w:t>» pour les filiales individuelles partiellement consolidées.</w:t>
            </w:r>
          </w:p>
        </w:tc>
      </w:tr>
      <w:tr w:rsidR="00173F08" w:rsidRPr="002A677E" w14:paraId="5114D2FB" w14:textId="77777777" w:rsidTr="00822842">
        <w:tc>
          <w:tcPr>
            <w:tcW w:w="1188" w:type="dxa"/>
          </w:tcPr>
          <w:p w14:paraId="333484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CDACE7" w14:textId="38084B54" w:rsidR="00173F08" w:rsidRPr="002A677E" w:rsidRDefault="00173F08" w:rsidP="00822842">
            <w:pPr>
              <w:rPr>
                <w:rFonts w:ascii="Times New Roman" w:hAnsi="Times New Roman"/>
                <w:b/>
                <w:sz w:val="24"/>
                <w:u w:val="single"/>
              </w:rPr>
            </w:pPr>
            <w:r>
              <w:rPr>
                <w:rFonts w:ascii="Times New Roman" w:hAnsi="Times New Roman"/>
                <w:b/>
                <w:sz w:val="24"/>
                <w:u w:val="single"/>
              </w:rPr>
              <w:t>CODE PAYS</w:t>
            </w:r>
          </w:p>
          <w:p w14:paraId="6D6EDCAD" w14:textId="313EAC82"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Les établissements mentionnent le code pays en deux lettres indiqué dans la norme ISO 3166-1 alpha-2.</w:t>
            </w:r>
          </w:p>
        </w:tc>
      </w:tr>
      <w:tr w:rsidR="00173F08" w:rsidRPr="002A677E" w14:paraId="78D1D7A5" w14:textId="77777777" w:rsidTr="00822842">
        <w:tc>
          <w:tcPr>
            <w:tcW w:w="1188" w:type="dxa"/>
          </w:tcPr>
          <w:p w14:paraId="26EECF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3297BC0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PARTICIPATION (%)</w:t>
            </w:r>
          </w:p>
          <w:p w14:paraId="0214F399" w14:textId="428816B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Ce pourcentage correspond à la part de capital réelle que détient l'entreprise mère dans des filiales. En cas de consolidation intégrale d'une filiale directe, la part réelle est par exemple 70 %. </w:t>
            </w:r>
            <w:r>
              <w:rPr>
                <w:rFonts w:ascii="Times New Roman" w:hAnsi="Times New Roman"/>
                <w:sz w:val="24"/>
              </w:rPr>
              <w:t>Conformément à l’article 4, paragraphe 1, point</w:t>
            </w:r>
            <w:r w:rsidR="00CB4F08">
              <w:rPr>
                <w:rFonts w:ascii="Times New Roman" w:hAnsi="Times New Roman"/>
                <w:sz w:val="24"/>
              </w:rPr>
              <w:t> </w:t>
            </w:r>
            <w:r>
              <w:rPr>
                <w:rFonts w:ascii="Times New Roman" w:hAnsi="Times New Roman"/>
                <w:sz w:val="24"/>
              </w:rPr>
              <w:t>16), du règlement (UE) nº 575/2013, la participation d’une filiale à déclarer résulte d’une multiplication des parts entre les filiales concernées.</w:t>
            </w:r>
          </w:p>
        </w:tc>
      </w:tr>
      <w:tr w:rsidR="00173F08" w:rsidRPr="002A677E" w14:paraId="55A34781" w14:textId="77777777" w:rsidTr="00822842">
        <w:tc>
          <w:tcPr>
            <w:tcW w:w="1188" w:type="dxa"/>
          </w:tcPr>
          <w:p w14:paraId="254AD57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0065</w:t>
            </w:r>
          </w:p>
        </w:tc>
        <w:tc>
          <w:tcPr>
            <w:tcW w:w="8640" w:type="dxa"/>
          </w:tcPr>
          <w:p w14:paraId="42EB5499"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GROUPE DE COMPENSATION</w:t>
            </w:r>
          </w:p>
          <w:p w14:paraId="591957C8"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On entend par «groupe de compensation» l’un ou l'autre des éléments suivants:</w:t>
            </w:r>
          </w:p>
          <w:p w14:paraId="3C498A91" w14:textId="13132582" w:rsidR="00173F08" w:rsidRPr="000F4F88" w:rsidRDefault="00173F08" w:rsidP="00173F08">
            <w:pPr>
              <w:pStyle w:val="ListParagraph"/>
              <w:numPr>
                <w:ilvl w:val="0"/>
                <w:numId w:val="3"/>
              </w:numPr>
              <w:rPr>
                <w:rStyle w:val="InstructionsTabelleText"/>
                <w:rFonts w:ascii="Times New Roman" w:hAnsi="Times New Roman"/>
                <w:sz w:val="24"/>
              </w:rPr>
            </w:pPr>
            <w:r>
              <w:rPr>
                <w:rStyle w:val="InstructionsTabelleText"/>
                <w:rFonts w:ascii="Times New Roman" w:hAnsi="Times New Roman"/>
                <w:sz w:val="24"/>
              </w:rPr>
              <w:t>un groupe d’entités pour lequel l’autorité compétente a autorisé l’utilisation de positions d’un établissement ou une entreprise du groupe pour compenser des positions d’un autre établissement ou d’une autre entreprise dudit groupe eb vertu de l’article 325 </w:t>
            </w:r>
            <w:r>
              <w:rPr>
                <w:rStyle w:val="InstructionsTabelleText"/>
                <w:rFonts w:ascii="Times New Roman" w:hAnsi="Times New Roman"/>
                <w:i/>
                <w:iCs/>
                <w:sz w:val="24"/>
              </w:rPr>
              <w:t>ter</w:t>
            </w:r>
            <w:r>
              <w:rPr>
                <w:rStyle w:val="InstructionsTabelleText"/>
                <w:rFonts w:ascii="Times New Roman" w:hAnsi="Times New Roman"/>
                <w:sz w:val="24"/>
              </w:rPr>
              <w:t xml:space="preserve"> du règlement (UE) no</w:t>
            </w:r>
            <w:r w:rsidR="00CB4F08">
              <w:rPr>
                <w:rStyle w:val="InstructionsTabelleText"/>
                <w:rFonts w:ascii="Times New Roman" w:hAnsi="Times New Roman"/>
                <w:sz w:val="24"/>
              </w:rPr>
              <w:t> </w:t>
            </w:r>
            <w:r>
              <w:rPr>
                <w:rStyle w:val="InstructionsTabelleText"/>
                <w:rFonts w:ascii="Times New Roman" w:hAnsi="Times New Roman"/>
                <w:sz w:val="24"/>
              </w:rPr>
              <w:t>575/2013;</w:t>
            </w:r>
          </w:p>
          <w:p w14:paraId="6C55C0A1" w14:textId="77777777" w:rsidR="00173F08" w:rsidRPr="000059B8" w:rsidRDefault="00173F08" w:rsidP="00173F08">
            <w:pPr>
              <w:pStyle w:val="ListParagraph"/>
              <w:numPr>
                <w:ilvl w:val="0"/>
                <w:numId w:val="3"/>
              </w:numPr>
              <w:rPr>
                <w:rStyle w:val="InstructionsTabelleText"/>
                <w:rFonts w:ascii="Times New Roman" w:hAnsi="Times New Roman"/>
                <w:b/>
                <w:bCs/>
                <w:sz w:val="24"/>
                <w:u w:val="single"/>
              </w:rPr>
            </w:pPr>
            <w:r>
              <w:rPr>
                <w:rStyle w:val="InstructionsTabelleText"/>
                <w:rFonts w:ascii="Times New Roman" w:hAnsi="Times New Roman"/>
                <w:sz w:val="24"/>
              </w:rPr>
              <w:t>une entité individuelle dont les positions ne peuvent pas être compensées par les positions d’une autre entité du même groupe soumise à la surveillance sur base consolidée en vertu de la directive 2013/36/UE, parce que l’autorité compétente n’a pas accordé l’autorisation nécessaire en vertu de l’article 325 </w:t>
            </w:r>
            <w:r>
              <w:rPr>
                <w:rStyle w:val="InstructionsTabelleText"/>
                <w:rFonts w:ascii="Times New Roman" w:hAnsi="Times New Roman"/>
                <w:i/>
                <w:iCs/>
                <w:sz w:val="24"/>
              </w:rPr>
              <w:t>ter</w:t>
            </w:r>
            <w:r>
              <w:rPr>
                <w:rStyle w:val="InstructionsTabelleText"/>
                <w:rFonts w:ascii="Times New Roman" w:hAnsi="Times New Roman"/>
                <w:sz w:val="24"/>
              </w:rPr>
              <w:t xml:space="preserve"> dudit règlement.</w:t>
            </w:r>
          </w:p>
          <w:p w14:paraId="30CBC62B"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Les établissements indiquent le groupe de compensation auquel appartient chaque entité énumérée dans le modèle, s’ils remplissent les deux conditions suivantes:</w:t>
            </w:r>
          </w:p>
          <w:p w14:paraId="147E25D5" w14:textId="7267A0AF"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a) Ils calculent les exigences de fonds propres pour leurs activités exposées au risque de marché conformément à la troisième partie, titre IV, chapitre 1 </w:t>
            </w:r>
            <w:r>
              <w:rPr>
                <w:rStyle w:val="InstructionsTabelleText"/>
                <w:rFonts w:ascii="Times New Roman" w:hAnsi="Times New Roman"/>
                <w:i/>
                <w:iCs/>
                <w:sz w:val="24"/>
              </w:rPr>
              <w:t>bis</w:t>
            </w:r>
            <w:r>
              <w:rPr>
                <w:rStyle w:val="InstructionsTabelleText"/>
                <w:rFonts w:ascii="Times New Roman" w:hAnsi="Times New Roman"/>
                <w:sz w:val="24"/>
              </w:rPr>
              <w:t xml:space="preserve"> et/ou 1 </w:t>
            </w:r>
            <w:r>
              <w:rPr>
                <w:rStyle w:val="InstructionsTabelleText"/>
                <w:rFonts w:ascii="Times New Roman" w:hAnsi="Times New Roman"/>
                <w:i/>
                <w:iCs/>
                <w:sz w:val="24"/>
              </w:rPr>
              <w:t>ter</w:t>
            </w:r>
            <w:r>
              <w:rPr>
                <w:rStyle w:val="InstructionsTabelleText"/>
                <w:rFonts w:ascii="Times New Roman" w:hAnsi="Times New Roman"/>
                <w:sz w:val="24"/>
              </w:rPr>
              <w:t>, du règlement (UE) nº 575/2013 ou sont soumis à l’obligation de déclarer les informations relatives à ces exigences de fonds propres au titre de l'article 430, paragraphe</w:t>
            </w:r>
            <w:r w:rsidR="00CB4F08">
              <w:rPr>
                <w:rStyle w:val="InstructionsTabelleText"/>
                <w:rFonts w:ascii="Times New Roman" w:hAnsi="Times New Roman"/>
                <w:sz w:val="24"/>
              </w:rPr>
              <w:t> </w:t>
            </w:r>
            <w:r>
              <w:rPr>
                <w:rStyle w:val="InstructionsTabelleText"/>
                <w:rFonts w:ascii="Times New Roman" w:hAnsi="Times New Roman"/>
                <w:sz w:val="24"/>
              </w:rPr>
              <w:t>2 </w:t>
            </w:r>
            <w:r>
              <w:rPr>
                <w:rStyle w:val="InstructionsTabelleText"/>
                <w:rFonts w:ascii="Times New Roman" w:hAnsi="Times New Roman"/>
                <w:i/>
                <w:iCs/>
                <w:sz w:val="24"/>
              </w:rPr>
              <w:t>bis</w:t>
            </w:r>
            <w:r>
              <w:rPr>
                <w:rStyle w:val="InstructionsTabelleText"/>
                <w:rFonts w:ascii="Times New Roman" w:hAnsi="Times New Roman"/>
                <w:sz w:val="24"/>
              </w:rPr>
              <w:t xml:space="preserve"> ou 2 </w:t>
            </w:r>
            <w:r>
              <w:rPr>
                <w:rStyle w:val="InstructionsTabelleText"/>
                <w:rFonts w:ascii="Times New Roman" w:hAnsi="Times New Roman"/>
                <w:i/>
                <w:iCs/>
                <w:sz w:val="24"/>
              </w:rPr>
              <w:t>ter</w:t>
            </w:r>
            <w:r>
              <w:rPr>
                <w:rStyle w:val="InstructionsTabelleText"/>
                <w:rFonts w:ascii="Times New Roman" w:hAnsi="Times New Roman"/>
                <w:sz w:val="24"/>
              </w:rPr>
              <w:t>, dudit règlement.</w:t>
            </w:r>
          </w:p>
          <w:p w14:paraId="467E176C"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b) Le groupe soumis à la surveillance sur base consolidée en vertu de la directive 2013/36/UE comprend au moins deux groupes de compensation.</w:t>
            </w:r>
          </w:p>
          <w:p w14:paraId="6E55692B"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Les valeurs déclarées dans cette colonne sont «Groupe de compensation 1», «Groupe de compensation 2», etc. La correspondance indiquée entre les entités juridiques et les groupes de compensation doit être constante dans le temps, cohérente entre les rapports d’un même groupe soumis à la surveillance sur base consolidée et cohérente par rapport à l’identification des groupes de compensation dans les modèles de l’</w:t>
            </w:r>
            <w:r>
              <w:rPr>
                <w:rStyle w:val="InstructionsTabelleText"/>
                <w:rFonts w:ascii="Times New Roman" w:hAnsi="Times New Roman"/>
                <w:sz w:val="24"/>
                <w:highlight w:val="yellow"/>
              </w:rPr>
              <w:t>[Annexe I du règlement (UE) 2021/453]</w:t>
            </w:r>
            <w:r>
              <w:rPr>
                <w:rStyle w:val="InstructionsTabelleText"/>
                <w:rFonts w:ascii="Times New Roman" w:hAnsi="Times New Roman"/>
                <w:sz w:val="24"/>
              </w:rPr>
              <w:t>.</w:t>
            </w:r>
          </w:p>
          <w:p w14:paraId="5DB075C7"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Lorsque l’établissement remplit la condition a) susmentionnée, mais que le groupe soumis à la surveillance sur base consolidée en vertu de la directive 2013/36/UE ne comprend qu’un seul groupe de compensation, les établissements indiquent «Groupe de </w:t>
            </w:r>
            <w:r>
              <w:rPr>
                <w:rStyle w:val="InstructionsTabelleText"/>
                <w:rFonts w:ascii="Times New Roman" w:hAnsi="Times New Roman"/>
                <w:sz w:val="24"/>
              </w:rPr>
              <w:lastRenderedPageBreak/>
              <w:t>compensation unique» sur la ligne correspondant à l’entreprise mère du groupe déclaré dans le présent modèle.</w:t>
            </w:r>
          </w:p>
        </w:tc>
      </w:tr>
      <w:tr w:rsidR="00173F08" w:rsidRPr="002A677E" w14:paraId="79BDBC0E" w14:textId="77777777" w:rsidTr="00822842">
        <w:tc>
          <w:tcPr>
            <w:tcW w:w="1188" w:type="dxa"/>
          </w:tcPr>
          <w:p w14:paraId="73FB15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0070-0240</w:t>
            </w:r>
          </w:p>
        </w:tc>
        <w:tc>
          <w:tcPr>
            <w:tcW w:w="8640" w:type="dxa"/>
          </w:tcPr>
          <w:p w14:paraId="0274B01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INFORMATIONS SUR LES ENTITÉS SOUMISES À DES EXIGENCES DE FONDS PROPRES</w:t>
            </w:r>
          </w:p>
          <w:p w14:paraId="5193F4B6" w14:textId="0112457D" w:rsidR="00173F08" w:rsidRPr="002A677E" w:rsidRDefault="00173F08" w:rsidP="00822842">
            <w:pPr>
              <w:rPr>
                <w:rStyle w:val="InstructionsTabelleText"/>
                <w:rFonts w:ascii="Times New Roman" w:hAnsi="Times New Roman"/>
                <w:sz w:val="24"/>
              </w:rPr>
            </w:pPr>
            <w:r>
              <w:rPr>
                <w:rFonts w:ascii="Times New Roman" w:hAnsi="Times New Roman"/>
                <w:sz w:val="24"/>
              </w:rPr>
              <w:t>La section consacrée aux informations détaillées (à savoir les colonnes</w:t>
            </w:r>
            <w:r w:rsidR="00CB4F08">
              <w:rPr>
                <w:rFonts w:ascii="Times New Roman" w:hAnsi="Times New Roman"/>
                <w:sz w:val="24"/>
              </w:rPr>
              <w:t> 0070</w:t>
            </w:r>
            <w:r>
              <w:rPr>
                <w:rFonts w:ascii="Times New Roman" w:hAnsi="Times New Roman"/>
                <w:sz w:val="24"/>
              </w:rPr>
              <w:t xml:space="preserve"> à</w:t>
            </w:r>
            <w:r w:rsidR="00CB4F08">
              <w:rPr>
                <w:rFonts w:ascii="Times New Roman" w:hAnsi="Times New Roman"/>
                <w:sz w:val="24"/>
              </w:rPr>
              <w:t> </w:t>
            </w:r>
            <w:r>
              <w:rPr>
                <w:rFonts w:ascii="Times New Roman" w:hAnsi="Times New Roman"/>
                <w:sz w:val="24"/>
              </w:rPr>
              <w:t>0240) permet de collecter des données uniquement sur les entités et sous-groupes qui, puisqu'ils font partie du périmètre de consolidation (première partie, titre II, chapitre 2, du règlement (UE) nº 575/2013), sont effectivement soumis à des exigences de solvabilité en vertu du règlement (UE) nº 575/2013 ou de dispositions au moins équivalentes aux dispositions Bâle (c’est-à-dire lorsque la réponse est «OUI» dans la colonne 0030).</w:t>
            </w:r>
          </w:p>
          <w:p w14:paraId="341FD737" w14:textId="04F3B27B" w:rsidR="00173F08" w:rsidRPr="002A677E" w:rsidRDefault="00173F08" w:rsidP="00822842">
            <w:pPr>
              <w:rPr>
                <w:rFonts w:ascii="Times New Roman" w:hAnsi="Times New Roman"/>
                <w:sz w:val="24"/>
              </w:rPr>
            </w:pPr>
            <w:r>
              <w:rPr>
                <w:rFonts w:ascii="Times New Roman" w:hAnsi="Times New Roman"/>
                <w:sz w:val="24"/>
              </w:rPr>
              <w:t>On inclura des informations au sujet de tous les établissements d'un groupe consolidé qui sont soumis à des exigences de fonds propres, où qu'ils soient situés.</w:t>
            </w:r>
          </w:p>
          <w:p w14:paraId="44903571" w14:textId="77777777" w:rsidR="00173F08" w:rsidRPr="002A677E" w:rsidRDefault="00173F08" w:rsidP="00822842">
            <w:pPr>
              <w:rPr>
                <w:rFonts w:ascii="Times New Roman" w:hAnsi="Times New Roman"/>
                <w:sz w:val="24"/>
              </w:rPr>
            </w:pPr>
            <w:r>
              <w:rPr>
                <w:rFonts w:ascii="Times New Roman" w:hAnsi="Times New Roman"/>
                <w:sz w:val="24"/>
              </w:rPr>
              <w:t>Les informations déclarées dans cette partie reflètent les règles de solvabilité locales de la juridiction dans laquelle l'établissement exerce ses activités (dès lors, pour ce modèle, il n'est pas nécessaire de procéder à un double calcul sur une base individuelle selon les règles appliquées par l'établissement mère). Lorsque les réglementations locales en matière de solvabilité diffèrent du règlement (UE) nº 575/2013 et en l'absence d'une ventilation comparable, les informations seront complétées dès lors que des données affichant une granularité similaire sont disponibles. C'est la raison pour laquelle cette partie constitue un modèle factuel synthétisant les calculs auxquels les différents établissements d'un groupe doivent procéder, sans perdre de vue que certains de ces établissements peuvent être soumis à des règles de solvabilité différentes.</w:t>
            </w:r>
          </w:p>
          <w:p w14:paraId="6B5F0F6F" w14:textId="77777777" w:rsidR="00173F08" w:rsidRPr="002A677E" w:rsidRDefault="00173F08" w:rsidP="00822842">
            <w:pPr>
              <w:rPr>
                <w:rStyle w:val="InstructionsTabelleText"/>
                <w:rFonts w:ascii="Times New Roman" w:hAnsi="Times New Roman"/>
                <w:b/>
                <w:sz w:val="24"/>
                <w:u w:val="single"/>
              </w:rPr>
            </w:pPr>
            <w:r>
              <w:rPr>
                <w:rStyle w:val="InstructionsTabelleText"/>
                <w:rFonts w:ascii="Times New Roman" w:hAnsi="Times New Roman"/>
                <w:b/>
                <w:sz w:val="24"/>
                <w:u w:val="single"/>
              </w:rPr>
              <w:t>Déclaration des frais généraux des entreprises d'investissement:</w:t>
            </w:r>
          </w:p>
          <w:p w14:paraId="38DFF7EE"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Fonts w:ascii="Times New Roman" w:hAnsi="Times New Roman"/>
                <w:sz w:val="24"/>
              </w:rPr>
              <w:t>Les entreprises d'investissement incluront les exigences de fonds propres liées aux frais généraux dans leur calcul du ratio de fonds propres en vertu des articles 95, 96, 97 et 98 du règlement (UE) nº 575/2013.</w:t>
            </w:r>
          </w:p>
          <w:p w14:paraId="033740CD" w14:textId="1412D8AD"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La part du montant total d’exposition au risque liée aux frais généraux fixes figurera à la colonne 0100 de ce modèle.</w:t>
            </w:r>
          </w:p>
        </w:tc>
      </w:tr>
      <w:tr w:rsidR="00173F08" w:rsidRPr="002A677E" w14:paraId="63C531B9" w14:textId="77777777" w:rsidTr="00822842">
        <w:tc>
          <w:tcPr>
            <w:tcW w:w="1188" w:type="dxa"/>
          </w:tcPr>
          <w:p w14:paraId="7EE45F2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14:paraId="1A22FB2A" w14:textId="320F1CF8"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MONTANT TOTAL D'EXPOSITION AU RISQUE</w:t>
            </w:r>
          </w:p>
          <w:p w14:paraId="4B0A43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Déclarer la somme des colonnes 0080 à 0110.</w:t>
            </w:r>
          </w:p>
        </w:tc>
      </w:tr>
      <w:tr w:rsidR="00173F08" w:rsidRPr="002A677E" w14:paraId="1431A12F" w14:textId="77777777" w:rsidTr="00822842">
        <w:tc>
          <w:tcPr>
            <w:tcW w:w="1188" w:type="dxa"/>
          </w:tcPr>
          <w:p w14:paraId="1F1161F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0075</w:t>
            </w:r>
          </w:p>
        </w:tc>
        <w:tc>
          <w:tcPr>
            <w:tcW w:w="8640" w:type="dxa"/>
          </w:tcPr>
          <w:p w14:paraId="78E93AAA" w14:textId="77777777" w:rsidR="00173F08"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DONT: AJUSTEMENT POUR LE PLANCHER (PLANCHER DE FONDS PROPRES TREA)</w:t>
            </w:r>
          </w:p>
          <w:p w14:paraId="267C9374" w14:textId="77777777" w:rsidR="00173F08" w:rsidRPr="00601EA3" w:rsidRDefault="00173F08" w:rsidP="00822842">
            <w:pPr>
              <w:rPr>
                <w:rStyle w:val="InstructionsTabelleberschrift"/>
                <w:rFonts w:ascii="Times New Roman" w:hAnsi="Times New Roman"/>
                <w:b w:val="0"/>
                <w:bCs w:val="0"/>
                <w:sz w:val="24"/>
              </w:rPr>
            </w:pPr>
            <w:r>
              <w:rPr>
                <w:rStyle w:val="InstructionsTabelleberschrift"/>
                <w:rFonts w:ascii="Times New Roman" w:hAnsi="Times New Roman"/>
                <w:b w:val="0"/>
                <w:sz w:val="24"/>
              </w:rPr>
              <w:t>Les entités déclarent l’ajustement pour le plancher calculé sur une base individuelle.</w:t>
            </w:r>
          </w:p>
        </w:tc>
      </w:tr>
      <w:tr w:rsidR="00173F08" w:rsidRPr="002A677E" w14:paraId="5B3929C2" w14:textId="77777777" w:rsidTr="00822842">
        <w:tc>
          <w:tcPr>
            <w:tcW w:w="1188" w:type="dxa"/>
          </w:tcPr>
          <w:p w14:paraId="4F014BF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7FCBE59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RISQUES DE CRÉDIT, DE CRÉDIT DE CONTREPARTIE ET DE DILUTION, POSITIONS DE NÉGOCIATION NON DÉNOUÉES ET RISQUE DE RÈGLEMENT/LIVRAISON</w:t>
            </w:r>
          </w:p>
          <w:p w14:paraId="4C32FDA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Le montant à déclarer dans cette colonne doit correspondre à la somme des montants d’exposition au risque égaux ou équivalents aux montants à déclarer à la ligne 0040 «</w:t>
            </w:r>
            <w:r>
              <w:rPr>
                <w:rStyle w:val="InstructionsTabelleberschrift"/>
                <w:rFonts w:ascii="Times New Roman" w:hAnsi="Times New Roman"/>
                <w:sz w:val="24"/>
              </w:rPr>
              <w:t>MONTANTS D’EXPOSITION PONDÉRÉS</w:t>
            </w:r>
            <w:r>
              <w:rPr>
                <w:rFonts w:ascii="Times New Roman" w:hAnsi="Times New Roman"/>
                <w:sz w:val="24"/>
              </w:rPr>
              <w:t xml:space="preserve"> POUR LES RISQUES DE CRÉDIT, DE CRÉDIT DE CONTREPARTIE ET DE DILUTION ET LES POSITIONS DE NÉGOCIATION NON DÉNOUÉES», et des montants des exigences de fonds propres </w:t>
            </w:r>
            <w:r>
              <w:rPr>
                <w:rFonts w:ascii="Times New Roman" w:hAnsi="Times New Roman"/>
                <w:sz w:val="24"/>
              </w:rPr>
              <w:lastRenderedPageBreak/>
              <w:t>égaux ou équivalents aux montants à déclarer à la ligne 0490 «MONTANT D’EXPOSITION AU RISQUE DE RÈGLEMENT/LIVRAISON» du modèle CA2.</w:t>
            </w:r>
          </w:p>
        </w:tc>
      </w:tr>
      <w:tr w:rsidR="00173F08" w:rsidRPr="002A677E" w14:paraId="48538122" w14:textId="77777777" w:rsidTr="00822842">
        <w:tc>
          <w:tcPr>
            <w:tcW w:w="1188" w:type="dxa"/>
          </w:tcPr>
          <w:p w14:paraId="3B03E59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640" w:type="dxa"/>
          </w:tcPr>
          <w:p w14:paraId="1F8CDF0D" w14:textId="117F25BE"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RISQUE DE MARCHÉ</w:t>
            </w:r>
          </w:p>
          <w:p w14:paraId="7A55CAD7" w14:textId="55D7980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Le montant à déclarer dans cette colonne doit correspondre au montant des exigences de fonds propres qui sont égales ou équivalentes à celles à déclarer à la ligne 0520 «MONTANT TOTAL D'EXPOSITION AU RISQUE POUR LES ACTIVITÉS EXPOSÉES AU RISQUE DE MARCHÉ» du modèle CA2.</w:t>
            </w:r>
          </w:p>
        </w:tc>
      </w:tr>
      <w:tr w:rsidR="00173F08" w:rsidRPr="002A677E" w14:paraId="292EDAF3" w14:textId="77777777" w:rsidTr="00822842">
        <w:tc>
          <w:tcPr>
            <w:tcW w:w="1188" w:type="dxa"/>
          </w:tcPr>
          <w:p w14:paraId="468DC5E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47EDEC8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RISQUE OPÉRATIONNEL</w:t>
            </w:r>
          </w:p>
          <w:p w14:paraId="0D971C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Le montant à déclarer dans cette colonne doit correspondre au montant d'exposition au risque égal ou équivalant au montant déclaré à la ligne 0590 «MONTANT TOTAL D'EXPOSITION AU RISQUE OPÉRATIONNEL (ROp)» du modèle CA2.</w:t>
            </w:r>
          </w:p>
          <w:p w14:paraId="793CB6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Les frais généraux fixes sont inclus dans cette colonne, y compris la ligne 0630 «MONTANT D'EXPOSITION AU RISQUE SUPPLÉMENTAIRE LIÉ AUX FRAIS FIXES» du modèle CA2.</w:t>
            </w:r>
          </w:p>
        </w:tc>
      </w:tr>
      <w:tr w:rsidR="00173F08" w:rsidRPr="002A677E" w14:paraId="21616B84" w14:textId="77777777" w:rsidTr="00822842">
        <w:tc>
          <w:tcPr>
            <w:tcW w:w="1188" w:type="dxa"/>
          </w:tcPr>
          <w:p w14:paraId="059259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5A6EE0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MONTANTS D'EXPOSITION AUX AUTRES RISQUES</w:t>
            </w:r>
          </w:p>
          <w:p w14:paraId="6AB0F2D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Le montant à déclarer dans cette colonne doit correspondre au montant d'exposition au risque non spécifiquement repris plus haut. Il s'agit de la somme des montants des lignes 0640, 0680 et 0690 du modèle CA2.</w:t>
            </w:r>
          </w:p>
        </w:tc>
      </w:tr>
      <w:tr w:rsidR="00173F08" w:rsidRPr="002A677E" w14:paraId="1AA509B5" w14:textId="77777777" w:rsidTr="00822842">
        <w:tc>
          <w:tcPr>
            <w:tcW w:w="1188" w:type="dxa"/>
          </w:tcPr>
          <w:p w14:paraId="3166640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4017EF1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INFORMATIONS DÉTAILLÉES SUR LA SOLVABILITÉ DU GROUPE FONDS PROPRES</w:t>
            </w:r>
          </w:p>
          <w:p w14:paraId="713BB53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Les informations déclarées dans les colonnes suivantes reflèteront les règles de solvabilité locales de l’État membre dans lequel l’entité ou le sous-groupe exerce ses activités.</w:t>
            </w:r>
          </w:p>
        </w:tc>
      </w:tr>
      <w:tr w:rsidR="00173F08" w:rsidRPr="002A677E" w14:paraId="5A140096" w14:textId="77777777" w:rsidTr="00822842">
        <w:tc>
          <w:tcPr>
            <w:tcW w:w="1188" w:type="dxa"/>
          </w:tcPr>
          <w:p w14:paraId="487213B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5B6BE8D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FONDS PROPRES</w:t>
            </w:r>
          </w:p>
          <w:p w14:paraId="55D150C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Le montant à déclarer dans cette colonne doit correspondre au montant des fonds propres égaux ou équivalant aux montants à déclarer à la ligne 0010 «FONDS PROPRES» du modèle CA1.</w:t>
            </w:r>
          </w:p>
        </w:tc>
      </w:tr>
      <w:tr w:rsidR="00173F08" w:rsidRPr="002A677E" w14:paraId="40713F8A" w14:textId="77777777" w:rsidTr="00822842">
        <w:tc>
          <w:tcPr>
            <w:tcW w:w="1188" w:type="dxa"/>
          </w:tcPr>
          <w:p w14:paraId="4C6759B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33EA093E" w14:textId="08D731CF"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DONT: FONDS PROPRES RECONNAISSABLES</w:t>
            </w:r>
          </w:p>
          <w:p w14:paraId="34714CBE" w14:textId="6F08FB34" w:rsidR="00173F08" w:rsidRPr="002A677E" w:rsidRDefault="00173F08" w:rsidP="00822842">
            <w:pPr>
              <w:rPr>
                <w:rStyle w:val="InstructionsTabelleText"/>
                <w:rFonts w:ascii="Times New Roman" w:hAnsi="Times New Roman"/>
                <w:sz w:val="24"/>
              </w:rPr>
            </w:pPr>
            <w:r>
              <w:rPr>
                <w:rFonts w:ascii="Times New Roman" w:hAnsi="Times New Roman"/>
                <w:sz w:val="24"/>
              </w:rPr>
              <w:t>Article</w:t>
            </w:r>
            <w:r w:rsidR="00CB4F08">
              <w:rPr>
                <w:rFonts w:ascii="Times New Roman" w:hAnsi="Times New Roman"/>
                <w:sz w:val="24"/>
              </w:rPr>
              <w:t> </w:t>
            </w:r>
            <w:r>
              <w:rPr>
                <w:rFonts w:ascii="Times New Roman" w:hAnsi="Times New Roman"/>
                <w:sz w:val="24"/>
              </w:rPr>
              <w:t>82 du règlement (UE) nº 575/2013</w:t>
            </w:r>
          </w:p>
          <w:p w14:paraId="7999D7DB" w14:textId="585DF9CB"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Cette colonne ne doit être remplie que pour les filiales déclarées sur une base individuelle qui sont totalement consolidées et qui sont des établissements.</w:t>
            </w:r>
          </w:p>
          <w:p w14:paraId="1DFAEDAA"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En ce qui concerne les filiales susmentionnées, les participations qualifiées sont les instruments (plus les résultats non distribués, les comptes des primes d'émission et les autres réserves y afférents) détenus par des personnes autres que les entreprises faisant partie du périmètre de consolidation selon le règlement (UE) nº 575/2013.</w:t>
            </w:r>
          </w:p>
          <w:p w14:paraId="3E7C4509"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Le montant à déclarer intègrera les effets des dispositions transitoires. Il s'agira du montant éligible à la date de déclaration.</w:t>
            </w:r>
          </w:p>
        </w:tc>
      </w:tr>
      <w:tr w:rsidR="00173F08" w:rsidRPr="002A677E" w14:paraId="6C60DC0C" w14:textId="77777777" w:rsidTr="00822842">
        <w:tc>
          <w:tcPr>
            <w:tcW w:w="1188" w:type="dxa"/>
          </w:tcPr>
          <w:p w14:paraId="539F5FB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8640" w:type="dxa"/>
          </w:tcPr>
          <w:p w14:paraId="24287788"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INSTRUMENTS DE FONDS PROPRES AFFÉRENTS, RÉSULTATS NON DISTRIBUÉS ET COMPTES DES PRIMES D'ÉMISSION ET AUTRES RÉSERVES AFFÉRENTS</w:t>
            </w:r>
          </w:p>
          <w:p w14:paraId="3F7E53C7" w14:textId="354E959E"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Article</w:t>
            </w:r>
            <w:r w:rsidR="00CB4F08">
              <w:rPr>
                <w:rStyle w:val="InstructionsTabelleberschrift"/>
                <w:rFonts w:ascii="Times New Roman" w:hAnsi="Times New Roman"/>
                <w:sz w:val="24"/>
              </w:rPr>
              <w:t> </w:t>
            </w:r>
            <w:r>
              <w:rPr>
                <w:rStyle w:val="InstructionsTabelleberschrift"/>
                <w:rFonts w:ascii="Times New Roman" w:hAnsi="Times New Roman"/>
                <w:sz w:val="24"/>
              </w:rPr>
              <w:t>87, paragraphe</w:t>
            </w:r>
            <w:r w:rsidR="00CB4F08">
              <w:rPr>
                <w:rStyle w:val="InstructionsTabelleberschrift"/>
                <w:rFonts w:ascii="Times New Roman" w:hAnsi="Times New Roman"/>
                <w:sz w:val="24"/>
              </w:rPr>
              <w:t> </w:t>
            </w:r>
            <w:r>
              <w:rPr>
                <w:rStyle w:val="InstructionsTabelleberschrift"/>
                <w:rFonts w:ascii="Times New Roman" w:hAnsi="Times New Roman"/>
                <w:sz w:val="24"/>
              </w:rPr>
              <w:t>1, point b),</w:t>
            </w:r>
            <w:r>
              <w:rPr>
                <w:rFonts w:ascii="Times New Roman" w:hAnsi="Times New Roman"/>
                <w:sz w:val="24"/>
              </w:rPr>
              <w:t xml:space="preserve"> du règlement (UE) nº 575/2013</w:t>
            </w:r>
          </w:p>
        </w:tc>
      </w:tr>
      <w:tr w:rsidR="00173F08" w:rsidRPr="002A677E" w14:paraId="389DE242" w14:textId="77777777" w:rsidTr="00822842">
        <w:tc>
          <w:tcPr>
            <w:tcW w:w="1188" w:type="dxa"/>
          </w:tcPr>
          <w:p w14:paraId="5AE6A1A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5CD3A5A2" w14:textId="77777777" w:rsidR="00173F08" w:rsidRPr="001235ED"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TOTAL FONDS PROPRES DE CATÉGORIE 1</w:t>
            </w:r>
          </w:p>
          <w:p w14:paraId="3E861344" w14:textId="0C1516D7" w:rsidR="00173F08" w:rsidRPr="001235ED" w:rsidRDefault="00173F08" w:rsidP="00822842">
            <w:pPr>
              <w:rPr>
                <w:rStyle w:val="InstructionsTabelleberschrift"/>
                <w:rFonts w:ascii="Times New Roman" w:hAnsi="Times New Roman"/>
                <w:sz w:val="24"/>
              </w:rPr>
            </w:pPr>
            <w:r>
              <w:rPr>
                <w:rFonts w:ascii="Times New Roman" w:hAnsi="Times New Roman"/>
                <w:sz w:val="24"/>
              </w:rPr>
              <w:t>Article</w:t>
            </w:r>
            <w:r w:rsidR="00CB4F08">
              <w:rPr>
                <w:rFonts w:ascii="Times New Roman" w:hAnsi="Times New Roman"/>
                <w:sz w:val="24"/>
              </w:rPr>
              <w:t> </w:t>
            </w:r>
            <w:r>
              <w:rPr>
                <w:rFonts w:ascii="Times New Roman" w:hAnsi="Times New Roman"/>
                <w:sz w:val="24"/>
              </w:rPr>
              <w:t>25 du règlement (UE) nº 575/2013</w:t>
            </w:r>
          </w:p>
        </w:tc>
      </w:tr>
      <w:tr w:rsidR="00173F08" w:rsidRPr="002A677E" w14:paraId="7471167E" w14:textId="77777777" w:rsidTr="00822842">
        <w:tc>
          <w:tcPr>
            <w:tcW w:w="1188" w:type="dxa"/>
          </w:tcPr>
          <w:p w14:paraId="1BFDCD8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72C3705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DONT: FONDS PROPRES DE CATÉGORIE 1 RECONNAISSABLES</w:t>
            </w:r>
          </w:p>
          <w:p w14:paraId="4EB8A1F3" w14:textId="1C264C0E" w:rsidR="00173F08" w:rsidRPr="002A677E" w:rsidRDefault="00173F08" w:rsidP="00822842">
            <w:pPr>
              <w:rPr>
                <w:rStyle w:val="InstructionsTabelleText"/>
                <w:rFonts w:ascii="Times New Roman" w:hAnsi="Times New Roman"/>
                <w:sz w:val="24"/>
              </w:rPr>
            </w:pPr>
            <w:r>
              <w:rPr>
                <w:rFonts w:ascii="Times New Roman" w:hAnsi="Times New Roman"/>
                <w:sz w:val="24"/>
              </w:rPr>
              <w:t>Article</w:t>
            </w:r>
            <w:r w:rsidR="00CB4F08">
              <w:rPr>
                <w:rFonts w:ascii="Times New Roman" w:hAnsi="Times New Roman"/>
                <w:sz w:val="24"/>
              </w:rPr>
              <w:t> </w:t>
            </w:r>
            <w:r>
              <w:rPr>
                <w:rFonts w:ascii="Times New Roman" w:hAnsi="Times New Roman"/>
                <w:sz w:val="24"/>
              </w:rPr>
              <w:t>82 du règlement (UE) nº 575/2013</w:t>
            </w:r>
          </w:p>
          <w:p w14:paraId="1C29CE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Cette colonne ne doit être remplie que pour les filiales déclarées sur une base individuelle qui sont totalement consolidées et qui sont des établissements.</w:t>
            </w:r>
          </w:p>
          <w:p w14:paraId="0AF355C7"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En ce qui concerne les filiales susmentionnées, les participations qualifiées sont des instruments (plus les résultats non distribués et les comptes des primes d'émission y afférents) détenus par des personnes autres que les entreprises faisant partie du périmètre de consolidation selon le règlement (UE) nº 575/2013.</w:t>
            </w:r>
          </w:p>
          <w:p w14:paraId="342E6F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Le montant à déclarer intègrera les effets de toute disposition transitoire. Il s'agira du montant éligible à la date de déclaration.</w:t>
            </w:r>
          </w:p>
        </w:tc>
      </w:tr>
      <w:tr w:rsidR="00173F08" w:rsidRPr="002A677E" w14:paraId="4A7FFA9C" w14:textId="77777777" w:rsidTr="00822842">
        <w:tc>
          <w:tcPr>
            <w:tcW w:w="1188" w:type="dxa"/>
          </w:tcPr>
          <w:p w14:paraId="3178D6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03B9DCA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INSTRUMENTS DE FONDS PROPRES T1 AFFÉRENTS, RÉSULTATS NON DISTRIBUÉS ET COMPTES DES PRIMES D'ÉMISSION AFFÉRENTS</w:t>
            </w:r>
          </w:p>
          <w:p w14:paraId="0C524078" w14:textId="2844B85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Article 85, paragraphe 1, point b)</w:t>
            </w:r>
            <w:r>
              <w:rPr>
                <w:rFonts w:ascii="Times New Roman" w:hAnsi="Times New Roman"/>
                <w:sz w:val="24"/>
              </w:rPr>
              <w:t>, du règlement (UE) nº 575/2013.</w:t>
            </w:r>
          </w:p>
        </w:tc>
      </w:tr>
      <w:tr w:rsidR="00173F08" w:rsidRPr="002A677E" w14:paraId="03F84939" w14:textId="77777777" w:rsidTr="00822842">
        <w:tc>
          <w:tcPr>
            <w:tcW w:w="1188" w:type="dxa"/>
          </w:tcPr>
          <w:p w14:paraId="2ABE034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56913F2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FONDS PROPRES DE BASE DE CATÉGORIE 1 (CET1)</w:t>
            </w:r>
          </w:p>
          <w:p w14:paraId="1D31362E" w14:textId="1EE056C2" w:rsidR="00173F08" w:rsidRPr="002A677E" w:rsidRDefault="00173F08" w:rsidP="00822842">
            <w:pPr>
              <w:rPr>
                <w:rStyle w:val="InstructionsTabelleberschrift"/>
                <w:rFonts w:ascii="Times New Roman" w:hAnsi="Times New Roman"/>
                <w:sz w:val="24"/>
              </w:rPr>
            </w:pPr>
            <w:r>
              <w:rPr>
                <w:rFonts w:ascii="Times New Roman" w:hAnsi="Times New Roman"/>
                <w:sz w:val="24"/>
              </w:rPr>
              <w:t>Article</w:t>
            </w:r>
            <w:r w:rsidR="00CB4F08">
              <w:rPr>
                <w:rFonts w:ascii="Times New Roman" w:hAnsi="Times New Roman"/>
                <w:sz w:val="24"/>
              </w:rPr>
              <w:t> </w:t>
            </w:r>
            <w:r>
              <w:rPr>
                <w:rFonts w:ascii="Times New Roman" w:hAnsi="Times New Roman"/>
                <w:sz w:val="24"/>
              </w:rPr>
              <w:t>50 du règlement (UE) nº 575/2013</w:t>
            </w:r>
          </w:p>
        </w:tc>
      </w:tr>
      <w:tr w:rsidR="00173F08" w:rsidRPr="002A677E" w14:paraId="0E2BA238" w14:textId="77777777" w:rsidTr="00822842">
        <w:tc>
          <w:tcPr>
            <w:tcW w:w="1188" w:type="dxa"/>
          </w:tcPr>
          <w:p w14:paraId="671DC04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B6598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DONT: INTÉRÊTS MINORITAIRES</w:t>
            </w:r>
          </w:p>
          <w:p w14:paraId="03A35E0B" w14:textId="362EC2F1" w:rsidR="00173F08" w:rsidRPr="002A677E" w:rsidRDefault="00173F08" w:rsidP="00822842">
            <w:pPr>
              <w:rPr>
                <w:rStyle w:val="InstructionsTabelleText"/>
                <w:rFonts w:ascii="Times New Roman" w:hAnsi="Times New Roman"/>
                <w:sz w:val="24"/>
              </w:rPr>
            </w:pPr>
            <w:r>
              <w:rPr>
                <w:rFonts w:ascii="Times New Roman" w:hAnsi="Times New Roman"/>
                <w:sz w:val="24"/>
              </w:rPr>
              <w:t>Article</w:t>
            </w:r>
            <w:r w:rsidR="00CB4F08">
              <w:rPr>
                <w:rFonts w:ascii="Times New Roman" w:hAnsi="Times New Roman"/>
                <w:sz w:val="24"/>
              </w:rPr>
              <w:t> </w:t>
            </w:r>
            <w:r>
              <w:rPr>
                <w:rFonts w:ascii="Times New Roman" w:hAnsi="Times New Roman"/>
                <w:sz w:val="24"/>
              </w:rPr>
              <w:t>81 du règlement (UE) nº 575/2013</w:t>
            </w:r>
          </w:p>
          <w:p w14:paraId="2D5B8BC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Cette colonne ne doit être remplie que pour les filiales qui sont totalement consolidées et qui sont des établissements, à l'exception des filiales visées à l'article 84, paragraphe 3, du règlement (UE) nº 575/2013.</w:t>
            </w:r>
            <w:r>
              <w:rPr>
                <w:rStyle w:val="InstructionsTabelleText"/>
                <w:rFonts w:ascii="Times New Roman" w:hAnsi="Times New Roman"/>
                <w:sz w:val="24"/>
              </w:rPr>
              <w:t xml:space="preserve"> </w:t>
            </w:r>
            <w:r>
              <w:rPr>
                <w:rFonts w:ascii="Times New Roman" w:hAnsi="Times New Roman"/>
                <w:sz w:val="24"/>
              </w:rPr>
              <w:t>Chaque filiale est prise en compte sur une base sous-consolidée pour tous les calculs requis par l'article 84 du règlement (UE) nº 575/2013, le cas échéant, conformément à l'article 84, paragraphe 2. Sinon, elles sont prises en considération sur une base individuelle.</w:t>
            </w:r>
          </w:p>
          <w:p w14:paraId="2C0D816C"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Les intérêts minoritaires sont, pour les filiales susmentionnées, les instruments de fonds propres de base de catégorie 1 (plus les résultats non distribués et les comptes des primes d'émission y afférents) détenus par des personnes autres que les entreprises faisant partie du périmètre de consolidation selon le règlement (UE) nº 575/2013.</w:t>
            </w:r>
          </w:p>
          <w:p w14:paraId="1D2ACDF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Le montant à déclarer intègrera les effets des dispositions transitoires. Il s'agira du montant éligible à la date de déclaration.</w:t>
            </w:r>
          </w:p>
        </w:tc>
      </w:tr>
      <w:tr w:rsidR="00173F08" w:rsidRPr="002A677E" w14:paraId="0252C0BA" w14:textId="77777777" w:rsidTr="00822842">
        <w:tc>
          <w:tcPr>
            <w:tcW w:w="1188" w:type="dxa"/>
          </w:tcPr>
          <w:p w14:paraId="3AFB08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14:paraId="4B6EB0AE"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INSTRUMENTS DE FONDS PROPRES AFFÉRENTS, RÉSULTATS NON DISTRIBUÉS ET COMPTES DES PRIMES D'ÉMISSION ET AUTRES RÉSERVES AFFÉRENTS</w:t>
            </w:r>
          </w:p>
          <w:p w14:paraId="707CE464" w14:textId="0B132273"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lastRenderedPageBreak/>
              <w:t>Article</w:t>
            </w:r>
            <w:r w:rsidR="00CB4F08">
              <w:rPr>
                <w:rStyle w:val="InstructionsTabelleberschrift"/>
                <w:rFonts w:ascii="Times New Roman" w:hAnsi="Times New Roman"/>
                <w:sz w:val="24"/>
              </w:rPr>
              <w:t> </w:t>
            </w:r>
            <w:r>
              <w:rPr>
                <w:rStyle w:val="InstructionsTabelleberschrift"/>
                <w:rFonts w:ascii="Times New Roman" w:hAnsi="Times New Roman"/>
                <w:sz w:val="24"/>
              </w:rPr>
              <w:t>84, paragraphe</w:t>
            </w:r>
            <w:r w:rsidR="00CB4F08">
              <w:rPr>
                <w:rStyle w:val="InstructionsTabelleberschrift"/>
                <w:rFonts w:ascii="Times New Roman" w:hAnsi="Times New Roman"/>
                <w:sz w:val="24"/>
              </w:rPr>
              <w:t> </w:t>
            </w:r>
            <w:r>
              <w:rPr>
                <w:rStyle w:val="InstructionsTabelleberschrift"/>
                <w:rFonts w:ascii="Times New Roman" w:hAnsi="Times New Roman"/>
                <w:sz w:val="24"/>
              </w:rPr>
              <w:t>1, point b),</w:t>
            </w:r>
            <w:r>
              <w:rPr>
                <w:rFonts w:ascii="Times New Roman" w:hAnsi="Times New Roman"/>
                <w:sz w:val="24"/>
              </w:rPr>
              <w:t xml:space="preserve"> du règlement (UE) nº 575/2013</w:t>
            </w:r>
          </w:p>
        </w:tc>
      </w:tr>
      <w:tr w:rsidR="00173F08" w:rsidRPr="002A677E" w14:paraId="79B83B2A" w14:textId="77777777" w:rsidTr="00822842">
        <w:tc>
          <w:tcPr>
            <w:tcW w:w="1188" w:type="dxa"/>
          </w:tcPr>
          <w:p w14:paraId="3BB83E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0210</w:t>
            </w:r>
          </w:p>
        </w:tc>
        <w:tc>
          <w:tcPr>
            <w:tcW w:w="8640" w:type="dxa"/>
          </w:tcPr>
          <w:p w14:paraId="263D68B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FONDS PROPRES ADDITIONNELS DE CATÉGORIE 1 (AT1)</w:t>
            </w:r>
          </w:p>
          <w:p w14:paraId="1CE78A7A" w14:textId="59B487FD" w:rsidR="00173F08" w:rsidRPr="002A677E" w:rsidRDefault="00173F08" w:rsidP="00822842">
            <w:pPr>
              <w:rPr>
                <w:rStyle w:val="InstructionsTabelleberschrift"/>
                <w:rFonts w:ascii="Times New Roman" w:hAnsi="Times New Roman"/>
                <w:sz w:val="24"/>
              </w:rPr>
            </w:pPr>
            <w:r>
              <w:rPr>
                <w:rFonts w:ascii="Times New Roman" w:hAnsi="Times New Roman"/>
                <w:sz w:val="24"/>
              </w:rPr>
              <w:t>Article</w:t>
            </w:r>
            <w:r w:rsidR="00CB4F08">
              <w:rPr>
                <w:rFonts w:ascii="Times New Roman" w:hAnsi="Times New Roman"/>
                <w:sz w:val="24"/>
              </w:rPr>
              <w:t> </w:t>
            </w:r>
            <w:r>
              <w:rPr>
                <w:rFonts w:ascii="Times New Roman" w:hAnsi="Times New Roman"/>
                <w:sz w:val="24"/>
              </w:rPr>
              <w:t>61 du règlement (UE) nº 575/2013</w:t>
            </w:r>
          </w:p>
        </w:tc>
      </w:tr>
      <w:tr w:rsidR="00173F08" w:rsidRPr="002A677E" w14:paraId="3A09E2CF" w14:textId="77777777" w:rsidTr="00822842">
        <w:tc>
          <w:tcPr>
            <w:tcW w:w="1188" w:type="dxa"/>
          </w:tcPr>
          <w:p w14:paraId="2BC2BA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6869B35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DONT: FONDS PROPRES ADDITIONNELS DE CATÉGORIE 1 RECONNAISSABLES</w:t>
            </w:r>
          </w:p>
          <w:p w14:paraId="3A11BFD0" w14:textId="59B018A1" w:rsidR="00173F08" w:rsidRPr="002A677E" w:rsidRDefault="00173F08" w:rsidP="00822842">
            <w:pPr>
              <w:rPr>
                <w:rStyle w:val="InstructionsTabelleText"/>
                <w:rFonts w:ascii="Times New Roman" w:hAnsi="Times New Roman"/>
                <w:sz w:val="24"/>
              </w:rPr>
            </w:pPr>
            <w:r>
              <w:rPr>
                <w:rFonts w:ascii="Times New Roman" w:hAnsi="Times New Roman"/>
                <w:sz w:val="24"/>
              </w:rPr>
              <w:t>Articles</w:t>
            </w:r>
            <w:r w:rsidR="00CB4F08">
              <w:rPr>
                <w:rFonts w:ascii="Times New Roman" w:hAnsi="Times New Roman"/>
                <w:sz w:val="24"/>
              </w:rPr>
              <w:t> 82</w:t>
            </w:r>
            <w:r>
              <w:rPr>
                <w:rFonts w:ascii="Times New Roman" w:hAnsi="Times New Roman"/>
                <w:sz w:val="24"/>
              </w:rPr>
              <w:t xml:space="preserve"> et</w:t>
            </w:r>
            <w:r w:rsidR="00CB4F08">
              <w:rPr>
                <w:rFonts w:ascii="Times New Roman" w:hAnsi="Times New Roman"/>
                <w:sz w:val="24"/>
              </w:rPr>
              <w:t> </w:t>
            </w:r>
            <w:r>
              <w:rPr>
                <w:rFonts w:ascii="Times New Roman" w:hAnsi="Times New Roman"/>
                <w:sz w:val="24"/>
              </w:rPr>
              <w:t>83 du règlement (UE) nº 575/2013</w:t>
            </w:r>
          </w:p>
          <w:p w14:paraId="55F852AC"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Cette colonne ne doit être remplie que pour les filiales qui sont totalement consolidées et qui sont des établissements, à l'exception des filiales visées à l'article 85, paragraphe 2, du règlement (UE) nº 575/2013.</w:t>
            </w:r>
            <w:r>
              <w:rPr>
                <w:rStyle w:val="InstructionsTabelleText"/>
                <w:rFonts w:ascii="Times New Roman" w:hAnsi="Times New Roman"/>
                <w:sz w:val="24"/>
              </w:rPr>
              <w:t xml:space="preserve"> </w:t>
            </w:r>
            <w:r>
              <w:rPr>
                <w:rFonts w:ascii="Times New Roman" w:hAnsi="Times New Roman"/>
                <w:sz w:val="24"/>
              </w:rPr>
              <w:t>Chaque filiale est prise en compte sur une base sous-consolidée pour tous les calculs requis à l'article 85 du règlement (UE) nº 575/2013, le cas échéant, conformément à l'article 85, paragraphe 2. Sinon, elles sont prises en considération sur une base individuelle.</w:t>
            </w:r>
          </w:p>
          <w:p w14:paraId="32886E9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Les intérêts minoritaires sont, pour les filiales susmentionnées, les instruments de fonds propres de base de catégorie 1 (plus les résultats non distribués et les comptes des primes d'émission y afférents) détenus par des personnes autres que les entreprises faisant partie du périmètre de consolidation selon le règlement (UE) nº 575/2013.</w:t>
            </w:r>
          </w:p>
          <w:p w14:paraId="37079C74"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Le montant à déclarer intègrera les effets des dispositions transitoires. Il s'agira du montant éligible à la date de déclaration.</w:t>
            </w:r>
          </w:p>
        </w:tc>
      </w:tr>
      <w:tr w:rsidR="00173F08" w:rsidRPr="002A677E" w14:paraId="3A46A33B" w14:textId="77777777" w:rsidTr="00822842">
        <w:tc>
          <w:tcPr>
            <w:tcW w:w="1188" w:type="dxa"/>
          </w:tcPr>
          <w:p w14:paraId="284F02C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7A2A757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FONDS PROPRES DE CATÉGORIE 2 (T2)</w:t>
            </w:r>
          </w:p>
          <w:p w14:paraId="49EA3D83" w14:textId="4E257E12" w:rsidR="00173F08" w:rsidRPr="002A677E" w:rsidRDefault="00173F08" w:rsidP="00822842">
            <w:pPr>
              <w:rPr>
                <w:rStyle w:val="InstructionsTabelleberschrift"/>
                <w:rFonts w:ascii="Times New Roman" w:hAnsi="Times New Roman"/>
                <w:sz w:val="24"/>
              </w:rPr>
            </w:pPr>
            <w:r>
              <w:rPr>
                <w:rFonts w:ascii="Times New Roman" w:hAnsi="Times New Roman"/>
                <w:sz w:val="24"/>
              </w:rPr>
              <w:t>Article</w:t>
            </w:r>
            <w:r w:rsidR="00CB4F08">
              <w:rPr>
                <w:rFonts w:ascii="Times New Roman" w:hAnsi="Times New Roman"/>
                <w:sz w:val="24"/>
              </w:rPr>
              <w:t> </w:t>
            </w:r>
            <w:r>
              <w:rPr>
                <w:rFonts w:ascii="Times New Roman" w:hAnsi="Times New Roman"/>
                <w:sz w:val="24"/>
              </w:rPr>
              <w:t>71 du règlement (UE) nº 575/2013</w:t>
            </w:r>
          </w:p>
        </w:tc>
      </w:tr>
      <w:tr w:rsidR="00173F08" w:rsidRPr="002A677E" w14:paraId="127ECDAA" w14:textId="77777777" w:rsidTr="00822842">
        <w:tc>
          <w:tcPr>
            <w:tcW w:w="1188" w:type="dxa"/>
          </w:tcPr>
          <w:p w14:paraId="42F0E3B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2E5C3EF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DONT: FONDS PROPRES DE CATÉGORIE 2 RECONNAISSABLES</w:t>
            </w:r>
          </w:p>
          <w:p w14:paraId="23E95E82" w14:textId="66331010" w:rsidR="00173F08" w:rsidRPr="002A677E" w:rsidRDefault="00173F08" w:rsidP="00822842">
            <w:pPr>
              <w:rPr>
                <w:rStyle w:val="InstructionsTabelleText"/>
                <w:rFonts w:ascii="Times New Roman" w:hAnsi="Times New Roman"/>
                <w:sz w:val="24"/>
              </w:rPr>
            </w:pPr>
            <w:r>
              <w:rPr>
                <w:rFonts w:ascii="Times New Roman" w:hAnsi="Times New Roman"/>
                <w:sz w:val="24"/>
              </w:rPr>
              <w:t>Articles</w:t>
            </w:r>
            <w:r w:rsidR="00CB4F08">
              <w:rPr>
                <w:rFonts w:ascii="Times New Roman" w:hAnsi="Times New Roman"/>
                <w:sz w:val="24"/>
              </w:rPr>
              <w:t> 82</w:t>
            </w:r>
            <w:r>
              <w:rPr>
                <w:rFonts w:ascii="Times New Roman" w:hAnsi="Times New Roman"/>
                <w:sz w:val="24"/>
              </w:rPr>
              <w:t xml:space="preserve"> et</w:t>
            </w:r>
            <w:r w:rsidR="00CB4F08">
              <w:rPr>
                <w:rFonts w:ascii="Times New Roman" w:hAnsi="Times New Roman"/>
                <w:sz w:val="24"/>
              </w:rPr>
              <w:t> </w:t>
            </w:r>
            <w:r>
              <w:rPr>
                <w:rFonts w:ascii="Times New Roman" w:hAnsi="Times New Roman"/>
                <w:sz w:val="24"/>
              </w:rPr>
              <w:t>83 du règlement (UE) nº 575/2013</w:t>
            </w:r>
          </w:p>
          <w:p w14:paraId="4ADB5899" w14:textId="6F60A20B" w:rsidR="00173F08" w:rsidRPr="002A677E" w:rsidRDefault="00173F08" w:rsidP="00822842">
            <w:pPr>
              <w:rPr>
                <w:rStyle w:val="InstructionsTabelleText"/>
                <w:rFonts w:ascii="Times New Roman" w:hAnsi="Times New Roman"/>
                <w:sz w:val="24"/>
              </w:rPr>
            </w:pPr>
            <w:r>
              <w:rPr>
                <w:rFonts w:ascii="Times New Roman" w:hAnsi="Times New Roman"/>
                <w:sz w:val="24"/>
              </w:rPr>
              <w:t>Les informations de cette colonne ne doivent être fournies que pour les filiales qui sont totalement consolidées déclarées et qui sont des établissements, à l'exception des filiales visées à l'article 87, paragraphe 2, du règlement (UE) nº 575/2013.</w:t>
            </w:r>
            <w:r>
              <w:rPr>
                <w:rStyle w:val="InstructionsTabelleText"/>
                <w:rFonts w:ascii="Times New Roman" w:hAnsi="Times New Roman"/>
                <w:sz w:val="24"/>
              </w:rPr>
              <w:t xml:space="preserve"> </w:t>
            </w:r>
            <w:r>
              <w:rPr>
                <w:rFonts w:ascii="Times New Roman" w:hAnsi="Times New Roman"/>
                <w:sz w:val="24"/>
              </w:rPr>
              <w:t>Chacune de ces filiales est prise en compte sur une base sous-consolidée aux fins de tous les calculs requis par l'article 87 du règlement (UE) nº 575/2013, si nécessaire, conformément à l'article 87, paragraphe 2, dudit règlement; sinon, elle est prise en compte sur une base individuelle.</w:t>
            </w:r>
          </w:p>
          <w:p w14:paraId="5BE2C856"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Les intérêts minoritaires sont, pour les filiales susmentionnées, les instruments de fonds propres de catégorie 2 (plus les résultats non distribués et les comptes des primes d'émission y afférents) détenus par des personnes autres que les entreprises faisant partie du périmètre de consolidation selon le règlement (UE) nº 575/2013.</w:t>
            </w:r>
          </w:p>
          <w:p w14:paraId="262C7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Le montant à déclarer intègrera les effets des dispositions transitoires. Il s'agira du montant éligible à la date de déclaration.</w:t>
            </w:r>
          </w:p>
        </w:tc>
      </w:tr>
      <w:tr w:rsidR="00173F08" w:rsidRPr="002A677E" w14:paraId="21CB95DC" w14:textId="77777777" w:rsidTr="00822842">
        <w:tc>
          <w:tcPr>
            <w:tcW w:w="1188" w:type="dxa"/>
          </w:tcPr>
          <w:p w14:paraId="25A4A0D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37BB26C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INFORMATIONS SUR LA CONTRIBUTION DES ENTITÉS À LA SOLVABILITÉ DU GROUPE</w:t>
            </w:r>
          </w:p>
        </w:tc>
      </w:tr>
      <w:tr w:rsidR="00173F08" w:rsidRPr="002A677E" w14:paraId="2F4DF8FC" w14:textId="77777777" w:rsidTr="00822842">
        <w:tc>
          <w:tcPr>
            <w:tcW w:w="1188" w:type="dxa"/>
          </w:tcPr>
          <w:p w14:paraId="1A40CC2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42E5971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CONTRIBUTION AUX RISQUES</w:t>
            </w:r>
          </w:p>
          <w:p w14:paraId="7CE31949"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lastRenderedPageBreak/>
              <w:t>Les données déclarées dans les colonnes suivantes doivent être conformes aux règles de solvabilité applicables à l'établissement déclarant.</w:t>
            </w:r>
          </w:p>
        </w:tc>
      </w:tr>
      <w:tr w:rsidR="00173F08" w:rsidRPr="002A677E" w14:paraId="2B71B535" w14:textId="77777777" w:rsidTr="00822842">
        <w:tc>
          <w:tcPr>
            <w:tcW w:w="1188" w:type="dxa"/>
          </w:tcPr>
          <w:p w14:paraId="5D55B1F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0250</w:t>
            </w:r>
          </w:p>
        </w:tc>
        <w:tc>
          <w:tcPr>
            <w:tcW w:w="8640" w:type="dxa"/>
          </w:tcPr>
          <w:p w14:paraId="3B982E9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MONTANT TOTAL D'EXPOSITION AU RISQUE</w:t>
            </w:r>
          </w:p>
          <w:p w14:paraId="584007A2" w14:textId="3B6F2B48"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Déclarer la somme des colonnes</w:t>
            </w:r>
            <w:r w:rsidR="00CB4F08">
              <w:rPr>
                <w:rStyle w:val="InstructionsTabelleText"/>
                <w:rFonts w:ascii="Times New Roman" w:hAnsi="Times New Roman"/>
                <w:sz w:val="24"/>
              </w:rPr>
              <w:t> 0260</w:t>
            </w:r>
            <w:r>
              <w:rPr>
                <w:rStyle w:val="InstructionsTabelleText"/>
                <w:rFonts w:ascii="Times New Roman" w:hAnsi="Times New Roman"/>
                <w:sz w:val="24"/>
              </w:rPr>
              <w:t xml:space="preserve"> à</w:t>
            </w:r>
            <w:r w:rsidR="00CB4F08">
              <w:rPr>
                <w:rStyle w:val="InstructionsTabelleText"/>
                <w:rFonts w:ascii="Times New Roman" w:hAnsi="Times New Roman"/>
                <w:sz w:val="24"/>
              </w:rPr>
              <w:t> </w:t>
            </w:r>
            <w:r>
              <w:rPr>
                <w:rStyle w:val="InstructionsTabelleText"/>
                <w:rFonts w:ascii="Times New Roman" w:hAnsi="Times New Roman"/>
                <w:sz w:val="24"/>
              </w:rPr>
              <w:t>0290.</w:t>
            </w:r>
          </w:p>
        </w:tc>
      </w:tr>
      <w:tr w:rsidR="00173F08" w:rsidRPr="002A677E" w14:paraId="04A08911" w14:textId="77777777" w:rsidTr="00822842">
        <w:tc>
          <w:tcPr>
            <w:tcW w:w="1188" w:type="dxa"/>
          </w:tcPr>
          <w:p w14:paraId="444186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20D38FF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RISQUES DE CRÉDIT, DE CRÉDIT DE CONTREPARTIE ET DE DILUTION, POSITIONS DE NÉGOCIATION NON DÉNOUÉES ET RISQUE DE RÈGLEMENT/LIVRAISON</w:t>
            </w:r>
          </w:p>
          <w:p w14:paraId="6F46A7C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Le montant à déclarer est le montant d'exposition pondéré pour risque de crédit et pour les exigences de fonds propres du risque de règlement/livraison conformément au règlement (UE) nº 575/2013, à l'exception de tout montant lié aux transactions avec d'autres entités incluses dans le calcul du ratio de solvabilité consolidé.</w:t>
            </w:r>
          </w:p>
        </w:tc>
      </w:tr>
      <w:tr w:rsidR="00173F08" w:rsidRPr="002A677E" w14:paraId="659CB778" w14:textId="77777777" w:rsidTr="00822842">
        <w:tc>
          <w:tcPr>
            <w:tcW w:w="1188" w:type="dxa"/>
          </w:tcPr>
          <w:p w14:paraId="1DB7152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13B2AFE4" w14:textId="4AF0329D"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RISQUE DE MARCHÉ</w:t>
            </w:r>
          </w:p>
          <w:p w14:paraId="49127EF1" w14:textId="157C9035" w:rsidR="00173F08" w:rsidRPr="001235ED" w:rsidRDefault="00173F08" w:rsidP="00822842">
            <w:pPr>
              <w:rPr>
                <w:rStyle w:val="InstructionsTabelleText"/>
                <w:rFonts w:ascii="Times New Roman" w:hAnsi="Times New Roman"/>
                <w:sz w:val="24"/>
              </w:rPr>
            </w:pPr>
            <w:r>
              <w:rPr>
                <w:rFonts w:ascii="Times New Roman" w:hAnsi="Times New Roman"/>
                <w:sz w:val="24"/>
              </w:rPr>
              <w:t>Les montants d'exposition au risque pour risques de marché doivent être calculés au niveau de chaque entité, conformément au règlement (UE) nº 575/2013.</w:t>
            </w:r>
            <w:r>
              <w:rPr>
                <w:rStyle w:val="InstructionsTabelleText"/>
                <w:rFonts w:ascii="Times New Roman" w:hAnsi="Times New Roman"/>
                <w:sz w:val="24"/>
              </w:rPr>
              <w:t xml:space="preserve"> Les entités déclareront leur contribution aux montants d'exposition pondérés pour risque de marché du groupe. </w:t>
            </w:r>
            <w:r>
              <w:t>La somme des montants déclarés à ce poste doit correspondre au montant figurant à la ligne 0520 «MONTANT TOTAL D'EXPOSITION AU RISQUE POUR LES ACTIVITÉS EXPOSÉES AU RISQUE DE MARCHÉ» du rapport consolidé.</w:t>
            </w:r>
          </w:p>
        </w:tc>
      </w:tr>
      <w:tr w:rsidR="00173F08" w:rsidRPr="002A677E" w14:paraId="50F614F9" w14:textId="77777777" w:rsidTr="00822842">
        <w:tc>
          <w:tcPr>
            <w:tcW w:w="1188" w:type="dxa"/>
          </w:tcPr>
          <w:p w14:paraId="4837613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0F99670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RISQUE OPÉRATIONNEL</w:t>
            </w:r>
          </w:p>
          <w:p w14:paraId="58C1AE53" w14:textId="2055313A" w:rsidR="00702B2E" w:rsidRPr="00702B2E" w:rsidRDefault="00702B2E" w:rsidP="00822842">
            <w:pPr>
              <w:rPr>
                <w:rFonts w:ascii="Times New Roman" w:hAnsi="Times New Roman"/>
                <w:sz w:val="24"/>
              </w:rPr>
            </w:pPr>
            <w:r>
              <w:rPr>
                <w:rFonts w:ascii="Times New Roman" w:hAnsi="Times New Roman"/>
                <w:sz w:val="24"/>
              </w:rPr>
              <w:t>Le montant à déclarer dans cette colonne doit correspondre au montant d'exposition au risque pour risque opérationnel.</w:t>
            </w:r>
          </w:p>
          <w:p w14:paraId="585BB330" w14:textId="03A1297F" w:rsidR="00173F08" w:rsidRPr="002A677E" w:rsidRDefault="00173F08" w:rsidP="00822842">
            <w:pPr>
              <w:rPr>
                <w:rStyle w:val="InstructionsTabelleText"/>
                <w:rFonts w:ascii="Times New Roman" w:hAnsi="Times New Roman"/>
                <w:sz w:val="24"/>
              </w:rPr>
            </w:pPr>
            <w:r>
              <w:rPr>
                <w:rFonts w:ascii="Times New Roman" w:hAnsi="Times New Roman"/>
                <w:sz w:val="24"/>
              </w:rPr>
              <w:t>Les frais généraux fixes seront déclarés dans cette colonne.</w:t>
            </w:r>
          </w:p>
        </w:tc>
      </w:tr>
      <w:tr w:rsidR="00173F08" w:rsidRPr="002A677E" w14:paraId="3D9214F2" w14:textId="77777777" w:rsidTr="00822842">
        <w:tc>
          <w:tcPr>
            <w:tcW w:w="1188" w:type="dxa"/>
          </w:tcPr>
          <w:p w14:paraId="0B8F7A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1A6735B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MONTANTS D'EXPOSITION AUX AUTRES RISQUES</w:t>
            </w:r>
          </w:p>
          <w:p w14:paraId="0483564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Le montant à déclarer dans cette colonne correspond au montant d'exposition au risque pour les risques autres que ceux énumérés ci-dessus.</w:t>
            </w:r>
          </w:p>
        </w:tc>
      </w:tr>
      <w:tr w:rsidR="00173F08" w:rsidRPr="002A677E" w14:paraId="120F25EE" w14:textId="77777777" w:rsidTr="00822842">
        <w:tc>
          <w:tcPr>
            <w:tcW w:w="1188" w:type="dxa"/>
          </w:tcPr>
          <w:p w14:paraId="283A6D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648286B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CONTRIBUTION AUX FONDS PROPRES</w:t>
            </w:r>
          </w:p>
          <w:p w14:paraId="7E77E775" w14:textId="693561ED" w:rsidR="00173F08" w:rsidRPr="001235ED"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Cette partie du modèle n'a pas pour objectif d'imposer aux établissements un calcul complet du ratio de fonds propres total au niveau de chaque entité.</w:t>
            </w:r>
          </w:p>
          <w:p w14:paraId="58F77BCC" w14:textId="68E56067" w:rsidR="00173F08" w:rsidRPr="002A677E" w:rsidRDefault="00173F08" w:rsidP="00822842">
            <w:pPr>
              <w:pStyle w:val="Texte2"/>
              <w:ind w:left="0"/>
              <w:rPr>
                <w:rStyle w:val="InstructionsTabelleText"/>
                <w:rFonts w:ascii="Times New Roman" w:hAnsi="Times New Roman"/>
                <w:sz w:val="24"/>
                <w:szCs w:val="24"/>
              </w:rPr>
            </w:pPr>
            <w:r>
              <w:rPr>
                <w:rFonts w:ascii="Times New Roman" w:hAnsi="Times New Roman"/>
                <w:sz w:val="24"/>
              </w:rPr>
              <w:t>Les colonnes</w:t>
            </w:r>
            <w:r w:rsidR="00CB4F08">
              <w:rPr>
                <w:rFonts w:ascii="Times New Roman" w:hAnsi="Times New Roman"/>
                <w:sz w:val="24"/>
              </w:rPr>
              <w:t> 0300</w:t>
            </w:r>
            <w:r>
              <w:rPr>
                <w:rFonts w:ascii="Times New Roman" w:hAnsi="Times New Roman"/>
                <w:sz w:val="24"/>
              </w:rPr>
              <w:t xml:space="preserve"> à</w:t>
            </w:r>
            <w:r w:rsidR="00CB4F08">
              <w:rPr>
                <w:rFonts w:ascii="Times New Roman" w:hAnsi="Times New Roman"/>
                <w:sz w:val="24"/>
              </w:rPr>
              <w:t> </w:t>
            </w:r>
            <w:r>
              <w:rPr>
                <w:rFonts w:ascii="Times New Roman" w:hAnsi="Times New Roman"/>
                <w:sz w:val="24"/>
              </w:rPr>
              <w:t>0350 seront remplies pour les entités consolidées qui contribuent aux fonds propres par le biais d’intérêts minoritaires, de fonds propres de catégorie 1 reconnaissables ou de fonds propres reconnaissables. Sous réserve du seuil visé au dernier paragraphe de la partie II, chapitre 2.3 ci-dessus, les colonnes</w:t>
            </w:r>
            <w:r w:rsidR="00CB4F08">
              <w:rPr>
                <w:rFonts w:ascii="Times New Roman" w:hAnsi="Times New Roman"/>
                <w:sz w:val="24"/>
              </w:rPr>
              <w:t> 0360</w:t>
            </w:r>
            <w:r>
              <w:rPr>
                <w:rFonts w:ascii="Times New Roman" w:hAnsi="Times New Roman"/>
                <w:sz w:val="24"/>
              </w:rPr>
              <w:t xml:space="preserve"> à</w:t>
            </w:r>
            <w:r w:rsidR="00CB4F08">
              <w:rPr>
                <w:rFonts w:ascii="Times New Roman" w:hAnsi="Times New Roman"/>
                <w:sz w:val="24"/>
              </w:rPr>
              <w:t> </w:t>
            </w:r>
            <w:r>
              <w:rPr>
                <w:rFonts w:ascii="Times New Roman" w:hAnsi="Times New Roman"/>
                <w:sz w:val="24"/>
              </w:rPr>
              <w:t>0400 seront remplies pour toutes les entités consolidées qui contribuent aux fonds propres consolidés.</w:t>
            </w:r>
          </w:p>
          <w:p w14:paraId="29552A89" w14:textId="3FFAAA86" w:rsidR="00173F08" w:rsidRPr="002A677E"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Les fonds propres apportés à une entité par le reste des entités faisant partie du périmètre de consolidation de l'entité déclarante ne sont pas pris en compte; seule la contribution nette aux fonds propres du groupe doit être déclarée dans cette colonne (essentiellement les fonds propres levés auprès de tiers et les réserves accumulées).</w:t>
            </w:r>
          </w:p>
          <w:p w14:paraId="434D930D" w14:textId="77777777" w:rsidR="00173F08" w:rsidRPr="002A677E" w:rsidRDefault="00173F08" w:rsidP="00822842">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Les données déclarées dans les colonnes suivantes doivent être conformes aux règles de solvabilité applicables à l'établissement déclarant.</w:t>
            </w:r>
          </w:p>
        </w:tc>
      </w:tr>
      <w:tr w:rsidR="00173F08" w:rsidRPr="002A677E" w14:paraId="00233A1B" w14:textId="77777777" w:rsidTr="00822842">
        <w:tc>
          <w:tcPr>
            <w:tcW w:w="1188" w:type="dxa"/>
          </w:tcPr>
          <w:p w14:paraId="6A2EC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1F3610D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FONDS PROPRES RECONNAISSABLES INCLUS DANS LES FONDS PROPRES CONSOLIDÉS</w:t>
            </w:r>
          </w:p>
          <w:p w14:paraId="7830B88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Le montant à déclarer en tant que «FONDS PROPRES RECONNAISSABLES INCLUS DANS LES FONDS PROPRES CONSOLIDÉS» est le montant obtenu en application de la deuxième partie, titre II,</w:t>
            </w:r>
            <w:r>
              <w:rPr>
                <w:rFonts w:ascii="Times New Roman" w:hAnsi="Times New Roman"/>
                <w:sz w:val="24"/>
              </w:rPr>
              <w:t xml:space="preserve"> du règlement (UE) nº 575/2013,</w:t>
            </w:r>
            <w:r>
              <w:rPr>
                <w:rStyle w:val="InstructionsTabelleText"/>
                <w:rFonts w:ascii="Times New Roman" w:hAnsi="Times New Roman"/>
                <w:sz w:val="24"/>
              </w:rPr>
              <w:t xml:space="preserve"> à l'exception des fonds propres apportés par les autres entités du groupe.</w:t>
            </w:r>
          </w:p>
        </w:tc>
      </w:tr>
      <w:tr w:rsidR="00173F08" w:rsidRPr="002A677E" w14:paraId="2D948A28" w14:textId="77777777" w:rsidTr="00822842">
        <w:tc>
          <w:tcPr>
            <w:tcW w:w="1188" w:type="dxa"/>
          </w:tcPr>
          <w:p w14:paraId="6278E06B"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0300</w:t>
            </w:r>
          </w:p>
        </w:tc>
        <w:tc>
          <w:tcPr>
            <w:tcW w:w="8640" w:type="dxa"/>
          </w:tcPr>
          <w:p w14:paraId="5246551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FONDS PROPRES RECONNAISSABLES INCLUS DANS LES FONDS PROPRES CONSOLIDÉS</w:t>
            </w:r>
          </w:p>
          <w:p w14:paraId="6F3A607D" w14:textId="69394A72" w:rsidR="00173F08" w:rsidRPr="002A677E" w:rsidRDefault="00173F08" w:rsidP="00822842">
            <w:pPr>
              <w:rPr>
                <w:rStyle w:val="InstructionsTabelleText"/>
                <w:rFonts w:ascii="Times New Roman" w:hAnsi="Times New Roman"/>
                <w:sz w:val="24"/>
              </w:rPr>
            </w:pPr>
            <w:r>
              <w:rPr>
                <w:rFonts w:ascii="Times New Roman" w:hAnsi="Times New Roman"/>
                <w:sz w:val="24"/>
              </w:rPr>
              <w:t>Article</w:t>
            </w:r>
            <w:r w:rsidR="00CB4F08">
              <w:rPr>
                <w:rFonts w:ascii="Times New Roman" w:hAnsi="Times New Roman"/>
                <w:sz w:val="24"/>
              </w:rPr>
              <w:t> </w:t>
            </w:r>
            <w:r>
              <w:rPr>
                <w:rFonts w:ascii="Times New Roman" w:hAnsi="Times New Roman"/>
                <w:sz w:val="24"/>
              </w:rPr>
              <w:t>87 du règlement (UE) nº 575/2013</w:t>
            </w:r>
          </w:p>
        </w:tc>
      </w:tr>
      <w:tr w:rsidR="00173F08" w:rsidRPr="002A677E" w14:paraId="1998204E" w14:textId="77777777" w:rsidTr="00822842">
        <w:tc>
          <w:tcPr>
            <w:tcW w:w="1188" w:type="dxa"/>
          </w:tcPr>
          <w:p w14:paraId="3684E5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0310</w:t>
            </w:r>
          </w:p>
        </w:tc>
        <w:tc>
          <w:tcPr>
            <w:tcW w:w="8640" w:type="dxa"/>
          </w:tcPr>
          <w:p w14:paraId="2378035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INSTRUMENTS DE FONDS PROPRES DE CATÉGORIE 1 RECONNAISSABLES INCLUS DANS LES FONDS PROPRES DE CATÉGORIE 1 CONSOLIDÉS</w:t>
            </w:r>
          </w:p>
          <w:p w14:paraId="4E25C234" w14:textId="7BC3F3CA" w:rsidR="00173F08" w:rsidRPr="002A677E" w:rsidRDefault="00173F08" w:rsidP="00822842">
            <w:pPr>
              <w:rPr>
                <w:rStyle w:val="InstructionsTabelleText"/>
                <w:rFonts w:ascii="Times New Roman" w:hAnsi="Times New Roman"/>
                <w:sz w:val="24"/>
              </w:rPr>
            </w:pPr>
            <w:r>
              <w:rPr>
                <w:rFonts w:ascii="Times New Roman" w:hAnsi="Times New Roman"/>
                <w:sz w:val="24"/>
              </w:rPr>
              <w:t>Article</w:t>
            </w:r>
            <w:r w:rsidR="00CB4F08">
              <w:rPr>
                <w:rFonts w:ascii="Times New Roman" w:hAnsi="Times New Roman"/>
                <w:sz w:val="24"/>
              </w:rPr>
              <w:t> </w:t>
            </w:r>
            <w:r>
              <w:rPr>
                <w:rFonts w:ascii="Times New Roman" w:hAnsi="Times New Roman"/>
                <w:sz w:val="24"/>
              </w:rPr>
              <w:t>85 du règlement (UE) nº 575/2013</w:t>
            </w:r>
          </w:p>
        </w:tc>
      </w:tr>
      <w:tr w:rsidR="00173F08" w:rsidRPr="002A677E" w14:paraId="70CC0CF1" w14:textId="77777777" w:rsidTr="00822842">
        <w:tc>
          <w:tcPr>
            <w:tcW w:w="1188" w:type="dxa"/>
          </w:tcPr>
          <w:p w14:paraId="7C1C1AE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0320</w:t>
            </w:r>
          </w:p>
        </w:tc>
        <w:tc>
          <w:tcPr>
            <w:tcW w:w="8640" w:type="dxa"/>
          </w:tcPr>
          <w:p w14:paraId="5D406C6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INTÉRÊTS MINORITAIRES INCLUS DANS LES</w:t>
            </w:r>
            <w:r>
              <w:rPr>
                <w:rStyle w:val="InstructionsTabelleberschrift"/>
                <w:rFonts w:ascii="Times New Roman" w:hAnsi="Times New Roman"/>
                <w:sz w:val="24"/>
              </w:rPr>
              <w:br/>
              <w:t>FONDS PROPRES DE BASE DE CATÉGORIE 1 (CET1) CONSOLIDÉS</w:t>
            </w:r>
          </w:p>
          <w:p w14:paraId="0B8B81AA" w14:textId="152304B6" w:rsidR="00173F08" w:rsidRPr="002A677E" w:rsidRDefault="00173F08" w:rsidP="00822842">
            <w:pPr>
              <w:rPr>
                <w:rStyle w:val="InstructionsTabelleText"/>
                <w:rFonts w:ascii="Times New Roman" w:hAnsi="Times New Roman"/>
                <w:sz w:val="24"/>
              </w:rPr>
            </w:pPr>
            <w:r>
              <w:rPr>
                <w:rFonts w:ascii="Times New Roman" w:hAnsi="Times New Roman"/>
                <w:sz w:val="24"/>
              </w:rPr>
              <w:t>Article</w:t>
            </w:r>
            <w:r w:rsidR="00CB4F08">
              <w:rPr>
                <w:rFonts w:ascii="Times New Roman" w:hAnsi="Times New Roman"/>
                <w:sz w:val="24"/>
              </w:rPr>
              <w:t> </w:t>
            </w:r>
            <w:r>
              <w:rPr>
                <w:rFonts w:ascii="Times New Roman" w:hAnsi="Times New Roman"/>
                <w:sz w:val="24"/>
              </w:rPr>
              <w:t>84 du règlement (UE) nº 575/2013</w:t>
            </w:r>
          </w:p>
          <w:p w14:paraId="01FA0CDC" w14:textId="0E6C9FF7" w:rsidR="00173F08" w:rsidRPr="002A677E" w:rsidRDefault="00173F08" w:rsidP="00822842">
            <w:pPr>
              <w:rPr>
                <w:rStyle w:val="InstructionsTabelleText"/>
                <w:rFonts w:ascii="Times New Roman" w:hAnsi="Times New Roman"/>
                <w:sz w:val="24"/>
              </w:rPr>
            </w:pPr>
            <w:r>
              <w:rPr>
                <w:rFonts w:ascii="Times New Roman" w:hAnsi="Times New Roman"/>
                <w:sz w:val="24"/>
              </w:rPr>
              <w:t>Le montant à déclarer est le montant des intérêts minoritaires de la filiale qui sont inclus dans les fonds propres de base de catégorie 1 consolidés conformément au règlement (UE) nº 575/2013.</w:t>
            </w:r>
          </w:p>
        </w:tc>
      </w:tr>
      <w:tr w:rsidR="00173F08" w:rsidRPr="002A677E" w14:paraId="72674BB4" w14:textId="77777777" w:rsidTr="00822842">
        <w:tc>
          <w:tcPr>
            <w:tcW w:w="1188" w:type="dxa"/>
          </w:tcPr>
          <w:p w14:paraId="5F195C2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0330</w:t>
            </w:r>
          </w:p>
        </w:tc>
        <w:tc>
          <w:tcPr>
            <w:tcW w:w="8640" w:type="dxa"/>
          </w:tcPr>
          <w:p w14:paraId="6AF15CF2"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INSTRUMENTS DE FONDS PROPRES DE CATÉGORIE 1 RECONNAISSABLES INCLUS DANS LES FONDS PROPRES ADDITIONNELS DE CATÉGORIE 1 CONSOLIDÉS</w:t>
            </w:r>
          </w:p>
          <w:p w14:paraId="488797C4" w14:textId="0C0C34CA" w:rsidR="00173F08" w:rsidRPr="002A677E" w:rsidRDefault="00173F08" w:rsidP="00822842">
            <w:pPr>
              <w:rPr>
                <w:rStyle w:val="InstructionsTabelleText"/>
                <w:rFonts w:ascii="Times New Roman" w:hAnsi="Times New Roman"/>
                <w:sz w:val="24"/>
              </w:rPr>
            </w:pPr>
            <w:r>
              <w:rPr>
                <w:rFonts w:ascii="Times New Roman" w:hAnsi="Times New Roman"/>
                <w:sz w:val="24"/>
              </w:rPr>
              <w:t>Article</w:t>
            </w:r>
            <w:r w:rsidR="00CB4F08">
              <w:rPr>
                <w:rFonts w:ascii="Times New Roman" w:hAnsi="Times New Roman"/>
                <w:sz w:val="24"/>
              </w:rPr>
              <w:t> </w:t>
            </w:r>
            <w:r>
              <w:rPr>
                <w:rFonts w:ascii="Times New Roman" w:hAnsi="Times New Roman"/>
                <w:sz w:val="24"/>
              </w:rPr>
              <w:t>86 du règlement (UE) nº 575/2013</w:t>
            </w:r>
          </w:p>
          <w:p w14:paraId="14D60AC1" w14:textId="78416C91" w:rsidR="00173F08" w:rsidRPr="002A677E" w:rsidRDefault="00173F08" w:rsidP="00822842">
            <w:pPr>
              <w:rPr>
                <w:rStyle w:val="InstructionsTabelleText"/>
                <w:rFonts w:ascii="Times New Roman" w:hAnsi="Times New Roman"/>
                <w:sz w:val="24"/>
              </w:rPr>
            </w:pPr>
            <w:r>
              <w:rPr>
                <w:rFonts w:ascii="Times New Roman" w:hAnsi="Times New Roman"/>
                <w:sz w:val="24"/>
              </w:rPr>
              <w:t>Le montant à déclarer est le montant des fonds propres de catégorie 1 reconnaissables de la filiale qui sont inclus dans les fonds propres additionnels de catégorie 1 consolidés conformément au règlement (UE) nº 575/2013.</w:t>
            </w:r>
          </w:p>
        </w:tc>
      </w:tr>
      <w:tr w:rsidR="00173F08" w:rsidRPr="002A677E" w14:paraId="26437422" w14:textId="77777777" w:rsidTr="00822842">
        <w:tc>
          <w:tcPr>
            <w:tcW w:w="1188" w:type="dxa"/>
          </w:tcPr>
          <w:p w14:paraId="7FD01E1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0340</w:t>
            </w:r>
          </w:p>
        </w:tc>
        <w:tc>
          <w:tcPr>
            <w:tcW w:w="8640" w:type="dxa"/>
          </w:tcPr>
          <w:p w14:paraId="6E1E5E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INSTRUMENTS DE FONDS PROPRES RECONNAISSABLES INCLUS DANS LES</w:t>
            </w:r>
            <w:r>
              <w:rPr>
                <w:rStyle w:val="InstructionsTabelleberschrift"/>
                <w:rFonts w:ascii="Times New Roman" w:hAnsi="Times New Roman"/>
                <w:sz w:val="24"/>
              </w:rPr>
              <w:br/>
              <w:t>FONDS PROPRES DE CATÉGORIE 2 CONSOLIDÉS</w:t>
            </w:r>
          </w:p>
          <w:p w14:paraId="1E25A6DF" w14:textId="1F534CEE" w:rsidR="00173F08" w:rsidRPr="002A677E" w:rsidRDefault="00173F08" w:rsidP="00822842">
            <w:pPr>
              <w:rPr>
                <w:rStyle w:val="InstructionsTabelleText"/>
                <w:rFonts w:ascii="Times New Roman" w:hAnsi="Times New Roman"/>
                <w:sz w:val="24"/>
              </w:rPr>
            </w:pPr>
            <w:r>
              <w:rPr>
                <w:rFonts w:ascii="Times New Roman" w:hAnsi="Times New Roman"/>
                <w:sz w:val="24"/>
              </w:rPr>
              <w:t>Article</w:t>
            </w:r>
            <w:r w:rsidR="00CB4F08">
              <w:rPr>
                <w:rFonts w:ascii="Times New Roman" w:hAnsi="Times New Roman"/>
                <w:sz w:val="24"/>
              </w:rPr>
              <w:t> </w:t>
            </w:r>
            <w:r>
              <w:rPr>
                <w:rFonts w:ascii="Times New Roman" w:hAnsi="Times New Roman"/>
                <w:sz w:val="24"/>
              </w:rPr>
              <w:t>88 du règlement (UE) nº 575/2013</w:t>
            </w:r>
          </w:p>
          <w:p w14:paraId="257F78A1" w14:textId="00EEEC78" w:rsidR="00173F08" w:rsidRPr="002A677E" w:rsidRDefault="00173F08" w:rsidP="00822842">
            <w:pPr>
              <w:rPr>
                <w:rStyle w:val="InstructionsTabelleText"/>
                <w:rFonts w:ascii="Times New Roman" w:hAnsi="Times New Roman"/>
                <w:sz w:val="24"/>
              </w:rPr>
            </w:pPr>
            <w:r>
              <w:rPr>
                <w:rFonts w:ascii="Times New Roman" w:hAnsi="Times New Roman"/>
                <w:sz w:val="24"/>
              </w:rPr>
              <w:t>Le montant à déclarer est le montant des fonds propres reconnaissables de la filiale qui sont inclus dans les fonds propres de catégorie 2 consolidés conformément au règlement (UE) nº 575/2013.</w:t>
            </w:r>
          </w:p>
        </w:tc>
      </w:tr>
      <w:tr w:rsidR="00173F08" w:rsidRPr="002A677E" w14:paraId="39EA7587" w14:textId="77777777" w:rsidTr="00822842">
        <w:tc>
          <w:tcPr>
            <w:tcW w:w="1188" w:type="dxa"/>
          </w:tcPr>
          <w:p w14:paraId="04CB064F" w14:textId="77777777" w:rsidR="00173F08" w:rsidRPr="002A677E" w:rsidRDefault="00173F08" w:rsidP="00822842">
            <w:pPr>
              <w:rPr>
                <w:rFonts w:ascii="Times New Roman" w:hAnsi="Times New Roman"/>
                <w:sz w:val="24"/>
              </w:rPr>
            </w:pPr>
            <w:r>
              <w:rPr>
                <w:rFonts w:ascii="Times New Roman" w:hAnsi="Times New Roman"/>
                <w:sz w:val="24"/>
              </w:rPr>
              <w:t>0350</w:t>
            </w:r>
          </w:p>
        </w:tc>
        <w:tc>
          <w:tcPr>
            <w:tcW w:w="8640" w:type="dxa"/>
          </w:tcPr>
          <w:p w14:paraId="7BBDC2E3"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POUR MÉMOIRE: GOODWILL (–) / (+) GOODWILL NÉGATIF</w:t>
            </w:r>
          </w:p>
        </w:tc>
      </w:tr>
      <w:tr w:rsidR="00173F08" w:rsidRPr="002A677E" w14:paraId="3997C23F" w14:textId="77777777" w:rsidTr="00822842">
        <w:tc>
          <w:tcPr>
            <w:tcW w:w="1188" w:type="dxa"/>
          </w:tcPr>
          <w:p w14:paraId="72AB87A5" w14:textId="77777777" w:rsidR="00173F08" w:rsidRPr="002A677E" w:rsidRDefault="00173F08" w:rsidP="00822842">
            <w:pPr>
              <w:rPr>
                <w:rFonts w:ascii="Times New Roman" w:hAnsi="Times New Roman"/>
                <w:sz w:val="24"/>
              </w:rPr>
            </w:pPr>
            <w:r>
              <w:rPr>
                <w:rFonts w:ascii="Times New Roman" w:hAnsi="Times New Roman"/>
                <w:sz w:val="24"/>
              </w:rPr>
              <w:t>0360-0400</w:t>
            </w:r>
          </w:p>
        </w:tc>
        <w:tc>
          <w:tcPr>
            <w:tcW w:w="8640" w:type="dxa"/>
          </w:tcPr>
          <w:p w14:paraId="397FA95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FONDS PROPRES CONSOLIDÉS</w:t>
            </w:r>
          </w:p>
          <w:p w14:paraId="71907E17" w14:textId="799F697B" w:rsidR="00173F08" w:rsidRPr="002A677E" w:rsidRDefault="00173F08" w:rsidP="00822842">
            <w:pPr>
              <w:rPr>
                <w:rStyle w:val="InstructionsTabelleText"/>
                <w:rFonts w:ascii="Times New Roman" w:hAnsi="Times New Roman"/>
                <w:sz w:val="24"/>
              </w:rPr>
            </w:pPr>
            <w:r>
              <w:rPr>
                <w:rFonts w:ascii="Times New Roman" w:hAnsi="Times New Roman"/>
                <w:sz w:val="24"/>
              </w:rPr>
              <w:t>Article</w:t>
            </w:r>
            <w:r w:rsidR="00CB4F08">
              <w:rPr>
                <w:rFonts w:ascii="Times New Roman" w:hAnsi="Times New Roman"/>
                <w:sz w:val="24"/>
              </w:rPr>
              <w:t> </w:t>
            </w:r>
            <w:r>
              <w:rPr>
                <w:rFonts w:ascii="Times New Roman" w:hAnsi="Times New Roman"/>
                <w:sz w:val="24"/>
              </w:rPr>
              <w:t>18 du règlement (UE) nº 575/2013</w:t>
            </w:r>
          </w:p>
          <w:p w14:paraId="4F4232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Le montant à déclarer en tant que «FONDS PROPRES CONSOLIDÉS» est le montant dérivé du bilan, à l'exception des fonds apportés par d'autres entités du groupe.</w:t>
            </w:r>
          </w:p>
        </w:tc>
      </w:tr>
      <w:tr w:rsidR="00173F08" w:rsidRPr="002A677E" w14:paraId="293A7FF6" w14:textId="77777777" w:rsidTr="00822842">
        <w:tc>
          <w:tcPr>
            <w:tcW w:w="1188" w:type="dxa"/>
          </w:tcPr>
          <w:p w14:paraId="0E03C6C1" w14:textId="77777777" w:rsidR="00173F08" w:rsidRPr="002A677E" w:rsidRDefault="00173F08" w:rsidP="00822842">
            <w:pPr>
              <w:rPr>
                <w:rFonts w:ascii="Times New Roman" w:hAnsi="Times New Roman"/>
                <w:sz w:val="24"/>
              </w:rPr>
            </w:pPr>
            <w:r>
              <w:rPr>
                <w:rFonts w:ascii="Times New Roman" w:hAnsi="Times New Roman"/>
                <w:sz w:val="24"/>
              </w:rPr>
              <w:lastRenderedPageBreak/>
              <w:t>0360</w:t>
            </w:r>
          </w:p>
        </w:tc>
        <w:tc>
          <w:tcPr>
            <w:tcW w:w="8640" w:type="dxa"/>
          </w:tcPr>
          <w:p w14:paraId="41EC81C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FONDS PROPRES CONSOLIDÉS</w:t>
            </w:r>
          </w:p>
        </w:tc>
      </w:tr>
      <w:tr w:rsidR="00173F08" w:rsidRPr="002A677E" w14:paraId="2E86BBAD" w14:textId="77777777" w:rsidTr="00822842">
        <w:tc>
          <w:tcPr>
            <w:tcW w:w="1188" w:type="dxa"/>
          </w:tcPr>
          <w:p w14:paraId="444BD8B5" w14:textId="77777777" w:rsidR="00173F08" w:rsidRPr="002A677E" w:rsidRDefault="00173F08" w:rsidP="00822842">
            <w:pPr>
              <w:rPr>
                <w:rFonts w:ascii="Times New Roman" w:hAnsi="Times New Roman"/>
                <w:sz w:val="24"/>
              </w:rPr>
            </w:pPr>
            <w:r>
              <w:rPr>
                <w:rFonts w:ascii="Times New Roman" w:hAnsi="Times New Roman"/>
                <w:sz w:val="24"/>
              </w:rPr>
              <w:t>0370</w:t>
            </w:r>
          </w:p>
        </w:tc>
        <w:tc>
          <w:tcPr>
            <w:tcW w:w="8640" w:type="dxa"/>
          </w:tcPr>
          <w:p w14:paraId="2CC5778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DONT: FONDS PROPRES DE BASE DE CATÉGORIE 1</w:t>
            </w:r>
          </w:p>
        </w:tc>
      </w:tr>
      <w:tr w:rsidR="00173F08" w:rsidRPr="002A677E" w14:paraId="68DCA9F1" w14:textId="77777777" w:rsidTr="00822842">
        <w:tc>
          <w:tcPr>
            <w:tcW w:w="1188" w:type="dxa"/>
          </w:tcPr>
          <w:p w14:paraId="01DAA296" w14:textId="77777777" w:rsidR="00173F08" w:rsidRPr="002A677E" w:rsidDel="0081176B" w:rsidRDefault="00173F08" w:rsidP="00822842">
            <w:pPr>
              <w:rPr>
                <w:rFonts w:ascii="Times New Roman" w:hAnsi="Times New Roman"/>
                <w:sz w:val="24"/>
              </w:rPr>
            </w:pPr>
            <w:r>
              <w:rPr>
                <w:rFonts w:ascii="Times New Roman" w:hAnsi="Times New Roman"/>
                <w:sz w:val="24"/>
              </w:rPr>
              <w:t>0380</w:t>
            </w:r>
          </w:p>
        </w:tc>
        <w:tc>
          <w:tcPr>
            <w:tcW w:w="8640" w:type="dxa"/>
          </w:tcPr>
          <w:p w14:paraId="3B9BF397" w14:textId="77777777" w:rsidR="00173F08" w:rsidRPr="002A677E" w:rsidDel="0081176B"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DONT: FONDS PROPRES ADDITIONNELS DE CATÉGORIE 1</w:t>
            </w:r>
          </w:p>
        </w:tc>
      </w:tr>
      <w:tr w:rsidR="00173F08" w:rsidRPr="002A677E" w14:paraId="0D196D2B" w14:textId="77777777" w:rsidTr="00822842">
        <w:tc>
          <w:tcPr>
            <w:tcW w:w="1188" w:type="dxa"/>
          </w:tcPr>
          <w:p w14:paraId="74707B55" w14:textId="77777777" w:rsidR="00173F08" w:rsidRPr="002A677E" w:rsidRDefault="00173F08" w:rsidP="00822842">
            <w:pPr>
              <w:rPr>
                <w:rFonts w:ascii="Times New Roman" w:hAnsi="Times New Roman"/>
                <w:sz w:val="24"/>
              </w:rPr>
            </w:pPr>
            <w:r>
              <w:rPr>
                <w:rFonts w:ascii="Times New Roman" w:hAnsi="Times New Roman"/>
                <w:sz w:val="24"/>
              </w:rPr>
              <w:t>0390</w:t>
            </w:r>
          </w:p>
        </w:tc>
        <w:tc>
          <w:tcPr>
            <w:tcW w:w="8640" w:type="dxa"/>
          </w:tcPr>
          <w:p w14:paraId="1A38649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DONT: CONTRIBUTIONS AU RÉSULTAT CONSOLIDÉ</w:t>
            </w:r>
          </w:p>
          <w:p w14:paraId="0077C0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Le montant à déclarer est la contribution de chaque entité au résultat consolidé [bénéfice ou perte (–)]. Cela comprend les résultats attribuables aux intérêts minoritaires.</w:t>
            </w:r>
          </w:p>
        </w:tc>
      </w:tr>
      <w:tr w:rsidR="00173F08" w:rsidRPr="002A677E" w14:paraId="499357F9" w14:textId="77777777" w:rsidTr="00822842">
        <w:tc>
          <w:tcPr>
            <w:tcW w:w="1188" w:type="dxa"/>
          </w:tcPr>
          <w:p w14:paraId="237DD5A1" w14:textId="77777777" w:rsidR="00173F08" w:rsidRPr="002A677E" w:rsidRDefault="00173F08" w:rsidP="00822842">
            <w:pPr>
              <w:rPr>
                <w:rFonts w:ascii="Times New Roman" w:hAnsi="Times New Roman"/>
                <w:sz w:val="24"/>
              </w:rPr>
            </w:pPr>
            <w:r>
              <w:rPr>
                <w:rFonts w:ascii="Times New Roman" w:hAnsi="Times New Roman"/>
                <w:sz w:val="24"/>
              </w:rPr>
              <w:t>0400</w:t>
            </w:r>
          </w:p>
        </w:tc>
        <w:tc>
          <w:tcPr>
            <w:tcW w:w="8640" w:type="dxa"/>
          </w:tcPr>
          <w:p w14:paraId="2D7939A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DONT: (–) GOODWILL / (+) GOODWILL NÉGATIF</w:t>
            </w:r>
          </w:p>
          <w:p w14:paraId="1EA5615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Le montant à déclarer ici est le goodwill ou le goodwill négatif que l'entité déclarante possède sur la filiale.</w:t>
            </w:r>
          </w:p>
        </w:tc>
      </w:tr>
      <w:tr w:rsidR="00173F08" w:rsidRPr="002A677E" w14:paraId="33B902F7" w14:textId="77777777" w:rsidTr="00822842">
        <w:tc>
          <w:tcPr>
            <w:tcW w:w="1188" w:type="dxa"/>
          </w:tcPr>
          <w:p w14:paraId="34A2D11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653C81F3"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COUSSINS DE FONDS PROPRES</w:t>
            </w:r>
          </w:p>
          <w:p w14:paraId="5D522742"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La déclaration des coussins de fonds propres dans le modèle GS s'effectue selon la même structure générale que celle du modèle CA4 et ce, au moyen des mêmes concepts de reddition des comptes. Aux fins de la déclaration des coussins de fonds propres dans le modèle GS, les montants pertinents sont déclarés conformément aux dispositions applicables pour déterminer l'exigence de coussin pour la situation consolidée d'un groupe. Par conséquent, les montants déclarés de coussins de fonds propres représentent les contributions de chaque entité aux coussins de fonds propres du groupe. Les montants déclarés sont basés sur les dispositions de droit national transposant la</w:t>
            </w:r>
            <w:r>
              <w:rPr>
                <w:rFonts w:ascii="Times New Roman" w:hAnsi="Times New Roman"/>
                <w:sz w:val="24"/>
              </w:rPr>
              <w:t xml:space="preserve"> directive 2013/36/UE </w:t>
            </w:r>
            <w:r>
              <w:rPr>
                <w:rStyle w:val="InstructionsTabelleberschrift"/>
                <w:rFonts w:ascii="Times New Roman" w:hAnsi="Times New Roman"/>
                <w:sz w:val="24"/>
              </w:rPr>
              <w:t>et sur le</w:t>
            </w:r>
            <w:r>
              <w:rPr>
                <w:rFonts w:ascii="Times New Roman" w:hAnsi="Times New Roman"/>
                <w:sz w:val="24"/>
              </w:rPr>
              <w:t xml:space="preserve"> règlement (UE) nº 575/2013</w:t>
            </w:r>
            <w:r>
              <w:rPr>
                <w:rStyle w:val="InstructionsTabelleberschrift"/>
                <w:rFonts w:ascii="Times New Roman" w:hAnsi="Times New Roman"/>
                <w:sz w:val="24"/>
              </w:rPr>
              <w:t>, y compris leurs dispositions transitoires.</w:t>
            </w:r>
          </w:p>
        </w:tc>
      </w:tr>
      <w:tr w:rsidR="00173F08" w:rsidRPr="002A677E" w14:paraId="63DC141B" w14:textId="77777777" w:rsidTr="00822842">
        <w:tc>
          <w:tcPr>
            <w:tcW w:w="1188" w:type="dxa"/>
          </w:tcPr>
          <w:p w14:paraId="5BB39E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14D301D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EXIGENCE GLOBALE DE COUSSIN DE FONDS PROPRES</w:t>
            </w:r>
          </w:p>
          <w:p w14:paraId="7DF96672" w14:textId="77777777" w:rsidR="00173F08" w:rsidRPr="002A677E" w:rsidRDefault="00173F08" w:rsidP="00822842">
            <w:pPr>
              <w:tabs>
                <w:tab w:val="left" w:pos="3510"/>
              </w:tabs>
              <w:rPr>
                <w:rStyle w:val="InstructionsTabelleberschrift"/>
                <w:rFonts w:ascii="Times New Roman" w:hAnsi="Times New Roman"/>
                <w:sz w:val="24"/>
              </w:rPr>
            </w:pPr>
            <w:r>
              <w:rPr>
                <w:rFonts w:ascii="Times New Roman" w:hAnsi="Times New Roman"/>
                <w:sz w:val="24"/>
              </w:rPr>
              <w:t>Article 128, point 6), de la directive 2013/36/UE.</w:t>
            </w:r>
          </w:p>
        </w:tc>
      </w:tr>
      <w:tr w:rsidR="00173F08" w:rsidRPr="002A677E" w14:paraId="4304DCA5" w14:textId="77777777" w:rsidTr="00822842">
        <w:tc>
          <w:tcPr>
            <w:tcW w:w="1188" w:type="dxa"/>
          </w:tcPr>
          <w:p w14:paraId="0CFC30D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1EA8A9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COUSSIN DE CONSERVATION DES FONDS PROPRES</w:t>
            </w:r>
          </w:p>
          <w:p w14:paraId="5DD283B6" w14:textId="7E3FF86B" w:rsidR="00173F08" w:rsidRPr="002A677E" w:rsidRDefault="00173F08" w:rsidP="00822842">
            <w:pPr>
              <w:rPr>
                <w:rStyle w:val="InstructionsTabelleText"/>
                <w:rFonts w:ascii="Times New Roman" w:hAnsi="Times New Roman"/>
                <w:sz w:val="24"/>
              </w:rPr>
            </w:pPr>
            <w:r>
              <w:rPr>
                <w:rFonts w:ascii="Times New Roman" w:hAnsi="Times New Roman"/>
                <w:sz w:val="24"/>
              </w:rPr>
              <w:t>Article</w:t>
            </w:r>
            <w:r w:rsidR="00CB4F08">
              <w:rPr>
                <w:rFonts w:ascii="Times New Roman" w:hAnsi="Times New Roman"/>
                <w:sz w:val="24"/>
              </w:rPr>
              <w:t> </w:t>
            </w:r>
            <w:r>
              <w:rPr>
                <w:rFonts w:ascii="Times New Roman" w:hAnsi="Times New Roman"/>
                <w:sz w:val="24"/>
              </w:rPr>
              <w:t>128, point</w:t>
            </w:r>
            <w:r w:rsidR="00CB4F08">
              <w:rPr>
                <w:rFonts w:ascii="Times New Roman" w:hAnsi="Times New Roman"/>
                <w:sz w:val="24"/>
              </w:rPr>
              <w:t> </w:t>
            </w:r>
            <w:r>
              <w:rPr>
                <w:rFonts w:ascii="Times New Roman" w:hAnsi="Times New Roman"/>
                <w:sz w:val="24"/>
              </w:rPr>
              <w:t>1), et article</w:t>
            </w:r>
            <w:r w:rsidR="00CB4F08">
              <w:rPr>
                <w:rFonts w:ascii="Times New Roman" w:hAnsi="Times New Roman"/>
                <w:sz w:val="24"/>
              </w:rPr>
              <w:t> </w:t>
            </w:r>
            <w:r>
              <w:rPr>
                <w:rFonts w:ascii="Times New Roman" w:hAnsi="Times New Roman"/>
                <w:sz w:val="24"/>
              </w:rPr>
              <w:t>129 de la directive (UE) 2013/36/UE</w:t>
            </w:r>
          </w:p>
          <w:p w14:paraId="7013CF4E" w14:textId="77777777" w:rsidR="00173F08" w:rsidRPr="002A677E" w:rsidRDefault="00173F08" w:rsidP="00822842">
            <w:pPr>
              <w:pStyle w:val="InstructionsText"/>
              <w:rPr>
                <w:rStyle w:val="InstructionsTabelleText"/>
              </w:rPr>
            </w:pPr>
            <w:r>
              <w:t>Aux termes de l'article 129, paragraphe 1, de la directive 2013/36/UE, le coussin de conservation des fonds propres est un montant additionnel de fonds propres de base de catégorie 1. Vu que le taux de 2,5 % de ce coussin de conservation de fonds propres demeure stable, un montant figurera dans cette cellule.</w:t>
            </w:r>
          </w:p>
        </w:tc>
      </w:tr>
      <w:tr w:rsidR="00173F08" w:rsidRPr="002A677E" w14:paraId="33A8BFBD" w14:textId="77777777" w:rsidTr="00822842">
        <w:tc>
          <w:tcPr>
            <w:tcW w:w="1188" w:type="dxa"/>
          </w:tcPr>
          <w:p w14:paraId="2C9182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6552E827" w14:textId="30A2A11D"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COUSSIN DE FONDS PROPRES CONTRACYCLIQUE SPÉCIFIQUE</w:t>
            </w:r>
            <w:r w:rsidR="00CB4F08">
              <w:rPr>
                <w:rStyle w:val="InstructionsTabelleberschrift"/>
                <w:rFonts w:ascii="Times New Roman" w:hAnsi="Times New Roman"/>
                <w:sz w:val="24"/>
              </w:rPr>
              <w:t xml:space="preserve"> </w:t>
            </w:r>
            <w:r>
              <w:rPr>
                <w:rStyle w:val="InstructionsTabelleberschrift"/>
                <w:rFonts w:ascii="Times New Roman" w:hAnsi="Times New Roman"/>
                <w:sz w:val="24"/>
              </w:rPr>
              <w:t>À L’ÉTABLISSEMENT</w:t>
            </w:r>
          </w:p>
          <w:p w14:paraId="38A11488" w14:textId="3BE4459B" w:rsidR="00173F08" w:rsidRPr="002A677E" w:rsidRDefault="00173F08" w:rsidP="00822842">
            <w:pPr>
              <w:rPr>
                <w:rStyle w:val="InstructionsTabelleText"/>
                <w:rFonts w:ascii="Times New Roman" w:hAnsi="Times New Roman"/>
                <w:sz w:val="24"/>
              </w:rPr>
            </w:pPr>
            <w:r>
              <w:rPr>
                <w:rFonts w:ascii="Times New Roman" w:hAnsi="Times New Roman"/>
                <w:sz w:val="24"/>
              </w:rPr>
              <w:t>Article</w:t>
            </w:r>
            <w:r w:rsidR="00CB4F08">
              <w:rPr>
                <w:rFonts w:ascii="Times New Roman" w:hAnsi="Times New Roman"/>
                <w:sz w:val="24"/>
              </w:rPr>
              <w:t> </w:t>
            </w:r>
            <w:r>
              <w:rPr>
                <w:rFonts w:ascii="Times New Roman" w:hAnsi="Times New Roman"/>
                <w:sz w:val="24"/>
              </w:rPr>
              <w:t>128, point</w:t>
            </w:r>
            <w:r w:rsidR="00CB4F08">
              <w:rPr>
                <w:rFonts w:ascii="Times New Roman" w:hAnsi="Times New Roman"/>
                <w:sz w:val="24"/>
              </w:rPr>
              <w:t> </w:t>
            </w:r>
            <w:r>
              <w:rPr>
                <w:rFonts w:ascii="Times New Roman" w:hAnsi="Times New Roman"/>
                <w:sz w:val="24"/>
              </w:rPr>
              <w:t>2), article</w:t>
            </w:r>
            <w:r w:rsidR="00CB4F08">
              <w:rPr>
                <w:rFonts w:ascii="Times New Roman" w:hAnsi="Times New Roman"/>
                <w:sz w:val="24"/>
              </w:rPr>
              <w:t> </w:t>
            </w:r>
            <w:r>
              <w:rPr>
                <w:rFonts w:ascii="Times New Roman" w:hAnsi="Times New Roman"/>
                <w:sz w:val="24"/>
              </w:rPr>
              <w:t>130 et articles</w:t>
            </w:r>
            <w:r w:rsidR="00CB4F08">
              <w:rPr>
                <w:rFonts w:ascii="Times New Roman" w:hAnsi="Times New Roman"/>
                <w:sz w:val="24"/>
              </w:rPr>
              <w:t> 135</w:t>
            </w:r>
            <w:r>
              <w:rPr>
                <w:rFonts w:ascii="Times New Roman" w:hAnsi="Times New Roman"/>
                <w:sz w:val="24"/>
              </w:rPr>
              <w:t xml:space="preserve"> à</w:t>
            </w:r>
            <w:r w:rsidR="00CB4F08">
              <w:rPr>
                <w:rFonts w:ascii="Times New Roman" w:hAnsi="Times New Roman"/>
                <w:sz w:val="24"/>
              </w:rPr>
              <w:t> </w:t>
            </w:r>
            <w:r>
              <w:rPr>
                <w:rFonts w:ascii="Times New Roman" w:hAnsi="Times New Roman"/>
                <w:sz w:val="24"/>
              </w:rPr>
              <w:t>140 de la directive 2013/36/UE</w:t>
            </w:r>
          </w:p>
          <w:p w14:paraId="169D829F" w14:textId="77777777" w:rsidR="00173F08" w:rsidRPr="002A677E" w:rsidRDefault="00173F08" w:rsidP="00822842">
            <w:pPr>
              <w:pStyle w:val="InstructionsText"/>
              <w:rPr>
                <w:rStyle w:val="InstructionsTabelleText"/>
              </w:rPr>
            </w:pPr>
            <w:r>
              <w:t>Le montant concret du coussin de fonds propres contracyclique doit figurer dans cette cellule.</w:t>
            </w:r>
          </w:p>
        </w:tc>
      </w:tr>
      <w:tr w:rsidR="00173F08" w:rsidRPr="002A677E" w14:paraId="393ED63D" w14:textId="77777777" w:rsidTr="00822842">
        <w:tc>
          <w:tcPr>
            <w:tcW w:w="1188" w:type="dxa"/>
          </w:tcPr>
          <w:p w14:paraId="6BD0956B" w14:textId="77777777" w:rsidR="00173F08" w:rsidRPr="002A677E" w:rsidDel="00D70027" w:rsidRDefault="00173F08" w:rsidP="00822842">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3C0108F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COUSSIN DE CONSERVATION DÉCOULANT DU RISQUE MACRO-PRUDENTIEL OU SYSTÉMIQUE CONSTATÉ AU NIVEAU D'UN ÉTAT MEMBRE</w:t>
            </w:r>
          </w:p>
          <w:p w14:paraId="0EC165D1" w14:textId="57B6127B"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Article</w:t>
            </w:r>
            <w:r w:rsidR="00CB4F08">
              <w:rPr>
                <w:rStyle w:val="InstructionsTabelleberschrift"/>
                <w:rFonts w:ascii="Times New Roman" w:hAnsi="Times New Roman"/>
                <w:sz w:val="24"/>
              </w:rPr>
              <w:t> </w:t>
            </w:r>
            <w:r>
              <w:rPr>
                <w:rStyle w:val="InstructionsTabelleberschrift"/>
                <w:rFonts w:ascii="Times New Roman" w:hAnsi="Times New Roman"/>
                <w:sz w:val="24"/>
              </w:rPr>
              <w:t>458, paragraphe</w:t>
            </w:r>
            <w:r w:rsidR="00CB4F08">
              <w:rPr>
                <w:rStyle w:val="InstructionsTabelleberschrift"/>
                <w:rFonts w:ascii="Times New Roman" w:hAnsi="Times New Roman"/>
                <w:sz w:val="24"/>
              </w:rPr>
              <w:t> </w:t>
            </w:r>
            <w:r>
              <w:rPr>
                <w:rStyle w:val="InstructionsTabelleberschrift"/>
                <w:rFonts w:ascii="Times New Roman" w:hAnsi="Times New Roman"/>
                <w:sz w:val="24"/>
              </w:rPr>
              <w:t>2, point d), iv),</w:t>
            </w:r>
            <w:r>
              <w:rPr>
                <w:rFonts w:ascii="Times New Roman" w:hAnsi="Times New Roman"/>
                <w:sz w:val="24"/>
              </w:rPr>
              <w:t xml:space="preserve"> du règlement (UE) nº 575/2013.</w:t>
            </w:r>
          </w:p>
          <w:p w14:paraId="2C6BA8FE" w14:textId="77777777" w:rsidR="00173F08" w:rsidRPr="002A677E" w:rsidRDefault="00173F08" w:rsidP="00822842">
            <w:pPr>
              <w:pStyle w:val="InstructionsText"/>
              <w:rPr>
                <w:rStyle w:val="InstructionsTabelleberschrift"/>
              </w:rPr>
            </w:pPr>
            <w:r>
              <w:lastRenderedPageBreak/>
              <w:t>Indiquer dans cette cellule le montant du coussin de conservation pour risque macroprudentiel ou systémique constaté au niveau d'un État membre qui peut être exigé en vertu de l'article 458 du règlement (UE) nº 575/2013, en sus du coussin de conservation de fonds propres.</w:t>
            </w:r>
          </w:p>
        </w:tc>
      </w:tr>
      <w:tr w:rsidR="00173F08" w:rsidRPr="002A677E" w14:paraId="4E8C2CA8" w14:textId="77777777" w:rsidTr="00822842">
        <w:tc>
          <w:tcPr>
            <w:tcW w:w="1188" w:type="dxa"/>
          </w:tcPr>
          <w:p w14:paraId="3AADC45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0450</w:t>
            </w:r>
          </w:p>
        </w:tc>
        <w:tc>
          <w:tcPr>
            <w:tcW w:w="8640" w:type="dxa"/>
          </w:tcPr>
          <w:p w14:paraId="37512F5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COUSSIN POUR LE RISQUE SYSTÉMIQUE</w:t>
            </w:r>
          </w:p>
          <w:p w14:paraId="409112BD" w14:textId="50E7F64D" w:rsidR="00173F08" w:rsidRPr="002A677E" w:rsidRDefault="00173F08" w:rsidP="00822842">
            <w:pPr>
              <w:pStyle w:val="InstructionsText"/>
            </w:pPr>
            <w:r>
              <w:t>Article 128, point 5), et articles 133 et</w:t>
            </w:r>
            <w:r w:rsidR="00CB4F08">
              <w:t> </w:t>
            </w:r>
            <w:r>
              <w:t>134 de la directive 2013/36/UE</w:t>
            </w:r>
          </w:p>
          <w:p w14:paraId="1888AE1C" w14:textId="77777777" w:rsidR="00173F08" w:rsidRPr="001235ED" w:rsidRDefault="00173F08" w:rsidP="00822842">
            <w:pPr>
              <w:rPr>
                <w:rStyle w:val="InstructionsTabelleberschrift"/>
                <w:rFonts w:ascii="Times New Roman" w:hAnsi="Times New Roman"/>
                <w:sz w:val="24"/>
              </w:rPr>
            </w:pPr>
            <w:r>
              <w:rPr>
                <w:rFonts w:ascii="Times New Roman" w:hAnsi="Times New Roman"/>
                <w:sz w:val="24"/>
              </w:rPr>
              <w:t>Le montant du coussin pour le risque systémique doit figurer dans cette cellule.</w:t>
            </w:r>
          </w:p>
        </w:tc>
      </w:tr>
      <w:tr w:rsidR="00173F08" w:rsidRPr="002A677E" w14:paraId="1CE0C973" w14:textId="77777777" w:rsidTr="00822842">
        <w:tc>
          <w:tcPr>
            <w:tcW w:w="1188" w:type="dxa"/>
          </w:tcPr>
          <w:p w14:paraId="729A039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1989B565" w14:textId="77777777" w:rsidR="00173F08" w:rsidRPr="002A677E" w:rsidRDefault="00173F08" w:rsidP="00822842">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COUSSIN POUR LES ÉTABLISSEMENTS D'IMPORTANCE SYSTÉMIQUE MONDIALE</w:t>
            </w:r>
            <w:r>
              <w:rPr>
                <w:rStyle w:val="InstructionsTabelleberschrift"/>
                <w:rFonts w:ascii="Times New Roman" w:hAnsi="Times New Roman"/>
                <w:sz w:val="24"/>
              </w:rPr>
              <w:tab/>
            </w:r>
          </w:p>
          <w:p w14:paraId="530093DF" w14:textId="1AB5FD1B" w:rsidR="00173F08" w:rsidRPr="002A677E" w:rsidRDefault="00173F08" w:rsidP="00822842">
            <w:pPr>
              <w:pStyle w:val="InstructionsText"/>
              <w:rPr>
                <w:rStyle w:val="InstructionsTabelleberschrift"/>
                <w:b w:val="0"/>
              </w:rPr>
            </w:pPr>
            <w:r>
              <w:t>Article</w:t>
            </w:r>
            <w:r w:rsidR="00CB4F08">
              <w:t> </w:t>
            </w:r>
            <w:r>
              <w:t>128, point</w:t>
            </w:r>
            <w:r w:rsidR="00CB4F08">
              <w:t> </w:t>
            </w:r>
            <w:r>
              <w:t>3), et article</w:t>
            </w:r>
            <w:r w:rsidR="00CB4F08">
              <w:t> </w:t>
            </w:r>
            <w:r>
              <w:t>131 de la directive (UE) 2013/36/UE</w:t>
            </w:r>
          </w:p>
          <w:p w14:paraId="5835A3FB" w14:textId="77777777" w:rsidR="00173F08" w:rsidRPr="002A677E" w:rsidRDefault="00173F08" w:rsidP="00822842">
            <w:pPr>
              <w:pStyle w:val="InstructionsText"/>
              <w:rPr>
                <w:rStyle w:val="InstructionsTabelleberschrift"/>
              </w:rPr>
            </w:pPr>
            <w:r>
              <w:t>Le montant du coussin pour les établissements d’importance systémique mondiale doit figurer dans cette cellule.</w:t>
            </w:r>
          </w:p>
        </w:tc>
      </w:tr>
      <w:tr w:rsidR="00173F08" w:rsidRPr="002A677E" w14:paraId="57BA6A14" w14:textId="77777777" w:rsidTr="00822842">
        <w:tc>
          <w:tcPr>
            <w:tcW w:w="1188" w:type="dxa"/>
          </w:tcPr>
          <w:p w14:paraId="769CFE8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7FDD0190" w14:textId="77777777" w:rsidR="00173F08" w:rsidRPr="002A677E" w:rsidRDefault="00173F08" w:rsidP="00822842">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COUSSIN POUR LES AUTRES ÉTABLISSEMENTS D'IMPORTANCE SYSTÉMIQUE</w:t>
            </w:r>
            <w:r>
              <w:rPr>
                <w:rStyle w:val="InstructionsTabelleberschrift"/>
                <w:rFonts w:ascii="Times New Roman" w:hAnsi="Times New Roman"/>
                <w:sz w:val="24"/>
              </w:rPr>
              <w:tab/>
            </w:r>
          </w:p>
          <w:p w14:paraId="5C91FC01" w14:textId="73C7780C" w:rsidR="00173F08" w:rsidRPr="002A677E" w:rsidRDefault="00173F08" w:rsidP="00822842">
            <w:pPr>
              <w:pStyle w:val="InstructionsText"/>
            </w:pPr>
            <w:r>
              <w:t>Article</w:t>
            </w:r>
            <w:r w:rsidR="00CB4F08">
              <w:t> </w:t>
            </w:r>
            <w:r>
              <w:t>128, point</w:t>
            </w:r>
            <w:r w:rsidR="00CB4F08">
              <w:t> </w:t>
            </w:r>
            <w:r>
              <w:t>4), et article</w:t>
            </w:r>
            <w:r w:rsidR="00CB4F08">
              <w:t> </w:t>
            </w:r>
            <w:r>
              <w:t>131 de la directive 2013/36/UE</w:t>
            </w:r>
          </w:p>
          <w:p w14:paraId="677D9498" w14:textId="77777777" w:rsidR="00173F08" w:rsidRPr="002A677E" w:rsidRDefault="00173F08" w:rsidP="00822842">
            <w:pPr>
              <w:pStyle w:val="InstructionsText"/>
              <w:rPr>
                <w:rStyle w:val="InstructionsTabelleberschrift"/>
              </w:rPr>
            </w:pPr>
            <w:r>
              <w:t>Le montant du coussin pour les autres établissements d’importance systémique doit figurer dans cette cellule.</w:t>
            </w:r>
          </w:p>
        </w:tc>
      </w:tr>
    </w:tbl>
    <w:p w14:paraId="25845975" w14:textId="77777777" w:rsidR="00173F08" w:rsidRPr="002A677E" w:rsidRDefault="00173F08" w:rsidP="00173F08">
      <w:pPr>
        <w:pStyle w:val="InstructionsText"/>
      </w:pPr>
    </w:p>
    <w:p w14:paraId="1EA0AB00" w14:textId="77777777" w:rsidR="00BF2D9E" w:rsidRDefault="00BF2D9E"/>
    <w:p w14:paraId="12D86B4B" w14:textId="77777777" w:rsidR="00BF2D9E" w:rsidRDefault="00BF2D9E"/>
    <w:sectPr w:rsidR="00BF2D9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À l’usage ordinaire de 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À l’usage ordinaire de 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À l’usage ordinaire de 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4659D5"/>
    <w:rsid w:val="00601EA3"/>
    <w:rsid w:val="00631623"/>
    <w:rsid w:val="00694862"/>
    <w:rsid w:val="00702B2E"/>
    <w:rsid w:val="00780E9B"/>
    <w:rsid w:val="009871DF"/>
    <w:rsid w:val="00A6002C"/>
    <w:rsid w:val="00A70706"/>
    <w:rsid w:val="00B44A0E"/>
    <w:rsid w:val="00B71F25"/>
    <w:rsid w:val="00BF2D9E"/>
    <w:rsid w:val="00C61CB8"/>
    <w:rsid w:val="00CB4F08"/>
    <w:rsid w:val="00E26A90"/>
    <w:rsid w:val="00EF07A1"/>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1A1E76-5781-4102-A68F-1ECF8D7CB282}">
  <ds:schemaRefs>
    <ds:schemaRef ds:uri="http://schemas.microsoft.com/sharepoint/v3/contenttype/forms"/>
  </ds:schemaRefs>
</ds:datastoreItem>
</file>

<file path=customXml/itemProps2.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A496EB79-8CBA-4673-ABE5-CD6AE5B38A4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4664</Words>
  <Characters>25747</Characters>
  <Application>Microsoft Office Word</Application>
  <DocSecurity>0</DocSecurity>
  <Lines>572</Lines>
  <Paragraphs>337</Paragraphs>
  <ScaleCrop>false</ScaleCrop>
  <Company/>
  <LinksUpToDate>false</LinksUpToDate>
  <CharactersWithSpaces>30074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2025-01-27T16:57:00Z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2025-01-27T16:57:47Z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4f42173e-189c-4443-a76e-c343461a082c</vt:lpwstr>
  </property>
  <property fmtid="{D5CDD505-2E9C-101B-9397-08002B2CF9AE}" pid="10" name="MSIP_Label_6bd9ddd1-4d20-43f6-abfa-fc3c07406f94_ContentBits">
    <vt:lpwstr>0</vt:lpwstr>
  </property>
</Properties>
</file>