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Pr="00417CE7" w:rsidRDefault="00CB0520" w:rsidP="00CB0520">
      <w:pPr>
        <w:jc w:val="center"/>
        <w:rPr>
          <w:rFonts w:ascii="Times New Roman" w:hAnsi="Times New Roman"/>
          <w:sz w:val="24"/>
          <w:szCs w:val="22"/>
        </w:rPr>
      </w:pPr>
      <w:r w:rsidRPr="00417CE7">
        <w:rPr>
          <w:rFonts w:ascii="Times New Roman" w:hAnsi="Times New Roman"/>
          <w:sz w:val="24"/>
        </w:rPr>
        <w:t>ET</w:t>
      </w:r>
    </w:p>
    <w:p w14:paraId="2D00CB42" w14:textId="77777777" w:rsidR="00CB0520" w:rsidRPr="00417CE7" w:rsidRDefault="00CB0520" w:rsidP="00CB0520">
      <w:pPr>
        <w:rPr>
          <w:rFonts w:asciiTheme="minorHAnsi" w:hAnsiTheme="minorHAnsi"/>
          <w:sz w:val="22"/>
        </w:rPr>
      </w:pPr>
    </w:p>
    <w:p w14:paraId="2B5F5695" w14:textId="77777777" w:rsidR="009C5DD6" w:rsidRPr="00417CE7" w:rsidRDefault="009C5DD6" w:rsidP="009C5DD6">
      <w:pPr>
        <w:jc w:val="center"/>
        <w:rPr>
          <w:rFonts w:ascii="Times New Roman" w:hAnsi="Times New Roman"/>
          <w:sz w:val="24"/>
        </w:rPr>
      </w:pPr>
      <w:r w:rsidRPr="00417CE7">
        <w:rPr>
          <w:rFonts w:ascii="Times New Roman" w:hAnsi="Times New Roman"/>
          <w:sz w:val="24"/>
        </w:rPr>
        <w:t>II LISA</w:t>
      </w:r>
    </w:p>
    <w:p w14:paraId="03895EA2" w14:textId="77777777" w:rsidR="009C5DD6" w:rsidRPr="00417CE7" w:rsidRDefault="009C5DD6" w:rsidP="009C5DD6">
      <w:pPr>
        <w:jc w:val="center"/>
        <w:rPr>
          <w:rFonts w:ascii="Times New Roman" w:hAnsi="Times New Roman"/>
          <w:sz w:val="24"/>
        </w:rPr>
      </w:pPr>
      <w:r w:rsidRPr="00417CE7">
        <w:rPr>
          <w:rFonts w:ascii="Times New Roman" w:hAnsi="Times New Roman"/>
          <w:sz w:val="24"/>
        </w:rPr>
        <w:t>„II LISA</w:t>
      </w:r>
    </w:p>
    <w:p w14:paraId="480031C9" w14:textId="77777777" w:rsidR="009C5DD6" w:rsidRPr="00417CE7" w:rsidRDefault="009C5DD6" w:rsidP="009C5DD6">
      <w:pPr>
        <w:jc w:val="center"/>
        <w:rPr>
          <w:rFonts w:ascii="Times New Roman" w:hAnsi="Times New Roman"/>
          <w:b/>
          <w:sz w:val="24"/>
        </w:rPr>
      </w:pPr>
      <w:r w:rsidRPr="00417CE7">
        <w:rPr>
          <w:rFonts w:ascii="Times New Roman" w:hAnsi="Times New Roman"/>
          <w:b/>
          <w:sz w:val="24"/>
        </w:rPr>
        <w:t>OMAVAHENDITE JA OMAVAHENDITE NÕUETE ARUANDLUSE JUHISED</w:t>
      </w:r>
    </w:p>
    <w:p w14:paraId="08E08E50" w14:textId="77777777" w:rsidR="00EE75F2" w:rsidRPr="00417CE7" w:rsidRDefault="00EE75F2"/>
    <w:p w14:paraId="29C05932" w14:textId="7194A2B7" w:rsidR="00925646" w:rsidRPr="00417CE7" w:rsidRDefault="00FA21C6" w:rsidP="00925646">
      <w:pPr>
        <w:spacing w:before="0" w:after="0"/>
        <w:jc w:val="left"/>
        <w:rPr>
          <w:rStyle w:val="InstructionsTabelleText"/>
          <w:rFonts w:ascii="Times New Roman" w:hAnsi="Times New Roman"/>
          <w:b/>
          <w:bCs/>
          <w:sz w:val="24"/>
          <w:u w:val="single"/>
        </w:rPr>
      </w:pPr>
      <w:r w:rsidRPr="00417CE7">
        <w:rPr>
          <w:rStyle w:val="InstructionsTabelleText"/>
          <w:rFonts w:ascii="Times New Roman" w:hAnsi="Times New Roman"/>
          <w:b/>
          <w:sz w:val="24"/>
          <w:u w:val="single"/>
        </w:rPr>
        <w:t>II OSA. VORMIDE TÄITMISE JUHISED</w:t>
      </w:r>
    </w:p>
    <w:p w14:paraId="4DA6D037" w14:textId="77777777" w:rsidR="00FC29F5" w:rsidRPr="00417CE7" w:rsidRDefault="00736637" w:rsidP="00925646">
      <w:pPr>
        <w:spacing w:before="0" w:after="0"/>
        <w:jc w:val="left"/>
        <w:rPr>
          <w:rStyle w:val="InstructionsTabelleText"/>
          <w:rFonts w:ascii="Times New Roman" w:hAnsi="Times New Roman"/>
          <w:sz w:val="24"/>
        </w:rPr>
      </w:pPr>
      <w:r w:rsidRPr="00417CE7">
        <w:rPr>
          <w:rStyle w:val="InstructionsTabelleText"/>
          <w:rFonts w:ascii="Times New Roman" w:hAnsi="Times New Roman"/>
          <w:sz w:val="24"/>
        </w:rPr>
        <w:t xml:space="preserve"> </w:t>
      </w:r>
    </w:p>
    <w:p w14:paraId="7B580897" w14:textId="4FDF8965" w:rsidR="00736637" w:rsidRPr="00417CE7" w:rsidRDefault="00736637" w:rsidP="00925646">
      <w:pPr>
        <w:spacing w:before="0" w:after="0"/>
        <w:jc w:val="left"/>
        <w:rPr>
          <w:rStyle w:val="InstructionsTabelleText"/>
          <w:rFonts w:ascii="Times New Roman" w:hAnsi="Times New Roman"/>
          <w:sz w:val="24"/>
        </w:rPr>
      </w:pPr>
      <w:r w:rsidRPr="00417CE7">
        <w:rPr>
          <w:rStyle w:val="InstructionsTabelleText"/>
          <w:rFonts w:ascii="Times New Roman" w:hAnsi="Times New Roman"/>
          <w:sz w:val="24"/>
        </w:rPr>
        <w:t>(…)</w:t>
      </w:r>
    </w:p>
    <w:p w14:paraId="532AAD9A" w14:textId="77777777" w:rsidR="00925646" w:rsidRPr="00417CE7"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sidRPr="00417CE7">
        <w:rPr>
          <w:rFonts w:ascii="Times New Roman" w:hAnsi="Times New Roman"/>
          <w:sz w:val="24"/>
          <w:u w:val="none"/>
        </w:rPr>
        <w:t>3.6.</w:t>
      </w:r>
      <w:r w:rsidRPr="00417CE7">
        <w:rPr>
          <w:u w:val="none"/>
        </w:rPr>
        <w:tab/>
      </w:r>
      <w:r w:rsidRPr="00417CE7">
        <w:rPr>
          <w:rFonts w:ascii="Times New Roman" w:hAnsi="Times New Roman"/>
          <w:sz w:val="24"/>
        </w:rPr>
        <w:t>C 11.00 – Arveldus-/ülekanderisk</w:t>
      </w:r>
      <w:bookmarkEnd w:id="0"/>
      <w:bookmarkEnd w:id="1"/>
      <w:r w:rsidRPr="00417CE7">
        <w:rPr>
          <w:rFonts w:ascii="Times New Roman" w:hAnsi="Times New Roman"/>
          <w:sz w:val="24"/>
        </w:rPr>
        <w:t xml:space="preserve"> (CR SETT)</w:t>
      </w:r>
      <w:bookmarkEnd w:id="2"/>
      <w:bookmarkEnd w:id="3"/>
    </w:p>
    <w:p w14:paraId="2752D001" w14:textId="77777777" w:rsidR="00925646" w:rsidRPr="00417CE7"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sidRPr="00417CE7">
        <w:rPr>
          <w:rFonts w:ascii="Times New Roman" w:hAnsi="Times New Roman"/>
          <w:sz w:val="24"/>
          <w:u w:val="none"/>
        </w:rPr>
        <w:t>3.6.1.</w:t>
      </w:r>
      <w:r w:rsidRPr="00417CE7">
        <w:rPr>
          <w:u w:val="none"/>
        </w:rPr>
        <w:tab/>
      </w:r>
      <w:r w:rsidRPr="00417CE7">
        <w:rPr>
          <w:rFonts w:ascii="Times New Roman" w:hAnsi="Times New Roman"/>
          <w:sz w:val="24"/>
        </w:rPr>
        <w:t>Üldised märkused</w:t>
      </w:r>
      <w:bookmarkEnd w:id="4"/>
      <w:bookmarkEnd w:id="5"/>
      <w:bookmarkEnd w:id="6"/>
      <w:bookmarkEnd w:id="7"/>
      <w:bookmarkEnd w:id="8"/>
      <w:bookmarkEnd w:id="9"/>
    </w:p>
    <w:p w14:paraId="2F026EC9" w14:textId="0B459D4B"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99</w:t>
      </w:r>
      <w:r w:rsidRPr="00417CE7">
        <w:fldChar w:fldCharType="end"/>
      </w:r>
      <w:r w:rsidRPr="00417CE7">
        <w:t>.</w:t>
      </w:r>
      <w:r w:rsidRPr="00417CE7">
        <w:tab/>
        <w:t xml:space="preserve">Käesolevas vormis esitatakse teave nii kauplemisportfelli kui ka kauplemisportfelliväliste tehingute kohta, mis on pärast nende ettenähtud ülekandepäeva arveldamata, ja nende vastavad arveldusriski omavahendite nõuded (vt määruse (EL) nr 575/2013 artikli 92 lõike 3 punkti c alapunkt ii ja artikkel 378). </w:t>
      </w:r>
    </w:p>
    <w:p w14:paraId="0B60E63F" w14:textId="08AFF3CE"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100</w:t>
      </w:r>
      <w:r w:rsidRPr="00417CE7">
        <w:fldChar w:fldCharType="end"/>
      </w:r>
      <w:r w:rsidRPr="00417CE7">
        <w:t>.</w:t>
      </w:r>
      <w:r w:rsidRPr="00417CE7">
        <w:tab/>
        <w:t xml:space="preserve">Finantsinstitutsioonid kajastavad vormis CR SETT teavet arveldus-/ülekanderiski kohta seoses nii nende kauplemisportfelli kuuluvate kui ka kauplemisportfelliväliste võlainstrumentide, aktsiate, välisvaluuta ja kaupadega. </w:t>
      </w:r>
    </w:p>
    <w:p w14:paraId="1F6DAE78" w14:textId="6128EA18"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101</w:t>
      </w:r>
      <w:r w:rsidRPr="00417CE7">
        <w:fldChar w:fldCharType="end"/>
      </w:r>
      <w:r w:rsidRPr="00417CE7">
        <w:t>.</w:t>
      </w:r>
      <w:r w:rsidRPr="00417CE7">
        <w:tab/>
        <w:t>Vastavalt määruse (EL) nr 575/2013 artiklile 378 ei võeta arveldus-/ülekanderiski omavahendite nõuetes arvesse võlainstrumentide, aktsiate, välisvaluuta ja kaupadega seotud repotehingute ning väärtpaberite või kaupade laenuks andmise ja võtmise puhul. Tuleb siiski tähele panna, et tuletisinstrumentide ja pika arveldustähtajaga tehingute suhtes, mis on pärast nende ettenähtud ülekandepäeva arveldamata, kohaldatakse arveldus-/ülekanderiski omavahendite nõudeid vastavalt määruse (EL) nr 575/2013 artiklile 378.</w:t>
      </w:r>
    </w:p>
    <w:p w14:paraId="4DCAF22E" w14:textId="79A986C3"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102</w:t>
      </w:r>
      <w:r w:rsidRPr="00417CE7">
        <w:fldChar w:fldCharType="end"/>
      </w:r>
      <w:r w:rsidRPr="00417CE7">
        <w:t>.</w:t>
      </w:r>
      <w:r w:rsidRPr="00417CE7">
        <w:tab/>
        <w:t xml:space="preserve">Pärast ettenähtud ülekandepäeva arveldamata tehingute puhul arvutavad finantsinstitutsioonid hinnavahe, mille raames nad võivad saada kahju. Hinnavahe arvutatakse asjaomase võlainstrumendi, omakapitali, välisvaluuta või kauba kokkulepitud arveldushinna ja tema praeguse turuväärtuse vahena, mis võib põhjustada finantsinstitutsioonile kahju. </w:t>
      </w:r>
    </w:p>
    <w:p w14:paraId="7DB9BE93" w14:textId="77A3E431"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103</w:t>
      </w:r>
      <w:r w:rsidRPr="00417CE7">
        <w:fldChar w:fldCharType="end"/>
      </w:r>
      <w:r w:rsidRPr="00417CE7">
        <w:t>.</w:t>
      </w:r>
      <w:r w:rsidRPr="00417CE7">
        <w:tab/>
        <w:t>Finantsinstitutsioonid korrutavad selle hinnavahe määruse (EL) nr 575/2013 artikli 378 tabelis 1 esitatud asjakohase teguriga, et teha kindlaks vastavad omavahendite nõuded.</w:t>
      </w:r>
    </w:p>
    <w:p w14:paraId="59D114DF" w14:textId="657627A8"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104</w:t>
      </w:r>
      <w:r w:rsidRPr="00417CE7">
        <w:fldChar w:fldCharType="end"/>
      </w:r>
      <w:r w:rsidRPr="00417CE7">
        <w:t>.</w:t>
      </w:r>
      <w:r w:rsidRPr="00417CE7">
        <w:tab/>
        <w:t>Riskipositsiooni arvutamiseks korrutatakse vastavalt määruse (EL) nr 575/2013 artikli 92 lõike 4 punktile b arveldus-/ülekanderiski omavahendite nõuded 12,5ga.</w:t>
      </w:r>
    </w:p>
    <w:p w14:paraId="451A9870" w14:textId="00DC3B9D" w:rsidR="00925646" w:rsidRPr="00417CE7" w:rsidRDefault="00925646" w:rsidP="00925646">
      <w:pPr>
        <w:pStyle w:val="InstructionsText2"/>
        <w:numPr>
          <w:ilvl w:val="0"/>
          <w:numId w:val="0"/>
        </w:numPr>
        <w:ind w:left="993"/>
      </w:pPr>
      <w:r w:rsidRPr="00417CE7">
        <w:fldChar w:fldCharType="begin"/>
      </w:r>
      <w:r w:rsidRPr="00417CE7">
        <w:instrText>seq paragraphs</w:instrText>
      </w:r>
      <w:r w:rsidRPr="00417CE7">
        <w:fldChar w:fldCharType="separate"/>
      </w:r>
      <w:r w:rsidRPr="00417CE7">
        <w:t>105</w:t>
      </w:r>
      <w:r w:rsidRPr="00417CE7">
        <w:fldChar w:fldCharType="end"/>
      </w:r>
      <w:r w:rsidRPr="00417CE7">
        <w:t>.</w:t>
      </w:r>
      <w:r w:rsidRPr="00417CE7">
        <w:tab/>
        <w:t>Tuleb silmas pidada, et määruse (EL) nr 575/2013 artikli 379 kohaste reguleerimata väärtpaberiülekannete omavahendite nõudeid ei kajastata vormis CR SETT. Need omavahendite nõuded kajastatakse krediidiriski vormidel (CR SA, CR IRB).</w:t>
      </w:r>
    </w:p>
    <w:p w14:paraId="2856C9F8" w14:textId="77777777" w:rsidR="00925646" w:rsidRPr="00417CE7"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sidRPr="00417CE7">
        <w:rPr>
          <w:rFonts w:ascii="Times New Roman" w:hAnsi="Times New Roman"/>
          <w:sz w:val="24"/>
          <w:u w:val="none"/>
        </w:rPr>
        <w:lastRenderedPageBreak/>
        <w:t>3.6.2.</w:t>
      </w:r>
      <w:r w:rsidRPr="00417CE7">
        <w:rPr>
          <w:u w:val="none"/>
        </w:rPr>
        <w:tab/>
      </w:r>
      <w:r w:rsidRPr="00417CE7">
        <w:rPr>
          <w:rFonts w:ascii="Times New Roman" w:hAnsi="Times New Roman"/>
          <w:sz w:val="24"/>
        </w:rPr>
        <w:t>Juhised konkreetsete kirjete kohta</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417CE7" w14:paraId="1C4B6209" w14:textId="77777777" w:rsidTr="00E07FE9">
        <w:tc>
          <w:tcPr>
            <w:tcW w:w="8856" w:type="dxa"/>
            <w:gridSpan w:val="2"/>
            <w:shd w:val="clear" w:color="auto" w:fill="CCCCCC"/>
          </w:tcPr>
          <w:p w14:paraId="248EFB4C" w14:textId="77777777" w:rsidR="00925646" w:rsidRPr="00417CE7" w:rsidRDefault="00925646" w:rsidP="00E07FE9">
            <w:pPr>
              <w:spacing w:beforeLines="60" w:before="144" w:afterLines="60" w:after="144"/>
              <w:rPr>
                <w:rFonts w:ascii="Times New Roman" w:hAnsi="Times New Roman"/>
                <w:b/>
                <w:sz w:val="24"/>
              </w:rPr>
            </w:pPr>
            <w:r w:rsidRPr="00417CE7">
              <w:rPr>
                <w:rFonts w:ascii="Times New Roman" w:hAnsi="Times New Roman"/>
                <w:b/>
                <w:sz w:val="24"/>
              </w:rPr>
              <w:t>Veerud</w:t>
            </w:r>
          </w:p>
        </w:tc>
      </w:tr>
      <w:tr w:rsidR="00925646" w:rsidRPr="00417CE7" w14:paraId="0C777B7A" w14:textId="77777777" w:rsidTr="00E07FE9">
        <w:tc>
          <w:tcPr>
            <w:tcW w:w="852" w:type="dxa"/>
          </w:tcPr>
          <w:p w14:paraId="12FCBB6E"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0010</w:t>
            </w:r>
          </w:p>
        </w:tc>
        <w:tc>
          <w:tcPr>
            <w:tcW w:w="8004" w:type="dxa"/>
          </w:tcPr>
          <w:p w14:paraId="04AF1B5E"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ARVELDAMATA TEHINGUD ARVELDUSHINNAS</w:t>
            </w:r>
          </w:p>
          <w:p w14:paraId="4CB9A5A9"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 xml:space="preserve">Finantsinstitutsioonid kajastavad pärast ettenähtud ülekandepäeva arveldamata tehinguid vastavates kokkulepitud arveldushindades, nagu sätestatud määruse (EL) nr 575/2013 artiklis 378. </w:t>
            </w:r>
          </w:p>
          <w:p w14:paraId="09152D4C"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Selles veerus võetakse arvesse kõiki arveldamata tehinguid, olenemata sellest, kas need on pärast ettenähtud arvelduspäeva kasumis või kahjumis.</w:t>
            </w:r>
          </w:p>
        </w:tc>
      </w:tr>
      <w:tr w:rsidR="00925646" w:rsidRPr="00417CE7" w14:paraId="5FEA9B26" w14:textId="77777777" w:rsidTr="00E07FE9">
        <w:tc>
          <w:tcPr>
            <w:tcW w:w="852" w:type="dxa"/>
          </w:tcPr>
          <w:p w14:paraId="5EC8BA01"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0020</w:t>
            </w:r>
          </w:p>
        </w:tc>
        <w:tc>
          <w:tcPr>
            <w:tcW w:w="8004" w:type="dxa"/>
          </w:tcPr>
          <w:p w14:paraId="5594AB87"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ARVELDAMATA TEHINGUTEST TULENEVA HINNAVAHE RISKIPOSITSIOON</w:t>
            </w:r>
          </w:p>
          <w:p w14:paraId="43853ADA"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 xml:space="preserve">Vastavalt määruse (EL) nr 575/2013 artiklile 378 kajastavad finantsinstitutsioonid asjaomase võlainstrumendi, omakapitali, välisvaluuta või kauba kokkulepitud arveldushinna ja praeguse turuväärtuse hinnavahet, mis võib põhjustada finantsinstitutsioonile kahju. </w:t>
            </w:r>
          </w:p>
          <w:p w14:paraId="692F8ABE"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Selles veerus kajastatakse ainult pärast ettenähtud arvelduspäeva kahjumis olevaid arveldamata tehinguid.</w:t>
            </w:r>
          </w:p>
        </w:tc>
      </w:tr>
      <w:tr w:rsidR="00925646" w:rsidRPr="00417CE7" w14:paraId="40F087AE" w14:textId="77777777" w:rsidTr="00E07FE9">
        <w:tc>
          <w:tcPr>
            <w:tcW w:w="852" w:type="dxa"/>
          </w:tcPr>
          <w:p w14:paraId="464EF1DF"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0030</w:t>
            </w:r>
          </w:p>
        </w:tc>
        <w:tc>
          <w:tcPr>
            <w:tcW w:w="8004" w:type="dxa"/>
          </w:tcPr>
          <w:p w14:paraId="5DA1D585"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OMAVAHENDITE NÕUDED</w:t>
            </w:r>
          </w:p>
          <w:p w14:paraId="24894388"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Finantsinstitutsioonid kajastavad omavahendite nõudeid, mis on arvutatud vastavalt määruse (EL) nr 575/2013 artiklile 378.</w:t>
            </w:r>
          </w:p>
        </w:tc>
      </w:tr>
      <w:tr w:rsidR="00925646" w:rsidRPr="00417CE7" w14:paraId="185C6E1B" w14:textId="77777777" w:rsidTr="00E07FE9">
        <w:tc>
          <w:tcPr>
            <w:tcW w:w="852" w:type="dxa"/>
          </w:tcPr>
          <w:p w14:paraId="6691FECB"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0040</w:t>
            </w:r>
          </w:p>
        </w:tc>
        <w:tc>
          <w:tcPr>
            <w:tcW w:w="8004" w:type="dxa"/>
          </w:tcPr>
          <w:p w14:paraId="09E890C2"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ARVELDUSRISKI KOGURISKIPOSITSIOON</w:t>
            </w:r>
          </w:p>
          <w:p w14:paraId="3A06223E"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Arveldusriski riskipositsiooni arvutamiseks korrutavad finantsinstitutsioonid veerus 0030 kajastatavad omavahendite nõuded 12,5ga vastavalt määruse (EL) nr 575/2013 artikli 92 lõike 4 punktile b.</w:t>
            </w:r>
          </w:p>
        </w:tc>
      </w:tr>
    </w:tbl>
    <w:p w14:paraId="2CF8C386" w14:textId="77777777" w:rsidR="00925646" w:rsidRPr="00417CE7"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417CE7" w14:paraId="49AB5F6A" w14:textId="77777777" w:rsidTr="00E07FE9">
        <w:tc>
          <w:tcPr>
            <w:tcW w:w="8862" w:type="dxa"/>
            <w:gridSpan w:val="2"/>
            <w:shd w:val="clear" w:color="auto" w:fill="CCCCCC"/>
          </w:tcPr>
          <w:p w14:paraId="5E71AA9E" w14:textId="77777777" w:rsidR="00925646" w:rsidRPr="00417CE7" w:rsidRDefault="00925646" w:rsidP="00E07FE9">
            <w:pPr>
              <w:spacing w:beforeLines="60" w:before="144" w:afterLines="60" w:after="144"/>
              <w:rPr>
                <w:rFonts w:ascii="Times New Roman" w:hAnsi="Times New Roman"/>
                <w:b/>
                <w:sz w:val="24"/>
              </w:rPr>
            </w:pPr>
            <w:r w:rsidRPr="00417CE7">
              <w:rPr>
                <w:rFonts w:ascii="Times New Roman" w:hAnsi="Times New Roman"/>
                <w:b/>
                <w:sz w:val="24"/>
              </w:rPr>
              <w:t>Read</w:t>
            </w:r>
          </w:p>
        </w:tc>
      </w:tr>
      <w:tr w:rsidR="00925646" w:rsidRPr="00417CE7" w14:paraId="6E36F3A5" w14:textId="77777777" w:rsidTr="00E07FE9">
        <w:tc>
          <w:tcPr>
            <w:tcW w:w="852" w:type="dxa"/>
          </w:tcPr>
          <w:p w14:paraId="4E78548D"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0010</w:t>
            </w:r>
          </w:p>
        </w:tc>
        <w:tc>
          <w:tcPr>
            <w:tcW w:w="8010" w:type="dxa"/>
          </w:tcPr>
          <w:p w14:paraId="79508667"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Kauplemisportfellivälised arveldamata tehingud kokku</w:t>
            </w:r>
          </w:p>
          <w:p w14:paraId="21410DD0" w14:textId="700C573F"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Finantsinstitutsioonid kajastavad kauplemisportfelliväliste positsioonide arveldus-/ülekanderiski kogusummat (määruse (EL) nr 575/2013 artikli 92 lõike 4 punkt ca ja artikkel 378).</w:t>
            </w:r>
          </w:p>
          <w:p w14:paraId="57BBA9B8" w14:textId="77777777" w:rsidR="00925646" w:rsidRPr="00417CE7" w:rsidRDefault="00925646" w:rsidP="00E07FE9">
            <w:pPr>
              <w:spacing w:beforeLines="60" w:before="144"/>
              <w:rPr>
                <w:rFonts w:ascii="Times New Roman" w:hAnsi="Times New Roman"/>
                <w:sz w:val="24"/>
              </w:rPr>
            </w:pPr>
            <w:r w:rsidRPr="00417CE7">
              <w:rPr>
                <w:rFonts w:ascii="Times New Roman" w:hAnsi="Times New Roman"/>
                <w:sz w:val="24"/>
              </w:rPr>
              <w:t>Finantsinstitutsioonid kajastavad andmeväljal {rida 0010, veerg 0010} pärast ettenähtud ülekandepäeva arveldamata tehingute kogusummat vastavates kokkulepitud arveldushindades.</w:t>
            </w:r>
          </w:p>
          <w:p w14:paraId="556AEAC8" w14:textId="77777777" w:rsidR="00925646" w:rsidRPr="00417CE7" w:rsidRDefault="00925646" w:rsidP="00E07FE9">
            <w:pPr>
              <w:spacing w:beforeLines="60" w:before="144"/>
              <w:rPr>
                <w:rFonts w:ascii="Times New Roman" w:hAnsi="Times New Roman"/>
                <w:sz w:val="24"/>
              </w:rPr>
            </w:pPr>
            <w:r w:rsidRPr="00417CE7">
              <w:rPr>
                <w:rFonts w:ascii="Times New Roman" w:hAnsi="Times New Roman"/>
                <w:sz w:val="24"/>
              </w:rPr>
              <w:t>Finantsinstitutsioonid kajastavad andmeväljal {rida 0010, veerg 0020} agregeeritud teavet kahjumis olevatest arveldamata tehingutest tuleneva hinnavahe riskipositsiooni kohta.</w:t>
            </w:r>
          </w:p>
          <w:p w14:paraId="01BDECED"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lastRenderedPageBreak/>
              <w:t>Finantsinstitutsioonid kajastavad andmeväljal {rida 0010, veerg 0030} agregeeritud omavahendite nõudeid, mis tulenevad arveldamata tehingute omavahendite nõuete summeerimisest, korrutades veerus 0020 kajastatud hinnavahe asjakohase teguriga, mis põhineb ettenähtud arvelduspäevale järgnevate tööpäevade arvul (määruse (EL) nr 575/2013 artikli 378 tabelis 1 osutatud kategooriad).</w:t>
            </w:r>
          </w:p>
        </w:tc>
      </w:tr>
      <w:tr w:rsidR="00925646" w:rsidRPr="00417CE7" w14:paraId="5C9B2254" w14:textId="77777777" w:rsidTr="00E07FE9">
        <w:tc>
          <w:tcPr>
            <w:tcW w:w="852" w:type="dxa"/>
          </w:tcPr>
          <w:p w14:paraId="4D2DFFF2"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lastRenderedPageBreak/>
              <w:t>0020–0060</w:t>
            </w:r>
          </w:p>
        </w:tc>
        <w:tc>
          <w:tcPr>
            <w:tcW w:w="8010" w:type="dxa"/>
          </w:tcPr>
          <w:p w14:paraId="78C0D32F"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Kuni 4 päeva arveldamata tehingud (tegur 0</w:t>
            </w:r>
            <w:r w:rsidRPr="00417CE7">
              <w:t> </w:t>
            </w:r>
            <w:r w:rsidRPr="00417CE7">
              <w:rPr>
                <w:rStyle w:val="InstructionsTabelleberschrift"/>
                <w:rFonts w:ascii="Times New Roman" w:hAnsi="Times New Roman"/>
                <w:sz w:val="24"/>
              </w:rPr>
              <w:t xml:space="preserve">%) </w:t>
            </w:r>
          </w:p>
          <w:p w14:paraId="18729DF9"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5–15 päeva arveldamata tehingud (tegur 8 %)</w:t>
            </w:r>
          </w:p>
          <w:p w14:paraId="00232284"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16–30 päeva arveldamata tehingud (tegur 50 %)</w:t>
            </w:r>
          </w:p>
          <w:p w14:paraId="5EEFD940"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31–45 päeva arveldamata tehingud (tegur 75 %)</w:t>
            </w:r>
          </w:p>
          <w:p w14:paraId="326E480A"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46 päeva või rohkem arveldamata tehingud (tegur 100 %)</w:t>
            </w:r>
          </w:p>
          <w:p w14:paraId="4BCE7D0D"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 xml:space="preserve">Finantsinstitutsioonid kajastavad ridadel 0020–0060 teavet kauplemisportfelliväliste positsioonide arveldus-/ülekanderiski kohta vastavalt määruse (EL) nr 575/2013 artikli 378 tabelis 1 osutatud kategooriatele. </w:t>
            </w:r>
          </w:p>
          <w:p w14:paraId="4BA03842"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Arveldus-/ülekanderiski omavahendite nõudeid ei pea kajastama tehingute puhul, mis on arveldamata vähem kui 5 tööpäeva pärast ettenähtud arvelduspäeva.</w:t>
            </w:r>
          </w:p>
        </w:tc>
      </w:tr>
      <w:tr w:rsidR="00925646" w:rsidRPr="00417CE7" w14:paraId="271E44B6" w14:textId="77777777" w:rsidTr="00E07FE9">
        <w:tc>
          <w:tcPr>
            <w:tcW w:w="852" w:type="dxa"/>
          </w:tcPr>
          <w:p w14:paraId="4680CF00"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0070</w:t>
            </w:r>
          </w:p>
        </w:tc>
        <w:tc>
          <w:tcPr>
            <w:tcW w:w="8010" w:type="dxa"/>
          </w:tcPr>
          <w:p w14:paraId="56920EB6"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Kauplemisportfelli arveldamata tehingud kokku</w:t>
            </w:r>
          </w:p>
          <w:p w14:paraId="3C4B428B" w14:textId="446A5161"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Finantsinstitutsioonid kajastavad kauplemisportfelli positsioonide arveldus-/ülekanderiski kogusummat (määruse (EL) nr 575/2013 artikli 92 lõike 4 punkt ca ja artikkel 378).</w:t>
            </w:r>
          </w:p>
          <w:p w14:paraId="2E44B3F3"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Finantsinstitutsioonid kajastavad andmeväljal {rida 0070, veerg 0010} pärast ettenähtud ülekandepäeva arveldamata tehingute kogusummat vastavates kokkulepitud arveldushindades.</w:t>
            </w:r>
          </w:p>
          <w:p w14:paraId="1CB848DF"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Finantsinstitutsioonid kajastavad andmeväljal {rida 0070, veerg 0020} agregeeritud teavet kahjumis olevatest arveldamata tehingutest tuleneva hinnavahe riskipositsiooni kohta.</w:t>
            </w:r>
          </w:p>
          <w:p w14:paraId="64D05373" w14:textId="77777777" w:rsidR="00925646" w:rsidRPr="00417CE7" w:rsidRDefault="00925646" w:rsidP="00E07FE9">
            <w:pPr>
              <w:spacing w:beforeLines="60" w:before="144" w:afterLines="60" w:after="144"/>
              <w:rPr>
                <w:rFonts w:ascii="Times New Roman" w:hAnsi="Times New Roman"/>
                <w:b/>
                <w:sz w:val="24"/>
              </w:rPr>
            </w:pPr>
            <w:r w:rsidRPr="00417CE7">
              <w:rPr>
                <w:rFonts w:ascii="Times New Roman" w:hAnsi="Times New Roman"/>
                <w:sz w:val="24"/>
              </w:rPr>
              <w:t>Finantsinstitutsioonid kajastavad andmeväljal {rida 0070, veerg 0030} agregeeritud omavahendite nõudeid, mis tulenevad arveldamata tehingute omavahendite nõuete summeerimisest, korrutades veerus 0020 kajastatud hinnavahe asjakohase teguriga, mis põhineb ettenähtud arvelduspäevale järgnevate tööpäevade arvul (määruse (EL) nr 575/2013 artikli 378 tabelis 1 osutatud kategooriad).</w:t>
            </w:r>
          </w:p>
        </w:tc>
      </w:tr>
      <w:tr w:rsidR="00925646" w:rsidRPr="00417CE7" w14:paraId="2284D88A" w14:textId="77777777" w:rsidTr="00E07FE9">
        <w:tc>
          <w:tcPr>
            <w:tcW w:w="852" w:type="dxa"/>
          </w:tcPr>
          <w:p w14:paraId="4F3EBD1A"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t>0080–0120</w:t>
            </w:r>
          </w:p>
        </w:tc>
        <w:tc>
          <w:tcPr>
            <w:tcW w:w="8010" w:type="dxa"/>
          </w:tcPr>
          <w:p w14:paraId="34E9771F"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Kuni 4 päeva arveldamata tehingud (tegur 0</w:t>
            </w:r>
            <w:r w:rsidRPr="00417CE7">
              <w:t> </w:t>
            </w:r>
            <w:r w:rsidRPr="00417CE7">
              <w:rPr>
                <w:rStyle w:val="InstructionsTabelleberschrift"/>
                <w:rFonts w:ascii="Times New Roman" w:hAnsi="Times New Roman"/>
                <w:sz w:val="24"/>
              </w:rPr>
              <w:t xml:space="preserve">%) </w:t>
            </w:r>
          </w:p>
          <w:p w14:paraId="7B8BB095"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5–15 päeva arveldamata tehingud (tegur 8 %)</w:t>
            </w:r>
          </w:p>
          <w:p w14:paraId="3902398B"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16–30 päeva arveldamata tehingud (tegur 50 %)</w:t>
            </w:r>
          </w:p>
          <w:p w14:paraId="25665540"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31–45 päeva arveldamata tehingud (tegur 75 %)</w:t>
            </w:r>
          </w:p>
          <w:p w14:paraId="61E1443A" w14:textId="77777777" w:rsidR="00925646" w:rsidRPr="00417CE7" w:rsidRDefault="00925646" w:rsidP="00E07FE9">
            <w:pPr>
              <w:spacing w:beforeLines="60" w:before="144" w:afterLines="60" w:after="144"/>
              <w:rPr>
                <w:rStyle w:val="InstructionsTabelleberschrift"/>
                <w:rFonts w:ascii="Times New Roman" w:hAnsi="Times New Roman"/>
                <w:sz w:val="24"/>
              </w:rPr>
            </w:pPr>
            <w:r w:rsidRPr="00417CE7">
              <w:rPr>
                <w:rStyle w:val="InstructionsTabelleberschrift"/>
                <w:rFonts w:ascii="Times New Roman" w:hAnsi="Times New Roman"/>
                <w:sz w:val="24"/>
              </w:rPr>
              <w:t>46 päeva või rohkem arveldamata tehingud (tegur 100 %)</w:t>
            </w:r>
          </w:p>
          <w:p w14:paraId="1A0345F5" w14:textId="77777777" w:rsidR="00925646" w:rsidRPr="00417CE7" w:rsidRDefault="00925646" w:rsidP="00E07FE9">
            <w:pPr>
              <w:spacing w:beforeLines="60" w:before="144" w:afterLines="60" w:after="144"/>
              <w:rPr>
                <w:rFonts w:ascii="Times New Roman" w:hAnsi="Times New Roman"/>
                <w:sz w:val="24"/>
              </w:rPr>
            </w:pPr>
            <w:r w:rsidRPr="00417CE7">
              <w:rPr>
                <w:rFonts w:ascii="Times New Roman" w:hAnsi="Times New Roman"/>
                <w:sz w:val="24"/>
              </w:rPr>
              <w:lastRenderedPageBreak/>
              <w:t xml:space="preserve">Finantsinstitutsioonid kajastavad ridadel 0080–0120 teavet kauplemisportfelli positsioonide arveldus-/ülekanderiski kohta vastavalt määruse (EL) nr 575/2013 artikli 378 tabelis 1 osutatud kategooriatele. </w:t>
            </w:r>
          </w:p>
          <w:p w14:paraId="0A9F762A" w14:textId="77777777" w:rsidR="00925646" w:rsidRPr="00417CE7" w:rsidRDefault="00925646" w:rsidP="00E07FE9">
            <w:pPr>
              <w:spacing w:beforeLines="60" w:before="144" w:afterLines="60" w:after="144"/>
              <w:rPr>
                <w:rFonts w:ascii="Times New Roman" w:hAnsi="Times New Roman"/>
                <w:b/>
                <w:sz w:val="24"/>
              </w:rPr>
            </w:pPr>
            <w:r w:rsidRPr="00417CE7">
              <w:rPr>
                <w:rFonts w:ascii="Times New Roman" w:hAnsi="Times New Roman"/>
                <w:sz w:val="24"/>
              </w:rPr>
              <w:t>Arveldus-/ülekanderiski omavahendite nõudeid ei pea kajastama tehingute puhul, mis on arveldamata vähem kui 5 tööpäeva pärast ettenähtud arvelduspäeva.</w:t>
            </w:r>
          </w:p>
        </w:tc>
      </w:tr>
    </w:tbl>
    <w:p w14:paraId="5D73F136" w14:textId="77777777" w:rsidR="00925646" w:rsidRPr="00417CE7" w:rsidRDefault="00925646" w:rsidP="00925646">
      <w:pPr>
        <w:spacing w:after="0"/>
        <w:rPr>
          <w:rFonts w:ascii="Times New Roman" w:hAnsi="Times New Roman"/>
          <w:sz w:val="24"/>
        </w:rPr>
      </w:pPr>
    </w:p>
    <w:p w14:paraId="43F97E9B" w14:textId="77777777" w:rsidR="00925646" w:rsidRPr="00417CE7" w:rsidRDefault="00925646" w:rsidP="00925646">
      <w:r w:rsidRPr="00417CE7">
        <w:br w:type="page"/>
      </w:r>
    </w:p>
    <w:p w14:paraId="557ADFEB" w14:textId="77777777" w:rsidR="00925646" w:rsidRPr="00417CE7" w:rsidRDefault="00925646"/>
    <w:sectPr w:rsidR="00925646" w:rsidRPr="00417CE7">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417CE7"/>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03F8"/>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5DCDB-541C-46CB-9DB1-485153B12B3E}"/>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764</Words>
  <Characters>5931</Characters>
  <Application>Microsoft Office Word</Application>
  <DocSecurity>0</DocSecurity>
  <Lines>131</Lines>
  <Paragraphs>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MILVA Merle (DGT)</cp:lastModifiedBy>
  <cp:revision>10</cp:revision>
  <dcterms:created xsi:type="dcterms:W3CDTF">2024-05-28T09:25:00Z</dcterms:created>
  <dcterms:modified xsi:type="dcterms:W3CDTF">2025-01-26T20:06:00Z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