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E010A" w14:textId="77777777" w:rsidR="00771EE5" w:rsidRPr="0047252F" w:rsidRDefault="00771EE5" w:rsidP="00771EE5">
      <w:pPr>
        <w:jc w:val="center"/>
        <w:rPr>
          <w:rFonts w:ascii="Times New Roman" w:hAnsi="Times New Roman"/>
          <w:sz w:val="24"/>
          <w:szCs w:val="22"/>
        </w:rPr>
      </w:pPr>
      <w:r w:rsidRPr="0047252F">
        <w:rPr>
          <w:rFonts w:ascii="Times New Roman" w:hAnsi="Times New Roman"/>
          <w:sz w:val="24"/>
        </w:rPr>
        <w:t>BG</w:t>
      </w:r>
    </w:p>
    <w:p w14:paraId="22FD1957" w14:textId="77777777" w:rsidR="00441DF2" w:rsidRPr="0047252F" w:rsidRDefault="00441DF2" w:rsidP="00771EE5">
      <w:pPr>
        <w:rPr>
          <w:rFonts w:ascii="Times New Roman" w:hAnsi="Times New Roman"/>
          <w:sz w:val="24"/>
        </w:rPr>
      </w:pPr>
    </w:p>
    <w:p w14:paraId="62C1E171" w14:textId="77777777" w:rsidR="00441DF2" w:rsidRPr="0047252F" w:rsidRDefault="00441DF2" w:rsidP="00441DF2">
      <w:pPr>
        <w:jc w:val="center"/>
        <w:rPr>
          <w:rFonts w:ascii="Times New Roman" w:hAnsi="Times New Roman"/>
          <w:sz w:val="24"/>
        </w:rPr>
      </w:pPr>
      <w:r w:rsidRPr="0047252F">
        <w:rPr>
          <w:rFonts w:ascii="Times New Roman" w:hAnsi="Times New Roman"/>
          <w:sz w:val="24"/>
        </w:rPr>
        <w:t>ПРИЛОЖЕНИЕ II</w:t>
      </w:r>
    </w:p>
    <w:p w14:paraId="42F286CA" w14:textId="77777777" w:rsidR="00441DF2" w:rsidRPr="0047252F" w:rsidRDefault="00441DF2" w:rsidP="00441DF2">
      <w:pPr>
        <w:jc w:val="center"/>
        <w:rPr>
          <w:rFonts w:ascii="Times New Roman" w:hAnsi="Times New Roman"/>
          <w:sz w:val="24"/>
        </w:rPr>
      </w:pPr>
      <w:r w:rsidRPr="0047252F">
        <w:rPr>
          <w:rFonts w:ascii="Times New Roman" w:hAnsi="Times New Roman"/>
          <w:sz w:val="24"/>
        </w:rPr>
        <w:t>„ПРИЛОЖЕНИЕ II</w:t>
      </w:r>
    </w:p>
    <w:p w14:paraId="6D29CBF2" w14:textId="77777777" w:rsidR="00441DF2" w:rsidRPr="0047252F" w:rsidRDefault="00441DF2" w:rsidP="00441DF2">
      <w:pPr>
        <w:jc w:val="center"/>
        <w:rPr>
          <w:rFonts w:ascii="Times New Roman" w:hAnsi="Times New Roman"/>
          <w:b/>
          <w:sz w:val="24"/>
        </w:rPr>
      </w:pPr>
      <w:r w:rsidRPr="0047252F">
        <w:rPr>
          <w:rFonts w:ascii="Times New Roman" w:hAnsi="Times New Roman"/>
          <w:b/>
          <w:sz w:val="24"/>
        </w:rPr>
        <w:t>УКАЗАНИЯ ЗА ДОКЛАДВАНЕ НА ИНФОРМАЦИЯ ЗА СОБСТВЕНИТЕ СРЕДСТВА И КАПИТАЛОВИТЕ ИЗИСКВАНИЯ</w:t>
      </w:r>
    </w:p>
    <w:p w14:paraId="7781F793" w14:textId="77777777" w:rsidR="00441DF2" w:rsidRPr="0047252F" w:rsidRDefault="00441DF2" w:rsidP="00441DF2">
      <w:pPr>
        <w:jc w:val="center"/>
        <w:rPr>
          <w:rFonts w:ascii="Times New Roman" w:hAnsi="Times New Roman"/>
          <w:b/>
          <w:sz w:val="24"/>
          <w:lang w:eastAsia="de-DE"/>
        </w:rPr>
      </w:pPr>
    </w:p>
    <w:p w14:paraId="5003BB90" w14:textId="77777777" w:rsidR="00441DF2" w:rsidRPr="0047252F" w:rsidRDefault="00441DF2" w:rsidP="00441DF2">
      <w:pPr>
        <w:rPr>
          <w:rFonts w:ascii="Times New Roman" w:hAnsi="Times New Roman"/>
          <w:sz w:val="24"/>
        </w:rPr>
      </w:pPr>
    </w:p>
    <w:p w14:paraId="3A3F5236" w14:textId="77777777" w:rsidR="00441DF2" w:rsidRPr="0047252F" w:rsidRDefault="00441DF2" w:rsidP="00441DF2">
      <w:pPr>
        <w:pStyle w:val="Heading2"/>
        <w:rPr>
          <w:rFonts w:ascii="Times New Roman" w:hAnsi="Times New Roman"/>
          <w:b/>
          <w:bCs/>
          <w:color w:val="000000" w:themeColor="text1"/>
          <w:sz w:val="24"/>
          <w:szCs w:val="24"/>
          <w:u w:val="single"/>
        </w:rPr>
      </w:pPr>
      <w:bookmarkStart w:id="0" w:name="_Toc360188322"/>
      <w:bookmarkStart w:id="1" w:name="_Toc473560870"/>
      <w:bookmarkStart w:id="2" w:name="_Toc151714358"/>
      <w:r w:rsidRPr="0047252F">
        <w:rPr>
          <w:rFonts w:ascii="Times New Roman" w:hAnsi="Times New Roman"/>
          <w:b/>
          <w:color w:val="000000" w:themeColor="text1"/>
          <w:sz w:val="24"/>
          <w:u w:val="single"/>
        </w:rPr>
        <w:t>ЧАСТ II: УКАЗАНИЯ ОТНОСНО ОБРАЗЦИТЕ</w:t>
      </w:r>
      <w:bookmarkEnd w:id="0"/>
      <w:bookmarkEnd w:id="1"/>
      <w:bookmarkEnd w:id="2"/>
    </w:p>
    <w:p w14:paraId="2A41C5B9" w14:textId="77777777" w:rsidR="00441DF2" w:rsidRPr="0047252F" w:rsidRDefault="00441DF2" w:rsidP="00441DF2">
      <w:pPr>
        <w:rPr>
          <w:lang w:eastAsia="x-none"/>
        </w:rPr>
      </w:pPr>
    </w:p>
    <w:p w14:paraId="783AFAE2" w14:textId="29BB9ADF" w:rsidR="00EE75F2" w:rsidRPr="0047252F" w:rsidRDefault="00441DF2">
      <w:r w:rsidRPr="0047252F">
        <w:t>(…)</w:t>
      </w:r>
    </w:p>
    <w:p w14:paraId="0FC12B51" w14:textId="77777777" w:rsidR="006063BD" w:rsidRPr="0047252F" w:rsidRDefault="006063BD" w:rsidP="006063BD">
      <w:pPr>
        <w:pStyle w:val="Instructionsberschrift2"/>
        <w:numPr>
          <w:ilvl w:val="0"/>
          <w:numId w:val="0"/>
        </w:numPr>
        <w:ind w:left="357" w:hanging="357"/>
        <w:rPr>
          <w:rFonts w:ascii="Times New Roman" w:hAnsi="Times New Roman" w:cs="Times New Roman"/>
          <w:sz w:val="24"/>
        </w:rPr>
      </w:pPr>
      <w:bookmarkStart w:id="3" w:name="_Toc151714427"/>
      <w:r w:rsidRPr="0047252F">
        <w:rPr>
          <w:rFonts w:ascii="Times New Roman" w:hAnsi="Times New Roman"/>
          <w:sz w:val="24"/>
          <w:u w:val="none"/>
        </w:rPr>
        <w:t>3.5.</w:t>
      </w:r>
      <w:r w:rsidRPr="0047252F">
        <w:rPr>
          <w:rFonts w:ascii="Times New Roman" w:hAnsi="Times New Roman"/>
          <w:sz w:val="24"/>
          <w:u w:val="none"/>
        </w:rPr>
        <w:tab/>
      </w:r>
      <w:r w:rsidRPr="0047252F">
        <w:rPr>
          <w:rFonts w:ascii="Times New Roman" w:hAnsi="Times New Roman"/>
          <w:sz w:val="24"/>
        </w:rPr>
        <w:t>C 10.01 и C 10.02 – Експозиции към капиталови инструменти по вътрешнорейтинговия подход (CR EQU IRB 1 и CR EQU IRB 2)</w:t>
      </w:r>
      <w:bookmarkEnd w:id="3"/>
    </w:p>
    <w:p w14:paraId="00A76F16" w14:textId="77777777" w:rsidR="006063BD" w:rsidRPr="0047252F" w:rsidRDefault="006063BD" w:rsidP="006063BD">
      <w:pPr>
        <w:pStyle w:val="Instructionsberschrift2"/>
        <w:numPr>
          <w:ilvl w:val="0"/>
          <w:numId w:val="0"/>
        </w:numPr>
        <w:rPr>
          <w:rFonts w:ascii="Times New Roman" w:hAnsi="Times New Roman" w:cs="Times New Roman"/>
          <w:sz w:val="24"/>
        </w:rPr>
      </w:pPr>
      <w:bookmarkStart w:id="4" w:name="_Toc151714428"/>
      <w:r w:rsidRPr="0047252F">
        <w:rPr>
          <w:rFonts w:ascii="Times New Roman" w:hAnsi="Times New Roman"/>
          <w:sz w:val="24"/>
        </w:rPr>
        <w:t>3.5.1.</w:t>
      </w:r>
      <w:r w:rsidRPr="0047252F">
        <w:rPr>
          <w:rFonts w:ascii="Times New Roman" w:hAnsi="Times New Roman"/>
          <w:sz w:val="24"/>
        </w:rPr>
        <w:tab/>
        <w:t>Общи бележки</w:t>
      </w:r>
      <w:bookmarkEnd w:id="4"/>
    </w:p>
    <w:p w14:paraId="325D5C5C" w14:textId="5351FFE5" w:rsidR="006063BD" w:rsidRPr="0047252F" w:rsidRDefault="006063BD" w:rsidP="006063BD">
      <w:pPr>
        <w:pStyle w:val="InstructionsText2"/>
        <w:numPr>
          <w:ilvl w:val="0"/>
          <w:numId w:val="0"/>
        </w:numPr>
        <w:ind w:left="993"/>
      </w:pPr>
      <w:r w:rsidRPr="0047252F">
        <w:t>92. Образец CR EQU IRB се състои от два образеца: В CR EQU IRB 1 се прави общ преглед на експозициите по вътрешнорейтинговия подход и на класа експозиции към капиталови инструменти, както и на различните подходи за изчисляване на общата рискова експозиция. В CR EQU IRB 2 се представя разбивка на общите експозиции, отнесени към категориите длъжници в контекста на подхода вероятност от неизпълнение/загуба при неизпълнение (PD/LGD). В следните указания „CR EQU IRB“ се отнася както за образец CR EQU IRB 1, така и за образец CR EQU IRB 2, в зависимост от случая.</w:t>
      </w:r>
    </w:p>
    <w:p w14:paraId="42AD0632" w14:textId="7F41541B" w:rsidR="006063BD" w:rsidRPr="0047252F" w:rsidRDefault="006063BD" w:rsidP="006063BD">
      <w:pPr>
        <w:pStyle w:val="InstructionsText2"/>
        <w:numPr>
          <w:ilvl w:val="0"/>
          <w:numId w:val="0"/>
        </w:numPr>
        <w:ind w:left="993"/>
      </w:pPr>
      <w:r w:rsidRPr="0047252F">
        <w:fldChar w:fldCharType="begin"/>
      </w:r>
      <w:r w:rsidRPr="0047252F">
        <w:instrText>seq paragraphs</w:instrText>
      </w:r>
      <w:r w:rsidRPr="0047252F">
        <w:fldChar w:fldCharType="separate"/>
      </w:r>
      <w:r w:rsidRPr="0047252F">
        <w:t>93</w:t>
      </w:r>
      <w:r w:rsidRPr="0047252F">
        <w:fldChar w:fldCharType="end"/>
      </w:r>
      <w:r w:rsidRPr="0047252F">
        <w:t>.</w:t>
      </w:r>
      <w:r w:rsidRPr="0047252F">
        <w:tab/>
        <w:t>Образец CR EQU IRB предоставя информация за изчисляването на рисково претегления размер за кредитен риск (член 92, параграф 4, буква а) от Регламент (ЕС) № 575/2013) за експозициите по член 495, параграф 1, буква б) от Регламент (ЕС) № 575/2013, третирани в съответствие с трета част, дял II, глава 3 от Регламент (ЕС) № 575/2013 за експозициите към капиталови инструменти, посочени в член 147, параграф 2, буква д) от същия регламент. Експозициите към капиталови инструменти, за които се прилагат член 495, параграф 1, буква а) и член 495, параграф 2 от Регламент (ЕС) № 575/2013, се докладват в образец CR SA (C 07.00). Експозициите към капиталови инструменти, за които се прилага член 495а, параграф 3 от Регламент (ЕС) № 575/2013, се докладват в образец CR SA (C 07.00).</w:t>
      </w:r>
    </w:p>
    <w:p w14:paraId="02D38A2A" w14:textId="0678C7A0" w:rsidR="006063BD" w:rsidRPr="0047252F" w:rsidRDefault="006063BD" w:rsidP="006063BD">
      <w:pPr>
        <w:pStyle w:val="InstructionsText2"/>
        <w:numPr>
          <w:ilvl w:val="0"/>
          <w:numId w:val="0"/>
        </w:numPr>
        <w:ind w:left="993"/>
      </w:pPr>
      <w:r w:rsidRPr="0047252F">
        <w:fldChar w:fldCharType="begin"/>
      </w:r>
      <w:r w:rsidRPr="0047252F">
        <w:instrText>seq paragraphs</w:instrText>
      </w:r>
      <w:r w:rsidRPr="0047252F">
        <w:fldChar w:fldCharType="separate"/>
      </w:r>
      <w:r w:rsidRPr="0047252F">
        <w:t>94</w:t>
      </w:r>
      <w:r w:rsidRPr="0047252F">
        <w:fldChar w:fldCharType="end"/>
      </w:r>
      <w:r w:rsidRPr="0047252F">
        <w:t>.</w:t>
      </w:r>
      <w:r w:rsidRPr="0047252F">
        <w:tab/>
        <w:t>В съответствие с член 147, параграф 6 от Регламент (ЕС) № 575/2013 експозициите, посочени в член 133, параграф 1 от Регламент (ЕС) № 575/2013, се отнасят към клас експозиции „експозиции в капиталови инструменти“, освен когато са отнесени към клас „експозиции под формата на дялове или акции в ПКИ“.</w:t>
      </w:r>
    </w:p>
    <w:p w14:paraId="520150D0" w14:textId="52F4D880" w:rsidR="006063BD" w:rsidRPr="0047252F" w:rsidRDefault="006063BD" w:rsidP="006063BD">
      <w:pPr>
        <w:pStyle w:val="InstructionsText2"/>
        <w:numPr>
          <w:ilvl w:val="0"/>
          <w:numId w:val="0"/>
        </w:numPr>
        <w:ind w:left="993"/>
      </w:pPr>
      <w:r w:rsidRPr="0047252F">
        <w:fldChar w:fldCharType="begin"/>
      </w:r>
      <w:r w:rsidRPr="0047252F">
        <w:instrText>seq paragraphs</w:instrText>
      </w:r>
      <w:r w:rsidRPr="0047252F">
        <w:fldChar w:fldCharType="separate"/>
      </w:r>
      <w:r w:rsidRPr="0047252F">
        <w:t>95</w:t>
      </w:r>
      <w:r w:rsidRPr="0047252F">
        <w:fldChar w:fldCharType="end"/>
      </w:r>
      <w:r w:rsidRPr="0047252F">
        <w:t>.</w:t>
      </w:r>
      <w:r w:rsidRPr="0047252F">
        <w:tab/>
        <w:t>[заличен].</w:t>
      </w:r>
    </w:p>
    <w:p w14:paraId="178611EC" w14:textId="34CA8091" w:rsidR="006063BD" w:rsidRPr="0047252F" w:rsidRDefault="006063BD" w:rsidP="006063BD">
      <w:pPr>
        <w:pStyle w:val="InstructionsText2"/>
        <w:numPr>
          <w:ilvl w:val="0"/>
          <w:numId w:val="0"/>
        </w:numPr>
        <w:ind w:left="993"/>
      </w:pPr>
      <w:r w:rsidRPr="0047252F">
        <w:lastRenderedPageBreak/>
        <w:fldChar w:fldCharType="begin"/>
      </w:r>
      <w:r w:rsidRPr="0047252F">
        <w:instrText>seq paragraphs</w:instrText>
      </w:r>
      <w:r w:rsidRPr="0047252F">
        <w:fldChar w:fldCharType="separate"/>
      </w:r>
      <w:r w:rsidRPr="0047252F">
        <w:t>96</w:t>
      </w:r>
      <w:r w:rsidRPr="0047252F">
        <w:fldChar w:fldCharType="end"/>
      </w:r>
      <w:r w:rsidRPr="0047252F">
        <w:t>.</w:t>
      </w:r>
      <w:r w:rsidRPr="0047252F">
        <w:tab/>
        <w:t xml:space="preserve">В съответствие с член 495, параграф 1, б) от Регламент (ЕС) № 575/2013 институциите представят образец CR EQU IRB, когато прилагат един от следните три подхода: </w:t>
      </w:r>
    </w:p>
    <w:p w14:paraId="0D6A3825" w14:textId="77777777" w:rsidR="006063BD" w:rsidRPr="0047252F" w:rsidRDefault="006063BD" w:rsidP="006063BD">
      <w:pPr>
        <w:pStyle w:val="InstructionsText"/>
      </w:pPr>
      <w:r w:rsidRPr="0047252F">
        <w:t>- подхода за опростено определяне на рисковите тегла;</w:t>
      </w:r>
    </w:p>
    <w:p w14:paraId="3EF899C4" w14:textId="77777777" w:rsidR="006063BD" w:rsidRPr="0047252F" w:rsidRDefault="006063BD" w:rsidP="006063BD">
      <w:pPr>
        <w:pStyle w:val="InstructionsText"/>
      </w:pPr>
      <w:r w:rsidRPr="0047252F">
        <w:t>- подхода PD/LGD;</w:t>
      </w:r>
    </w:p>
    <w:p w14:paraId="622FC220" w14:textId="77777777" w:rsidR="006063BD" w:rsidRPr="0047252F" w:rsidRDefault="006063BD" w:rsidP="006063BD">
      <w:pPr>
        <w:pStyle w:val="InstructionsText"/>
      </w:pPr>
      <w:r w:rsidRPr="0047252F">
        <w:t>- подхода на вътрешните модели.</w:t>
      </w:r>
    </w:p>
    <w:p w14:paraId="5D37423B" w14:textId="57B3065A" w:rsidR="006063BD" w:rsidRPr="0047252F" w:rsidRDefault="006063BD" w:rsidP="006063BD">
      <w:pPr>
        <w:pStyle w:val="InstructionsText2"/>
        <w:numPr>
          <w:ilvl w:val="0"/>
          <w:numId w:val="0"/>
        </w:numPr>
        <w:ind w:left="1353"/>
        <w:rPr>
          <w:noProof/>
        </w:rPr>
      </w:pPr>
      <w:r w:rsidRPr="0047252F">
        <w:t>По силата на член 495, параграф 1, буква б) от Регламент (ЕС) № 575/2013 институциите могат да използват различни подходи (подхода за опростено определяне на рисковите тегла, подхода PD/LGD или подхода на вътрешните модели) за различни портфейли, когато прилагат тези различни подходи вътрешно.</w:t>
      </w:r>
    </w:p>
    <w:p w14:paraId="2BF4ADE6" w14:textId="52D016FB" w:rsidR="006063BD" w:rsidRPr="0047252F" w:rsidRDefault="006063BD" w:rsidP="006063BD">
      <w:pPr>
        <w:pStyle w:val="InstructionsText2"/>
        <w:numPr>
          <w:ilvl w:val="0"/>
          <w:numId w:val="0"/>
        </w:numPr>
        <w:ind w:left="1353"/>
        <w:rPr>
          <w:noProof/>
        </w:rPr>
      </w:pPr>
      <w:r w:rsidRPr="0047252F">
        <w:t>Освен това институциите, прилагащи вътрешнорейтинговия подход, докладват в образец CR EQU IRB рисково претегления размер на експозициите към капиталови инструменти, които подлежат на фиксирано третиране на рисковите тегла, без обаче да са изрично третирани по подхода за опростено определяне на рисковите тегла или като частично (временно или постоянно) се използва стандартизираният подход към кредитния риск (например експозиции към капиталови инструменти, за които се прилага рисково тегло 250 % — в съответствие с член 48, параграф 4 от Регламент (ЕС) № 575/2013, съответно рисково тегло 370 % — в съответствие с член 471, параграф 2 от същия регламент).</w:t>
      </w:r>
    </w:p>
    <w:p w14:paraId="4BBD6043" w14:textId="467889B4" w:rsidR="006063BD" w:rsidRPr="0047252F" w:rsidRDefault="00A65C1A" w:rsidP="0092685D">
      <w:pPr>
        <w:pStyle w:val="InstructionsText2"/>
        <w:numPr>
          <w:ilvl w:val="0"/>
          <w:numId w:val="0"/>
        </w:numPr>
        <w:ind w:left="993"/>
      </w:pPr>
      <w:r w:rsidRPr="0047252F">
        <w:t>97.</w:t>
      </w:r>
      <w:r w:rsidRPr="0047252F">
        <w:tab/>
        <w:t>[заличен].</w:t>
      </w:r>
    </w:p>
    <w:p w14:paraId="6DA8654B" w14:textId="4CECC17C" w:rsidR="00546AF1" w:rsidRPr="0047252F" w:rsidRDefault="00546AF1" w:rsidP="0092685D">
      <w:pPr>
        <w:pStyle w:val="InstructionsText2"/>
        <w:numPr>
          <w:ilvl w:val="0"/>
          <w:numId w:val="0"/>
        </w:numPr>
        <w:ind w:left="993"/>
      </w:pPr>
      <w:r w:rsidRPr="0047252F">
        <w:t>97a. Следните указания се отнасят до Регламент (ЕС) № 575/2013 във версията му, приложима към 8 юли 2024 г.</w:t>
      </w:r>
    </w:p>
    <w:p w14:paraId="3B22CAB3" w14:textId="77777777" w:rsidR="006063BD" w:rsidRPr="0047252F" w:rsidRDefault="006063BD" w:rsidP="006063BD">
      <w:pPr>
        <w:pStyle w:val="InstructionsText"/>
      </w:pPr>
    </w:p>
    <w:p w14:paraId="40C6FF22" w14:textId="77777777" w:rsidR="006063BD" w:rsidRPr="0047252F" w:rsidRDefault="006063BD" w:rsidP="006063BD">
      <w:pPr>
        <w:pStyle w:val="Instructionsberschrift2"/>
        <w:numPr>
          <w:ilvl w:val="0"/>
          <w:numId w:val="0"/>
        </w:numPr>
        <w:ind w:left="357" w:hanging="357"/>
        <w:rPr>
          <w:rFonts w:ascii="Times New Roman" w:hAnsi="Times New Roman" w:cs="Times New Roman"/>
          <w:sz w:val="24"/>
        </w:rPr>
      </w:pPr>
      <w:bookmarkStart w:id="5" w:name="_Toc295829921"/>
      <w:bookmarkStart w:id="6" w:name="_Toc310415033"/>
      <w:bookmarkStart w:id="7" w:name="_Toc360188371"/>
      <w:bookmarkStart w:id="8" w:name="_Toc473560922"/>
      <w:bookmarkStart w:id="9" w:name="_Toc151714429"/>
      <w:r w:rsidRPr="0047252F">
        <w:rPr>
          <w:rFonts w:ascii="Times New Roman" w:hAnsi="Times New Roman"/>
          <w:sz w:val="24"/>
          <w:u w:val="none"/>
        </w:rPr>
        <w:t>3.5.2.</w:t>
      </w:r>
      <w:r w:rsidRPr="0047252F">
        <w:rPr>
          <w:rFonts w:ascii="Times New Roman" w:hAnsi="Times New Roman"/>
          <w:sz w:val="24"/>
          <w:u w:val="none"/>
        </w:rPr>
        <w:tab/>
      </w:r>
      <w:r w:rsidRPr="0047252F">
        <w:rPr>
          <w:rFonts w:ascii="Times New Roman" w:hAnsi="Times New Roman"/>
          <w:sz w:val="24"/>
        </w:rPr>
        <w:t>Указания за конкретни позиции</w:t>
      </w:r>
      <w:bookmarkEnd w:id="5"/>
      <w:bookmarkEnd w:id="6"/>
      <w:r w:rsidRPr="0047252F">
        <w:rPr>
          <w:rFonts w:ascii="Times New Roman" w:hAnsi="Times New Roman"/>
          <w:sz w:val="24"/>
        </w:rPr>
        <w:t xml:space="preserve"> (приложими към CR EQU IRB 1 и CR EQU IRB 2)</w:t>
      </w:r>
      <w:bookmarkEnd w:id="7"/>
      <w:bookmarkEnd w:id="8"/>
      <w:bookmarkEnd w:id="9"/>
    </w:p>
    <w:tbl>
      <w:tblPr>
        <w:tblW w:w="0" w:type="auto"/>
        <w:tblLook w:val="01E0" w:firstRow="1" w:lastRow="1" w:firstColumn="1" w:lastColumn="1" w:noHBand="0" w:noVBand="0"/>
      </w:tblPr>
      <w:tblGrid>
        <w:gridCol w:w="852"/>
        <w:gridCol w:w="8004"/>
      </w:tblGrid>
      <w:tr w:rsidR="006063BD" w:rsidRPr="0047252F" w14:paraId="1FF84224" w14:textId="77777777" w:rsidTr="00E07FE9">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2D36877B" w14:textId="77777777" w:rsidR="006063BD" w:rsidRPr="0047252F" w:rsidRDefault="006063BD" w:rsidP="00E07FE9">
            <w:pPr>
              <w:spacing w:beforeLines="60" w:before="144" w:afterLines="60" w:after="144"/>
              <w:rPr>
                <w:rStyle w:val="InstructionsTabelleText"/>
                <w:rFonts w:ascii="Times New Roman" w:hAnsi="Times New Roman"/>
                <w:b/>
                <w:sz w:val="24"/>
              </w:rPr>
            </w:pPr>
            <w:r w:rsidRPr="0047252F">
              <w:rPr>
                <w:rStyle w:val="InstructionsTabelleText"/>
                <w:rFonts w:ascii="Times New Roman" w:hAnsi="Times New Roman"/>
                <w:b/>
                <w:sz w:val="24"/>
              </w:rPr>
              <w:t>Колони</w:t>
            </w:r>
          </w:p>
        </w:tc>
      </w:tr>
      <w:tr w:rsidR="006063BD" w:rsidRPr="0047252F" w14:paraId="65A83B7D"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20E2B5C" w14:textId="77777777" w:rsidR="006063BD" w:rsidRPr="0047252F" w:rsidRDefault="006063BD" w:rsidP="00E07FE9">
            <w:pPr>
              <w:spacing w:beforeLines="60" w:before="144" w:afterLines="60" w:after="144"/>
              <w:rPr>
                <w:rStyle w:val="InstructionsTabelleText"/>
                <w:rFonts w:ascii="Times New Roman" w:hAnsi="Times New Roman"/>
                <w:sz w:val="24"/>
              </w:rPr>
            </w:pPr>
            <w:r w:rsidRPr="0047252F">
              <w:rPr>
                <w:rStyle w:val="InstructionsTabelleText"/>
                <w:rFonts w:ascii="Times New Roman" w:hAnsi="Times New Roman"/>
                <w:sz w:val="24"/>
              </w:rPr>
              <w:t>0005</w:t>
            </w:r>
          </w:p>
        </w:tc>
        <w:tc>
          <w:tcPr>
            <w:tcW w:w="8004" w:type="dxa"/>
          </w:tcPr>
          <w:p w14:paraId="44A21873" w14:textId="77777777" w:rsidR="006063BD" w:rsidRPr="0047252F" w:rsidRDefault="006063BD" w:rsidP="00E07FE9">
            <w:pPr>
              <w:spacing w:beforeLines="60" w:before="144" w:afterLines="60" w:after="144"/>
              <w:rPr>
                <w:rStyle w:val="InstructionsTabelleberschrift"/>
                <w:rFonts w:ascii="Times New Roman" w:hAnsi="Times New Roman"/>
                <w:sz w:val="24"/>
              </w:rPr>
            </w:pPr>
            <w:r w:rsidRPr="0047252F">
              <w:rPr>
                <w:rStyle w:val="InstructionsTabelleberschrift"/>
                <w:rFonts w:ascii="Times New Roman" w:hAnsi="Times New Roman"/>
                <w:sz w:val="24"/>
              </w:rPr>
              <w:t>КАТЕГОРИЯ ДЛЪЖНИЦИ (ИДЕНТИФИКАТОР НА РЕДА)</w:t>
            </w:r>
          </w:p>
          <w:p w14:paraId="1990DE2E" w14:textId="77777777" w:rsidR="006063BD" w:rsidRPr="0047252F" w:rsidRDefault="006063BD" w:rsidP="00E07FE9">
            <w:pPr>
              <w:spacing w:beforeLines="60" w:before="144" w:afterLines="60" w:after="144"/>
              <w:rPr>
                <w:rStyle w:val="InstructionsTabelleberschrift"/>
                <w:rFonts w:ascii="Times New Roman" w:hAnsi="Times New Roman"/>
                <w:b w:val="0"/>
                <w:sz w:val="24"/>
              </w:rPr>
            </w:pPr>
            <w:r w:rsidRPr="0047252F">
              <w:rPr>
                <w:rStyle w:val="InstructionsTabelleberschrift"/>
                <w:rFonts w:ascii="Times New Roman" w:hAnsi="Times New Roman"/>
                <w:sz w:val="24"/>
              </w:rPr>
              <w:t xml:space="preserve">Тази категория представлява идентификатор на реда и трябва да е уникална за всеки ред от образеца. </w:t>
            </w:r>
            <w:r w:rsidRPr="0047252F">
              <w:rPr>
                <w:rFonts w:ascii="Times New Roman" w:hAnsi="Times New Roman"/>
                <w:sz w:val="24"/>
              </w:rPr>
              <w:t>Той следва поредността на номерата 1, 2, 3 и т.н.</w:t>
            </w:r>
          </w:p>
        </w:tc>
      </w:tr>
      <w:tr w:rsidR="006063BD" w:rsidRPr="0047252F" w14:paraId="4A3DF45C"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FF0DC5" w14:textId="77777777" w:rsidR="006063BD" w:rsidRPr="0047252F" w:rsidRDefault="006063BD" w:rsidP="00E07FE9">
            <w:pPr>
              <w:spacing w:beforeLines="60" w:before="144" w:afterLines="60" w:after="144"/>
              <w:rPr>
                <w:rStyle w:val="InstructionsTabelleText"/>
                <w:rFonts w:ascii="Times New Roman" w:hAnsi="Times New Roman"/>
                <w:sz w:val="24"/>
              </w:rPr>
            </w:pPr>
            <w:r w:rsidRPr="0047252F">
              <w:rPr>
                <w:rStyle w:val="InstructionsTabelleText"/>
                <w:rFonts w:ascii="Times New Roman" w:hAnsi="Times New Roman"/>
                <w:sz w:val="24"/>
              </w:rPr>
              <w:t>0010</w:t>
            </w:r>
          </w:p>
        </w:tc>
        <w:tc>
          <w:tcPr>
            <w:tcW w:w="8004" w:type="dxa"/>
          </w:tcPr>
          <w:p w14:paraId="30BFEC80" w14:textId="77777777" w:rsidR="006063BD" w:rsidRPr="0047252F" w:rsidRDefault="006063BD" w:rsidP="00E07FE9">
            <w:pPr>
              <w:spacing w:beforeLines="60" w:before="144" w:afterLines="60" w:after="144"/>
              <w:rPr>
                <w:rStyle w:val="InstructionsTabelleberschrift"/>
                <w:rFonts w:ascii="Times New Roman" w:hAnsi="Times New Roman"/>
                <w:sz w:val="24"/>
              </w:rPr>
            </w:pPr>
            <w:r w:rsidRPr="0047252F">
              <w:rPr>
                <w:rStyle w:val="InstructionsTabelleberschrift"/>
                <w:rFonts w:ascii="Times New Roman" w:hAnsi="Times New Roman"/>
                <w:sz w:val="24"/>
              </w:rPr>
              <w:t xml:space="preserve">ВЪТРЕШНA РЕЙТИНГОВА СКАЛА </w:t>
            </w:r>
          </w:p>
          <w:p w14:paraId="4DE0AB3D" w14:textId="77777777" w:rsidR="006063BD" w:rsidRPr="0047252F" w:rsidRDefault="006063BD" w:rsidP="00E07FE9">
            <w:pPr>
              <w:spacing w:beforeLines="60" w:before="144" w:afterLines="60" w:after="144"/>
              <w:rPr>
                <w:rStyle w:val="InstructionsTabelleberschrift"/>
                <w:rFonts w:ascii="Times New Roman" w:hAnsi="Times New Roman"/>
                <w:sz w:val="24"/>
              </w:rPr>
            </w:pPr>
            <w:r w:rsidRPr="0047252F">
              <w:rPr>
                <w:rStyle w:val="InstructionsTabelleberschrift"/>
                <w:rFonts w:ascii="Times New Roman" w:hAnsi="Times New Roman"/>
                <w:sz w:val="24"/>
              </w:rPr>
              <w:t>ВЕРОЯТНОСТ ОТ НЕИЗПЪЛНЕНИЕ, ОТНЕСЕНА КЪМ КАТЕГОРИЯТА ДЛЪЖНИЦИ (%)</w:t>
            </w:r>
          </w:p>
          <w:p w14:paraId="3F16319B" w14:textId="77777777" w:rsidR="006063BD" w:rsidRPr="0047252F" w:rsidRDefault="006063BD" w:rsidP="00E07FE9">
            <w:pPr>
              <w:spacing w:beforeLines="60" w:before="144" w:afterLines="60" w:after="144"/>
              <w:rPr>
                <w:rStyle w:val="InstructionsTabelleText"/>
                <w:rFonts w:ascii="Times New Roman" w:hAnsi="Times New Roman"/>
                <w:sz w:val="24"/>
              </w:rPr>
            </w:pPr>
            <w:r w:rsidRPr="0047252F">
              <w:rPr>
                <w:rStyle w:val="InstructionsTabelleText"/>
                <w:rFonts w:ascii="Times New Roman" w:hAnsi="Times New Roman"/>
                <w:sz w:val="24"/>
              </w:rPr>
              <w:t>Институциите, прилагащи подхода PD/LGD, докладват в колона 0010 вероятността от неизпълнение (PD), изчислена в съответствие с член 165, параграф 1 от Регламент (ЕС) № 575/2013.</w:t>
            </w:r>
          </w:p>
          <w:p w14:paraId="5179D71B" w14:textId="77777777" w:rsidR="006063BD" w:rsidRPr="0047252F" w:rsidRDefault="006063BD" w:rsidP="00E07FE9">
            <w:pPr>
              <w:spacing w:beforeLines="60" w:before="144" w:afterLines="60" w:after="144"/>
              <w:rPr>
                <w:rStyle w:val="InstructionsTabelleText"/>
                <w:rFonts w:ascii="Times New Roman" w:hAnsi="Times New Roman"/>
                <w:sz w:val="24"/>
              </w:rPr>
            </w:pPr>
            <w:r w:rsidRPr="0047252F">
              <w:rPr>
                <w:rStyle w:val="InstructionsTabelleText"/>
                <w:rFonts w:ascii="Times New Roman" w:hAnsi="Times New Roman"/>
                <w:sz w:val="24"/>
              </w:rPr>
              <w:lastRenderedPageBreak/>
              <w:t>Вероятността от неизпълнение, отнесена към категориите или групите длъжници, за които ще се докладва, трябва да е в съответствие с минималните изисквания, определени в трета част, дял II, глава 3, раздел 6 от Регламент (ЕС) № 575/2013. За всяка отделна категория или група длъжници се докладва отнесената към нея вероятност от неизпълнение. Всички докладвани параметри на риска се извеждат от параметрите на риска, които се използват във вътрешнорейтинговата скала, одобрена от съответния компетентен орган.</w:t>
            </w:r>
          </w:p>
          <w:p w14:paraId="4A3E11CE" w14:textId="77777777" w:rsidR="006063BD" w:rsidRPr="0047252F" w:rsidRDefault="006063BD" w:rsidP="00E07FE9">
            <w:pPr>
              <w:spacing w:beforeLines="60" w:before="144" w:afterLines="60" w:after="144"/>
              <w:rPr>
                <w:rStyle w:val="InstructionsTabelleText"/>
                <w:rFonts w:ascii="Times New Roman" w:hAnsi="Times New Roman"/>
                <w:sz w:val="24"/>
              </w:rPr>
            </w:pPr>
            <w:r w:rsidRPr="0047252F">
              <w:rPr>
                <w:rStyle w:val="InstructionsTabelleText"/>
                <w:rFonts w:ascii="Times New Roman" w:hAnsi="Times New Roman"/>
                <w:sz w:val="24"/>
              </w:rPr>
              <w:t xml:space="preserve">По отношение на данните, съответстващи на сумираните категории или групи длъжници (например „общите експозиции“), се докладват средно претеглените по експозиции вероятности от неизпълнение, отнесени към категориите или групите длъжници, включени в сумата. При изчисляването на среднопретеглената по експозиции вероятност от неизпълнение се взимат предвид всички експозиции, включително тези в неизпълнение. За целите на претеглянето при изчисляването на среднопретеглената по експозиции вероятност от неизпълнение се използва стойността на експозицията, като се взима предвид кредитната защита с гаранции (колона 0060). </w:t>
            </w:r>
          </w:p>
        </w:tc>
      </w:tr>
      <w:tr w:rsidR="006063BD" w:rsidRPr="0047252F" w14:paraId="213F2491"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5D4562C" w14:textId="77777777" w:rsidR="006063BD" w:rsidRPr="0047252F" w:rsidRDefault="006063BD" w:rsidP="00E07FE9">
            <w:pPr>
              <w:spacing w:beforeLines="60" w:before="144" w:afterLines="60" w:after="144"/>
              <w:rPr>
                <w:rStyle w:val="InstructionsTabelleText"/>
                <w:rFonts w:ascii="Times New Roman" w:hAnsi="Times New Roman"/>
                <w:sz w:val="24"/>
              </w:rPr>
            </w:pPr>
            <w:r w:rsidRPr="0047252F">
              <w:rPr>
                <w:rStyle w:val="InstructionsTabelleText"/>
                <w:rFonts w:ascii="Times New Roman" w:hAnsi="Times New Roman"/>
                <w:sz w:val="24"/>
              </w:rPr>
              <w:lastRenderedPageBreak/>
              <w:t>0020</w:t>
            </w:r>
          </w:p>
        </w:tc>
        <w:tc>
          <w:tcPr>
            <w:tcW w:w="8004" w:type="dxa"/>
          </w:tcPr>
          <w:p w14:paraId="7DFAAD46" w14:textId="77777777" w:rsidR="006063BD" w:rsidRPr="0047252F" w:rsidRDefault="006063BD" w:rsidP="00E07FE9">
            <w:pPr>
              <w:spacing w:beforeLines="60" w:before="144" w:afterLines="60" w:after="144"/>
              <w:rPr>
                <w:rStyle w:val="InstructionsTabelleberschrift"/>
                <w:rFonts w:ascii="Times New Roman" w:hAnsi="Times New Roman"/>
                <w:sz w:val="24"/>
              </w:rPr>
            </w:pPr>
            <w:r w:rsidRPr="0047252F">
              <w:rPr>
                <w:rStyle w:val="InstructionsTabelleberschrift"/>
                <w:rFonts w:ascii="Times New Roman" w:hAnsi="Times New Roman"/>
                <w:sz w:val="24"/>
              </w:rPr>
              <w:t>ПЪРВОНАЧАЛНА ЕКСПОЗИЦИЯ ПРЕДИ ПРИЛАГАНЕТО НА КОНВЕРСИОННИТЕ КОЕФИЦИЕНТИ</w:t>
            </w:r>
          </w:p>
          <w:p w14:paraId="14D647B9" w14:textId="77777777" w:rsidR="006063BD" w:rsidRPr="0047252F" w:rsidRDefault="006063BD" w:rsidP="00E07FE9">
            <w:pPr>
              <w:autoSpaceDE w:val="0"/>
              <w:autoSpaceDN w:val="0"/>
              <w:adjustRightInd w:val="0"/>
              <w:spacing w:before="0" w:after="0"/>
              <w:rPr>
                <w:rStyle w:val="InstructionsTabelleText"/>
                <w:rFonts w:ascii="Times New Roman" w:hAnsi="Times New Roman"/>
                <w:sz w:val="24"/>
              </w:rPr>
            </w:pPr>
            <w:r w:rsidRPr="0047252F">
              <w:rPr>
                <w:rStyle w:val="InstructionsTabelleText"/>
                <w:rFonts w:ascii="Times New Roman" w:hAnsi="Times New Roman"/>
                <w:sz w:val="24"/>
              </w:rPr>
              <w:t xml:space="preserve">Институциите докладват в колона 0020 стойността на първоначалната експозиция (преди прилагането на конверсионните коефициенти). В съответствие с член 167 от Регламент (ЕС) № 575/2013 стойността на експозициите към капиталови инструменти е счетоводната стойност, която остава след прилагането на корекциите за специфичен кредитен риск. </w:t>
            </w:r>
            <w:r w:rsidRPr="0047252F">
              <w:rPr>
                <w:rFonts w:ascii="Times New Roman" w:hAnsi="Times New Roman"/>
                <w:sz w:val="24"/>
              </w:rPr>
              <w:t>Стойността на експозицията на задбалансовите експозиции към капиталови инструменти е нейната номинална стойност след корекциите за специфичен кредитен риск.</w:t>
            </w:r>
          </w:p>
          <w:p w14:paraId="7B8A5042" w14:textId="77777777" w:rsidR="006063BD" w:rsidRPr="0047252F" w:rsidRDefault="006063BD" w:rsidP="00E07FE9">
            <w:pPr>
              <w:spacing w:beforeLines="60" w:before="144" w:afterLines="60" w:after="144"/>
              <w:rPr>
                <w:rStyle w:val="InstructionsTabelleText"/>
                <w:rFonts w:ascii="Times New Roman" w:hAnsi="Times New Roman"/>
                <w:sz w:val="24"/>
              </w:rPr>
            </w:pPr>
            <w:r w:rsidRPr="0047252F">
              <w:rPr>
                <w:rFonts w:ascii="Times New Roman" w:hAnsi="Times New Roman"/>
                <w:sz w:val="24"/>
              </w:rPr>
              <w:t>Институциите включват в колона 0020 и задбалансовите позиции, посочени в приложение I към Регламент (ЕС) № 575/2013, отнесени към клас „експозиции към капиталови инструменти“ (например „неизплатената част от частично изплатени акции“).</w:t>
            </w:r>
          </w:p>
          <w:p w14:paraId="0435DBD5" w14:textId="77777777" w:rsidR="006063BD" w:rsidRPr="0047252F" w:rsidRDefault="006063BD" w:rsidP="00E07FE9">
            <w:pPr>
              <w:spacing w:beforeLines="60" w:before="144" w:afterLines="60" w:after="144"/>
              <w:rPr>
                <w:rStyle w:val="InstructionsTabelleText"/>
                <w:rFonts w:ascii="Times New Roman" w:hAnsi="Times New Roman"/>
                <w:sz w:val="24"/>
              </w:rPr>
            </w:pPr>
            <w:r w:rsidRPr="0047252F">
              <w:rPr>
                <w:rFonts w:ascii="Times New Roman" w:hAnsi="Times New Roman"/>
                <w:sz w:val="24"/>
              </w:rPr>
              <w:t>Институциите, прилагащи подхода за опростено определяне на рисковите тегла или подхода PD/LGD (както е посочено в член 165, параграф 1 от Регламент (ЕС) № 575/2013), взимат предвид и посоченото в член 155, параграф 2, втора алинея от Регламент (ЕС) № 575/2013 нетиране.</w:t>
            </w:r>
            <w:r w:rsidRPr="0047252F">
              <w:rPr>
                <w:rStyle w:val="InstructionsTabelleText"/>
                <w:rFonts w:ascii="Times New Roman" w:hAnsi="Times New Roman"/>
                <w:sz w:val="24"/>
              </w:rPr>
              <w:t xml:space="preserve"> </w:t>
            </w:r>
          </w:p>
        </w:tc>
      </w:tr>
      <w:tr w:rsidR="006063BD" w:rsidRPr="0047252F" w14:paraId="382DC2E8"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E6A8C45" w14:textId="77777777" w:rsidR="006063BD" w:rsidRPr="0047252F" w:rsidRDefault="006063BD" w:rsidP="00E07FE9">
            <w:pPr>
              <w:spacing w:beforeLines="60" w:before="144" w:afterLines="60" w:after="144"/>
              <w:rPr>
                <w:rStyle w:val="InstructionsTabelleText"/>
                <w:rFonts w:ascii="Times New Roman" w:hAnsi="Times New Roman"/>
                <w:sz w:val="24"/>
              </w:rPr>
            </w:pPr>
            <w:r w:rsidRPr="0047252F">
              <w:rPr>
                <w:rStyle w:val="InstructionsTabelleText"/>
                <w:rFonts w:ascii="Times New Roman" w:hAnsi="Times New Roman"/>
                <w:sz w:val="24"/>
              </w:rPr>
              <w:t>0030-0040</w:t>
            </w:r>
          </w:p>
        </w:tc>
        <w:tc>
          <w:tcPr>
            <w:tcW w:w="8004" w:type="dxa"/>
          </w:tcPr>
          <w:p w14:paraId="2893F262" w14:textId="77777777" w:rsidR="006063BD" w:rsidRPr="0047252F" w:rsidRDefault="006063BD" w:rsidP="00E07FE9">
            <w:pPr>
              <w:spacing w:beforeLines="60" w:before="144" w:afterLines="60" w:after="144"/>
              <w:rPr>
                <w:rStyle w:val="InstructionsTabelleberschrift"/>
                <w:rFonts w:ascii="Times New Roman" w:hAnsi="Times New Roman"/>
                <w:sz w:val="24"/>
              </w:rPr>
            </w:pPr>
            <w:r w:rsidRPr="0047252F">
              <w:rPr>
                <w:rStyle w:val="InstructionsTabelleberschrift"/>
                <w:rFonts w:ascii="Times New Roman" w:hAnsi="Times New Roman"/>
                <w:sz w:val="24"/>
              </w:rPr>
              <w:t>ТЕХНИКИ ЗА РЕДУЦИРАНЕ НА КРЕДИТНИЯ РИСК С ЕФЕКТ НА ЗАМЕСТВАНЕ ВЪРХУ ЕКСПОЗИЦИЯТА</w:t>
            </w:r>
          </w:p>
          <w:p w14:paraId="4EC65FBC" w14:textId="77777777" w:rsidR="006063BD" w:rsidRPr="0047252F" w:rsidRDefault="006063BD" w:rsidP="00E07FE9">
            <w:pPr>
              <w:spacing w:beforeLines="60" w:before="144" w:afterLines="60" w:after="144"/>
              <w:rPr>
                <w:rStyle w:val="InstructionsTabelleberschrift"/>
                <w:rFonts w:ascii="Times New Roman" w:hAnsi="Times New Roman"/>
                <w:sz w:val="24"/>
              </w:rPr>
            </w:pPr>
            <w:r w:rsidRPr="0047252F">
              <w:rPr>
                <w:rStyle w:val="InstructionsTabelleberschrift"/>
                <w:rFonts w:ascii="Times New Roman" w:hAnsi="Times New Roman"/>
                <w:sz w:val="24"/>
              </w:rPr>
              <w:t>КРЕДИТНА ЗАЩИТА С ГАРАНЦИИ</w:t>
            </w:r>
          </w:p>
          <w:p w14:paraId="2B5389BD" w14:textId="77777777" w:rsidR="006063BD" w:rsidRPr="0047252F" w:rsidRDefault="006063BD" w:rsidP="00E07FE9">
            <w:pPr>
              <w:spacing w:beforeLines="60" w:before="144" w:afterLines="60" w:after="144"/>
              <w:rPr>
                <w:rStyle w:val="InstructionsTabelleberschrift"/>
                <w:rFonts w:ascii="Times New Roman" w:hAnsi="Times New Roman"/>
                <w:sz w:val="24"/>
              </w:rPr>
            </w:pPr>
            <w:r w:rsidRPr="0047252F">
              <w:rPr>
                <w:rStyle w:val="InstructionsTabelleberschrift"/>
                <w:rFonts w:ascii="Times New Roman" w:hAnsi="Times New Roman"/>
                <w:sz w:val="24"/>
              </w:rPr>
              <w:t>ГАРАНЦИИ</w:t>
            </w:r>
          </w:p>
          <w:p w14:paraId="3ED7D45A" w14:textId="77777777" w:rsidR="006063BD" w:rsidRPr="0047252F" w:rsidRDefault="006063BD" w:rsidP="00E07FE9">
            <w:pPr>
              <w:spacing w:beforeLines="60" w:before="144" w:afterLines="60" w:after="144"/>
              <w:rPr>
                <w:rStyle w:val="InstructionsTabelleberschrift"/>
                <w:rFonts w:ascii="Times New Roman" w:hAnsi="Times New Roman"/>
                <w:sz w:val="24"/>
              </w:rPr>
            </w:pPr>
            <w:r w:rsidRPr="0047252F">
              <w:rPr>
                <w:rStyle w:val="InstructionsTabelleberschrift"/>
                <w:rFonts w:ascii="Times New Roman" w:hAnsi="Times New Roman"/>
                <w:sz w:val="24"/>
              </w:rPr>
              <w:t>КРЕДИТНИ ДЕРИВАТИ</w:t>
            </w:r>
          </w:p>
          <w:p w14:paraId="78FA5F7A" w14:textId="77777777" w:rsidR="006063BD" w:rsidRPr="0047252F" w:rsidRDefault="006063BD" w:rsidP="00E07FE9">
            <w:pPr>
              <w:spacing w:beforeLines="60" w:before="144" w:afterLines="60" w:after="144"/>
              <w:rPr>
                <w:rStyle w:val="InstructionsTabelleText"/>
                <w:rFonts w:ascii="Times New Roman" w:hAnsi="Times New Roman"/>
                <w:sz w:val="24"/>
              </w:rPr>
            </w:pPr>
            <w:r w:rsidRPr="0047252F">
              <w:rPr>
                <w:rFonts w:ascii="Times New Roman" w:hAnsi="Times New Roman"/>
                <w:sz w:val="24"/>
              </w:rPr>
              <w:t>Независимо от възприетия подход за изчисляване на рисково претеглените експозиции към капиталови инструменти, институциите могат да признаят кредитната защита с гаранции, получена по експозициите към капиталови инструменти (член 155, параграфи 2, 3 и 4 от Регламент (ЕС) № 575/2013).</w:t>
            </w:r>
            <w:r w:rsidRPr="0047252F">
              <w:rPr>
                <w:rStyle w:val="InstructionsTabelleText"/>
                <w:rFonts w:ascii="Times New Roman" w:hAnsi="Times New Roman"/>
                <w:sz w:val="24"/>
              </w:rPr>
              <w:t xml:space="preserve"> </w:t>
            </w:r>
            <w:r w:rsidRPr="0047252F">
              <w:rPr>
                <w:rFonts w:ascii="Times New Roman" w:hAnsi="Times New Roman"/>
                <w:sz w:val="24"/>
              </w:rPr>
              <w:lastRenderedPageBreak/>
              <w:t>Институциите, прилагащи подхода за опростено определяне на рисковите тегла или подхода PD/LGD, докладват в колони 0030 и 0040 размера на кредитната защита с гаранции под формата на гаранции (колона 0030) или кредитни деривати (колона 0040), призната по методите в трета част, дял II, глава 4 от Регламент (ЕС) № 575/2013.</w:t>
            </w:r>
          </w:p>
        </w:tc>
      </w:tr>
      <w:tr w:rsidR="006063BD" w:rsidRPr="0047252F" w14:paraId="17F47692"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E9B1439" w14:textId="77777777" w:rsidR="006063BD" w:rsidRPr="0047252F" w:rsidRDefault="006063BD" w:rsidP="00E07FE9">
            <w:pPr>
              <w:spacing w:beforeLines="60" w:before="144" w:afterLines="60" w:after="144"/>
              <w:rPr>
                <w:rStyle w:val="InstructionsTabelleText"/>
                <w:rFonts w:ascii="Times New Roman" w:hAnsi="Times New Roman"/>
                <w:sz w:val="24"/>
              </w:rPr>
            </w:pPr>
            <w:r w:rsidRPr="0047252F">
              <w:rPr>
                <w:rStyle w:val="InstructionsTabelleText"/>
                <w:rFonts w:ascii="Times New Roman" w:hAnsi="Times New Roman"/>
                <w:sz w:val="24"/>
              </w:rPr>
              <w:lastRenderedPageBreak/>
              <w:t>0050</w:t>
            </w:r>
          </w:p>
        </w:tc>
        <w:tc>
          <w:tcPr>
            <w:tcW w:w="8004" w:type="dxa"/>
          </w:tcPr>
          <w:p w14:paraId="2E63B5A9" w14:textId="77777777" w:rsidR="006063BD" w:rsidRPr="0047252F" w:rsidRDefault="006063BD" w:rsidP="00E07FE9">
            <w:pPr>
              <w:spacing w:beforeLines="60" w:before="144" w:afterLines="60" w:after="144"/>
              <w:rPr>
                <w:rStyle w:val="InstructionsTabelleberschrift"/>
                <w:rFonts w:ascii="Times New Roman" w:hAnsi="Times New Roman"/>
                <w:sz w:val="24"/>
              </w:rPr>
            </w:pPr>
            <w:r w:rsidRPr="0047252F">
              <w:rPr>
                <w:rStyle w:val="InstructionsTabelleberschrift"/>
                <w:rFonts w:ascii="Times New Roman" w:hAnsi="Times New Roman"/>
                <w:sz w:val="24"/>
              </w:rPr>
              <w:t>ТЕХНИКИ ЗА РЕДУЦИРАНЕ НА КРЕДИТНИЯ РИСК С ЕФЕКТ НА ЗАМЕСТВАНЕ ВЪРХУ ЕКСПОЗИЦИЯТА</w:t>
            </w:r>
          </w:p>
          <w:p w14:paraId="423CDDE6" w14:textId="77777777" w:rsidR="006063BD" w:rsidRPr="0047252F" w:rsidRDefault="006063BD" w:rsidP="00E07FE9">
            <w:pPr>
              <w:spacing w:beforeLines="60" w:before="144" w:afterLines="60" w:after="144"/>
              <w:rPr>
                <w:rStyle w:val="InstructionsTabelleberschrift"/>
                <w:rFonts w:ascii="Times New Roman" w:hAnsi="Times New Roman"/>
                <w:sz w:val="24"/>
              </w:rPr>
            </w:pPr>
            <w:r w:rsidRPr="0047252F">
              <w:rPr>
                <w:rStyle w:val="InstructionsTabelleberschrift"/>
                <w:rFonts w:ascii="Times New Roman" w:hAnsi="Times New Roman"/>
                <w:sz w:val="24"/>
              </w:rPr>
              <w:t>ЗАМЕСТВАНЕ НА ЕКСПОЗИЦИЯТА ПОРАДИ РЕДУЦИРАНЕ НА КРЕДИТНИЯ РИСК</w:t>
            </w:r>
          </w:p>
          <w:p w14:paraId="3419A1AA" w14:textId="77777777" w:rsidR="006063BD" w:rsidRPr="0047252F" w:rsidRDefault="006063BD" w:rsidP="00E07FE9">
            <w:pPr>
              <w:spacing w:beforeLines="60" w:before="144" w:afterLines="60" w:after="144"/>
              <w:rPr>
                <w:rStyle w:val="InstructionsTabelleberschrift"/>
                <w:rFonts w:ascii="Times New Roman" w:hAnsi="Times New Roman"/>
                <w:sz w:val="24"/>
              </w:rPr>
            </w:pPr>
            <w:r w:rsidRPr="0047252F">
              <w:rPr>
                <w:rStyle w:val="InstructionsTabelleberschrift"/>
                <w:rFonts w:ascii="Times New Roman" w:hAnsi="Times New Roman"/>
                <w:sz w:val="24"/>
              </w:rPr>
              <w:t>(–) ОБЩО ИЗХОДЯЩИ ПОТОЦИ</w:t>
            </w:r>
          </w:p>
          <w:p w14:paraId="565BB9D1" w14:textId="77777777" w:rsidR="006063BD" w:rsidRPr="0047252F" w:rsidRDefault="006063BD" w:rsidP="00E07FE9">
            <w:pPr>
              <w:spacing w:beforeLines="60" w:before="144" w:afterLines="60" w:after="144"/>
              <w:rPr>
                <w:rStyle w:val="InstructionsTabelleText"/>
                <w:rFonts w:ascii="Times New Roman" w:hAnsi="Times New Roman"/>
                <w:sz w:val="24"/>
              </w:rPr>
            </w:pPr>
            <w:r w:rsidRPr="0047252F">
              <w:rPr>
                <w:rFonts w:ascii="Times New Roman" w:hAnsi="Times New Roman"/>
                <w:sz w:val="24"/>
              </w:rPr>
              <w:t>Институциите докладват в колона 0050 частта от първоначалната експозиция преди прилагането на конверсионните коефициенти, обезпечена с кредитната защита с гаранции, призната по методите в трета част, дял II, глава 4 от Регламент (ЕС) № 575/2013.</w:t>
            </w:r>
          </w:p>
        </w:tc>
      </w:tr>
      <w:tr w:rsidR="006063BD" w:rsidRPr="0047252F" w14:paraId="5722682D"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8758B3E" w14:textId="77777777" w:rsidR="006063BD" w:rsidRPr="0047252F" w:rsidRDefault="006063BD" w:rsidP="00E07FE9">
            <w:pPr>
              <w:spacing w:beforeLines="60" w:before="144" w:afterLines="60" w:after="144"/>
              <w:rPr>
                <w:rStyle w:val="InstructionsTabelleText"/>
                <w:rFonts w:ascii="Times New Roman" w:hAnsi="Times New Roman"/>
                <w:sz w:val="24"/>
              </w:rPr>
            </w:pPr>
            <w:r w:rsidRPr="0047252F">
              <w:rPr>
                <w:rStyle w:val="InstructionsTabelleText"/>
                <w:rFonts w:ascii="Times New Roman" w:hAnsi="Times New Roman"/>
                <w:sz w:val="24"/>
              </w:rPr>
              <w:t>0060</w:t>
            </w:r>
          </w:p>
        </w:tc>
        <w:tc>
          <w:tcPr>
            <w:tcW w:w="8004" w:type="dxa"/>
          </w:tcPr>
          <w:p w14:paraId="706B98F2" w14:textId="77777777" w:rsidR="006063BD" w:rsidRPr="0047252F" w:rsidRDefault="006063BD" w:rsidP="00E07FE9">
            <w:pPr>
              <w:spacing w:beforeLines="60" w:before="144" w:afterLines="60" w:after="144"/>
              <w:rPr>
                <w:rStyle w:val="InstructionsTabelleberschrift"/>
                <w:rFonts w:ascii="Times New Roman" w:hAnsi="Times New Roman"/>
                <w:sz w:val="24"/>
              </w:rPr>
            </w:pPr>
            <w:r w:rsidRPr="0047252F">
              <w:rPr>
                <w:rStyle w:val="InstructionsTabelleberschrift"/>
                <w:rFonts w:ascii="Times New Roman" w:hAnsi="Times New Roman"/>
                <w:sz w:val="24"/>
              </w:rPr>
              <w:t>СТОЙНОСТ НА ЕКСПОЗИЦИЯТА</w:t>
            </w:r>
          </w:p>
          <w:p w14:paraId="6AD76A6E" w14:textId="77777777" w:rsidR="006063BD" w:rsidRPr="0047252F" w:rsidRDefault="006063BD" w:rsidP="00E07FE9">
            <w:pPr>
              <w:spacing w:beforeLines="60" w:before="144" w:afterLines="60" w:after="144"/>
              <w:rPr>
                <w:rStyle w:val="InstructionsTabelleText"/>
                <w:rFonts w:ascii="Times New Roman" w:hAnsi="Times New Roman"/>
                <w:sz w:val="24"/>
              </w:rPr>
            </w:pPr>
            <w:r w:rsidRPr="0047252F">
              <w:rPr>
                <w:rFonts w:ascii="Times New Roman" w:hAnsi="Times New Roman"/>
                <w:sz w:val="24"/>
              </w:rPr>
              <w:t>Институциите, прилагащи подхода за опростено определяне на рисковите тегла или подхода PD/LGD, докладват стойността на експозицията в колона 0060, като взимат предвид ефектите на заместване, произтичащи от кредитната защита с гаранции (член 155, параграфи 2 и 3 и член 167 от Регламент (ЕС) № 575/2013).</w:t>
            </w:r>
          </w:p>
          <w:p w14:paraId="651AFB2A" w14:textId="77777777" w:rsidR="006063BD" w:rsidRPr="0047252F" w:rsidRDefault="006063BD" w:rsidP="00E07FE9">
            <w:pPr>
              <w:spacing w:beforeLines="60" w:before="144" w:afterLines="60" w:after="144"/>
              <w:rPr>
                <w:rStyle w:val="InstructionsTabelleText"/>
                <w:rFonts w:ascii="Times New Roman" w:hAnsi="Times New Roman"/>
                <w:sz w:val="24"/>
              </w:rPr>
            </w:pPr>
            <w:r w:rsidRPr="0047252F">
              <w:rPr>
                <w:rFonts w:ascii="Times New Roman" w:hAnsi="Times New Roman"/>
                <w:sz w:val="24"/>
              </w:rPr>
              <w:t>При задбалансовите експозиции към капиталови инструменти стойността на експозицията е номиналната стойност след корекциите за специфичен кредитен риск (член 167 от Регламент (ЕС) № 575/2013).</w:t>
            </w:r>
          </w:p>
        </w:tc>
      </w:tr>
      <w:tr w:rsidR="006063BD" w:rsidRPr="0047252F" w14:paraId="6B327CFF"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E037218" w14:textId="77777777" w:rsidR="006063BD" w:rsidRPr="0047252F" w:rsidRDefault="006063BD" w:rsidP="00E07FE9">
            <w:pPr>
              <w:spacing w:beforeLines="60" w:before="144" w:afterLines="60" w:after="144"/>
              <w:rPr>
                <w:rStyle w:val="InstructionsTabelleText"/>
                <w:rFonts w:ascii="Times New Roman" w:hAnsi="Times New Roman"/>
                <w:sz w:val="24"/>
              </w:rPr>
            </w:pPr>
            <w:r w:rsidRPr="0047252F">
              <w:rPr>
                <w:rStyle w:val="InstructionsTabelleText"/>
                <w:rFonts w:ascii="Times New Roman" w:hAnsi="Times New Roman"/>
                <w:sz w:val="24"/>
              </w:rPr>
              <w:t>0061</w:t>
            </w:r>
          </w:p>
        </w:tc>
        <w:tc>
          <w:tcPr>
            <w:tcW w:w="8004" w:type="dxa"/>
          </w:tcPr>
          <w:p w14:paraId="453CE433" w14:textId="77777777" w:rsidR="006063BD" w:rsidRPr="0047252F" w:rsidRDefault="006063BD" w:rsidP="00E07FE9">
            <w:pPr>
              <w:spacing w:beforeLines="60" w:before="144" w:afterLines="60" w:after="144"/>
              <w:rPr>
                <w:rStyle w:val="InstructionsTabelleberschrift"/>
                <w:rFonts w:ascii="Times New Roman" w:hAnsi="Times New Roman"/>
                <w:sz w:val="24"/>
              </w:rPr>
            </w:pPr>
            <w:r w:rsidRPr="0047252F">
              <w:rPr>
                <w:rStyle w:val="InstructionsTabelleberschrift"/>
                <w:rFonts w:ascii="Times New Roman" w:hAnsi="Times New Roman"/>
                <w:sz w:val="24"/>
              </w:rPr>
              <w:t>В Т.Ч.: ЗАДБАЛАНСОВИ ПОЗИЦИИ</w:t>
            </w:r>
          </w:p>
          <w:p w14:paraId="4C0B5E6E" w14:textId="77777777" w:rsidR="006063BD" w:rsidRPr="0047252F" w:rsidRDefault="006063BD" w:rsidP="00E07FE9">
            <w:pPr>
              <w:spacing w:beforeLines="60" w:before="144" w:afterLines="60" w:after="144"/>
              <w:rPr>
                <w:rStyle w:val="InstructionsTabelleberschrift"/>
                <w:rFonts w:ascii="Times New Roman" w:hAnsi="Times New Roman"/>
                <w:b w:val="0"/>
                <w:sz w:val="24"/>
              </w:rPr>
            </w:pPr>
            <w:r w:rsidRPr="0047252F">
              <w:rPr>
                <w:rStyle w:val="InstructionsTabelleberschrift"/>
                <w:rFonts w:ascii="Times New Roman" w:hAnsi="Times New Roman"/>
                <w:sz w:val="24"/>
              </w:rPr>
              <w:t xml:space="preserve">Вж. указанията за CR-SA. </w:t>
            </w:r>
          </w:p>
        </w:tc>
      </w:tr>
      <w:tr w:rsidR="006063BD" w:rsidRPr="0047252F" w14:paraId="1466607A"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AF23714" w14:textId="77777777" w:rsidR="006063BD" w:rsidRPr="0047252F" w:rsidRDefault="006063BD" w:rsidP="00E07FE9">
            <w:pPr>
              <w:spacing w:beforeLines="60" w:before="144" w:afterLines="60" w:after="144"/>
              <w:rPr>
                <w:rStyle w:val="InstructionsTabelleText"/>
                <w:rFonts w:ascii="Times New Roman" w:hAnsi="Times New Roman"/>
                <w:sz w:val="24"/>
              </w:rPr>
            </w:pPr>
            <w:r w:rsidRPr="0047252F">
              <w:rPr>
                <w:rStyle w:val="InstructionsTabelleText"/>
                <w:rFonts w:ascii="Times New Roman" w:hAnsi="Times New Roman"/>
                <w:sz w:val="24"/>
              </w:rPr>
              <w:t>0070</w:t>
            </w:r>
          </w:p>
        </w:tc>
        <w:tc>
          <w:tcPr>
            <w:tcW w:w="8004" w:type="dxa"/>
          </w:tcPr>
          <w:p w14:paraId="0937B83C" w14:textId="77777777" w:rsidR="006063BD" w:rsidRPr="0047252F" w:rsidRDefault="006063BD" w:rsidP="00E07FE9">
            <w:pPr>
              <w:spacing w:beforeLines="60" w:before="144" w:afterLines="60" w:after="144"/>
              <w:rPr>
                <w:rStyle w:val="InstructionsTabelleberschrift"/>
                <w:rFonts w:ascii="Times New Roman" w:hAnsi="Times New Roman"/>
                <w:sz w:val="24"/>
              </w:rPr>
            </w:pPr>
            <w:r w:rsidRPr="0047252F">
              <w:rPr>
                <w:rStyle w:val="InstructionsTabelleberschrift"/>
                <w:rFonts w:ascii="Times New Roman" w:hAnsi="Times New Roman"/>
                <w:sz w:val="24"/>
              </w:rPr>
              <w:t>СРЕДНОПРЕТЕГЛЕНА ПО ЕКСПОЗИЦИИ ЗАГУБА ПРИ НЕИЗПЪЛНЕНИЕ (LGD) (%)</w:t>
            </w:r>
          </w:p>
          <w:p w14:paraId="39A39197" w14:textId="77777777" w:rsidR="006063BD" w:rsidRPr="0047252F" w:rsidRDefault="006063BD" w:rsidP="00E07FE9">
            <w:pPr>
              <w:spacing w:beforeLines="60" w:before="144" w:afterLines="60" w:after="144"/>
              <w:rPr>
                <w:rStyle w:val="InstructionsTabelleText"/>
                <w:rFonts w:ascii="Times New Roman" w:hAnsi="Times New Roman"/>
                <w:sz w:val="24"/>
              </w:rPr>
            </w:pPr>
            <w:r w:rsidRPr="0047252F">
              <w:rPr>
                <w:rStyle w:val="InstructionsTabelleText"/>
                <w:rFonts w:ascii="Times New Roman" w:hAnsi="Times New Roman"/>
                <w:sz w:val="24"/>
              </w:rPr>
              <w:t>Институциите, прилагащи подхода PD/LGD, докладват среднопретеглената по експозиции стойност на загубите при неизпълнение, отнесени към категориите или групите длъжници, включени в сумирането.</w:t>
            </w:r>
          </w:p>
          <w:p w14:paraId="531525BF" w14:textId="77777777" w:rsidR="006063BD" w:rsidRPr="0047252F" w:rsidRDefault="006063BD" w:rsidP="00E07FE9">
            <w:pPr>
              <w:spacing w:beforeLines="60" w:before="144" w:afterLines="60" w:after="144"/>
              <w:rPr>
                <w:rStyle w:val="InstructionsTabelleText"/>
                <w:rFonts w:ascii="Times New Roman" w:hAnsi="Times New Roman"/>
                <w:sz w:val="24"/>
              </w:rPr>
            </w:pPr>
            <w:r w:rsidRPr="0047252F">
              <w:rPr>
                <w:rStyle w:val="InstructionsTabelleText"/>
                <w:rFonts w:ascii="Times New Roman" w:hAnsi="Times New Roman"/>
                <w:sz w:val="24"/>
              </w:rPr>
              <w:t xml:space="preserve">При изчисляването на среднопретеглената по експозиции загуба при неизпълнение се използва стойността на експозицията при отчитане на кредитната защита с гаранции (колона 0060). </w:t>
            </w:r>
          </w:p>
          <w:p w14:paraId="6D55ECB2" w14:textId="77777777" w:rsidR="006063BD" w:rsidRPr="0047252F" w:rsidRDefault="006063BD" w:rsidP="00E07FE9">
            <w:pPr>
              <w:spacing w:beforeLines="60" w:before="144" w:afterLines="60" w:after="144"/>
              <w:rPr>
                <w:rStyle w:val="InstructionsTabelleText"/>
                <w:rFonts w:ascii="Times New Roman" w:hAnsi="Times New Roman"/>
                <w:sz w:val="24"/>
              </w:rPr>
            </w:pPr>
            <w:r w:rsidRPr="0047252F">
              <w:rPr>
                <w:rFonts w:ascii="Times New Roman" w:hAnsi="Times New Roman"/>
                <w:sz w:val="24"/>
              </w:rPr>
              <w:t>Институциите вземат предвид член 165, параграф 2 от Регламент (ЕС) № 575/2013.</w:t>
            </w:r>
          </w:p>
        </w:tc>
      </w:tr>
      <w:tr w:rsidR="006063BD" w:rsidRPr="0047252F" w14:paraId="31AFD79C"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368FECE1" w14:textId="77777777" w:rsidR="006063BD" w:rsidRPr="0047252F" w:rsidRDefault="006063BD" w:rsidP="00E07FE9">
            <w:pPr>
              <w:spacing w:beforeLines="60" w:before="144" w:afterLines="60" w:after="144"/>
              <w:rPr>
                <w:rStyle w:val="InstructionsTabelleText"/>
                <w:rFonts w:ascii="Times New Roman" w:hAnsi="Times New Roman"/>
                <w:sz w:val="24"/>
              </w:rPr>
            </w:pPr>
            <w:r w:rsidRPr="0047252F">
              <w:rPr>
                <w:rStyle w:val="InstructionsTabelleText"/>
                <w:rFonts w:ascii="Times New Roman" w:hAnsi="Times New Roman"/>
                <w:sz w:val="24"/>
              </w:rPr>
              <w:t>0080</w:t>
            </w:r>
          </w:p>
        </w:tc>
        <w:tc>
          <w:tcPr>
            <w:tcW w:w="8004" w:type="dxa"/>
          </w:tcPr>
          <w:p w14:paraId="4A7F554B" w14:textId="77777777" w:rsidR="006063BD" w:rsidRPr="0047252F" w:rsidRDefault="006063BD" w:rsidP="00E07FE9">
            <w:pPr>
              <w:spacing w:beforeLines="60" w:before="144" w:afterLines="60" w:after="144"/>
              <w:rPr>
                <w:rStyle w:val="InstructionsTabelleberschrift"/>
                <w:rFonts w:ascii="Times New Roman" w:hAnsi="Times New Roman"/>
                <w:sz w:val="24"/>
              </w:rPr>
            </w:pPr>
            <w:r w:rsidRPr="0047252F">
              <w:rPr>
                <w:rStyle w:val="InstructionsTabelleberschrift"/>
                <w:rFonts w:ascii="Times New Roman" w:hAnsi="Times New Roman"/>
                <w:sz w:val="24"/>
              </w:rPr>
              <w:t>РИСКОВО ПРЕТЕГЛЕН РАЗМЕР НА ЕКСПОЗИЦИИТЕ</w:t>
            </w:r>
          </w:p>
          <w:p w14:paraId="11F80B1F" w14:textId="77777777" w:rsidR="006063BD" w:rsidRPr="0047252F" w:rsidRDefault="006063BD" w:rsidP="00E07FE9">
            <w:pPr>
              <w:spacing w:beforeLines="60" w:before="144" w:afterLines="60" w:after="144"/>
              <w:rPr>
                <w:rStyle w:val="InstructionsTabelleText"/>
                <w:rFonts w:ascii="Times New Roman" w:hAnsi="Times New Roman"/>
                <w:sz w:val="24"/>
              </w:rPr>
            </w:pPr>
            <w:r w:rsidRPr="0047252F">
              <w:rPr>
                <w:rFonts w:ascii="Times New Roman" w:hAnsi="Times New Roman"/>
                <w:sz w:val="24"/>
              </w:rPr>
              <w:t>Институциите докладват рисково претеглените размери на експозициите към капиталови инструменти, изчислени в съответствие с член 155 от Регламент (ЕС) № 575/2013.</w:t>
            </w:r>
          </w:p>
          <w:p w14:paraId="73CF54D0" w14:textId="77777777" w:rsidR="006063BD" w:rsidRPr="0047252F" w:rsidRDefault="006063BD" w:rsidP="00E07FE9">
            <w:pPr>
              <w:spacing w:beforeLines="60" w:before="144" w:afterLines="60" w:after="144"/>
              <w:rPr>
                <w:rStyle w:val="InstructionsTabelleText"/>
                <w:rFonts w:ascii="Times New Roman" w:hAnsi="Times New Roman"/>
                <w:sz w:val="24"/>
              </w:rPr>
            </w:pPr>
            <w:r w:rsidRPr="0047252F">
              <w:rPr>
                <w:rFonts w:ascii="Times New Roman" w:hAnsi="Times New Roman"/>
                <w:sz w:val="24"/>
              </w:rPr>
              <w:lastRenderedPageBreak/>
              <w:t>Когато при изчисляването на рисково претеглените експозиции институциите, прилагащи подхода PD/LGD, не разполагат с достатъчно информация, за да използват определението за неизпълнение, установено в член 178 от Регламент (ЕС) № 575/2013, рисковите тегла се умножават по претеглящ коефициент 1,5 (член 155, параграф 3 от Регламент (ЕС) № 575/2013).</w:t>
            </w:r>
            <w:r w:rsidRPr="0047252F">
              <w:rPr>
                <w:rStyle w:val="InstructionsTabelleText"/>
                <w:rFonts w:ascii="Times New Roman" w:hAnsi="Times New Roman"/>
                <w:sz w:val="24"/>
              </w:rPr>
              <w:t xml:space="preserve"> </w:t>
            </w:r>
          </w:p>
          <w:p w14:paraId="73F5A45F" w14:textId="77777777" w:rsidR="006063BD" w:rsidRPr="0047252F" w:rsidRDefault="006063BD" w:rsidP="00E07FE9">
            <w:pPr>
              <w:spacing w:beforeLines="60" w:before="144" w:afterLines="60" w:after="144"/>
              <w:rPr>
                <w:rStyle w:val="InstructionsTabelleText"/>
                <w:rFonts w:ascii="Times New Roman" w:hAnsi="Times New Roman"/>
                <w:sz w:val="24"/>
              </w:rPr>
            </w:pPr>
            <w:r w:rsidRPr="0047252F">
              <w:rPr>
                <w:rFonts w:ascii="Times New Roman" w:hAnsi="Times New Roman"/>
                <w:sz w:val="24"/>
              </w:rPr>
              <w:t>По отношение на входящия параметър M (падеж) във функцията за рисково претегляне, падежът, определен за експозициите към капиталови инструменти, се равнява на 5 години (член 165, параграф 3 от Регламент (ЕС) № 575/2013).</w:t>
            </w:r>
          </w:p>
        </w:tc>
      </w:tr>
      <w:tr w:rsidR="006063BD" w:rsidRPr="0047252F" w14:paraId="6D510B40"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1EF4254" w14:textId="77777777" w:rsidR="006063BD" w:rsidRPr="0047252F" w:rsidRDefault="006063BD" w:rsidP="00E07FE9">
            <w:pPr>
              <w:spacing w:beforeLines="60" w:before="144" w:afterLines="60" w:after="144"/>
              <w:rPr>
                <w:rStyle w:val="InstructionsTabelleText"/>
                <w:rFonts w:ascii="Times New Roman" w:hAnsi="Times New Roman"/>
                <w:sz w:val="24"/>
              </w:rPr>
            </w:pPr>
            <w:r w:rsidRPr="0047252F">
              <w:rPr>
                <w:rStyle w:val="InstructionsTabelleText"/>
                <w:rFonts w:ascii="Times New Roman" w:hAnsi="Times New Roman"/>
                <w:sz w:val="24"/>
              </w:rPr>
              <w:lastRenderedPageBreak/>
              <w:t>0090</w:t>
            </w:r>
          </w:p>
        </w:tc>
        <w:tc>
          <w:tcPr>
            <w:tcW w:w="8004" w:type="dxa"/>
          </w:tcPr>
          <w:p w14:paraId="12D0755F" w14:textId="77777777" w:rsidR="006063BD" w:rsidRPr="0047252F" w:rsidRDefault="006063BD" w:rsidP="00E07FE9">
            <w:pPr>
              <w:spacing w:beforeLines="60" w:before="144" w:afterLines="60" w:after="144"/>
              <w:rPr>
                <w:rStyle w:val="InstructionsTabelleberschrift"/>
                <w:rFonts w:ascii="Times New Roman" w:hAnsi="Times New Roman"/>
                <w:sz w:val="24"/>
              </w:rPr>
            </w:pPr>
            <w:r w:rsidRPr="0047252F">
              <w:rPr>
                <w:rStyle w:val="InstructionsTabelleberschrift"/>
                <w:rFonts w:ascii="Times New Roman" w:hAnsi="Times New Roman"/>
                <w:sz w:val="24"/>
              </w:rPr>
              <w:t>ПОЯСНЯВАЩА ПОЗИЦИЯ: РАЗМЕР НА ОЧАКВАНАТА ЗАГУБА</w:t>
            </w:r>
          </w:p>
          <w:p w14:paraId="623383B8" w14:textId="77777777" w:rsidR="006063BD" w:rsidRPr="0047252F" w:rsidRDefault="006063BD" w:rsidP="00E07FE9">
            <w:pPr>
              <w:spacing w:beforeLines="60" w:before="144" w:afterLines="60" w:after="144"/>
              <w:rPr>
                <w:rStyle w:val="InstructionsTabelleText"/>
                <w:rFonts w:ascii="Times New Roman" w:hAnsi="Times New Roman"/>
                <w:sz w:val="24"/>
              </w:rPr>
            </w:pPr>
            <w:r w:rsidRPr="0047252F">
              <w:rPr>
                <w:rFonts w:ascii="Times New Roman" w:hAnsi="Times New Roman"/>
                <w:sz w:val="24"/>
              </w:rPr>
              <w:t>Институциите докладват в колона 0090 очакваната загуба за експозициите към капиталови инструменти, изчислена в съответствие с член 158, параграфи 4, 7, 8 и 9 от Регламент (ЕС) № 575/2013.</w:t>
            </w:r>
            <w:r w:rsidRPr="0047252F">
              <w:rPr>
                <w:rStyle w:val="InstructionsTabelleText"/>
                <w:rFonts w:ascii="Times New Roman" w:hAnsi="Times New Roman"/>
                <w:sz w:val="24"/>
              </w:rPr>
              <w:t xml:space="preserve"> </w:t>
            </w:r>
          </w:p>
        </w:tc>
      </w:tr>
    </w:tbl>
    <w:p w14:paraId="5929752F" w14:textId="77777777" w:rsidR="006063BD" w:rsidRPr="0047252F" w:rsidRDefault="006063BD" w:rsidP="006063BD">
      <w:pPr>
        <w:pStyle w:val="InstructionsText"/>
      </w:pPr>
    </w:p>
    <w:p w14:paraId="26816B4F" w14:textId="4774BD94" w:rsidR="006063BD" w:rsidRPr="0047252F" w:rsidRDefault="006063BD" w:rsidP="006063BD">
      <w:pPr>
        <w:pStyle w:val="InstructionsText2"/>
        <w:numPr>
          <w:ilvl w:val="0"/>
          <w:numId w:val="0"/>
        </w:numPr>
        <w:ind w:left="993"/>
      </w:pPr>
      <w:r w:rsidRPr="0047252F">
        <w:fldChar w:fldCharType="begin"/>
      </w:r>
      <w:r w:rsidRPr="0047252F">
        <w:instrText>seq paragraphs</w:instrText>
      </w:r>
      <w:r w:rsidRPr="0047252F">
        <w:fldChar w:fldCharType="separate"/>
      </w:r>
      <w:r w:rsidRPr="0047252F">
        <w:t>98</w:t>
      </w:r>
      <w:r w:rsidRPr="0047252F">
        <w:fldChar w:fldCharType="end"/>
      </w:r>
      <w:r w:rsidRPr="0047252F">
        <w:t>.</w:t>
      </w:r>
      <w:r w:rsidRPr="0047252F">
        <w:tab/>
        <w:t>[заличен].</w:t>
      </w:r>
    </w:p>
    <w:tbl>
      <w:tblPr>
        <w:tblW w:w="9524" w:type="dxa"/>
        <w:tblLook w:val="01E0" w:firstRow="1" w:lastRow="1" w:firstColumn="1" w:lastColumn="1" w:noHBand="0" w:noVBand="0"/>
      </w:tblPr>
      <w:tblGrid>
        <w:gridCol w:w="1608"/>
        <w:gridCol w:w="7916"/>
      </w:tblGrid>
      <w:tr w:rsidR="006063BD" w:rsidRPr="0047252F" w14:paraId="390F1BBB" w14:textId="77777777" w:rsidTr="00E07FE9">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4DFE8A5E" w14:textId="77777777" w:rsidR="006063BD" w:rsidRPr="0047252F" w:rsidRDefault="006063BD" w:rsidP="00E07FE9">
            <w:pPr>
              <w:spacing w:beforeLines="60" w:before="144" w:afterLines="60" w:after="144"/>
              <w:rPr>
                <w:rStyle w:val="InstructionsTabelleText"/>
                <w:rFonts w:ascii="Times New Roman" w:hAnsi="Times New Roman"/>
                <w:b/>
                <w:sz w:val="24"/>
              </w:rPr>
            </w:pPr>
            <w:r w:rsidRPr="0047252F">
              <w:rPr>
                <w:rStyle w:val="InstructionsTabelleText"/>
                <w:rFonts w:ascii="Times New Roman" w:hAnsi="Times New Roman"/>
                <w:b/>
                <w:sz w:val="24"/>
              </w:rPr>
              <w:t>Редове</w:t>
            </w:r>
          </w:p>
        </w:tc>
      </w:tr>
      <w:tr w:rsidR="006063BD" w:rsidRPr="0047252F" w14:paraId="7C696210" w14:textId="77777777" w:rsidTr="00E07FE9">
        <w:tc>
          <w:tcPr>
            <w:tcW w:w="1608" w:type="dxa"/>
            <w:tcBorders>
              <w:top w:val="single" w:sz="4" w:space="0" w:color="auto"/>
              <w:left w:val="single" w:sz="4" w:space="0" w:color="auto"/>
              <w:bottom w:val="single" w:sz="4" w:space="0" w:color="auto"/>
              <w:right w:val="single" w:sz="4" w:space="0" w:color="auto"/>
            </w:tcBorders>
          </w:tcPr>
          <w:p w14:paraId="13A797C6" w14:textId="77777777" w:rsidR="006063BD" w:rsidRPr="0047252F" w:rsidRDefault="006063BD" w:rsidP="00E07FE9">
            <w:pPr>
              <w:spacing w:beforeLines="60" w:before="144" w:afterLines="60" w:after="144"/>
              <w:rPr>
                <w:rStyle w:val="InstructionsTabelleText"/>
                <w:rFonts w:ascii="Times New Roman" w:hAnsi="Times New Roman"/>
                <w:sz w:val="24"/>
              </w:rPr>
            </w:pPr>
            <w:r w:rsidRPr="0047252F">
              <w:rPr>
                <w:rStyle w:val="InstructionsTabelleText"/>
                <w:rFonts w:ascii="Times New Roman" w:hAnsi="Times New Roman"/>
                <w:sz w:val="24"/>
              </w:rPr>
              <w:t>CR EQU IRB 1 - ред 0020</w:t>
            </w:r>
          </w:p>
          <w:p w14:paraId="1F763B4F" w14:textId="77777777" w:rsidR="006063BD" w:rsidRPr="0047252F" w:rsidRDefault="006063BD" w:rsidP="00E07FE9">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15CDF7E7" w14:textId="77777777" w:rsidR="006063BD" w:rsidRPr="0047252F" w:rsidRDefault="006063BD" w:rsidP="00E07FE9">
            <w:pPr>
              <w:keepNext/>
              <w:spacing w:beforeLines="60" w:before="144" w:afterLines="60" w:after="144"/>
              <w:rPr>
                <w:rStyle w:val="InstructionsTabelleberschrift"/>
                <w:rFonts w:ascii="Times New Roman" w:hAnsi="Times New Roman"/>
                <w:sz w:val="24"/>
              </w:rPr>
            </w:pPr>
            <w:r w:rsidRPr="0047252F">
              <w:rPr>
                <w:rStyle w:val="InstructionsTabelleberschrift"/>
                <w:rFonts w:ascii="Times New Roman" w:hAnsi="Times New Roman"/>
                <w:sz w:val="24"/>
              </w:rPr>
              <w:t xml:space="preserve">ПОДХОД PD/LGD: ОБЩО </w:t>
            </w:r>
          </w:p>
          <w:p w14:paraId="19AC2738" w14:textId="77777777" w:rsidR="006063BD" w:rsidRPr="0047252F" w:rsidRDefault="006063BD" w:rsidP="00E07FE9">
            <w:pPr>
              <w:keepNext/>
              <w:spacing w:beforeLines="60" w:before="144" w:afterLines="60" w:after="144"/>
              <w:rPr>
                <w:rStyle w:val="InstructionsTabelleText"/>
                <w:rFonts w:ascii="Times New Roman" w:hAnsi="Times New Roman"/>
                <w:sz w:val="24"/>
              </w:rPr>
            </w:pPr>
            <w:r w:rsidRPr="0047252F">
              <w:rPr>
                <w:rFonts w:ascii="Times New Roman" w:hAnsi="Times New Roman"/>
                <w:sz w:val="24"/>
              </w:rPr>
              <w:t>Институциите, прилагащи подхода PD/LGD (член 155, параграф 3 от Регламент (ЕС) № 575/2013), докладват изискуемата информация в ред 0020 от образец CR EQU IRB 1.</w:t>
            </w:r>
          </w:p>
        </w:tc>
      </w:tr>
      <w:tr w:rsidR="006063BD" w:rsidRPr="0047252F" w14:paraId="74C2BF7F" w14:textId="77777777" w:rsidTr="00E07FE9">
        <w:tc>
          <w:tcPr>
            <w:tcW w:w="1608" w:type="dxa"/>
            <w:tcBorders>
              <w:top w:val="single" w:sz="4" w:space="0" w:color="auto"/>
              <w:left w:val="single" w:sz="4" w:space="0" w:color="auto"/>
              <w:bottom w:val="single" w:sz="4" w:space="0" w:color="auto"/>
              <w:right w:val="single" w:sz="4" w:space="0" w:color="auto"/>
            </w:tcBorders>
          </w:tcPr>
          <w:p w14:paraId="71E3EE08" w14:textId="77777777" w:rsidR="006063BD" w:rsidRPr="0047252F" w:rsidRDefault="006063BD" w:rsidP="00E07FE9">
            <w:pPr>
              <w:spacing w:beforeLines="60" w:before="144" w:afterLines="60" w:after="144"/>
              <w:rPr>
                <w:rStyle w:val="InstructionsTabelleText"/>
                <w:rFonts w:ascii="Times New Roman" w:hAnsi="Times New Roman"/>
                <w:sz w:val="24"/>
              </w:rPr>
            </w:pPr>
            <w:r w:rsidRPr="0047252F">
              <w:rPr>
                <w:rStyle w:val="InstructionsTabelleText"/>
                <w:rFonts w:ascii="Times New Roman" w:hAnsi="Times New Roman"/>
                <w:sz w:val="24"/>
              </w:rPr>
              <w:t>CR EQU IRB 1 - редове 0050—0090</w:t>
            </w:r>
          </w:p>
        </w:tc>
        <w:tc>
          <w:tcPr>
            <w:tcW w:w="7916" w:type="dxa"/>
            <w:tcBorders>
              <w:top w:val="single" w:sz="4" w:space="0" w:color="auto"/>
              <w:left w:val="single" w:sz="4" w:space="0" w:color="auto"/>
              <w:bottom w:val="single" w:sz="4" w:space="0" w:color="auto"/>
              <w:right w:val="single" w:sz="4" w:space="0" w:color="auto"/>
            </w:tcBorders>
          </w:tcPr>
          <w:p w14:paraId="502F8A3D" w14:textId="77777777" w:rsidR="006063BD" w:rsidRPr="0047252F" w:rsidRDefault="006063BD" w:rsidP="00E07FE9">
            <w:pPr>
              <w:rPr>
                <w:rStyle w:val="InstructionsTabelleText"/>
                <w:rFonts w:ascii="Times New Roman" w:hAnsi="Times New Roman"/>
                <w:b/>
                <w:sz w:val="24"/>
                <w:u w:val="single"/>
              </w:rPr>
            </w:pPr>
            <w:r w:rsidRPr="0047252F">
              <w:rPr>
                <w:rStyle w:val="InstructionsTabelleText"/>
                <w:rFonts w:ascii="Times New Roman" w:hAnsi="Times New Roman"/>
                <w:b/>
                <w:sz w:val="24"/>
                <w:u w:val="single"/>
              </w:rPr>
              <w:t>ПОДХОД ЗА ОПРОСТЕНО ОПРЕДЕЛЯНЕ НА РИСКОВИТЕ ТЕГЛА: ОБЩО</w:t>
            </w:r>
          </w:p>
          <w:p w14:paraId="4AD71E33" w14:textId="77777777" w:rsidR="006063BD" w:rsidRPr="0047252F" w:rsidRDefault="006063BD" w:rsidP="00E07FE9">
            <w:pPr>
              <w:rPr>
                <w:rStyle w:val="InstructionsTabelleText"/>
                <w:rFonts w:ascii="Times New Roman" w:hAnsi="Times New Roman"/>
                <w:b/>
                <w:sz w:val="24"/>
                <w:u w:val="single"/>
              </w:rPr>
            </w:pPr>
            <w:r w:rsidRPr="0047252F">
              <w:rPr>
                <w:rStyle w:val="InstructionsTabelleText"/>
                <w:rFonts w:ascii="Times New Roman" w:hAnsi="Times New Roman"/>
                <w:b/>
                <w:sz w:val="24"/>
                <w:u w:val="single"/>
              </w:rPr>
              <w:t>РАЗБИВКА ПО РИСКОВИ ТЕГЛА НА ОБЩИТЕ ЕКСПОЗИЦИИ СЪГЛАСНО ПОДХОДА ЗА ОПРОСТЕНО ОПРЕДЕЛЯНЕ НА РИСКОВИТЕ ТЕГЛА:</w:t>
            </w:r>
          </w:p>
          <w:p w14:paraId="39AE74C7" w14:textId="77777777" w:rsidR="006063BD" w:rsidRPr="0047252F" w:rsidRDefault="006063BD" w:rsidP="00E07FE9">
            <w:pPr>
              <w:keepNext/>
              <w:spacing w:beforeLines="60" w:before="144" w:afterLines="60" w:after="144"/>
              <w:rPr>
                <w:rStyle w:val="InstructionsTabelleText"/>
                <w:rFonts w:ascii="Times New Roman" w:hAnsi="Times New Roman"/>
                <w:sz w:val="24"/>
              </w:rPr>
            </w:pPr>
            <w:r w:rsidRPr="0047252F">
              <w:rPr>
                <w:rFonts w:ascii="Times New Roman" w:hAnsi="Times New Roman"/>
                <w:sz w:val="24"/>
              </w:rPr>
              <w:t>Институциите, прилагащи подхода за опростено определяне на рисковите тегла (член 155, параграф 2 от Регламент (ЕС) № 575/2013), докладват изискуемата информация съгласно характеристиките на базисните експозиции в редове 0050—0090.</w:t>
            </w:r>
          </w:p>
        </w:tc>
      </w:tr>
      <w:tr w:rsidR="006063BD" w:rsidRPr="0047252F" w14:paraId="5AE60468" w14:textId="77777777" w:rsidTr="00E07FE9">
        <w:tc>
          <w:tcPr>
            <w:tcW w:w="1608" w:type="dxa"/>
            <w:tcBorders>
              <w:top w:val="single" w:sz="4" w:space="0" w:color="auto"/>
              <w:left w:val="single" w:sz="4" w:space="0" w:color="auto"/>
              <w:bottom w:val="single" w:sz="4" w:space="0" w:color="auto"/>
              <w:right w:val="single" w:sz="4" w:space="0" w:color="auto"/>
            </w:tcBorders>
          </w:tcPr>
          <w:p w14:paraId="6E3956BB" w14:textId="77777777" w:rsidR="006063BD" w:rsidRPr="0047252F" w:rsidRDefault="006063BD" w:rsidP="00E07FE9">
            <w:pPr>
              <w:spacing w:beforeLines="60" w:before="144" w:afterLines="60" w:after="144"/>
              <w:rPr>
                <w:rStyle w:val="InstructionsTabelleText"/>
                <w:rFonts w:ascii="Times New Roman" w:hAnsi="Times New Roman"/>
                <w:sz w:val="24"/>
              </w:rPr>
            </w:pPr>
            <w:r w:rsidRPr="0047252F">
              <w:rPr>
                <w:rStyle w:val="InstructionsTabelleText"/>
                <w:rFonts w:ascii="Times New Roman" w:hAnsi="Times New Roman"/>
                <w:sz w:val="24"/>
              </w:rPr>
              <w:t>CR EQU IRB 1 - ред 0100</w:t>
            </w:r>
          </w:p>
        </w:tc>
        <w:tc>
          <w:tcPr>
            <w:tcW w:w="7916" w:type="dxa"/>
            <w:tcBorders>
              <w:top w:val="single" w:sz="4" w:space="0" w:color="auto"/>
              <w:left w:val="single" w:sz="4" w:space="0" w:color="auto"/>
              <w:bottom w:val="single" w:sz="4" w:space="0" w:color="auto"/>
              <w:right w:val="single" w:sz="4" w:space="0" w:color="auto"/>
            </w:tcBorders>
          </w:tcPr>
          <w:p w14:paraId="28C13DD8" w14:textId="77777777" w:rsidR="006063BD" w:rsidRPr="0047252F" w:rsidRDefault="006063BD" w:rsidP="00E07FE9">
            <w:pPr>
              <w:rPr>
                <w:rStyle w:val="InstructionsTabelleberschrift"/>
                <w:rFonts w:ascii="Times New Roman" w:hAnsi="Times New Roman"/>
                <w:sz w:val="24"/>
              </w:rPr>
            </w:pPr>
            <w:r w:rsidRPr="0047252F">
              <w:rPr>
                <w:rStyle w:val="InstructionsTabelleberschrift"/>
                <w:rFonts w:ascii="Times New Roman" w:hAnsi="Times New Roman"/>
                <w:sz w:val="24"/>
              </w:rPr>
              <w:t>ПОДХОД НА ВЪТРЕШНИТЕ МОДЕЛИ</w:t>
            </w:r>
          </w:p>
          <w:p w14:paraId="186E4F54" w14:textId="77777777" w:rsidR="006063BD" w:rsidRPr="0047252F" w:rsidRDefault="006063BD" w:rsidP="00E07FE9">
            <w:pPr>
              <w:pStyle w:val="InstructionsText"/>
              <w:rPr>
                <w:rStyle w:val="FormatvorlageInstructionsTabelleText"/>
                <w:bCs w:val="0"/>
              </w:rPr>
            </w:pPr>
            <w:r w:rsidRPr="0047252F">
              <w:t>Институциите, прилагащи подхода на вътрешните модели (член 155, параграф 4 от Регламент (ЕС) № 575/2013), докладват изискуемата информация в ред 0100.</w:t>
            </w:r>
          </w:p>
        </w:tc>
      </w:tr>
      <w:tr w:rsidR="006063BD" w:rsidRPr="0047252F" w14:paraId="5AD92C15" w14:textId="77777777" w:rsidTr="00E07FE9">
        <w:tc>
          <w:tcPr>
            <w:tcW w:w="1608" w:type="dxa"/>
            <w:tcBorders>
              <w:top w:val="single" w:sz="4" w:space="0" w:color="auto"/>
              <w:left w:val="single" w:sz="4" w:space="0" w:color="auto"/>
              <w:bottom w:val="single" w:sz="4" w:space="0" w:color="auto"/>
              <w:right w:val="single" w:sz="4" w:space="0" w:color="auto"/>
            </w:tcBorders>
          </w:tcPr>
          <w:p w14:paraId="45440124" w14:textId="77777777" w:rsidR="006063BD" w:rsidRPr="0047252F" w:rsidRDefault="006063BD" w:rsidP="00E07FE9">
            <w:pPr>
              <w:spacing w:beforeLines="60" w:before="144" w:afterLines="60" w:after="144"/>
              <w:rPr>
                <w:rStyle w:val="InstructionsTabelleText"/>
                <w:rFonts w:ascii="Times New Roman" w:hAnsi="Times New Roman"/>
                <w:bCs/>
                <w:sz w:val="24"/>
              </w:rPr>
            </w:pPr>
            <w:r w:rsidRPr="0047252F">
              <w:rPr>
                <w:rStyle w:val="InstructionsTabelleText"/>
                <w:rFonts w:ascii="Times New Roman" w:hAnsi="Times New Roman"/>
                <w:sz w:val="24"/>
              </w:rPr>
              <w:t>CR EQU IRB 1 - ред 0110</w:t>
            </w:r>
          </w:p>
        </w:tc>
        <w:tc>
          <w:tcPr>
            <w:tcW w:w="7916" w:type="dxa"/>
            <w:tcBorders>
              <w:top w:val="single" w:sz="4" w:space="0" w:color="auto"/>
              <w:left w:val="single" w:sz="4" w:space="0" w:color="auto"/>
              <w:bottom w:val="single" w:sz="4" w:space="0" w:color="auto"/>
              <w:right w:val="single" w:sz="4" w:space="0" w:color="auto"/>
            </w:tcBorders>
          </w:tcPr>
          <w:p w14:paraId="5CECA97A" w14:textId="77777777" w:rsidR="006063BD" w:rsidRPr="0047252F" w:rsidRDefault="006063BD" w:rsidP="00E07FE9">
            <w:pPr>
              <w:rPr>
                <w:rStyle w:val="InstructionsTabelleberschrift"/>
                <w:rFonts w:ascii="Times New Roman" w:hAnsi="Times New Roman"/>
                <w:sz w:val="24"/>
              </w:rPr>
            </w:pPr>
            <w:r w:rsidRPr="0047252F">
              <w:rPr>
                <w:rStyle w:val="InstructionsTabelleberschrift"/>
                <w:rFonts w:ascii="Times New Roman" w:hAnsi="Times New Roman"/>
                <w:sz w:val="24"/>
              </w:rPr>
              <w:t>ЕКСПОЗИЦИИ КЪМ КАПИТАЛОВИ ИНСТРУМЕНТИ, ЗА КОИТО СЕ ПРИЛАГАТ РИСКОВИ ТЕГЛА</w:t>
            </w:r>
          </w:p>
          <w:p w14:paraId="7E2EA0A2" w14:textId="77777777" w:rsidR="006063BD" w:rsidRPr="0047252F" w:rsidRDefault="006063BD" w:rsidP="00E07FE9">
            <w:pPr>
              <w:rPr>
                <w:rFonts w:ascii="Times New Roman" w:hAnsi="Times New Roman"/>
                <w:sz w:val="24"/>
              </w:rPr>
            </w:pPr>
            <w:r w:rsidRPr="0047252F">
              <w:rPr>
                <w:rFonts w:ascii="Times New Roman" w:hAnsi="Times New Roman"/>
                <w:sz w:val="24"/>
              </w:rPr>
              <w:t xml:space="preserve">Институциите, прилагащи вътрешнорейтинговия подход, докладват рисково претегления размер на експозициите към капиталови инструменти, за които се прилага третиране с фиксирани рискови тегла (без обаче да </w:t>
            </w:r>
            <w:r w:rsidRPr="0047252F">
              <w:rPr>
                <w:rFonts w:ascii="Times New Roman" w:hAnsi="Times New Roman"/>
                <w:sz w:val="24"/>
              </w:rPr>
              <w:lastRenderedPageBreak/>
              <w:t>бъдат изрично третирани съгласно подхода за опростено определяне на рисковите тегла или да се прилага частично (временно или постоянно) стандартизираният подход към кредитния риск), включително следните експозиции:</w:t>
            </w:r>
          </w:p>
          <w:p w14:paraId="5DD55598" w14:textId="77777777" w:rsidR="006063BD" w:rsidRPr="0047252F" w:rsidRDefault="006063BD" w:rsidP="00E07FE9">
            <w:pPr>
              <w:rPr>
                <w:rStyle w:val="FormatvorlageInstructionsTabelleText"/>
                <w:rFonts w:ascii="Times New Roman" w:hAnsi="Times New Roman"/>
                <w:sz w:val="24"/>
              </w:rPr>
            </w:pPr>
            <w:r w:rsidRPr="0047252F">
              <w:rPr>
                <w:rFonts w:ascii="Times New Roman" w:hAnsi="Times New Roman"/>
                <w:sz w:val="24"/>
              </w:rPr>
              <w:t>- размера на рисково претеглените експозиции на позициите в капиталови инструменти на предприятия от финансовия сектор, третирани в съответствие с член 48, параграф 4 от Регламент (ЕС) № 575/2013, както и</w:t>
            </w:r>
          </w:p>
          <w:p w14:paraId="5C41940A" w14:textId="77777777" w:rsidR="006063BD" w:rsidRPr="0047252F" w:rsidRDefault="006063BD" w:rsidP="00E07FE9">
            <w:pPr>
              <w:rPr>
                <w:rStyle w:val="FormatvorlageInstructionsTabelleText"/>
                <w:rFonts w:ascii="Times New Roman" w:hAnsi="Times New Roman"/>
                <w:sz w:val="24"/>
              </w:rPr>
            </w:pPr>
            <w:r w:rsidRPr="0047252F">
              <w:rPr>
                <w:rStyle w:val="FormatvorlageInstructionsTabelleText"/>
                <w:rFonts w:ascii="Times New Roman" w:hAnsi="Times New Roman"/>
                <w:sz w:val="24"/>
              </w:rPr>
              <w:t>- позициите в капиталови инструменти, получили рисково тегло 370 % по силата на член 471, параграф 2 от Регламент (ЕС) № 575/2013, се докладват в ред 0110.</w:t>
            </w:r>
          </w:p>
        </w:tc>
      </w:tr>
      <w:tr w:rsidR="006063BD" w:rsidRPr="0047252F" w14:paraId="183FE009" w14:textId="77777777" w:rsidTr="00E07FE9">
        <w:tc>
          <w:tcPr>
            <w:tcW w:w="1608" w:type="dxa"/>
            <w:tcBorders>
              <w:top w:val="single" w:sz="4" w:space="0" w:color="auto"/>
              <w:left w:val="single" w:sz="4" w:space="0" w:color="auto"/>
              <w:bottom w:val="single" w:sz="4" w:space="0" w:color="auto"/>
              <w:right w:val="single" w:sz="4" w:space="0" w:color="auto"/>
            </w:tcBorders>
          </w:tcPr>
          <w:p w14:paraId="512410C8" w14:textId="77777777" w:rsidR="006063BD" w:rsidRPr="0047252F" w:rsidRDefault="006063BD" w:rsidP="00E07FE9">
            <w:pPr>
              <w:rPr>
                <w:rStyle w:val="InstructionsTabelleText"/>
                <w:rFonts w:ascii="Times New Roman" w:hAnsi="Times New Roman"/>
                <w:sz w:val="24"/>
              </w:rPr>
            </w:pPr>
            <w:r w:rsidRPr="0047252F">
              <w:rPr>
                <w:rStyle w:val="InstructionsTabelleText"/>
                <w:rFonts w:ascii="Times New Roman" w:hAnsi="Times New Roman"/>
                <w:sz w:val="24"/>
              </w:rPr>
              <w:lastRenderedPageBreak/>
              <w:t>CR EQU IRB 2</w:t>
            </w:r>
          </w:p>
          <w:p w14:paraId="6FA49741" w14:textId="77777777" w:rsidR="006063BD" w:rsidRPr="0047252F" w:rsidRDefault="006063BD" w:rsidP="00E07FE9">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184B8736" w14:textId="77777777" w:rsidR="006063BD" w:rsidRPr="0047252F" w:rsidRDefault="006063BD" w:rsidP="00E07FE9">
            <w:pPr>
              <w:keepNext/>
              <w:spacing w:beforeLines="60" w:before="144" w:afterLines="60" w:after="144"/>
              <w:rPr>
                <w:rStyle w:val="InstructionsTabelleberschrift"/>
                <w:rFonts w:ascii="Times New Roman" w:hAnsi="Times New Roman"/>
                <w:sz w:val="24"/>
              </w:rPr>
            </w:pPr>
            <w:r w:rsidRPr="0047252F">
              <w:rPr>
                <w:rStyle w:val="InstructionsTabelleberschrift"/>
                <w:rFonts w:ascii="Times New Roman" w:hAnsi="Times New Roman"/>
                <w:sz w:val="24"/>
              </w:rPr>
              <w:t>РАЗБИВКА НА ОБЩАТА СТОЙНОСТ НА ЕКСПОЗИЦИИТЕ СЪГЛАСНО ПОДХОДА PD/LGD ПО КАТЕГОРИИ ДЛЪЖНИЦИ:</w:t>
            </w:r>
          </w:p>
          <w:p w14:paraId="248ED9FE" w14:textId="77777777" w:rsidR="006063BD" w:rsidRPr="0047252F" w:rsidRDefault="006063BD" w:rsidP="00E07FE9">
            <w:pPr>
              <w:keepNext/>
              <w:spacing w:beforeLines="60" w:before="144" w:afterLines="60" w:after="144"/>
              <w:rPr>
                <w:rStyle w:val="InstructionsTabelleText"/>
                <w:rFonts w:ascii="Times New Roman" w:hAnsi="Times New Roman"/>
                <w:sz w:val="24"/>
              </w:rPr>
            </w:pPr>
            <w:r w:rsidRPr="0047252F">
              <w:rPr>
                <w:rFonts w:ascii="Times New Roman" w:hAnsi="Times New Roman"/>
                <w:sz w:val="24"/>
              </w:rPr>
              <w:t>Институциите, прилагащи подхода PD/LGD (член 155, параграф 3 от Регламент (ЕС) № 575/2013), докладват изискуемата информация в образец CR EQU IRB 2.</w:t>
            </w:r>
          </w:p>
          <w:p w14:paraId="174DA1AB" w14:textId="77777777" w:rsidR="006063BD" w:rsidRPr="0047252F" w:rsidRDefault="006063BD" w:rsidP="00E07FE9">
            <w:pPr>
              <w:rPr>
                <w:rStyle w:val="InstructionsTabelleberschrift"/>
                <w:rFonts w:ascii="Times New Roman" w:hAnsi="Times New Roman"/>
                <w:b w:val="0"/>
                <w:bCs w:val="0"/>
                <w:sz w:val="24"/>
              </w:rPr>
            </w:pPr>
            <w:r w:rsidRPr="0047252F">
              <w:rPr>
                <w:rStyle w:val="InstructionsTabelleText"/>
                <w:rFonts w:ascii="Times New Roman" w:hAnsi="Times New Roman"/>
                <w:sz w:val="24"/>
              </w:rPr>
              <w:t>Прилагащите подхода PD/LGD институции, които използват собствена рейтингова скала или които могат да докладват съгласно вътрешна генерална скала, докладват в CR EQU IRB 2 рейтинговите категории или групи, свързани с тази собствена рейтингова скала/генерална скала. Във всички други случаи различните рейтингови скали се обединяват и подреждат по следните критерии: категориите или групите длъжници по различните рейтингови скали се обединяват и подреждат от по-ниската към по-високата вероятност за неизпълнение, отнесени към всяка категория или група длъжници.</w:t>
            </w:r>
          </w:p>
        </w:tc>
      </w:tr>
    </w:tbl>
    <w:p w14:paraId="6582749C" w14:textId="77777777" w:rsidR="006063BD" w:rsidRPr="0047252F" w:rsidRDefault="006063BD" w:rsidP="006063BD">
      <w:pPr>
        <w:spacing w:before="0" w:after="0"/>
        <w:jc w:val="left"/>
        <w:rPr>
          <w:rStyle w:val="InstructionsTabelleText"/>
          <w:rFonts w:ascii="Times New Roman" w:hAnsi="Times New Roman"/>
          <w:sz w:val="24"/>
        </w:rPr>
      </w:pPr>
    </w:p>
    <w:p w14:paraId="63729A6E" w14:textId="77777777" w:rsidR="006063BD" w:rsidRPr="0047252F" w:rsidRDefault="006063BD"/>
    <w:sectPr w:rsidR="006063BD" w:rsidRPr="0047252F">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596C8" w14:textId="77777777" w:rsidR="006063BD" w:rsidRDefault="006063BD" w:rsidP="006063BD">
      <w:pPr>
        <w:spacing w:before="0" w:after="0"/>
      </w:pPr>
      <w:r>
        <w:separator/>
      </w:r>
    </w:p>
  </w:endnote>
  <w:endnote w:type="continuationSeparator" w:id="0">
    <w:p w14:paraId="3028241C" w14:textId="77777777" w:rsidR="006063BD" w:rsidRDefault="006063BD" w:rsidP="006063B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DFE04" w14:textId="77777777" w:rsidR="006063BD" w:rsidRDefault="006063BD" w:rsidP="006063BD">
      <w:pPr>
        <w:spacing w:before="0" w:after="0"/>
      </w:pPr>
      <w:r>
        <w:separator/>
      </w:r>
    </w:p>
  </w:footnote>
  <w:footnote w:type="continuationSeparator" w:id="0">
    <w:p w14:paraId="293D1C5B" w14:textId="77777777" w:rsidR="006063BD" w:rsidRDefault="006063BD" w:rsidP="006063B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E9E92" w14:textId="69BAC378" w:rsidR="006063BD" w:rsidRDefault="006063BD">
    <w:pPr>
      <w:pStyle w:val="Header"/>
    </w:pPr>
    <w:r>
      <w:rPr>
        <w:noProof/>
      </w:rPr>
      <mc:AlternateContent>
        <mc:Choice Requires="wps">
          <w:drawing>
            <wp:anchor distT="0" distB="0" distL="0" distR="0" simplePos="0" relativeHeight="251659264" behindDoc="0" locked="0" layoutInCell="1" allowOverlap="1" wp14:anchorId="3CE9D0B3" wp14:editId="4549156A">
              <wp:simplePos x="635" y="635"/>
              <wp:positionH relativeFrom="page">
                <wp:align>left</wp:align>
              </wp:positionH>
              <wp:positionV relativeFrom="page">
                <wp:align>top</wp:align>
              </wp:positionV>
              <wp:extent cx="443865" cy="443865"/>
              <wp:effectExtent l="0" t="0" r="3175" b="4445"/>
              <wp:wrapNone/>
              <wp:docPr id="1895922503"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538F3FC" w14:textId="14F4CCDD"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CE9D0B3"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2538F3FC" w14:textId="14F4CCDD" w:rsidR="006063BD" w:rsidRPr="006063BD" w:rsidRDefault="006063BD" w:rsidP="006063BD">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09D82" w14:textId="3E3B122B" w:rsidR="006063BD" w:rsidRDefault="006063BD">
    <w:pPr>
      <w:pStyle w:val="Header"/>
    </w:pPr>
    <w:r>
      <w:rPr>
        <w:noProof/>
      </w:rPr>
      <mc:AlternateContent>
        <mc:Choice Requires="wps">
          <w:drawing>
            <wp:anchor distT="0" distB="0" distL="0" distR="0" simplePos="0" relativeHeight="251660288" behindDoc="0" locked="0" layoutInCell="1" allowOverlap="1" wp14:anchorId="7B34D3BC" wp14:editId="36C0A0C3">
              <wp:simplePos x="914400" y="447675"/>
              <wp:positionH relativeFrom="page">
                <wp:align>left</wp:align>
              </wp:positionH>
              <wp:positionV relativeFrom="page">
                <wp:align>top</wp:align>
              </wp:positionV>
              <wp:extent cx="443865" cy="443865"/>
              <wp:effectExtent l="0" t="0" r="3175" b="4445"/>
              <wp:wrapNone/>
              <wp:docPr id="976072552"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63421D" w14:textId="47EC1E70"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B34D3BC"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163421D" w14:textId="47EC1E70" w:rsidR="006063BD" w:rsidRPr="006063BD" w:rsidRDefault="006063BD" w:rsidP="006063BD">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3F236" w14:textId="5F2FF335" w:rsidR="006063BD" w:rsidRDefault="006063BD">
    <w:pPr>
      <w:pStyle w:val="Header"/>
    </w:pPr>
    <w:r>
      <w:rPr>
        <w:noProof/>
      </w:rPr>
      <mc:AlternateContent>
        <mc:Choice Requires="wps">
          <w:drawing>
            <wp:anchor distT="0" distB="0" distL="0" distR="0" simplePos="0" relativeHeight="251658240" behindDoc="0" locked="0" layoutInCell="1" allowOverlap="1" wp14:anchorId="4D921697" wp14:editId="361207F9">
              <wp:simplePos x="635" y="635"/>
              <wp:positionH relativeFrom="page">
                <wp:align>left</wp:align>
              </wp:positionH>
              <wp:positionV relativeFrom="page">
                <wp:align>top</wp:align>
              </wp:positionV>
              <wp:extent cx="443865" cy="443865"/>
              <wp:effectExtent l="0" t="0" r="3175" b="4445"/>
              <wp:wrapNone/>
              <wp:docPr id="179514246"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D5224F" w14:textId="5692164D"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D921697"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7D5224F" w14:textId="5692164D" w:rsidR="006063BD" w:rsidRPr="006063BD" w:rsidRDefault="006063BD" w:rsidP="006063BD">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1"/>
  </w:num>
  <w:num w:numId="2" w16cid:durableId="1923681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6063BD"/>
    <w:rsid w:val="003F18D7"/>
    <w:rsid w:val="00402ED1"/>
    <w:rsid w:val="00441DF2"/>
    <w:rsid w:val="0047252F"/>
    <w:rsid w:val="004E4837"/>
    <w:rsid w:val="00546AF1"/>
    <w:rsid w:val="006063BD"/>
    <w:rsid w:val="00612ECC"/>
    <w:rsid w:val="00622D27"/>
    <w:rsid w:val="00631623"/>
    <w:rsid w:val="00771EE5"/>
    <w:rsid w:val="00905C84"/>
    <w:rsid w:val="0092685D"/>
    <w:rsid w:val="00942E49"/>
    <w:rsid w:val="009779CF"/>
    <w:rsid w:val="00A3732C"/>
    <w:rsid w:val="00A42F77"/>
    <w:rsid w:val="00A6002C"/>
    <w:rsid w:val="00A65C1A"/>
    <w:rsid w:val="00AB2952"/>
    <w:rsid w:val="00B71F25"/>
    <w:rsid w:val="00C13E1F"/>
    <w:rsid w:val="00D3100E"/>
    <w:rsid w:val="00E73D35"/>
    <w:rsid w:val="00EA7CD3"/>
    <w:rsid w:val="00EE75F2"/>
    <w:rsid w:val="00EF07A1"/>
    <w:rsid w:val="00F753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3B5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bg-B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3BD"/>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basedOn w:val="Normal"/>
    <w:next w:val="Normal"/>
    <w:link w:val="Heading1Char"/>
    <w:uiPriority w:val="9"/>
    <w:qFormat/>
    <w:rsid w:val="006063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063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063B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063B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063B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063B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063B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063B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063B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63B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063B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063B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063B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063B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063B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063B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063B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063BD"/>
    <w:rPr>
      <w:rFonts w:eastAsiaTheme="majorEastAsia" w:cstheme="majorBidi"/>
      <w:color w:val="272727" w:themeColor="text1" w:themeTint="D8"/>
    </w:rPr>
  </w:style>
  <w:style w:type="paragraph" w:styleId="Title">
    <w:name w:val="Title"/>
    <w:basedOn w:val="Normal"/>
    <w:next w:val="Normal"/>
    <w:link w:val="TitleChar"/>
    <w:uiPriority w:val="10"/>
    <w:qFormat/>
    <w:rsid w:val="006063B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063B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063B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063B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063BD"/>
    <w:pPr>
      <w:spacing w:before="160"/>
      <w:jc w:val="center"/>
    </w:pPr>
    <w:rPr>
      <w:i/>
      <w:iCs/>
      <w:color w:val="404040" w:themeColor="text1" w:themeTint="BF"/>
    </w:rPr>
  </w:style>
  <w:style w:type="character" w:customStyle="1" w:styleId="QuoteChar">
    <w:name w:val="Quote Char"/>
    <w:basedOn w:val="DefaultParagraphFont"/>
    <w:link w:val="Quote"/>
    <w:uiPriority w:val="29"/>
    <w:rsid w:val="006063BD"/>
    <w:rPr>
      <w:i/>
      <w:iCs/>
      <w:color w:val="404040" w:themeColor="text1" w:themeTint="BF"/>
    </w:rPr>
  </w:style>
  <w:style w:type="paragraph" w:styleId="ListParagraph">
    <w:name w:val="List Paragraph"/>
    <w:basedOn w:val="Normal"/>
    <w:uiPriority w:val="34"/>
    <w:qFormat/>
    <w:rsid w:val="006063BD"/>
    <w:pPr>
      <w:ind w:left="720"/>
      <w:contextualSpacing/>
    </w:pPr>
  </w:style>
  <w:style w:type="character" w:styleId="IntenseEmphasis">
    <w:name w:val="Intense Emphasis"/>
    <w:basedOn w:val="DefaultParagraphFont"/>
    <w:uiPriority w:val="21"/>
    <w:qFormat/>
    <w:rsid w:val="006063BD"/>
    <w:rPr>
      <w:i/>
      <w:iCs/>
      <w:color w:val="0F4761" w:themeColor="accent1" w:themeShade="BF"/>
    </w:rPr>
  </w:style>
  <w:style w:type="paragraph" w:styleId="IntenseQuote">
    <w:name w:val="Intense Quote"/>
    <w:basedOn w:val="Normal"/>
    <w:next w:val="Normal"/>
    <w:link w:val="IntenseQuoteChar"/>
    <w:uiPriority w:val="30"/>
    <w:qFormat/>
    <w:rsid w:val="006063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063BD"/>
    <w:rPr>
      <w:i/>
      <w:iCs/>
      <w:color w:val="0F4761" w:themeColor="accent1" w:themeShade="BF"/>
    </w:rPr>
  </w:style>
  <w:style w:type="character" w:styleId="IntenseReference">
    <w:name w:val="Intense Reference"/>
    <w:basedOn w:val="DefaultParagraphFont"/>
    <w:uiPriority w:val="32"/>
    <w:qFormat/>
    <w:rsid w:val="006063BD"/>
    <w:rPr>
      <w:b/>
      <w:bCs/>
      <w:smallCaps/>
      <w:color w:val="0F4761" w:themeColor="accent1" w:themeShade="BF"/>
      <w:spacing w:val="5"/>
    </w:rPr>
  </w:style>
  <w:style w:type="paragraph" w:customStyle="1" w:styleId="Instructionsberschrift2">
    <w:name w:val="Instructions Überschrift 2"/>
    <w:basedOn w:val="Heading2"/>
    <w:rsid w:val="006063BD"/>
    <w:pPr>
      <w:keepLines w:val="0"/>
      <w:numPr>
        <w:numId w:val="1"/>
      </w:numPr>
      <w:spacing w:before="240" w:after="240"/>
    </w:pPr>
    <w:rPr>
      <w:rFonts w:ascii="Verdana" w:eastAsia="Arial" w:hAnsi="Verdana" w:cs="Arial"/>
      <w:color w:val="auto"/>
      <w:sz w:val="20"/>
      <w:szCs w:val="24"/>
      <w:u w:val="single"/>
      <w:lang w:eastAsia="x-none"/>
    </w:rPr>
  </w:style>
  <w:style w:type="paragraph" w:customStyle="1" w:styleId="InstructionsText">
    <w:name w:val="Instructions Text"/>
    <w:basedOn w:val="Normal"/>
    <w:link w:val="InstructionsTextChar"/>
    <w:autoRedefine/>
    <w:rsid w:val="006063BD"/>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6063BD"/>
    <w:rPr>
      <w:rFonts w:ascii="Verdana" w:hAnsi="Verdana" w:cs="Times New Roman"/>
      <w:b/>
      <w:bCs/>
      <w:sz w:val="20"/>
      <w:u w:val="single"/>
    </w:rPr>
  </w:style>
  <w:style w:type="character" w:customStyle="1" w:styleId="InstructionsTabelleText">
    <w:name w:val="Instructions Tabelle Text"/>
    <w:rsid w:val="006063BD"/>
    <w:rPr>
      <w:rFonts w:ascii="Verdana" w:hAnsi="Verdana" w:cs="Times New Roman"/>
      <w:sz w:val="20"/>
    </w:rPr>
  </w:style>
  <w:style w:type="character" w:customStyle="1" w:styleId="FormatvorlageInstructionsTabelleText">
    <w:name w:val="Formatvorlage Instructions Tabelle Text"/>
    <w:uiPriority w:val="99"/>
    <w:qFormat/>
    <w:rsid w:val="006063BD"/>
    <w:rPr>
      <w:rFonts w:ascii="Verdana" w:hAnsi="Verdana" w:cs="Times New Roman"/>
      <w:bCs/>
      <w:sz w:val="20"/>
      <w:u w:val="none"/>
    </w:rPr>
  </w:style>
  <w:style w:type="character" w:customStyle="1" w:styleId="InstructionsTextChar">
    <w:name w:val="Instructions Text Char"/>
    <w:link w:val="InstructionsText"/>
    <w:locked/>
    <w:rsid w:val="006063BD"/>
    <w:rPr>
      <w:rFonts w:ascii="Times New Roman" w:eastAsia="Times New Roman" w:hAnsi="Times New Roman" w:cs="Times New Roman"/>
      <w:kern w:val="0"/>
      <w:sz w:val="24"/>
      <w:szCs w:val="24"/>
      <w:lang w:eastAsia="de-DE"/>
      <w14:ligatures w14:val="none"/>
    </w:rPr>
  </w:style>
  <w:style w:type="paragraph" w:customStyle="1" w:styleId="InstructionsText2">
    <w:name w:val="Instructions Text 2"/>
    <w:basedOn w:val="InstructionsText"/>
    <w:qFormat/>
    <w:rsid w:val="006063BD"/>
    <w:pPr>
      <w:numPr>
        <w:numId w:val="2"/>
      </w:numPr>
      <w:tabs>
        <w:tab w:val="num" w:pos="360"/>
      </w:tabs>
      <w:spacing w:after="240"/>
      <w:ind w:left="360" w:firstLine="0"/>
    </w:pPr>
  </w:style>
  <w:style w:type="paragraph" w:styleId="Header">
    <w:name w:val="header"/>
    <w:basedOn w:val="Normal"/>
    <w:link w:val="HeaderChar"/>
    <w:uiPriority w:val="99"/>
    <w:unhideWhenUsed/>
    <w:rsid w:val="006063BD"/>
    <w:pPr>
      <w:tabs>
        <w:tab w:val="center" w:pos="4513"/>
        <w:tab w:val="right" w:pos="9026"/>
      </w:tabs>
      <w:spacing w:before="0" w:after="0"/>
    </w:pPr>
  </w:style>
  <w:style w:type="character" w:customStyle="1" w:styleId="HeaderChar">
    <w:name w:val="Header Char"/>
    <w:basedOn w:val="DefaultParagraphFont"/>
    <w:link w:val="Header"/>
    <w:uiPriority w:val="99"/>
    <w:rsid w:val="006063BD"/>
    <w:rPr>
      <w:rFonts w:ascii="Verdana" w:eastAsia="Times New Roman" w:hAnsi="Verdana" w:cs="Times New Roman"/>
      <w:kern w:val="0"/>
      <w:sz w:val="20"/>
      <w:szCs w:val="24"/>
      <w14:ligatures w14:val="none"/>
    </w:rPr>
  </w:style>
  <w:style w:type="paragraph" w:styleId="Revision">
    <w:name w:val="Revision"/>
    <w:hidden/>
    <w:uiPriority w:val="99"/>
    <w:semiHidden/>
    <w:rsid w:val="00C13E1F"/>
    <w:pPr>
      <w:spacing w:after="0" w:line="240" w:lineRule="auto"/>
    </w:pPr>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768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58C181-D3A8-4DAB-AD59-E6C451866B3A}">
  <ds:schemaRefs>
    <ds:schemaRef ds:uri="http://schemas.microsoft.com/sharepoint/v3/contenttype/forms"/>
  </ds:schemaRefs>
</ds:datastoreItem>
</file>

<file path=customXml/itemProps2.xml><?xml version="1.0" encoding="utf-8"?>
<ds:datastoreItem xmlns:ds="http://schemas.openxmlformats.org/officeDocument/2006/customXml" ds:itemID="{05E5974B-9B2E-4F79-9607-4E150B55F3CB}"/>
</file>

<file path=customXml/itemProps3.xml><?xml version="1.0" encoding="utf-8"?>
<ds:datastoreItem xmlns:ds="http://schemas.openxmlformats.org/officeDocument/2006/customXml" ds:itemID="{BAC6A4FE-11F0-45FF-812E-8BB2AD68D288}">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1756</Words>
  <Characters>10277</Characters>
  <Application>Microsoft Office Word</Application>
  <DocSecurity>0</DocSecurity>
  <Lines>250</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2024-06-19T16:05:00Z</dcterms:created>
  <dcterms:modified xsi:type="dcterms:W3CDTF">2025-01-22T16:02:00Z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2024-07-10T18:20:55Z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384a7351-5fd1-44f6-b862-c171b1df6b48</vt:lpwstr>
  </property>
  <property fmtid="{D5CDD505-2E9C-101B-9397-08002B2CF9AE}" pid="9" name="MSIP_Label_6bd9ddd1-4d20-43f6-abfa-fc3c07406f94_ContentBits">
    <vt:lpwstr>0</vt:lpwstr>
  </property>
</Properties>
</file>