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sz w:val="24"/>
          <w:szCs w:val="22"/>
          <w:rFonts w:ascii="Times New Roman" w:hAnsi="Times New Roman"/>
        </w:rPr>
      </w:pPr>
      <w:r>
        <w:rPr>
          <w:sz w:val="24"/>
          <w:rFonts w:ascii="Times New Roman" w:hAnsi="Times New Roman"/>
        </w:rPr>
        <w:t xml:space="preserve">LV</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II PIELIKUMS</w:t>
      </w:r>
    </w:p>
    <w:p w14:paraId="03895EA2"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“II PIELIKUMS</w:t>
      </w:r>
    </w:p>
    <w:p w14:paraId="480031C9" w14:textId="77777777" w:rsidR="009C5DD6" w:rsidRPr="00037E7B" w:rsidRDefault="009C5DD6" w:rsidP="009C5DD6">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08E08E50" w14:textId="77777777" w:rsidR="00EE75F2" w:rsidRDefault="00EE75F2"/>
    <w:p w14:paraId="29C05932" w14:textId="7194A2B7" w:rsidR="00925646" w:rsidRDefault="00FA21C6" w:rsidP="0092564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4DA6D037" w14:textId="77777777" w:rsidR="00FC29F5"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7B580897" w14:textId="4FDF8965" w:rsidR="00736637" w:rsidRPr="00736637"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32AAD9A"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0" w:name="_Toc310415035"/>
      <w:bookmarkStart w:id="1" w:name="_Toc360188372"/>
      <w:bookmarkStart w:id="2" w:name="_Toc473560923"/>
      <w:bookmarkStart w:id="3" w:name="_Toc151714430"/>
      <w:r>
        <w:rPr>
          <w:sz w:val="24"/>
          <w:u w:val="none"/>
          <w:rFonts w:ascii="Times New Roman" w:hAnsi="Times New Roman"/>
        </w:rPr>
        <w:t xml:space="preserve">3.6.</w:t>
      </w:r>
      <w:r>
        <w:rPr>
          <w:sz w:val="24"/>
          <w:u w:val="none"/>
          <w:rFonts w:ascii="Times New Roman" w:hAnsi="Times New Roman"/>
        </w:rPr>
        <w:tab/>
      </w:r>
      <w:r>
        <w:rPr>
          <w:sz w:val="24"/>
          <w:rFonts w:ascii="Times New Roman" w:hAnsi="Times New Roman"/>
        </w:rPr>
        <w:t xml:space="preserve">C 11.00. – Norēķinu/piegādes risks</w:t>
      </w:r>
      <w:bookmarkEnd w:id="0"/>
      <w:bookmarkEnd w:id="1"/>
      <w:r>
        <w:rPr>
          <w:sz w:val="24"/>
          <w:rFonts w:ascii="Times New Roman" w:hAnsi="Times New Roman"/>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4" w:name="_Toc262568045"/>
      <w:bookmarkStart w:id="5" w:name="_Toc295829924"/>
      <w:bookmarkStart w:id="6" w:name="_Toc310415036"/>
      <w:bookmarkStart w:id="7" w:name="_Toc360188373"/>
      <w:bookmarkStart w:id="8" w:name="_Toc473560924"/>
      <w:bookmarkStart w:id="9" w:name="_Toc151714431"/>
      <w:r>
        <w:rPr>
          <w:sz w:val="24"/>
          <w:u w:val="none"/>
          <w:rFonts w:ascii="Times New Roman" w:hAnsi="Times New Roman"/>
        </w:rPr>
        <w:t xml:space="preserve">3.6.1.</w:t>
      </w:r>
      <w:r>
        <w:rPr>
          <w:sz w:val="24"/>
          <w:u w:val="none"/>
          <w:rFonts w:ascii="Times New Roman" w:hAnsi="Times New Roman"/>
        </w:rPr>
        <w:tab/>
      </w:r>
      <w:r>
        <w:rPr>
          <w:sz w:val="24"/>
          <w:rFonts w:ascii="Times New Roman" w:hAnsi="Times New Roman"/>
        </w:rPr>
        <w:t xml:space="preserve">Vispārīgas piezīmes</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99</w:t>
      </w:r>
      <w:r>
        <w:fldChar w:fldCharType="end"/>
      </w:r>
      <w:r>
        <w:t xml:space="preserve">.</w:t>
      </w:r>
      <w:r>
        <w:tab/>
      </w:r>
      <w:r>
        <w:t xml:space="preserve">Šajā veidnē pieprasīta informācija gan par tirdzniecības, gan netirdzniecības portfeļa darījumiem, kuros pēc attiecīgā piegādes datuma nav nokārtoti norēķini, un to attiecīgajām pašu kapitāla prasībām saistībā ar norēķinu risku saskaņā ar Regulas (ES) Nr. 575/2013 92. panta 3. punkta c) apakšpunkta ii) punktu un 378. pantu.</w:t>
      </w:r>
      <w:r>
        <w:t xml:space="preserve"> </w:t>
      </w:r>
    </w:p>
    <w:p w14:paraId="0B60E63F" w14:textId="08AFF3CE"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100</w:t>
      </w:r>
      <w:r>
        <w:fldChar w:fldCharType="end"/>
      </w:r>
      <w:r>
        <w:t xml:space="preserve">.</w:t>
      </w:r>
      <w:r>
        <w:tab/>
      </w:r>
      <w:r>
        <w:t xml:space="preserve">Iestādes CR SETT veidnē uzrāda informāciju par norēķinu/piegādes risku saistībā ar parāda instrumentiem, kapitāla vērtspapīriem, ārvalstu valūtām un precēm, kas turētas to tirdzniecības vai netirdzniecības portfelī.</w:t>
      </w:r>
      <w:r>
        <w:t xml:space="preserve"> </w:t>
      </w:r>
    </w:p>
    <w:p w14:paraId="1F6DAE78" w14:textId="6128EA1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101</w:t>
      </w:r>
      <w:r>
        <w:fldChar w:fldCharType="end"/>
      </w:r>
      <w:r>
        <w:t xml:space="preserve">.</w:t>
      </w:r>
      <w:r>
        <w:tab/>
      </w:r>
      <w:r>
        <w:t xml:space="preserve">Saskaņā ar Regulas (ES) Nr. 575/2013 378. pantu repo darījumi, vērtspapīru vai preču aizdevumu darījumi un vērtspapīru vai preču aizņēmumu darījumi saistībā ar parāda instrumentiem, kapitāla vērtspapīriem, ārvalstu valūtām un precēm nav pakļauti pašu kapitāla prasībām saistībā ar norēķinu/piegādes risku.</w:t>
      </w:r>
      <w:r>
        <w:t xml:space="preserve"> </w:t>
      </w:r>
      <w:r>
        <w:t xml:space="preserve">Jāņem vērā, ka atvasinātajiem instrumentiem un ilgstošu norēķinu darījumiem, kuros pēc attiecīgā piegādes datuma nav nokārtoti norēķini, tomēr piemēro pašu kapitāla prasības attiecībā uz norēķinu/piegādes risku, kā noteikts Regulas (ES) Nr. 575/2013 378. pantā.</w:t>
      </w:r>
    </w:p>
    <w:p w14:paraId="4DCAF22E" w14:textId="79A986C3"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102</w:t>
      </w:r>
      <w:r>
        <w:fldChar w:fldCharType="end"/>
      </w:r>
      <w:r>
        <w:t xml:space="preserve">.</w:t>
      </w:r>
      <w:r>
        <w:tab/>
      </w:r>
      <w:r>
        <w:t xml:space="preserve">Attiecībā uz darījumiem, kuros pēc attiecīgā piegādes datuma nav nokārtoti norēķini, iestādes aprēķina cenas atšķirību, kurai tās pakļautas.</w:t>
      </w:r>
      <w:r>
        <w:t xml:space="preserve"> </w:t>
      </w:r>
      <w:r>
        <w:t xml:space="preserve">Tā ir atšķirība starp konkrētā parāda instrumenta, kapitāla vērtspapīra, ārvalstu valūtas vai preces līgto norēķinu cenu un tās pašreizējo tirgus vērtību, ja atšķirība varētu iestādei radīt zaudējumu.</w:t>
      </w:r>
      <w:r>
        <w:t xml:space="preserve"> </w:t>
      </w:r>
    </w:p>
    <w:p w14:paraId="7DB9BE93" w14:textId="77A3E431"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103</w:t>
      </w:r>
      <w:r>
        <w:fldChar w:fldCharType="end"/>
      </w:r>
      <w:r>
        <w:t xml:space="preserve">.</w:t>
      </w:r>
      <w:r>
        <w:tab/>
      </w:r>
      <w:r>
        <w:t xml:space="preserve">Iestādes šo starpību reizina ar attiecīgu Regulas (ES) Nr. 575/2013 378. panta 1. tabulā norādīto pakāpi, lai noteiktu attiecīgās pašu kapitāla prasības.</w:t>
      </w:r>
    </w:p>
    <w:p w14:paraId="59D114DF" w14:textId="657627A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104</w:t>
      </w:r>
      <w:r>
        <w:fldChar w:fldCharType="end"/>
      </w:r>
      <w:r>
        <w:t xml:space="preserve">.</w:t>
      </w:r>
      <w:r>
        <w:tab/>
      </w:r>
      <w:r>
        <w:t xml:space="preserve">Saskaņā ar Regulas (ES) Nr. 575/2013 92. panta 4. punkta b) apakšpunktu pašu kapitāla prasības attiecībā uz norēķinu/piegādes risku reizina ar 12,5, lai aprēķinātu riska darījuma vērtību.</w:t>
      </w:r>
    </w:p>
    <w:p w14:paraId="451A9870" w14:textId="00DC3B9D" w:rsidR="00925646" w:rsidRPr="002A677E" w:rsidRDefault="00925646" w:rsidP="00925646">
      <w:pPr>
        <w:pStyle w:val="InstructionsText2"/>
        <w:numPr>
          <w:ilvl w:val="0"/>
          <w:numId w:val="0"/>
        </w:numPr>
        <w:ind w:left="993"/>
      </w:pPr>
      <w:r>
        <w:lastRenderedPageBreak/>
        <w:fldChar w:fldCharType="begin" w:dirty="true"/>
      </w:r>
      <w:r>
        <w:instrText>seq paragraphs</w:instrText>
      </w:r>
      <w:r>
        <w:fldChar w:fldCharType="separate"/>
      </w:r>
      <w:r w:rsidRPr="002A677E">
        <w:t>105</w:t>
      </w:r>
      <w:r>
        <w:fldChar w:fldCharType="end"/>
      </w:r>
      <w:r>
        <w:t xml:space="preserve">.</w:t>
      </w:r>
      <w:r>
        <w:tab/>
      </w:r>
      <w:r>
        <w:t xml:space="preserve">Jāņem vērā, ka pašu kapitāla prasības attiecībā uz neapmaksātām piegādēm, kā noteikts Regulas (ES) Nr. 575/2013 379. pantā, neietilpst CR SETT veidnes tvērumā.</w:t>
      </w:r>
      <w:r>
        <w:t xml:space="preserve"> </w:t>
      </w:r>
      <w:r>
        <w:t xml:space="preserve">Par minētajām pašu kapitāla prasībām sniedz pārskatu kredītriska veidnēs (CR SA, CR IRB).</w:t>
      </w:r>
    </w:p>
    <w:p w14:paraId="2856C9F8"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10" w:name="_Toc310415037"/>
      <w:bookmarkStart w:id="11" w:name="_Toc360188374"/>
      <w:bookmarkStart w:id="12" w:name="_Toc473560925"/>
      <w:bookmarkStart w:id="13" w:name="_Toc151714432"/>
      <w:r>
        <w:rPr>
          <w:sz w:val="24"/>
          <w:u w:val="none"/>
          <w:rFonts w:ascii="Times New Roman" w:hAnsi="Times New Roman"/>
        </w:rPr>
        <w:t xml:space="preserve">3.6.2.</w:t>
      </w:r>
      <w:r>
        <w:rPr>
          <w:sz w:val="24"/>
          <w:u w:val="none"/>
          <w:rFonts w:ascii="Times New Roman" w:hAnsi="Times New Roman"/>
        </w:rPr>
        <w:tab/>
      </w:r>
      <w:r>
        <w:rPr>
          <w:sz w:val="24"/>
          <w:rFonts w:ascii="Times New Roman" w:hAnsi="Times New Roman"/>
        </w:rPr>
        <w:t xml:space="preserve">Norādījumi par konkrētām pozīcijām</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Slejas</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04AF1B5E"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UN KURI NOVĒRTĒTI NORĒĶINU CENĀ</w:t>
            </w:r>
          </w:p>
          <w:p w14:paraId="4CB9A5A9"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par darījumiem, kuros nav nokārtoti norēķini, ziņo pēc to piegādes datuma attiecīgajās saskaņotajās norēķinu cenās, kā minēts Regulas (ES) Nr. 575/2013 378. pantā.</w:t>
            </w:r>
            <w:r>
              <w:rPr>
                <w:sz w:val="24"/>
                <w:rFonts w:ascii="Times New Roman" w:hAnsi="Times New Roman"/>
              </w:rPr>
              <w:t xml:space="preserve"> </w:t>
            </w:r>
          </w:p>
          <w:p w14:paraId="09152D4C"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Visus darījumus, kuros nav nokārtoti norēķini, uzrāda šajā slejā neatkarīgi no tā, vai pēc attiecīgā norēķinu datuma tie ir ar peļņu vai zaudējumiem.</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594AB8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CENAS ATŠĶIRĪBAS RISKA POZĪCIJAS SAKARĀ AR DARĪJUMIEM, KUROS NAV NOKĀRTOTI NORĒĶINI</w:t>
            </w:r>
          </w:p>
          <w:p w14:paraId="43853AD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uzrāda cenas atšķirību starp konkrētā parāda instrumenta, kapitāla vērtspapīra, ārvalstu valūtas vai preces līgto norēķinu cenu un tās pašreizējo tirgus vērtību, ja šāda atšķirība varētu iestādei radīt zaudējumu, kā minēts Regulas (ES) Nr. 575/2013 378. pantā.</w:t>
            </w:r>
            <w:r>
              <w:rPr>
                <w:sz w:val="24"/>
                <w:rFonts w:ascii="Times New Roman" w:hAnsi="Times New Roman"/>
              </w:rPr>
              <w:t xml:space="preserve"> </w:t>
            </w:r>
          </w:p>
          <w:p w14:paraId="692F8AB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Šajā slejā norāda tikai darījumus, kuros nav nokārtoti norēķini un kuri pēc attiecīgās norēķinu dienas ir ar zaudējumiem.</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5DA1D58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PAŠU KAPITĀLA PRASĪBAS</w:t>
            </w:r>
          </w:p>
          <w:p w14:paraId="24894388"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uzrāda pašu kapitāla prasības, kas aprēķinātas saskaņā ar Regulas (ES) Nr. 575/2013 378. pantu.</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09E890C2"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KOPĒJĀ NORĒĶINU RISKA DARĪJUMU VĒRTĪBA</w:t>
            </w:r>
          </w:p>
          <w:p w14:paraId="3A06223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Saskaņā ar Regulas (ES) Nr. 575/2013 92. panta 4. punkta b) apakšpunktu iestādes 0030. slejā uzrādītās pašu kapitāla prasības reizina ar 12,5, lai iegūtu norēķinu riska darījuma vērtību.</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Rindas</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10" w:type="dxa"/>
          </w:tcPr>
          <w:p w14:paraId="7950866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Kopējā vērtība netirdzniecības portfelī esošajiem darījumiem, kuros nav nokārtoti norēķini</w:t>
            </w:r>
          </w:p>
          <w:p w14:paraId="21410DD0" w14:textId="700C573F"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uzrāda apkopoto informāciju par norēķinu/piegādes risku attiecībā uz netirdzniecības portfeļa pozīcijām (kā minēts Regulas (ES) Nr. 575/2013 92. panta 4. punkta ca) apakšpunktā un 378. pantā).</w:t>
            </w:r>
          </w:p>
          <w:p w14:paraId="57BBA9B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Iestādes {0010.r;0010.s} uzrāda to darījumu kopsummu, kuros pēc piegādes datuma nav nokārtoti norēķini un kuri novērtēti attiecīgajās līgtajās norēķinu cenās.</w:t>
            </w:r>
          </w:p>
          <w:p w14:paraId="556AEAC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Iestādes {0010.r;0020.s} uzrāda apkopoto informāciju par darījumu, kuros nav nokārtoti norēķini un kuri ir ar zaudējumiem, radītajiem cenas atšķirības riska darījumiem.</w:t>
            </w:r>
          </w:p>
          <w:p w14:paraId="01BDECE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{0010.r;0030.s] uzrāda apkopotās pašu kapitāla prasības, kas iegūtas no darījumu, kuros nav nokārtoti norēķini, pašu kapitāla prasību summēšanas, reizinot 0020. slejā uzrādīto “cenas atšķirību” ar atbilstīgo pakāpi, kuras pamatā ir darba dienu skaits pēc attiecīgās norēķinu dienas (Regulas (ES) Nr. 575/2013 378. panta 1. tabulā minētās kategorijas).</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0020.–0060.</w:t>
            </w:r>
          </w:p>
        </w:tc>
        <w:tc>
          <w:tcPr>
            <w:tcW w:w="8010" w:type="dxa"/>
          </w:tcPr>
          <w:p w14:paraId="78C0D32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nokārti norēķini līdz 4 dienām (pakāpe 0</w:t>
            </w:r>
            <w:r>
              <w:t xml:space="preserve"> </w:t>
            </w:r>
            <w:r>
              <w:rPr>
                <w:rStyle w:val="InstructionsTabelleberschrift"/>
                <w:sz w:val="24"/>
                <w:rFonts w:ascii="Times New Roman" w:hAnsi="Times New Roman"/>
              </w:rPr>
              <w:t xml:space="preserve">%)</w:t>
            </w:r>
            <w:r>
              <w:rPr>
                <w:rStyle w:val="InstructionsTabelleberschrift"/>
                <w:sz w:val="24"/>
                <w:rFonts w:ascii="Times New Roman" w:hAnsi="Times New Roman"/>
              </w:rPr>
              <w:t xml:space="preserve"> </w:t>
            </w:r>
          </w:p>
          <w:p w14:paraId="18729DF9"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5 līdz 15 dienām (pakāpe 8 %)</w:t>
            </w:r>
          </w:p>
          <w:p w14:paraId="00232284"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16 līdz 30 dienām (pakāpe 50 %)</w:t>
            </w:r>
          </w:p>
          <w:p w14:paraId="5EEFD9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31 līdz 45 dienām (pakāpe 75 %)</w:t>
            </w:r>
          </w:p>
          <w:p w14:paraId="326E480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46 vai vairāk dienas (pakāpe 100 %)</w:t>
            </w:r>
          </w:p>
          <w:p w14:paraId="4BCE7D0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0020.–0060. rindā uzrāda informāciju par norēķinu/piegādes risku attiecībā uz netirdzniecības portfeļa pozīcijām saskaņā ar Regulas (ES) Nr. 575/2013 378. panta 1. tabulā minētajām kategorijām.</w:t>
            </w:r>
            <w:r>
              <w:rPr>
                <w:sz w:val="24"/>
                <w:rFonts w:ascii="Times New Roman" w:hAnsi="Times New Roman"/>
              </w:rPr>
              <w:t xml:space="preserve"> </w:t>
            </w:r>
          </w:p>
          <w:p w14:paraId="4BA0384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Pašu kapitāla prasības norēķinu/piegādes riskam nav jāaprēķina attiecībā uz darījumiem, kuros mazāk kā piecu darba dienu laikā pēc attiecīgās norēķinu dienas nav nokārtoti norēķini.</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0070.</w:t>
            </w:r>
          </w:p>
        </w:tc>
        <w:tc>
          <w:tcPr>
            <w:tcW w:w="8010" w:type="dxa"/>
          </w:tcPr>
          <w:p w14:paraId="56920EB6"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Kopējā vērtība tirdzniecības portfelī esošajiem darījumiem, kuros nav nokārtoti norēķini</w:t>
            </w:r>
          </w:p>
          <w:p w14:paraId="3C4B428B" w14:textId="446A5161"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uzrāda apkopoto informāciju par norēķinu/piegādes risku attiecībā uz tirdzniecības portfeļa pozīcijām (kā minēts Regulas (ES) Nr. 575/2013 92. panta 4. punkta ca) apakšpunktā un 378. pantā).</w:t>
            </w:r>
          </w:p>
          <w:p w14:paraId="2E44B3F3"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{0070.r;0010.s} uzrāda to darījumu kopsummu, kuros pēc piegādes datuma nav nokārtoti norēķini un kuri novērtēti attiecīgajās līgtajās norēķinu cenās.</w:t>
            </w:r>
          </w:p>
          <w:p w14:paraId="1CB848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{0070.r;0020.s} uzrāda apkopoto informāciju par darījumu, kuros nav nokārtoti norēķini un kuri ir ar zaudējumiem, radītajiem cenas atšķirības riska darījumiem.</w:t>
            </w:r>
          </w:p>
          <w:p w14:paraId="64D05373"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Iestādes {0070.r;0030.s} uzrāda apkopotās pašu kapitāla prasības, kas iegūtas no darījumu, kuros nav nokārtoti norēķini, pašu kapitāla prasību summēšanas, reizinot 0020. slejā uzrādīto “cenas atšķirību” ar atbilstīgo pakāpi, kuras pamatā ir darba dienu skaits pēc attiecīgās norēķinu dienas (Regulas (ES) Nr. 575/2013 378. panta 1. tabulā minētās kategorijas).</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0080.–0120.</w:t>
            </w:r>
          </w:p>
        </w:tc>
        <w:tc>
          <w:tcPr>
            <w:tcW w:w="8010" w:type="dxa"/>
          </w:tcPr>
          <w:p w14:paraId="34E9771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nokārti norēķini līdz 4 dienām (pakāpe 0</w:t>
            </w:r>
            <w:r>
              <w:t xml:space="preserve"> </w:t>
            </w:r>
            <w:r>
              <w:rPr>
                <w:rStyle w:val="InstructionsTabelleberschrift"/>
                <w:sz w:val="24"/>
                <w:rFonts w:ascii="Times New Roman" w:hAnsi="Times New Roman"/>
              </w:rPr>
              <w:t xml:space="preserve">%)</w:t>
            </w:r>
            <w:r>
              <w:rPr>
                <w:rStyle w:val="InstructionsTabelleberschrift"/>
                <w:sz w:val="24"/>
                <w:rFonts w:ascii="Times New Roman" w:hAnsi="Times New Roman"/>
              </w:rPr>
              <w:t xml:space="preserve"> </w:t>
            </w:r>
          </w:p>
          <w:p w14:paraId="7B8BB09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5 līdz 15 dienām (pakāpe 8 %)</w:t>
            </w:r>
          </w:p>
          <w:p w14:paraId="3902398B"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16 līdz 30 dienām (pakāpe 50 %)</w:t>
            </w:r>
          </w:p>
          <w:p w14:paraId="256655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no 31 līdz 45 dienām (pakāpe 75 %)</w:t>
            </w:r>
          </w:p>
          <w:p w14:paraId="61E1443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Darījumi, kuros nav nokārtoti norēķini 46 vai vairāk dienas (pakāpe 100 %)</w:t>
            </w:r>
          </w:p>
          <w:p w14:paraId="1A0345F5"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Iestādes 0080.–0120. rindā uzrāda informāciju par norēķinu/piegādes risku attiecībā uz tirdzniecības portfeļa pozīcijām saskaņā ar Regulas (ES) Nr. 575/2013 378. panta 1. tabulā minētajām kategorijām.</w:t>
            </w:r>
            <w:r>
              <w:rPr>
                <w:sz w:val="24"/>
                <w:rFonts w:ascii="Times New Roman" w:hAnsi="Times New Roman"/>
              </w:rPr>
              <w:t xml:space="preserve"> </w:t>
            </w:r>
          </w:p>
          <w:p w14:paraId="0A9F762A"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Pašu kapitāla prasības norēķinu/piegādes riskam nav jāaprēķina attiecībā uz darījumiem, kuros mazāk kā piecu darba dienu laikā pēc attiecīgās norēķinu dienas nav nokārtoti norēķini.</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lv-LV"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E0F1D3F7-3059-47EF-A140-DAB1B1193F4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1051</Words>
  <Characters>6013</Characters>
  <Application>Microsoft Office Word</Application>
  <DocSecurity>0</DocSecurity>
  <Lines>130</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PETRE Gheorghe-Cristian (FISMA)</cp:lastModifiedBy>
  <cp:revision>9</cp:revision>
  <dcterms:created xsi:type="dcterms:W3CDTF">2024-05-28T09:25:00Z</dcterms:created>
  <dcterms:modified xsi:type="dcterms:W3CDTF">2024-07-10T18:21:00Z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