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Pr="00480B7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 w:rsidRPr="00480B77">
        <w:rPr>
          <w:rFonts w:ascii="Times New Roman" w:hAnsi="Times New Roman"/>
          <w:sz w:val="24"/>
        </w:rPr>
        <w:t>PL</w:t>
      </w:r>
    </w:p>
    <w:p w14:paraId="2097FAFC" w14:textId="77777777" w:rsidR="001C3967" w:rsidRPr="00480B7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480B77" w:rsidRDefault="0086495E" w:rsidP="0086495E">
      <w:pPr>
        <w:jc w:val="center"/>
        <w:rPr>
          <w:rFonts w:ascii="Times New Roman" w:hAnsi="Times New Roman"/>
          <w:sz w:val="24"/>
        </w:rPr>
      </w:pPr>
      <w:r w:rsidRPr="00480B77">
        <w:rPr>
          <w:rFonts w:ascii="Times New Roman" w:hAnsi="Times New Roman"/>
          <w:sz w:val="24"/>
        </w:rPr>
        <w:t>ZAŁĄCZNIK II</w:t>
      </w:r>
    </w:p>
    <w:p w14:paraId="4E0B1D04" w14:textId="77777777" w:rsidR="0086495E" w:rsidRPr="00480B77" w:rsidRDefault="0086495E" w:rsidP="0086495E">
      <w:pPr>
        <w:jc w:val="center"/>
        <w:rPr>
          <w:rFonts w:ascii="Times New Roman" w:hAnsi="Times New Roman"/>
          <w:sz w:val="24"/>
        </w:rPr>
      </w:pPr>
      <w:r w:rsidRPr="00480B77">
        <w:rPr>
          <w:rFonts w:ascii="Times New Roman" w:hAnsi="Times New Roman"/>
          <w:sz w:val="24"/>
        </w:rPr>
        <w:t>„ZAŁĄCZNIK II</w:t>
      </w:r>
    </w:p>
    <w:p w14:paraId="1B650450" w14:textId="77777777" w:rsidR="0086495E" w:rsidRPr="00480B77" w:rsidRDefault="0086495E" w:rsidP="0086495E">
      <w:pPr>
        <w:jc w:val="center"/>
        <w:rPr>
          <w:rFonts w:ascii="Times New Roman" w:hAnsi="Times New Roman"/>
          <w:b/>
          <w:sz w:val="24"/>
        </w:rPr>
      </w:pPr>
      <w:r w:rsidRPr="00480B77">
        <w:rPr>
          <w:rFonts w:ascii="Times New Roman" w:hAnsi="Times New Roman"/>
          <w:b/>
          <w:sz w:val="24"/>
        </w:rPr>
        <w:t>INSTRUKCJE DOTYCZĄCE SPRAWOZDAWCZOŚCI W ZAKRESIE FUNDUSZY WŁASNYCH ORAZ WYMOGÓW W ZAKRESIE FUNDUSZY WŁASNYCH</w:t>
      </w:r>
    </w:p>
    <w:p w14:paraId="6B9B322A" w14:textId="77777777" w:rsidR="00E26A90" w:rsidRPr="00480B77" w:rsidRDefault="00E26A90"/>
    <w:p w14:paraId="19ADD1FC" w14:textId="77777777" w:rsidR="00B35565" w:rsidRPr="00480B7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480B77">
        <w:rPr>
          <w:rStyle w:val="InstructionsTabelleText"/>
          <w:rFonts w:ascii="Times New Roman" w:hAnsi="Times New Roman"/>
          <w:b/>
          <w:sz w:val="24"/>
          <w:u w:val="single"/>
        </w:rPr>
        <w:t>CZĘŚĆ II: INSTRUKCJE DOTYCZĄCE WZORÓW</w:t>
      </w:r>
    </w:p>
    <w:p w14:paraId="3C5D79AD" w14:textId="77777777" w:rsidR="00B35565" w:rsidRPr="00480B7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480B77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480B7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480B77"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Pr="00480B77" w:rsidRDefault="00B35565"/>
    <w:p w14:paraId="4DE618F9" w14:textId="6CFF9C9E" w:rsidR="009658DD" w:rsidRPr="00480B77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 w:rsidRPr="00480B77">
        <w:rPr>
          <w:rFonts w:ascii="Times New Roman" w:hAnsi="Times New Roman"/>
          <w:sz w:val="24"/>
          <w:u w:val="none"/>
        </w:rPr>
        <w:t>3.5a. C 10.00 – Ryzyko kredytowe</w:t>
      </w:r>
      <w:r w:rsidR="00480B77" w:rsidRPr="00480B77">
        <w:rPr>
          <w:rFonts w:ascii="Times New Roman" w:hAnsi="Times New Roman"/>
          <w:sz w:val="24"/>
          <w:u w:val="none"/>
        </w:rPr>
        <w:t xml:space="preserve"> i</w:t>
      </w:r>
      <w:r w:rsidR="00480B77">
        <w:rPr>
          <w:rFonts w:ascii="Times New Roman" w:hAnsi="Times New Roman"/>
          <w:sz w:val="24"/>
          <w:u w:val="none"/>
        </w:rPr>
        <w:t> </w:t>
      </w:r>
      <w:r w:rsidR="00480B77" w:rsidRPr="00480B77">
        <w:rPr>
          <w:rFonts w:ascii="Times New Roman" w:hAnsi="Times New Roman"/>
          <w:sz w:val="24"/>
          <w:u w:val="none"/>
        </w:rPr>
        <w:t>ryz</w:t>
      </w:r>
      <w:r w:rsidRPr="00480B77">
        <w:rPr>
          <w:rFonts w:ascii="Times New Roman" w:hAnsi="Times New Roman"/>
          <w:sz w:val="24"/>
          <w:u w:val="none"/>
        </w:rPr>
        <w:t>yko kredytowe kontrahenta oraz dostawy</w:t>
      </w:r>
      <w:r w:rsidR="00480B77" w:rsidRPr="00480B77">
        <w:rPr>
          <w:rFonts w:ascii="Times New Roman" w:hAnsi="Times New Roman"/>
          <w:sz w:val="24"/>
          <w:u w:val="none"/>
        </w:rPr>
        <w:t xml:space="preserve"> z</w:t>
      </w:r>
      <w:r w:rsidR="00480B77">
        <w:rPr>
          <w:rFonts w:ascii="Times New Roman" w:hAnsi="Times New Roman"/>
          <w:sz w:val="24"/>
          <w:u w:val="none"/>
        </w:rPr>
        <w:t> </w:t>
      </w:r>
      <w:r w:rsidR="00480B77" w:rsidRPr="00480B77">
        <w:rPr>
          <w:rFonts w:ascii="Times New Roman" w:hAnsi="Times New Roman"/>
          <w:sz w:val="24"/>
          <w:u w:val="none"/>
        </w:rPr>
        <w:t>póź</w:t>
      </w:r>
      <w:r w:rsidRPr="00480B77">
        <w:rPr>
          <w:rFonts w:ascii="Times New Roman" w:hAnsi="Times New Roman"/>
          <w:sz w:val="24"/>
          <w:u w:val="none"/>
        </w:rPr>
        <w:t>niejszym terminem rozliczenia: ekspozycje według metody IRB podlegające minimalnemu progowi kapitałowemu</w:t>
      </w:r>
    </w:p>
    <w:p w14:paraId="0F58EFDD" w14:textId="01613982" w:rsidR="009658DD" w:rsidRPr="00480B77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 w:rsidRPr="00480B77">
        <w:rPr>
          <w:rFonts w:ascii="Times New Roman" w:hAnsi="Times New Roman"/>
          <w:sz w:val="24"/>
          <w:u w:val="none"/>
        </w:rPr>
        <w:t xml:space="preserve">3.5a.1. </w:t>
      </w:r>
      <w:r w:rsidRPr="00480B77">
        <w:rPr>
          <w:rFonts w:ascii="Times New Roman" w:hAnsi="Times New Roman"/>
          <w:sz w:val="24"/>
        </w:rPr>
        <w:t>Uwagi ogólne</w:t>
      </w:r>
      <w:bookmarkEnd w:id="0"/>
    </w:p>
    <w:p w14:paraId="61F697DF" w14:textId="56D49A75" w:rsidR="009658DD" w:rsidRPr="00480B77" w:rsidRDefault="007F005E" w:rsidP="009658DD">
      <w:pPr>
        <w:pStyle w:val="InstructionsText2"/>
        <w:numPr>
          <w:ilvl w:val="0"/>
          <w:numId w:val="0"/>
        </w:numPr>
        <w:ind w:left="1353"/>
      </w:pPr>
      <w:r w:rsidRPr="00480B77">
        <w:t>91b. Instytucje, które stosują metodę IRB, zgłaszają w C 10.00 ekspozycje według metody IRB</w:t>
      </w:r>
      <w:r w:rsidR="00480B77" w:rsidRPr="00480B77">
        <w:t xml:space="preserve"> w</w:t>
      </w:r>
      <w:r w:rsidR="00480B77">
        <w:t> </w:t>
      </w:r>
      <w:r w:rsidR="00480B77" w:rsidRPr="00480B77">
        <w:t>pod</w:t>
      </w:r>
      <w:r w:rsidRPr="00480B77">
        <w:t>ziale na kategorie ekspozycji według metody standardowej oraz informacje na temat obliczania dla tych ekspozycji łącznej kwoty ekspozycji na ryzyko według metody standardowej</w:t>
      </w:r>
      <w:r w:rsidR="00480B77" w:rsidRPr="00480B77">
        <w:t>. W</w:t>
      </w:r>
      <w:r w:rsidR="00480B77">
        <w:t> </w:t>
      </w:r>
      <w:r w:rsidR="00480B77" w:rsidRPr="00480B77">
        <w:t>kol</w:t>
      </w:r>
      <w:r w:rsidRPr="00480B77">
        <w:t>umnach 0100–0120 gromadzone są informacje na temat wpływu przepisów przejściowych dotyczących minimalnego progu kapitałowego</w:t>
      </w:r>
      <w:r w:rsidR="00480B77" w:rsidRPr="00480B77">
        <w:t xml:space="preserve"> w</w:t>
      </w:r>
      <w:r w:rsidR="00480B77">
        <w:t> </w:t>
      </w:r>
      <w:r w:rsidR="00480B77" w:rsidRPr="00480B77">
        <w:t>odn</w:t>
      </w:r>
      <w:r w:rsidRPr="00480B77">
        <w:t>iesieniu do tych ekspozycji.</w:t>
      </w:r>
    </w:p>
    <w:p w14:paraId="757B818D" w14:textId="5280535A" w:rsidR="00031259" w:rsidRPr="00480B77" w:rsidRDefault="00031259" w:rsidP="00031259">
      <w:pPr>
        <w:pStyle w:val="InstructionsText2"/>
        <w:numPr>
          <w:ilvl w:val="0"/>
          <w:numId w:val="0"/>
        </w:numPr>
        <w:ind w:left="1353"/>
      </w:pPr>
      <w:r w:rsidRPr="00480B77">
        <w:t>91c. Instytucje, które stosują metodę modeli wewnętrznych (IMM) określoną</w:t>
      </w:r>
      <w:r w:rsidR="00480B77" w:rsidRPr="00480B77">
        <w:t xml:space="preserve"> w</w:t>
      </w:r>
      <w:r w:rsidR="00480B77">
        <w:t> </w:t>
      </w:r>
      <w:r w:rsidR="00480B77" w:rsidRPr="00480B77">
        <w:t>roz</w:t>
      </w:r>
      <w:r w:rsidRPr="00480B77">
        <w:t>dziale 6 sekcja 6 rozporządzenia (UE) nr</w:t>
      </w:r>
      <w:r w:rsidR="00480B77" w:rsidRPr="00480B77">
        <w:t> </w:t>
      </w:r>
      <w:r w:rsidRPr="00480B77">
        <w:t>575/2013 do obliczania kwot ekspozycji</w:t>
      </w:r>
      <w:r w:rsidR="00480B77" w:rsidRPr="00480B77">
        <w:t xml:space="preserve"> z</w:t>
      </w:r>
      <w:r w:rsidR="00480B77">
        <w:t> </w:t>
      </w:r>
      <w:r w:rsidR="00480B77" w:rsidRPr="00480B77">
        <w:t>tyt</w:t>
      </w:r>
      <w:r w:rsidRPr="00480B77">
        <w:t>ułu ekspozycji według metody standardowej, zgłaszają wiersz 0270 niniejszego wzoru.</w:t>
      </w:r>
    </w:p>
    <w:p w14:paraId="4C2D34C1" w14:textId="18F2C523" w:rsidR="009658DD" w:rsidRPr="00480B77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 w:rsidRPr="00480B77">
        <w:rPr>
          <w:rFonts w:ascii="Times New Roman" w:hAnsi="Times New Roman"/>
          <w:sz w:val="24"/>
          <w:u w:val="none"/>
        </w:rPr>
        <w:t xml:space="preserve">3.5a.2. </w:t>
      </w:r>
      <w:r w:rsidRPr="00480B77">
        <w:rPr>
          <w:rFonts w:ascii="Times New Roman" w:hAnsi="Times New Roman"/>
          <w:sz w:val="24"/>
        </w:rPr>
        <w:t>Instrukcje dotyczące poszczególnych pozycji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480B77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b/>
                <w:sz w:val="24"/>
              </w:rPr>
              <w:t>Kolumny</w:t>
            </w:r>
          </w:p>
        </w:tc>
      </w:tr>
      <w:tr w:rsidR="009658DD" w:rsidRPr="00480B77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480B77" w:rsidRDefault="009658DD" w:rsidP="00822842">
            <w:pPr>
              <w:pStyle w:val="InstructionsText"/>
              <w:rPr>
                <w:rStyle w:val="InstructionsTabelleberschrift"/>
              </w:rPr>
            </w:pPr>
            <w:r w:rsidRPr="00480B77">
              <w:rPr>
                <w:rStyle w:val="InstructionsTabelleberschrift"/>
              </w:rPr>
              <w:t>PIERWOTNA EKSPOZYCJA PRZED UWZGLĘDNIENIEM WSPÓŁCZYNNIKÓW KONWERSJI</w:t>
            </w:r>
          </w:p>
          <w:p w14:paraId="6E2574B8" w14:textId="6450DDAF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Zob. instrukcje dla wzoru C 07.00 kolumna 0010.</w:t>
            </w:r>
          </w:p>
        </w:tc>
      </w:tr>
      <w:tr w:rsidR="009658DD" w:rsidRPr="00480B77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(-) KOREKTY WARTOŚCI ORAZ REZERWY ZWIĄZANE Z PIERWOTNĄ EKSPOZYCJĄ</w:t>
            </w:r>
          </w:p>
          <w:p w14:paraId="0B7A2AC4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Zob. instrukcje dla wzoru C 07.00 kolumna 0030.</w:t>
            </w:r>
          </w:p>
        </w:tc>
      </w:tr>
      <w:tr w:rsidR="009658DD" w:rsidRPr="00480B77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EKSPOZYCJA PO ODLICZENIU KOREKT WARTOŚCI I REZERW</w:t>
            </w:r>
          </w:p>
          <w:p w14:paraId="6DAAFC5A" w14:textId="6F00613D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Suma kolumn 0010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0</w:t>
            </w:r>
            <w:r w:rsidRPr="00480B77">
              <w:rPr>
                <w:rFonts w:ascii="Times New Roman" w:hAnsi="Times New Roman"/>
                <w:sz w:val="24"/>
              </w:rPr>
              <w:t>020</w:t>
            </w:r>
          </w:p>
        </w:tc>
      </w:tr>
      <w:tr w:rsidR="009658DD" w:rsidRPr="00480B77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WARTOŚĆ EKSPOZYCJI</w:t>
            </w:r>
          </w:p>
          <w:p w14:paraId="31C89221" w14:textId="597B888A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t>Zob. instrukcje dla wzoru C 07.00 kolumna 0200.</w:t>
            </w:r>
          </w:p>
        </w:tc>
      </w:tr>
      <w:tr w:rsidR="009658DD" w:rsidRPr="00480B77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480B77" w:rsidRDefault="009658DD" w:rsidP="00822842">
            <w:pPr>
              <w:rPr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WYNIKAJĄCA Z RYZYKA KREDYTOWEGO KONTRAHENTA</w:t>
            </w:r>
          </w:p>
          <w:p w14:paraId="080A825F" w14:textId="219531D5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Zob. instrukcje dla wzoru C 07.00 kolumna 0210.</w:t>
            </w:r>
          </w:p>
        </w:tc>
      </w:tr>
      <w:tr w:rsidR="009658DD" w:rsidRPr="00480B77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0060–0080</w:t>
            </w:r>
          </w:p>
        </w:tc>
        <w:tc>
          <w:tcPr>
            <w:tcW w:w="8497" w:type="dxa"/>
          </w:tcPr>
          <w:p w14:paraId="75A5626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MINIMALNY PRÓG KAPITAŁOWY</w:t>
            </w:r>
          </w:p>
          <w:p w14:paraId="64BDF185" w14:textId="58D88E02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Art. 92 ust.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3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art</w:t>
            </w:r>
            <w:r w:rsidRPr="00480B77">
              <w:rPr>
                <w:rFonts w:ascii="Times New Roman" w:hAnsi="Times New Roman"/>
                <w:sz w:val="24"/>
              </w:rPr>
              <w:t>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92 ust.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 xml:space="preserve">575/2013 </w:t>
            </w:r>
          </w:p>
        </w:tc>
      </w:tr>
      <w:tr w:rsidR="009658DD" w:rsidRPr="00480B77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112E7E75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Łączna kwota ekspozycji na ryzyko według metody standardowej (S-TREA), obliczona zgodnie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art</w:t>
            </w:r>
            <w:r w:rsidRPr="00480B77">
              <w:rPr>
                <w:rFonts w:ascii="Times New Roman" w:hAnsi="Times New Roman"/>
                <w:sz w:val="24"/>
              </w:rPr>
              <w:t>. 92 ust. 5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WYNIKAJĄCA Z RYZYKA KREDYTOWEGO KONTRAHENTA</w:t>
            </w:r>
          </w:p>
          <w:p w14:paraId="0DA3DB37" w14:textId="75064557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S-TREA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tyt</w:t>
            </w:r>
            <w:r w:rsidRPr="00480B77">
              <w:rPr>
                <w:rFonts w:ascii="Times New Roman" w:hAnsi="Times New Roman"/>
                <w:sz w:val="24"/>
              </w:rPr>
              <w:t>ułu ryzyka kredytowego kontrahenta obliczona zgodnie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met</w:t>
            </w:r>
            <w:r w:rsidRPr="00480B77">
              <w:rPr>
                <w:rFonts w:ascii="Times New Roman" w:hAnsi="Times New Roman"/>
                <w:sz w:val="24"/>
              </w:rPr>
              <w:t>odami określonymi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w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czę</w:t>
            </w:r>
            <w:r w:rsidRPr="00480B77">
              <w:rPr>
                <w:rFonts w:ascii="Times New Roman" w:hAnsi="Times New Roman"/>
                <w:sz w:val="24"/>
              </w:rPr>
              <w:t>ści trzeciej tytuł II rozdział 6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658DD" w:rsidRPr="00480B77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54E7B7C1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Z UWZGLĘDNIENIEM OCENY KREDYTOWEJ SPORZĄDZONEJ PRZEZ WYZNACZONĄ ECAI</w:t>
            </w:r>
          </w:p>
          <w:p w14:paraId="6E024992" w14:textId="1A412CD5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Art. 112 lit. a)–d), f), g), l), n) o) i q)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0090–0110</w:t>
            </w:r>
          </w:p>
        </w:tc>
        <w:tc>
          <w:tcPr>
            <w:tcW w:w="8497" w:type="dxa"/>
          </w:tcPr>
          <w:p w14:paraId="50239EBA" w14:textId="73A58BEC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POZYCJE UZUPEŁNIAJĄCE: KWOTA EKSPOZYCJI WAŻONEJ RYZYKIEM ZWIĄZANA ZE SKUTKAMI STOSOWANIA NIEKTÓRYCH PRZEPISÓW PRZEJŚCIOWYCH</w:t>
            </w:r>
          </w:p>
          <w:p w14:paraId="018D1E5D" w14:textId="3F160C50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92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465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 Zgłasza się różnicę między kwotą ekspozycji ważonej ryzykiem bez zastosowania przepisów przejściowych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a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kwo</w:t>
            </w:r>
            <w:r w:rsidRPr="00480B77">
              <w:rPr>
                <w:rFonts w:ascii="Times New Roman" w:hAnsi="Times New Roman"/>
                <w:sz w:val="24"/>
              </w:rPr>
              <w:t>tą ekspozycji ważonej ryzykiem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zas</w:t>
            </w:r>
            <w:r w:rsidRPr="00480B77">
              <w:rPr>
                <w:rFonts w:ascii="Times New Roman" w:hAnsi="Times New Roman"/>
                <w:sz w:val="24"/>
              </w:rPr>
              <w:t>tosowaniem przepisów przejściowych.</w:t>
            </w:r>
          </w:p>
        </w:tc>
      </w:tr>
      <w:tr w:rsidR="009658DD" w:rsidRPr="00480B77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DO 55 % WARTOŚCI NIERUCHOMOŚCI</w:t>
            </w:r>
          </w:p>
          <w:p w14:paraId="4ABBA767" w14:textId="20748725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Art. 465 ust. 5 lit.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a)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649A721B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MIĘDZY 55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% A 80 % WARTOŚCI NIERUCHOMOŚCI</w:t>
            </w:r>
          </w:p>
          <w:p w14:paraId="72AFD287" w14:textId="4BC4AA13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b)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BEZ RATINGU Z OSZACOWANIEM PD</w:t>
            </w:r>
          </w:p>
          <w:p w14:paraId="43AA2D10" w14:textId="5B10DFD8" w:rsidR="009658DD" w:rsidRPr="00480B77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3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F42716" w:rsidRPr="00480B77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480B77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497" w:type="dxa"/>
          </w:tcPr>
          <w:p w14:paraId="76C04A50" w14:textId="3AA704BF" w:rsidR="00F42716" w:rsidRPr="00480B77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WEDŁUG METODY IRB PODLEGAJĄCE RYZYKU KREDYTOWEMU KONTRAHENTA WEDŁUG METODY IMM</w:t>
            </w:r>
          </w:p>
          <w:p w14:paraId="44DDA90D" w14:textId="41A08A60" w:rsidR="00F42716" w:rsidRPr="00480B77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4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658DD" w:rsidRPr="00480B77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b/>
                <w:sz w:val="24"/>
              </w:rPr>
              <w:t>Wiersze</w:t>
            </w:r>
          </w:p>
        </w:tc>
      </w:tr>
      <w:tr w:rsidR="009658DD" w:rsidRPr="00480B77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CAŁKOWITE</w:t>
            </w:r>
          </w:p>
          <w:p w14:paraId="12F57A9B" w14:textId="17CC8049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Art. 92 ust.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3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art</w:t>
            </w:r>
            <w:r w:rsidRPr="00480B77">
              <w:rPr>
                <w:rFonts w:ascii="Times New Roman" w:hAnsi="Times New Roman"/>
                <w:sz w:val="24"/>
              </w:rPr>
              <w:t>.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95, 96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9</w:t>
            </w:r>
            <w:r w:rsidRPr="00480B77">
              <w:rPr>
                <w:rFonts w:ascii="Times New Roman" w:hAnsi="Times New Roman"/>
                <w:sz w:val="24"/>
              </w:rPr>
              <w:t>8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658DD" w:rsidRPr="00480B77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1CAD28B1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ułu dodatkowych, surowszych wymogów ostrożnościowych na podstawie art.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124 rozporządzenia (UE) nr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575/2013</w:t>
            </w:r>
          </w:p>
          <w:p w14:paraId="1B71DEF4" w14:textId="0CC0E91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Fonts w:ascii="Times New Roman" w:hAnsi="Times New Roman"/>
                <w:sz w:val="24"/>
              </w:rPr>
              <w:t>Instytucje zgłaszają dodatkowe kwoty ekspozycji na ryzyko niezbędne do osiągnięcia zgodności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sur</w:t>
            </w:r>
            <w:r w:rsidRPr="00480B77">
              <w:rPr>
                <w:rFonts w:ascii="Times New Roman" w:hAnsi="Times New Roman"/>
                <w:sz w:val="24"/>
              </w:rPr>
              <w:t>owszymi wymogami ostrożnościowymi podanymi do wiadomości instytucji po przeprowadzeniu konsultacji z EUNB, zgodnie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art</w:t>
            </w:r>
            <w:r w:rsidRPr="00480B77">
              <w:rPr>
                <w:rFonts w:ascii="Times New Roman" w:hAnsi="Times New Roman"/>
                <w:sz w:val="24"/>
              </w:rPr>
              <w:t>. 124 ust. 2</w:t>
            </w:r>
            <w:r w:rsidR="00480B77" w:rsidRPr="00480B77">
              <w:rPr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Fonts w:ascii="Times New Roman" w:hAnsi="Times New Roman"/>
                <w:sz w:val="24"/>
              </w:rPr>
              <w:t>5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6DDBE5DC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Kategorie ekspozycji według metody standardowej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wył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ączeniem pozycji sekurytyzacyjnych</w:t>
            </w:r>
          </w:p>
          <w:p w14:paraId="77EE2E97" w14:textId="3D63A03C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 xml:space="preserve">Wzór CR SA na poziomie ekspozycji całkowitych. Kategoriami ekspozycji według metody standardowej są kategorie 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wymienione</w:t>
            </w:r>
            <w:r w:rsidR="00480B77" w:rsidRPr="00480B77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480B77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. 112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  <w:r w:rsidR="00480B77" w:rsidRPr="00480B77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FormatvorlageInstructionsTabelleText"/>
                <w:rFonts w:ascii="Times New Roman" w:hAnsi="Times New Roman"/>
                <w:sz w:val="24"/>
              </w:rPr>
              <w:t>wył</w:t>
            </w: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ączeniem pozycji sekurytyzacyjnych</w:t>
            </w:r>
            <w:r w:rsidRPr="00480B77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58DD" w:rsidRPr="00480B77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rządów centralnych lub banków centralnych</w:t>
            </w:r>
          </w:p>
          <w:p w14:paraId="07B1B11E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samorządów regionalnych lub władz lokalnych</w:t>
            </w:r>
          </w:p>
          <w:p w14:paraId="4FD1E923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Ekspozycje wobec podmiotów sektora publicznego </w:t>
            </w:r>
          </w:p>
          <w:p w14:paraId="1CAF5DD4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wielostronnych banków rozwoju</w:t>
            </w:r>
          </w:p>
          <w:p w14:paraId="4C779872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organizacji międzynarodowych</w:t>
            </w:r>
          </w:p>
          <w:p w14:paraId="0A6B8FF7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instytucji</w:t>
            </w:r>
          </w:p>
          <w:p w14:paraId="41CD1CBD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– inne</w:t>
            </w:r>
          </w:p>
          <w:p w14:paraId="7F09FF3D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F42716" w:rsidRPr="00480B77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480B77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4089165C" w:rsidR="00F42716" w:rsidRPr="00480B77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wobec przedsiębiorstw bez ratingu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osz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acowaniem PD</w:t>
            </w:r>
          </w:p>
          <w:p w14:paraId="3C17B48F" w14:textId="107CF9ED" w:rsidR="00F42716" w:rsidRPr="00480B77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3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658DD" w:rsidRPr="00480B77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480B77"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94965D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nabyte wierzytelności</w:t>
            </w:r>
          </w:p>
          <w:p w14:paraId="6CA59863" w14:textId="1336181B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Ekspozycje przypisane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met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odą IRB do kategorii ekspozycji „nabyte wierzytelności”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147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2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c) pkt (iii)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– kredytowanie specjalistyczne</w:t>
            </w:r>
          </w:p>
          <w:p w14:paraId="1A6312AB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detaliczne</w:t>
            </w:r>
          </w:p>
          <w:p w14:paraId="46E09BC6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1A5956EA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kwalifikowane ekspozycje odnawialne</w:t>
            </w:r>
          </w:p>
          <w:p w14:paraId="6784663B" w14:textId="086AE8DD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Ekspozycje przypisane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odą IRB do kategorii ekspozycji „kwalifikowane odnawialne ekspozycje detaliczne”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147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d) pkt (i)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067FC7D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nabyte wierzytelności</w:t>
            </w:r>
          </w:p>
          <w:p w14:paraId="7A29F356" w14:textId="2B9F0BEE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Ekspozycje przypisane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odą IRB do kategorii ekspozycji „nabyte wierzytelności”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147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d) pkt (iii)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Ekspozycje zabezpieczone hipotekami na nieruchomościach oraz ekspozycje ADC </w:t>
            </w:r>
          </w:p>
          <w:p w14:paraId="6A976302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F42716" w:rsidRPr="00480B77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480B77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5C0C9406" w:rsidR="00F42716" w:rsidRPr="00480B77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W tym: ekspozycje zabezpieczone hipotekami na nieruchomościach mieszkalnych do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55 % wartości nieruchomości</w:t>
            </w:r>
          </w:p>
          <w:p w14:paraId="044648D8" w14:textId="49F8920F" w:rsidR="00F42716" w:rsidRPr="00480B77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465 ust. 5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a)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F42716" w:rsidRPr="00480B77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480B77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604E2B10" w:rsidR="00F42716" w:rsidRPr="00480B77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mieszkalnych między 55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%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a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8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0 % wartości nieruchomości</w:t>
            </w:r>
          </w:p>
          <w:p w14:paraId="1F2DFE4A" w14:textId="28C7E566" w:rsidR="00F42716" w:rsidRPr="00480B77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b)</w:t>
            </w:r>
            <w:r w:rsidRPr="00480B77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1E0830" w:rsidRPr="00480B77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31D6F522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mieszkalnych – ekspozycje niebędące ekspozycjami IPRE (zabezpieczone)</w:t>
            </w:r>
          </w:p>
          <w:p w14:paraId="1336D8BC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1E86D78B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mieszkalnych – ekspozycje niebędące ekspozycjami IPRE (niezabezpieczone)</w:t>
            </w:r>
          </w:p>
          <w:p w14:paraId="10BC6690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3607C032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inne – ekspozycje niebędące ekspozycjami IPRE</w:t>
            </w:r>
          </w:p>
          <w:p w14:paraId="6EFCB6F5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626509B1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ekspozycje IPRE</w:t>
            </w:r>
          </w:p>
          <w:p w14:paraId="42EC2934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5931A8BC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inne – ekspozycje IPRE</w:t>
            </w:r>
          </w:p>
          <w:p w14:paraId="0DC38004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6123218A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ekspozycje niebędące ekspozycjami IPRE (zabezpieczone)</w:t>
            </w:r>
          </w:p>
          <w:p w14:paraId="16490978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Zob. wzór CR SA</w:t>
            </w:r>
          </w:p>
        </w:tc>
      </w:tr>
      <w:tr w:rsidR="001E0830" w:rsidRPr="00480B77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1BCAA4E5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ekspozycje niebędące ekspozycjami IPRE (niezabezpieczone)</w:t>
            </w:r>
          </w:p>
          <w:p w14:paraId="5F988EFF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8249F09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inne – ekspozycje niebędące ekspozycjami IPRE</w:t>
            </w:r>
          </w:p>
          <w:p w14:paraId="23004142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3FF5FECD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ekspozycje IPRE</w:t>
            </w:r>
          </w:p>
          <w:p w14:paraId="4BEE5500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5B3CD2D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zabezpieczone hipotekami na nieruchomościach komercyjnych – inne – ekspozycje IPRE</w:t>
            </w:r>
          </w:p>
          <w:p w14:paraId="4636ED44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1E0830" w:rsidRPr="00480B77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480B77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4771702D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związane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nab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yciem, zagospodarowaniem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zab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udową gruntu (ADC)</w:t>
            </w:r>
          </w:p>
          <w:p w14:paraId="6F33B2A8" w14:textId="77777777" w:rsidR="001E0830" w:rsidRPr="00480B77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65E941AA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W tym: ekspozycje zaklasyfikowane jako zabezpieczone nieruchomościami mieszkalnymi według metody IRB</w:t>
            </w:r>
          </w:p>
          <w:p w14:paraId="6209048C" w14:textId="30DABE5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Ekspozycje przypisane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met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odą IRB do kategorii ekspozycji 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„e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kspozycje detaliczne zabezpieczone nieruchomościami mieszkalnymi”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147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2 lit.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d) pkt (ii)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658DD" w:rsidRPr="00480B77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Ekspozycje, których dotyczy niewykonanie zobowiązania </w:t>
            </w:r>
          </w:p>
          <w:p w14:paraId="74934330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2797C6C8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ułu długu podporządkowanego</w:t>
            </w:r>
          </w:p>
          <w:p w14:paraId="4F12074B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Obligacje zabezpieczone</w:t>
            </w:r>
          </w:p>
          <w:p w14:paraId="16F94FDB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45F839D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ułu należności od instytucji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 i</w:t>
            </w:r>
            <w:r w:rsidR="00480B77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sz w:val="24"/>
              </w:rPr>
              <w:t>prz</w:t>
            </w: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 xml:space="preserve">edsiębiorstw posiadających krótkoterminową ocenę kredytową </w:t>
            </w:r>
          </w:p>
          <w:p w14:paraId="5CCE01A3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Przedsiębiorstwa zbiorowego inwestowania</w:t>
            </w:r>
          </w:p>
          <w:p w14:paraId="0AFC1081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kapitałowe</w:t>
            </w:r>
          </w:p>
          <w:p w14:paraId="6C586F40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Inne pozycje</w:t>
            </w:r>
          </w:p>
          <w:p w14:paraId="7EDA85D1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FormatvorlageInstructionsTabelleText"/>
                <w:rFonts w:ascii="Times New Roman" w:hAnsi="Times New Roman"/>
                <w:sz w:val="24"/>
              </w:rPr>
              <w:t>Zob. wzór CR SA</w:t>
            </w:r>
          </w:p>
        </w:tc>
      </w:tr>
      <w:tr w:rsidR="009658DD" w:rsidRPr="00480B77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POZYCJE UZUPEŁNIAJĄCE</w:t>
            </w:r>
          </w:p>
        </w:tc>
      </w:tr>
      <w:tr w:rsidR="009658DD" w:rsidRPr="00480B77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480B77"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– F-IRB</w:t>
            </w:r>
          </w:p>
          <w:p w14:paraId="58B2B8FF" w14:textId="546895C1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Ekspozycje wobec przedsiębiorstw traktowane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pod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stawową metodą IRB</w:t>
            </w:r>
          </w:p>
        </w:tc>
      </w:tr>
      <w:tr w:rsidR="009658DD" w:rsidRPr="00480B77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480B77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480B77"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– A-IRB</w:t>
            </w:r>
          </w:p>
          <w:p w14:paraId="595A9482" w14:textId="66CE68C2" w:rsidR="009658DD" w:rsidRPr="00480B77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Ekspozycje wobec przedsiębiorstw traktowane zgodnie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zaa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wansowaną metodą IRB</w:t>
            </w:r>
          </w:p>
        </w:tc>
      </w:tr>
      <w:tr w:rsidR="00031259" w:rsidRPr="00480B77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Pr="00480B77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480B77"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Pr="00480B77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480B77">
              <w:rPr>
                <w:rStyle w:val="InstructionsTabelleberschrift"/>
                <w:rFonts w:ascii="Times New Roman" w:hAnsi="Times New Roman"/>
                <w:sz w:val="24"/>
              </w:rPr>
              <w:t>Ekspozycje według metody standardowej podlegające ryzyku kredytowemu kontrahenta według metody IMM</w:t>
            </w:r>
          </w:p>
          <w:p w14:paraId="2E869C45" w14:textId="3550B1FD" w:rsidR="00031259" w:rsidRPr="00480B77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465 ust.</w:t>
            </w:r>
            <w:r w:rsidR="00480B77"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480B77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 </w:t>
            </w:r>
            <w:r w:rsidRPr="00480B77">
              <w:rPr>
                <w:rFonts w:ascii="Times New Roman" w:hAnsi="Times New Roman"/>
                <w:sz w:val="24"/>
              </w:rPr>
              <w:t>rozporządzenia (UE) nr</w:t>
            </w:r>
            <w:r w:rsidR="00480B77" w:rsidRPr="00480B77">
              <w:rPr>
                <w:rFonts w:ascii="Times New Roman" w:hAnsi="Times New Roman"/>
                <w:sz w:val="24"/>
              </w:rPr>
              <w:t> </w:t>
            </w:r>
            <w:r w:rsidRPr="00480B77">
              <w:rPr>
                <w:rFonts w:ascii="Times New Roman" w:hAnsi="Times New Roman"/>
                <w:sz w:val="24"/>
              </w:rPr>
              <w:t>575/2013</w:t>
            </w:r>
          </w:p>
        </w:tc>
      </w:tr>
    </w:tbl>
    <w:p w14:paraId="45E26769" w14:textId="77777777" w:rsidR="009658DD" w:rsidRPr="00480B77" w:rsidRDefault="009658DD"/>
    <w:p w14:paraId="0DCEB443" w14:textId="77777777" w:rsidR="009658DD" w:rsidRPr="00480B77" w:rsidRDefault="009658DD"/>
    <w:sectPr w:rsidR="009658DD" w:rsidRPr="00480B77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Pr="00480B77" w:rsidRDefault="00E26A90" w:rsidP="00E26A90">
      <w:pPr>
        <w:spacing w:after="0"/>
      </w:pPr>
      <w:r w:rsidRPr="00480B77">
        <w:separator/>
      </w:r>
    </w:p>
  </w:endnote>
  <w:endnote w:type="continuationSeparator" w:id="0">
    <w:p w14:paraId="4D137E89" w14:textId="77777777" w:rsidR="00E26A90" w:rsidRPr="00480B77" w:rsidRDefault="00E26A90" w:rsidP="00E26A90">
      <w:pPr>
        <w:spacing w:after="0"/>
      </w:pPr>
      <w:r w:rsidRPr="00480B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Pr="00480B77" w:rsidRDefault="00E26A90" w:rsidP="00E26A90">
      <w:pPr>
        <w:spacing w:after="0"/>
      </w:pPr>
      <w:r w:rsidRPr="00480B77">
        <w:separator/>
      </w:r>
    </w:p>
  </w:footnote>
  <w:footnote w:type="continuationSeparator" w:id="0">
    <w:p w14:paraId="0FB73E57" w14:textId="77777777" w:rsidR="00E26A90" w:rsidRPr="00480B77" w:rsidRDefault="00E26A90" w:rsidP="00E26A90">
      <w:pPr>
        <w:spacing w:after="0"/>
      </w:pPr>
      <w:r w:rsidRPr="00480B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Pr="00480B77" w:rsidRDefault="00E26A90">
    <w:pPr>
      <w:pStyle w:val="Header"/>
    </w:pPr>
    <w:r w:rsidRPr="00480B77"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Pr="00480B77" w:rsidRDefault="00E26A90">
    <w:pPr>
      <w:pStyle w:val="Header"/>
    </w:pPr>
    <w:r w:rsidRPr="00480B77"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Pr="00480B77" w:rsidRDefault="00E26A90">
    <w:pPr>
      <w:pStyle w:val="Header"/>
    </w:pPr>
    <w:r w:rsidRPr="00480B77"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A6C0D"/>
    <w:rsid w:val="001C3967"/>
    <w:rsid w:val="001E0830"/>
    <w:rsid w:val="002706FA"/>
    <w:rsid w:val="00351993"/>
    <w:rsid w:val="00480B77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A30FE-C721-4F19-BBD0-633FCF80E5C4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1161</Words>
  <Characters>7410</Characters>
  <Application>Microsoft Office Word</Application>
  <DocSecurity>0</DocSecurity>
  <Lines>247</Lines>
  <Paragraphs>209</Paragraphs>
  <ScaleCrop>false</ScaleCrop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2024-12-18T17:33:40Z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3bf6beb0-9586-466d-a1ce-5cff39e93b28</vt:lpwstr>
  </property>
  <property fmtid="{D5CDD505-2E9C-101B-9397-08002B2CF9AE}" pid="9" name="MSIP_Label_6bd9ddd1-4d20-43f6-abfa-fc3c07406f94_ContentBits">
    <vt:lpwstr>0</vt:lpwstr>
  </property>
</Properties>
</file>