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SL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PRILOGA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„PRILOGA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NAVODILA ZA POROČANJE O KAPITALU IN KAPITALSKIH ZAHTEVAH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DEL II: NAVODILA V ZVEZI S PREDLOGAMI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IZPOSTAVLJENOSTI IZ NASLOVA KRIPTOSREDSTEV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 xml:space="preserve">10.1 </w:t>
      </w:r>
      <w:r>
        <w:rPr>
          <w:rFonts w:ascii="Times New Roman" w:hAnsi="Times New Roman"/>
          <w:sz w:val="24"/>
        </w:rPr>
        <w:t>Splošne opombe</w:t>
      </w:r>
    </w:p>
    <w:p w14:paraId="6942FA35" w14:textId="77777777" w:rsidR="005F103E" w:rsidRDefault="005F103E" w:rsidP="00CF4FBC">
      <w:pPr>
        <w:pStyle w:val="InstructionsText2"/>
      </w:pPr>
      <w:r>
        <w:t>Ta predloga se uporablja za predložitev informacij o izpostavljenostih iz naslova kriptosredstev, kot se zahteva na podlagi člena 501d, odstavka 2 in 3, Uredbe (EU) št. 575/2013.</w:t>
      </w:r>
    </w:p>
    <w:p w14:paraId="4985A436" w14:textId="77777777" w:rsidR="005F103E" w:rsidRDefault="005F103E" w:rsidP="005F103E">
      <w:pPr>
        <w:pStyle w:val="InstructionsText2"/>
      </w:pPr>
      <w:r>
        <w:t>Izpostavljenosti iz naslova kriptosredstev se poročajo samo v tej predlogi.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Navodila za posamezne pozicije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Stolpec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Pravna podlaga in navodila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Vrednost izpostavljenosti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>Vrednost izpostavljenosti iz naslova kriptosredstev za različne vrste kriptosredstev iz člena 501d(2) Uredbe (EU) št.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Zneski tveganju prilagojenih izpostavljenosti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Člen 501d(2) Uredbe (EU) št.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>Zneski tveganju prilagojenih izpostavljenosti za različne vrste izpostavljenosti iz naslova kriptosredstev, izračunani v skladu s členom 501d(2) Uredbe (EU) št.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Vrstica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Pravna podlaga in navodila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Skupni znesek izpostavljenosti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Skupni zneski, izračunani kot vsota vrstic 0020, 0030 in 0040. Vrednost v stolpcu 0020 je enaka zneskom skupne izpostavljenosti tveganju, poročanim v vrstici 0780 predloge C 02.00 (Kapitalske zahteve).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Izpostavljenosti iz naslova tradicionalnih sredstev v obliki žetonov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Člen 501d(2), točka (a)</w:t>
            </w:r>
            <w:r>
              <w:t>, Uredbe (EU) št.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Izpostavljenosti do žetonov, vezanih na sredstva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lastRenderedPageBreak/>
              <w:t>Člen 501d(2), točka (b), Uredbe (EU) št.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iz naslova drugih kriptosredstev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Člen 501d(2), točka (c),</w:t>
            </w:r>
            <w:r>
              <w:t xml:space="preserve"> Uredbe (EU) št.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Druge izpostavljenosti iz naslova kriptosredstev, ki se razlikujejo od tistih iz točk (a) in (b) člena 501d(2) Uredbe (EU) št. 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Vrstica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Pojasnjevalna postavka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Izpostavljenosti iz naslova drugih kriptosredstev, izražene kot odstotek temeljnega kapitala institucije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501d(3)</w:t>
            </w:r>
            <w:r>
              <w:t xml:space="preserve"> Uredbe (EU) št. 575/2013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03412A52" w:rsidR="005F103E" w:rsidRPr="002A677E" w:rsidRDefault="00F84B44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  <w:r>
        <w:rPr>
          <w:rFonts w:ascii="Times New Roman" w:hAnsi="Times New Roman"/>
          <w:bCs/>
          <w:sz w:val="24"/>
          <w:lang w:eastAsia="de-DE"/>
        </w:rPr>
        <w:t>“</w:t>
      </w: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44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l-SI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l-SI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l-SI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l-SI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l-S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l-S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l-S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l-S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l-SI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l-SI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l-SI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l-SI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l-SI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l-SI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804E9F5C-BA30-4FB4-ACB4-9B5616D61D5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1644</Characters>
  <Application>Microsoft Office Word</Application>
  <DocSecurity>0</DocSecurity>
  <Lines>60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2025-01-22T15:45:59Z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ca0271c4-fa09-454a-8ffe-38e42341f469</vt:lpwstr>
  </property>
  <property fmtid="{D5CDD505-2E9C-101B-9397-08002B2CF9AE}" pid="9" name="MSIP_Label_6bd9ddd1-4d20-43f6-abfa-fc3c07406f94_ContentBits">
    <vt:lpwstr>0</vt:lpwstr>
  </property>
</Properties>
</file>