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LT</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II PRIEDAS</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„II PRIEDAS</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II DALIS. NURODYMAI DĖL FORMŲ</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Kapitalo pakankamumo apžvalga</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Bendrosios pastabos</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Penkiose CA formose pateikiama informacija apie I ramsčio skaitiklius (nuosavas lėšas, 1 lygio, bendrą 1 lygio nuosavą kapitalą), vardiklį (nuosavų lėšų reikalavimus) ir Reglamento (ES) Nr. 575/2013 bei Direktyvos 2013/36/ES pereinamojo laikotarpio nuostatų taikymą: </w:t>
      </w:r>
    </w:p>
    <w:p w14:paraId="416DAF6C" w14:textId="77777777" w:rsidR="00CC7D2C" w:rsidRPr="002A677E" w:rsidRDefault="00CC7D2C" w:rsidP="00D1404A">
      <w:pPr>
        <w:pStyle w:val="InstructionsText2"/>
        <w:numPr>
          <w:ilvl w:val="0"/>
          <w:numId w:val="0"/>
        </w:numPr>
        <w:ind w:left="993"/>
      </w:pPr>
      <w:r>
        <w:t>a)</w:t>
      </w:r>
      <w:r>
        <w:tab/>
        <w:t>CA1 formoje nurodoma įstaigų nuosavų lėšų suma, suskirstyta į tą sumą sudarančius straipsnius. Gauta nuosavų lėšų suma nurodoma atsižvelgiant į agreguotą Reglamento (ES) Nr. 575/2013 ir Direktyvos 2013/36/ES pereinamojo laikotarpio nuostatų taikymo poveikį kiekvienos rūšies kapitalui;</w:t>
      </w:r>
    </w:p>
    <w:p w14:paraId="27EFA8F6" w14:textId="7AE1365E" w:rsidR="00CC7D2C" w:rsidRPr="002A677E" w:rsidRDefault="00CC7D2C" w:rsidP="00D1404A">
      <w:pPr>
        <w:pStyle w:val="InstructionsText2"/>
        <w:numPr>
          <w:ilvl w:val="0"/>
          <w:numId w:val="0"/>
        </w:numPr>
        <w:ind w:left="993"/>
      </w:pPr>
      <w:r>
        <w:t>b)</w:t>
      </w:r>
      <w:r>
        <w:tab/>
        <w:t>CA2 formoje apibendrinamos bendros rizikos pozicijos sumos (TREA) taikant apatinę ribą ir jos netaikant ir standartizuotos bendros rizikos pozicijos sumos (S-TREA), atitinkamai apibrėžtos Reglamento (ES) Nr. 575/2013 92 straipsnio 3, 4 ir 5 dalyse;</w:t>
      </w:r>
    </w:p>
    <w:p w14:paraId="3031C055" w14:textId="77777777" w:rsidR="00CC7D2C" w:rsidRPr="002A677E" w:rsidRDefault="00CC7D2C" w:rsidP="00D1404A">
      <w:pPr>
        <w:pStyle w:val="InstructionsText2"/>
        <w:numPr>
          <w:ilvl w:val="0"/>
          <w:numId w:val="0"/>
        </w:numPr>
        <w:ind w:left="993"/>
      </w:pPr>
      <w:r>
        <w:t>c)</w:t>
      </w:r>
      <w:r>
        <w:tab/>
        <w:t>CA3 formoje nurodomi koeficientai, kuriems Reglamentu (ES) Nr. 575/2013 nustatyti mažiausio lygio II ramsčio koeficientai ir kai kurie kiti susiję duomenys;</w:t>
      </w:r>
    </w:p>
    <w:p w14:paraId="7FAC43FB" w14:textId="77777777" w:rsidR="00CC7D2C" w:rsidRPr="002A677E" w:rsidRDefault="00CC7D2C" w:rsidP="00D1404A">
      <w:pPr>
        <w:pStyle w:val="InstructionsText2"/>
        <w:numPr>
          <w:ilvl w:val="0"/>
          <w:numId w:val="0"/>
        </w:numPr>
        <w:ind w:left="993"/>
      </w:pPr>
      <w:r>
        <w:t>d)</w:t>
      </w:r>
      <w:r>
        <w:tab/>
        <w:t xml:space="preserve">CA4 formoje nurodomi papildomi straipsniai, kurie yra reikalingi, be kita ko, CA1 formos straipsniams apskaičiuoti, ir pateikiama informacija apie Direktyvoje 2013/36/ES nurodytus kapitalo rezervus; </w:t>
      </w:r>
    </w:p>
    <w:p w14:paraId="0EB902DA" w14:textId="77777777" w:rsidR="00CC7D2C" w:rsidRPr="002A677E" w:rsidRDefault="00CC7D2C" w:rsidP="00D1404A">
      <w:pPr>
        <w:pStyle w:val="InstructionsText2"/>
        <w:numPr>
          <w:ilvl w:val="0"/>
          <w:numId w:val="0"/>
        </w:numPr>
        <w:ind w:left="993"/>
      </w:pPr>
      <w:r>
        <w:t>e)</w:t>
      </w:r>
      <w:r>
        <w:tab/>
        <w:t>CA5 formoje pateikiami duomenys, reikalingi Reglamento (ES) Nr. 575/2013 pereinamojo laikotarpio nuostatų taikymo poveikiui nuosavoms lėšoms apskaičiuoti. Pasibaigus tų pereinamojo laikotarpio nuostatų galiojimui, CA5 forma nebebus rengiama.</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Formas turi naudoti visi informaciją teikiantys subjektai, neatsižvelgiant į apskaitos standartus, kurių jie laikosi, tačiau kai kurie skaitikliui priskirti straipsniai yra būdingi TAS / TFAS pobūdžio vertinimo taisykles taikantiems subjektams. Paprastai vardiklį sudaranti informacija yra susijusi su atitinkamose formose pateiktais galutiniais rezultatais, skirtais bendrai rizikos pozicijos sumai apskaičiuoti.</w:t>
      </w:r>
    </w:p>
    <w:p w14:paraId="596C5A80" w14:textId="77777777"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t>13</w:t>
      </w:r>
      <w:r>
        <w:fldChar w:fldCharType="end"/>
      </w:r>
      <w:r>
        <w:t>.</w:t>
      </w:r>
      <w:r>
        <w:tab/>
        <w:t xml:space="preserve">Bendrą nuosavų lėšų sumą sudaro įvairių rūšių kapitalas: 1 lygio kapitalas (T1), kurį sudaro bendro 1 lygio nuosavo kapitalo (CET1) ir papildomo 1 lygio kapitalo (AT1) suma, ir 2 lygio kapitalas (T2). </w:t>
      </w:r>
    </w:p>
    <w:p w14:paraId="2CD8D0AB"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14</w:t>
      </w:r>
      <w:r>
        <w:fldChar w:fldCharType="end"/>
      </w:r>
      <w:r>
        <w:t>.</w:t>
      </w:r>
      <w:r>
        <w:tab/>
        <w:t>Į Reglamento (ES) Nr. 575/2013 ir Direktyvos 2013/36/ES pereinamojo laikotarpio nuostatų taikymą CA formose atsižvelgiama taip:</w:t>
      </w:r>
    </w:p>
    <w:p w14:paraId="14CA06BE" w14:textId="77777777" w:rsidR="00CC7D2C" w:rsidRPr="002A677E" w:rsidRDefault="00CC7D2C" w:rsidP="00D1404A">
      <w:pPr>
        <w:pStyle w:val="InstructionsText2"/>
        <w:numPr>
          <w:ilvl w:val="0"/>
          <w:numId w:val="0"/>
        </w:numPr>
        <w:ind w:left="993"/>
      </w:pPr>
      <w:r>
        <w:t>a)</w:t>
      </w:r>
      <w:r>
        <w:tab/>
        <w:t>CA1 formos straipsniai paprastai nurodomi prieš pereinamojo laikotarpio koregavimus. Tai reiškia, kad CA1 straipsnių reikšmės yra apskaičiuotos pagal galutines nuostatas (t. y. taip, tarsi pereinamojo laikotarpio nuostatų nebūtų), išskyrus straipsnius, kuriuose apibendrinamas tų pereinamojo laikotarpio nuostatų poveikis. Kiekvienos rūšies kapitalui (t. y. CET1, AT1 ir T2) skirti trys skirtingi straipsniai, į kuriuos įtraukiami visi koregavimai dėl tų pereinamojo laikotarpio nuostatų.</w:t>
      </w:r>
    </w:p>
    <w:p w14:paraId="2571599A" w14:textId="77777777" w:rsidR="00CC7D2C" w:rsidRPr="002A677E" w:rsidRDefault="00CC7D2C" w:rsidP="00D1404A">
      <w:pPr>
        <w:pStyle w:val="InstructionsText2"/>
        <w:numPr>
          <w:ilvl w:val="0"/>
          <w:numId w:val="0"/>
        </w:numPr>
        <w:ind w:left="993"/>
      </w:pPr>
      <w:r>
        <w:t>b)</w:t>
      </w:r>
      <w:r>
        <w:tab/>
        <w:t>Pereinamojo laikotarpio nuostatos taip pat gali paveikti AT1 ir T2 trūkumą (t. y. AT1 arba T2 atskaitymo perviršį, kuris reglamentuojamas atitinkamai Reglamento (ES) Nr. 575/2013 36 straipsnio 1 dalies j punktu ir 56 straipsnio e punktu), taigi straipsniai, į kuriuos įtraukti tie trūkumai, gali netiesiogiai parodyti tų pereinamojo laikotarpio nuostatų poveikį.</w:t>
      </w:r>
    </w:p>
    <w:p w14:paraId="088733BA" w14:textId="77777777" w:rsidR="00CC7D2C" w:rsidRPr="002A677E" w:rsidRDefault="00CC7D2C" w:rsidP="00D1404A">
      <w:pPr>
        <w:pStyle w:val="InstructionsText2"/>
        <w:numPr>
          <w:ilvl w:val="0"/>
          <w:numId w:val="0"/>
        </w:numPr>
        <w:ind w:left="993"/>
      </w:pPr>
      <w:r>
        <w:t>c)</w:t>
      </w:r>
      <w:r>
        <w:tab/>
        <w:t xml:space="preserve">CA5 forma naudojama tik informacijai apie Reglamento (ES) Nr. 575/2013 pereinamojo laikotarpio nuostatų taikymo poveikį nuosavoms lėšoms pateikti.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II ramsčio reikalavimai Sąjungoje gali būti taikomi skirtingai (Direktyvos 2013/36/ES 104a straipsnio 1 dalis turi būti perkelta į nacionalinio reglamentavimo sistemas). Teikiant informaciją apie mokumą, reikalaujamą pagal Reglamentą (ES) Nr. 575/2013, nurodomas tik II ramsčio reikalavimų poveikis mokumo koeficientui arba siekiamam koeficientui. </w:t>
      </w:r>
    </w:p>
    <w:p w14:paraId="10043DAC" w14:textId="77777777" w:rsidR="00CC7D2C" w:rsidRPr="002A677E" w:rsidRDefault="00CC7D2C" w:rsidP="00D1404A">
      <w:pPr>
        <w:pStyle w:val="InstructionsText2"/>
        <w:numPr>
          <w:ilvl w:val="0"/>
          <w:numId w:val="0"/>
        </w:numPr>
        <w:ind w:left="993"/>
      </w:pPr>
      <w:r>
        <w:t>a)</w:t>
      </w:r>
      <w:r>
        <w:tab/>
        <w:t>CA1, CA2 arba CA5 formoje pateikiami duomenys yra susiję tik su I ramsčiu.</w:t>
      </w:r>
    </w:p>
    <w:p w14:paraId="0DBE98C6" w14:textId="77777777" w:rsidR="00CC7D2C" w:rsidRPr="002A677E" w:rsidRDefault="00CC7D2C" w:rsidP="00D1404A">
      <w:pPr>
        <w:pStyle w:val="InstructionsText2"/>
        <w:numPr>
          <w:ilvl w:val="0"/>
          <w:numId w:val="0"/>
        </w:numPr>
        <w:ind w:left="993"/>
      </w:pPr>
      <w:r>
        <w:t>b)</w:t>
      </w:r>
      <w:r>
        <w:tab/>
        <w:t>CA3 formoje nurodomas agreguotas papildomų II ramsčio reikalavimų poveikis mokumo koeficientui. Joje daugiausia dėmesio skiriama patiems siekiamiems koeficientams. Daugiau sąsajų su CA1, CA2 ar CA5 formomis nėra.</w:t>
      </w:r>
    </w:p>
    <w:p w14:paraId="63F79AA0" w14:textId="77777777" w:rsidR="00CC7D2C" w:rsidRDefault="00CC7D2C" w:rsidP="00D1404A">
      <w:pPr>
        <w:pStyle w:val="InstructionsText2"/>
        <w:numPr>
          <w:ilvl w:val="0"/>
          <w:numId w:val="0"/>
        </w:numPr>
        <w:ind w:left="993"/>
      </w:pPr>
      <w:r>
        <w:t>c)</w:t>
      </w:r>
      <w:r>
        <w:tab/>
        <w:t>CA4 formoje yra vienas laukelis, skirtas papildomiems nuosavų lėšų reikalavimams, susijusiems su II ramsčiu, nurodyti. Tas laukelis pagal patvirtinimo taisykles nėra susietas su CA3 formos kapitalo koeficientais ir atspindi Direktyvos 2013/36/ES 104a straipsnio 1 dalies nuostatas, kuriose aiškiai nurodyta, kad vienas iš galimų sprendimų pagal II ramstį gali būti reikalavimas dėl papildomų nuosavų lėšų.</w:t>
      </w:r>
    </w:p>
    <w:p w14:paraId="2CF3DCE5" w14:textId="22DB17A6" w:rsidR="00CC7D2C" w:rsidRDefault="00CC7D2C" w:rsidP="00D1404A">
      <w:pPr>
        <w:pStyle w:val="InstructionsText2"/>
        <w:numPr>
          <w:ilvl w:val="0"/>
          <w:numId w:val="0"/>
        </w:numPr>
      </w:pPr>
      <w:r>
        <w:t xml:space="preserve">15a. Taikomi rezultatų apatinės ribos reikalavimai gali paveikti TREA vertę ir nuosavų lėšų reikalavimus, kurių apskaičiavimas priklauso nuo TREA vertės, t. y. kapitalo pakankamumo koeficientus, II ramsčio reikalavimus ir kapitalo rezervą. Jei kompetentinga institucija taikė Reglamento (ES) Nr. 575/2013 92 straipsnio 3 dalies antroje pastraipoje nustatytą nukrypti leidžiančią nuostatą, atitinkamai nurodoma informacija apie rezultatų apatinės ribos reikalavimus.  </w:t>
      </w:r>
    </w:p>
    <w:p w14:paraId="226DFED5" w14:textId="77777777" w:rsidR="00CC7D2C" w:rsidRPr="005B630F" w:rsidRDefault="00CC7D2C" w:rsidP="00D1404A">
      <w:pPr>
        <w:pStyle w:val="InstructionsText2"/>
        <w:numPr>
          <w:ilvl w:val="0"/>
          <w:numId w:val="0"/>
        </w:numPr>
        <w:ind w:left="993"/>
      </w:pPr>
      <w:r>
        <w:t>a)</w:t>
      </w:r>
      <w:r>
        <w:tab/>
        <w:t xml:space="preserve">CA2 formoje nurodomos bendros rizikos pozicijos sumos taikant apatinę ribą ir jos netaikant ir standartizuotos bendros rizikos pozicijos sumos. TREA vertė taikant </w:t>
      </w:r>
      <w:r>
        <w:lastRenderedPageBreak/>
        <w:t>apatinę ribą ir standartizuota TREA vertė rodo pereinamojo laikotarpio priemonių dėl rezultatų apatinės ribos, apibrėžtų Reglamento (ES) Nr. 575/2013 465 straipsnyje, poveikį.</w:t>
      </w:r>
    </w:p>
    <w:p w14:paraId="70D5E959" w14:textId="77777777" w:rsidR="00CC7D2C" w:rsidRDefault="00CC7D2C" w:rsidP="00D1404A">
      <w:pPr>
        <w:pStyle w:val="InstructionsText2"/>
        <w:numPr>
          <w:ilvl w:val="0"/>
          <w:numId w:val="0"/>
        </w:numPr>
        <w:ind w:left="993"/>
      </w:pPr>
      <w:r>
        <w:t>b)</w:t>
      </w:r>
      <w:r>
        <w:tab/>
        <w:t>CA3 formoje pateikiami kapitalo pakankamumo koeficientai taikant apatinę ribą ir jos netaikant, bendras SREP kapitalo reikalavimas (TSCR) prieš taikant ir pritaikius apatinę ribą, nustatytą Direktyvos 2013/36/ES 104a straipsnyje, ir kapitalo pakankamumo koeficientai netaikant pereinamojo laikotarpio priemonių dėl rezultatų apatinės ribos.</w:t>
      </w:r>
    </w:p>
    <w:p w14:paraId="5965EF78" w14:textId="77777777" w:rsidR="00CC7D2C" w:rsidRDefault="00CC7D2C" w:rsidP="00D1404A">
      <w:pPr>
        <w:pStyle w:val="InstructionsText2"/>
        <w:numPr>
          <w:ilvl w:val="0"/>
          <w:numId w:val="0"/>
        </w:numPr>
        <w:ind w:left="993"/>
      </w:pPr>
      <w:r>
        <w:t>15b. CA4 formoje pateikiamos apatinės ribos koregavimų sumos taikant pereinamojo laikotarpio priemones dėl rezultatų apatinės ribos ir jų netaikant ir taikytina rezultatų apatinės ribos procentinė dalis pagal Reglamento (ES) Nr. 575/2013 465 straipsnio 1 dalį.</w:t>
      </w:r>
    </w:p>
    <w:p w14:paraId="36A0BD6A" w14:textId="5DE2A828" w:rsidR="00CC7D2C" w:rsidRDefault="00DA32D5" w:rsidP="00A85510">
      <w:pPr>
        <w:pStyle w:val="InstructionsText2"/>
        <w:numPr>
          <w:ilvl w:val="0"/>
          <w:numId w:val="0"/>
        </w:numPr>
        <w:rPr>
          <w:noProof/>
        </w:rPr>
      </w:pPr>
      <w:r>
        <w:t>15c.  C 06.02 formoje pateikiamas konsoliduojamų subjektų TREA vertės apatinės ribos koregavimas.</w:t>
      </w:r>
    </w:p>
    <w:p w14:paraId="4F8F57C9" w14:textId="572FD9C8" w:rsidR="00CC7D2C" w:rsidRPr="002A677E" w:rsidRDefault="00CC7D2C" w:rsidP="00A85510">
      <w:pPr>
        <w:pStyle w:val="InstructionsText2"/>
        <w:numPr>
          <w:ilvl w:val="0"/>
          <w:numId w:val="0"/>
        </w:numPr>
        <w:rPr>
          <w:noProof/>
        </w:rPr>
      </w:pPr>
      <w:r>
        <w:t xml:space="preserve">15d. C 10.00, C 13.01, C 14.01 ir C 34.02 formose pateikiama informacija apie standartizuotas pozicijos vertes ir standartizuotas TREA vertes, apskaičiuotas pagal Reglamento (ES) Nr. 575/2013 92 straipsnio 5 dalį, ir atitinkamais atvejais apie pereinamojo laikotarpio priemonių poveikį apskaičiuojant S-TREA vertes.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rPr>
          <w:u w:val="none"/>
        </w:rPr>
        <w:tab/>
      </w:r>
      <w:r>
        <w:t>C 01.00. NUOSAVOS LĖŠOS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rPr>
          <w:u w:val="none"/>
        </w:rPr>
        <w:tab/>
      </w:r>
      <w:r>
        <w:t>Nurodymai dėl konkrečių</w:t>
      </w:r>
      <w:bookmarkEnd w:id="14"/>
      <w:bookmarkEnd w:id="15"/>
      <w:r>
        <w:t xml:space="preserve"> pozicijų</w:t>
      </w:r>
      <w:bookmarkEnd w:id="16"/>
      <w:bookmarkEnd w:id="17"/>
      <w:bookmarkEnd w:id="18"/>
    </w:p>
    <w:p w14:paraId="46149592" w14:textId="77777777" w:rsidR="00CC7D2C" w:rsidRPr="002A677E" w:rsidRDefault="00CC7D2C" w:rsidP="00320EFD">
      <w:pPr>
        <w:pStyle w:val="InstructionsText"/>
      </w:pPr>
    </w:p>
    <w:tbl>
      <w:tblPr>
        <w:tblW w:w="886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7620"/>
      </w:tblGrid>
      <w:tr w:rsidR="00CC7D2C" w:rsidRPr="002A677E" w14:paraId="7C64B19F" w14:textId="77777777" w:rsidTr="00986F67">
        <w:tc>
          <w:tcPr>
            <w:tcW w:w="1247"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Eilutė</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CC7D2C" w:rsidRPr="002A677E" w14:paraId="4C04A885" w14:textId="77777777" w:rsidTr="00986F67">
        <w:tc>
          <w:tcPr>
            <w:tcW w:w="1247"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Nuosavos lėšos</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118 punktas ir 72 straipsnis</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Įstaigos nuosavas lėšas sudaro jos 1 ir 2 lygių kapitalo suma.</w:t>
            </w:r>
          </w:p>
        </w:tc>
      </w:tr>
      <w:tr w:rsidR="00CC7D2C" w:rsidRPr="002A677E" w14:paraId="5E03706C" w14:textId="77777777" w:rsidTr="00986F67">
        <w:tc>
          <w:tcPr>
            <w:tcW w:w="1247"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1 lygio kapitalas</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25 straipsnis</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1 lygio kapitalą sudaro įstaigos bendro 1 lygio nuosavo kapitalo ir papildomo 1 lygio kapitalo suma. </w:t>
            </w:r>
          </w:p>
        </w:tc>
      </w:tr>
      <w:tr w:rsidR="00CC7D2C" w:rsidRPr="002A677E" w14:paraId="5DCDFC6B" w14:textId="77777777" w:rsidTr="00986F67">
        <w:tc>
          <w:tcPr>
            <w:tcW w:w="1247"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Bendras 1 lygio nuosavas kapitalas</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50 straipsnis</w:t>
            </w:r>
          </w:p>
        </w:tc>
      </w:tr>
      <w:tr w:rsidR="00CC7D2C" w:rsidRPr="002A677E" w14:paraId="50E5DD49" w14:textId="77777777" w:rsidTr="00986F67">
        <w:tc>
          <w:tcPr>
            <w:tcW w:w="1247"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Kapitalo priemonės ir akcijų priedai, atitinkantys CET1 kapitalo reikalavimus</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t>Reglamento (ES) Nr. 575/2013 26 straipsnio 1 dalies a ir b punktai, 27–30 straipsniai, 36 straipsnio 1 dalies f punktas ir 42 straipsnis</w:t>
            </w:r>
          </w:p>
        </w:tc>
      </w:tr>
      <w:tr w:rsidR="00CC7D2C" w:rsidRPr="002A677E" w14:paraId="0656D54B" w14:textId="77777777" w:rsidTr="00986F67">
        <w:tc>
          <w:tcPr>
            <w:tcW w:w="1247"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Visiškai apmokėtos kapitalo priemonės</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26 straipsnio 1 dalies a punktas ir 27–31 straipsniai</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t>Prie jų priskiriamos savidraudos įmonių, kooperatinių bendrovių arba panašių įstaigų kapitalo priemonės (Reglamento (ES) Nr. 575/2013 27 ir 29 straipsniai).</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 tomis priemonėmis susiję akcijų priedai neįskaičiuojami.</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t>Valdžios institucijų ekstremaliųjų situacijų atveju pasirašytos kapitalo priemonės įskaičiuojamos, jeigu įvykdomos visos Reglamento (ES) Nr. 575/2013 31 straipsnio sąlygos.</w:t>
            </w:r>
          </w:p>
        </w:tc>
      </w:tr>
      <w:tr w:rsidR="00CC7D2C" w:rsidRPr="002A677E" w14:paraId="4E036248" w14:textId="77777777" w:rsidTr="00986F67">
        <w:tc>
          <w:tcPr>
            <w:tcW w:w="1247"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dalis, kurią atitinka: viešosios valdžios institucijų ekstremaliųjų situacijų atveju pasirašytos kapitalo priemonės</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Reglamento (ES) Nr. 575/2013 </w:t>
            </w:r>
            <w:r>
              <w:rPr>
                <w:rStyle w:val="InstructionsTabelleberschrift"/>
                <w:rFonts w:ascii="Times New Roman" w:hAnsi="Times New Roman"/>
                <w:b w:val="0"/>
                <w:sz w:val="24"/>
                <w:u w:val="none"/>
              </w:rPr>
              <w:t>31 straipsnis</w:t>
            </w:r>
          </w:p>
          <w:p w14:paraId="3BA89906" w14:textId="77777777" w:rsidR="00CC7D2C" w:rsidRPr="002A677E" w:rsidRDefault="00CC7D2C" w:rsidP="00320EFD">
            <w:pPr>
              <w:pStyle w:val="InstructionsText"/>
              <w:rPr>
                <w:rStyle w:val="InstructionsTabelleberschrift"/>
                <w:rFonts w:ascii="Times New Roman" w:hAnsi="Times New Roman"/>
                <w:sz w:val="24"/>
              </w:rPr>
            </w:pPr>
            <w:r>
              <w:t>Valdžios institucijų ekstremaliųjų situacijų atveju pasirašytos kapitalo priemonės įskaičiuojamos į CET1 kapitalą, jeigu įvykdomos visos Reglamento (ES) Nr. 575/2013 31 straipsnio sąlygos.</w:t>
            </w:r>
          </w:p>
        </w:tc>
      </w:tr>
      <w:tr w:rsidR="00CC7D2C" w:rsidRPr="002A677E" w14:paraId="46C4E17A" w14:textId="77777777" w:rsidTr="00986F67">
        <w:tc>
          <w:tcPr>
            <w:tcW w:w="1247"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Papildomas straipsnis. Reikalavimų neatitinkančios kapitalo priemonės</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t>Reglamento (ES) Nr. 575/2013 28 straipsnio 1 dalies b, l ir m punktai</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neįskaičiuojami.</w:t>
            </w:r>
          </w:p>
        </w:tc>
      </w:tr>
      <w:tr w:rsidR="00CC7D2C" w:rsidRPr="002A677E" w14:paraId="08897B4B" w14:textId="77777777" w:rsidTr="00986F67">
        <w:tc>
          <w:tcPr>
            <w:tcW w:w="1247"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Akcijų priedai</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124 punktas, 26 straipsnio 1 dalies b punktas.</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Sąvokos „akcijų priedai“ reikšmė yra tokia pati, kaip apibrėžta taikomame apskaitos standarte.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Šiame straipsnyje nurodoma sumos dalis, susijusi su „Visiškai apmokėtomis kapitalo priemonėmis“. </w:t>
            </w:r>
          </w:p>
        </w:tc>
      </w:tr>
      <w:tr w:rsidR="00CC7D2C" w:rsidRPr="002A677E" w14:paraId="4E2BC4B8" w14:textId="77777777" w:rsidTr="00986F67">
        <w:tc>
          <w:tcPr>
            <w:tcW w:w="1247"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Nuosavos CET1 priemonės</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36 straipsnio 1 dalies f punktas ir 42 straipsnis</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Informaciją teikiančios įstaigos ar grupės ataskaitinę dieną turimos nuosavos CET1 priemonės ir CET1 priemonių sumos, kurios turi būti atskaitytos pagal Komisijos deleguotojo reglamento (ES) Nr. 241/2014</w:t>
            </w:r>
            <w:r w:rsidRPr="002A677E">
              <w:rPr>
                <w:rStyle w:val="FootnoteReference"/>
                <w:bCs/>
                <w:vertAlign w:val="superscript"/>
              </w:rPr>
              <w:footnoteReference w:id="1"/>
            </w:r>
            <w:r>
              <w:rPr>
                <w:rStyle w:val="FormatvorlageInstructionsTabelleText"/>
                <w:rFonts w:ascii="Times New Roman" w:hAnsi="Times New Roman"/>
                <w:sz w:val="24"/>
              </w:rPr>
              <w:t xml:space="preserve"> </w:t>
            </w:r>
            <w:r>
              <w:rPr>
                <w:rStyle w:val="FormatvorlageInstructionsTabelleText"/>
                <w:rFonts w:ascii="Times New Roman" w:hAnsi="Times New Roman"/>
                <w:sz w:val="24"/>
              </w:rPr>
              <w:lastRenderedPageBreak/>
              <w:t>28 straipsnio 2 dalį. Taikant Reglamento (ES) Nr. 575/2013</w:t>
            </w:r>
            <w:r>
              <w:t xml:space="preserve"> 42 straipsnyje nustatytas išimtis</w:t>
            </w:r>
            <w:r>
              <w:rPr>
                <w:rStyle w:val="FormatvorlageInstructionsTabelleText"/>
                <w:rFonts w:ascii="Times New Roman" w:hAnsi="Times New Roman"/>
                <w:sz w:val="24"/>
              </w:rPr>
              <w:t>.</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akcijos, priskirtos prie „reikalavimų neatitinkančių kapitalo priemonių“, šioje eilutėje nenurodomos.</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įskaičiuojami su nuosavomis akcijomis susiję akcijų priedai.</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1.1.1.1.4–1.1.1.1.4.3 straipsnius neįtraukiami nei faktiniai, nei neapibrėžtieji įsipareigojimai pirkti nuosavas CET1 priemones. Faktiniai arba neapibrėžtieji įsipareigojimai pirkti nuosavas CET1 priemones nurodomi atskirai 1.1.1.1.5 straipsnyje.</w:t>
            </w:r>
          </w:p>
        </w:tc>
      </w:tr>
      <w:tr w:rsidR="00CC7D2C" w:rsidRPr="002A677E" w14:paraId="20C40C47" w14:textId="77777777" w:rsidTr="00986F67">
        <w:tc>
          <w:tcPr>
            <w:tcW w:w="1247"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Tiesiogiai turimos CET1 priemonės</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36 straipsnio 1 dalies f punktas ir 42 straipsnis</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Konsoliduotos grupės įstaigų turimos bendro 1 lygio nuosavo kapitalo priemonės, įtrauktos į 1.1.1.1 straipsnį, ir CET1 priemonių sumos, kurios turi būti atskaitytos pagal Deleguotojo reglamento (ES) Nr. 241/2014 28 straipsnio 2 dalį.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t>Į nurodomą sumą įskaičiuojamos prekybos knygoje turimos kapitalo dalys, apskaičiuotos remiantis grynąja ilgąja pozicija, kaip nurodyta Reglamento (ES) Nr. 575/2013 42 straipsnio a punkte.</w:t>
            </w:r>
          </w:p>
        </w:tc>
      </w:tr>
      <w:tr w:rsidR="00CC7D2C" w:rsidRPr="002A677E" w14:paraId="0CC49E4B" w14:textId="77777777" w:rsidTr="00986F67">
        <w:tc>
          <w:tcPr>
            <w:tcW w:w="1247"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Netiesiogiai turimos CET1 priemonės</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114 punktas, 36 straipsnio 1 dalies f punktas ir 42 straipsnis</w:t>
            </w:r>
          </w:p>
        </w:tc>
      </w:tr>
      <w:tr w:rsidR="00CC7D2C" w:rsidRPr="002A677E" w14:paraId="1F25B017" w14:textId="77777777" w:rsidTr="00986F67">
        <w:tc>
          <w:tcPr>
            <w:tcW w:w="1247"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Dirbtinai turimos CET1 priemonės</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4 straipsnio 1 dalies 126 punktas, 36 straipsnio 1 dalies f punktas ir 42 straipsnis</w:t>
            </w:r>
          </w:p>
        </w:tc>
      </w:tr>
      <w:tr w:rsidR="00CC7D2C" w:rsidRPr="002A677E" w14:paraId="33CE3BE1" w14:textId="77777777" w:rsidTr="00986F67">
        <w:tc>
          <w:tcPr>
            <w:tcW w:w="1247"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Faktiniai arba neapibrėžtieji įsipareigojimai pirkti nuosavas CET1 priemones</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36 straipsnio 1 dalies f punktas ir 42 straipsnis</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Pagal Reglamento (ES) Nr. 575/2013 36 straipsnio 1 dalies f punktą „nuosavos bendro 1 lygio kapitalo priemonės, dėl kurių įstaiga turi faktinių arba neapibrėžtųjų įsipareigojimų pirkti pagal esamą sutartinį įsipareigojimą“, yra atskaitomos.</w:t>
            </w:r>
          </w:p>
        </w:tc>
      </w:tr>
      <w:tr w:rsidR="00CC7D2C" w:rsidRPr="002A677E" w14:paraId="436677FF" w14:textId="77777777" w:rsidTr="00986F67">
        <w:tc>
          <w:tcPr>
            <w:tcW w:w="1247"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Nepaskirstytasis pelnas</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t>Reglamento (ES) Nr. 575/2013 26 straipsnio 1 dalies c punktas ir 26 straipsnio 2 dalis</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Nepaskirstytąjį pelną sudaro ankstesnių metų nepaskirstytojo pelno ir reikalavimus atitinkančio tarpinio arba metų pabaigos pelno suma.</w:t>
            </w:r>
          </w:p>
        </w:tc>
      </w:tr>
      <w:tr w:rsidR="00CC7D2C" w:rsidRPr="002A677E" w14:paraId="0301CE75" w14:textId="77777777" w:rsidTr="00986F67">
        <w:tc>
          <w:tcPr>
            <w:tcW w:w="1247"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Ankstesnių metų nepaskirstytasis pelnas</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lastRenderedPageBreak/>
              <w:t>Reglamento (ES) Nr. 575/2013 4 straipsnio 1 dalies 123 punktas ir 26 straipsnio 1 dalies c punktas.</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123 punkte nurodoma, kad nepaskirstytasis pelnas yra „į kitą laikotarpį perkeliamas pelnas ir nuostoliai, likę po galutinio pelno arba nuostolių paskirstymo pagal taikytiną apskaitos sistemą“.</w:t>
            </w:r>
          </w:p>
        </w:tc>
      </w:tr>
      <w:tr w:rsidR="00CC7D2C" w:rsidRPr="002A677E" w14:paraId="5EACCF4C" w14:textId="77777777" w:rsidTr="00986F67">
        <w:tc>
          <w:tcPr>
            <w:tcW w:w="1247"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Reikalavimus atitinkantis pelnas arba nuostoliai</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121 punktas, 26 straipsnio 2 dalis ir 36 straipsnio 1 dalies a punktas</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t>Pagal Reglamento (ES) Nr. 575/2013 26 straipsnio 2 dalį leidžiama, gavus kompetentingos institucijos išankstinį leidimą, į nepaskirstytąjį pelną įtraukti tarpinį arba metų pabaigos pelną, jeigu įvykdomos tam tikros sąlygos.</w:t>
            </w:r>
            <w:r>
              <w:rPr>
                <w:rStyle w:val="FormatvorlageInstructionsTabelleText"/>
                <w:rFonts w:ascii="Times New Roman" w:hAnsi="Times New Roman"/>
                <w:sz w:val="24"/>
              </w:rPr>
              <w:t xml:space="preserve">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t>Kita vertus, iš CET1 atskaitomi nuostoliai, kaip nurodyta Reglamento (ES) Nr. 575/2013 36 straipsnio 1 dalies a punkte.</w:t>
            </w:r>
          </w:p>
        </w:tc>
      </w:tr>
      <w:tr w:rsidR="00CC7D2C" w:rsidRPr="002A677E" w14:paraId="24BE1C8A" w14:textId="77777777" w:rsidTr="00986F67">
        <w:tc>
          <w:tcPr>
            <w:tcW w:w="1247"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Patronuojančiosios įmonės savininkams priskirtinas pelnas arba nuostoliai</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t>Reglamento (ES) Nr. 575/2013 26 straipsnio 2 dalis ir 36 straipsnio 1 dalies a punktas</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 buhalterinėje pajamų ataskaitoje nurodytas pelnas arba nuostolis.</w:t>
            </w:r>
          </w:p>
        </w:tc>
      </w:tr>
      <w:tr w:rsidR="00CC7D2C" w:rsidRPr="002A677E" w14:paraId="62BE66ED" w14:textId="77777777" w:rsidTr="00986F67">
        <w:tc>
          <w:tcPr>
            <w:tcW w:w="1247"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Reikalavimų neatitinkanti tarpinio arba metų pabaigos pelno dalis</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t>Reglamento (ES) Nr. 575/2013 26 straipsnio 2 dalis</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įstaiga nurodo per ataskaitinį laikotarpį turėjusi nuostolių, šioje eilutėje nerašoma nieko, nes iš CET1 atskaitoma visa nuostolių suma.</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t>Jeigu įstaiga nurodo turėjusi pelno, nurodoma reikalavimų pagal Reglamento (ES) Nr. 575/2013 26 straipsnio 2 dalį neatitinkanti dalis (t. y. neaudituotas pelnas ir numatomi mokesčiai arba dividendai).</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Atkreipkite dėmesį, kad iš pelno atskaitytiną sumą sudaro bent tarpiniai dividendai.</w:t>
            </w:r>
          </w:p>
        </w:tc>
      </w:tr>
      <w:tr w:rsidR="00CC7D2C" w:rsidRPr="002A677E" w14:paraId="6CB8B9D2" w14:textId="77777777" w:rsidTr="00986F67">
        <w:tc>
          <w:tcPr>
            <w:tcW w:w="1247"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Sukauptos kitos bendrosios pajamos</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100 punktas ir 26 straipsnio 1 dalies d punktas</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Suma nurodoma atėmus visus skaičiavimo metu numatomus mokesčius, bet dar nepritaikius rizikos ribojimo filtrų. Nurodytina suma nustatoma pagal Komisijos deleguotojo reglamento (ES) Nr. 241/2014 13 straipsnio 4 dalį. </w:t>
            </w:r>
          </w:p>
        </w:tc>
      </w:tr>
      <w:tr w:rsidR="00CC7D2C" w:rsidRPr="002A677E" w14:paraId="3D120A71" w14:textId="77777777" w:rsidTr="00986F67">
        <w:tc>
          <w:tcPr>
            <w:tcW w:w="1247"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Kiti rezervai</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117 punktas ir 26 straipsnio 1 dalies e punktas</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lastRenderedPageBreak/>
              <w:t>Reglamente (ES) Nr. 575/2013 apibrėžta: „kiti rezervai – rezervai, kaip apibrėžta taikytiname apskaitos standarte, kuriuos reikia atskleisti pagal tą taikytiną apskaitos standartą, neįskaitant jokių sumų, kurios jau įskaitytos į sukauptas kitas bendrąsias pajamas arba nepaskirstytąjį pelną“.</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turi būti nurodoma atėmus visus skaičiavimo metu numatomus mokesčius.</w:t>
            </w:r>
          </w:p>
        </w:tc>
      </w:tr>
      <w:tr w:rsidR="00CC7D2C" w:rsidRPr="002A677E" w14:paraId="5723D0B6" w14:textId="77777777" w:rsidTr="00986F67">
        <w:tc>
          <w:tcPr>
            <w:tcW w:w="1247"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Atidėjiniai bendrai bankinei rizikai</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112 punktas ir 26 straipsnio 1 dalies f punktas</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t>Atidėjiniai bendrai bankinei rizikai Tarybos direktyvos 86/635/EEB 38 straipsnyje apibrėžiami kaip „sumos, kurias kredito įstaiga nutaria atidėti tokiai rizikai padengti, jei to reikalauja specifinė rizika, susijusi su bankine veikla“.</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turi būti nurodoma atėmus visus skaičiavimo metu numatomus mokesčius.</w:t>
            </w:r>
          </w:p>
        </w:tc>
      </w:tr>
      <w:tr w:rsidR="00CC7D2C" w:rsidRPr="002A677E" w14:paraId="0A15B59E" w14:textId="77777777" w:rsidTr="00986F67">
        <w:tc>
          <w:tcPr>
            <w:tcW w:w="1247"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Pereinamojo laikotarpio koregavimai dėl CET1 kapitalo priemonių, kurioms taikomas tęstinumo principas</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483 straipsnio 1, 2 ir 3 dalys ir 484–487 straipsniai</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priemonių, pereinamuoju laikotarpiu likusių galioti kaip CET1, suma. Nurodoma suma yra tiesiogiai perkeliama iš CA5 formos.</w:t>
            </w:r>
          </w:p>
        </w:tc>
      </w:tr>
      <w:tr w:rsidR="00CC7D2C" w:rsidRPr="002A677E" w14:paraId="577B3C1C" w14:textId="77777777" w:rsidTr="00986F67">
        <w:tc>
          <w:tcPr>
            <w:tcW w:w="1247"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Mažumos dalys, pripažintos kaip CET1 kapitalas</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120 punktas ir 84 straipsnis</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Visų patronuojamųjų įmonių mažumos dalių suma, įtraukta į konsoliduotą CET1.</w:t>
            </w:r>
          </w:p>
        </w:tc>
      </w:tr>
      <w:tr w:rsidR="00CC7D2C" w:rsidRPr="002A677E" w14:paraId="645343D9" w14:textId="77777777" w:rsidTr="00986F67">
        <w:tc>
          <w:tcPr>
            <w:tcW w:w="1247"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Pereinamojo laikotarpio koregavimai dėl papildomų mažumos dalių</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479 ir 480 straipsniai</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Mažumos dalių koregavimai dėl pereinamojo laikotarpio nuostatų. Šis straipsnis tiesiogiai perkeliamas iš CA5 formos.</w:t>
            </w:r>
          </w:p>
        </w:tc>
      </w:tr>
      <w:tr w:rsidR="00CC7D2C" w:rsidRPr="002A677E" w14:paraId="19432E87" w14:textId="77777777" w:rsidTr="00986F67">
        <w:tc>
          <w:tcPr>
            <w:tcW w:w="1247"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CET1 koregavimai pritaikius riziką ribojančius filtrus</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t xml:space="preserve">Reglamento (ES) Nr. 575/2013 32–35 straipsniai </w:t>
            </w:r>
          </w:p>
        </w:tc>
      </w:tr>
      <w:tr w:rsidR="00CC7D2C" w:rsidRPr="002A677E" w14:paraId="2F2D7907" w14:textId="77777777" w:rsidTr="00986F67">
        <w:tc>
          <w:tcPr>
            <w:tcW w:w="1247"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Nuosavo kapitalo padidėjimas dėl vertybiniais popieriais pakeisto turto</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32 straipsnio 1 dalis</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kuri susidaro įstaigos nuosavam kapitalui padidėjus dėl vertybiniais popieriais pakeisto turto, remiantis taikomu apskaitos standartu.</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Pavyzdžiui, į šį straipsnį įtraukiamos būsimos pajamos iš maržos, dėl kurios susidarys įstaigos pelnas iš pardavimo, arba, kai įstaiga yra </w:t>
            </w:r>
            <w:r>
              <w:rPr>
                <w:rStyle w:val="FormatvorlageInstructionsTabelleText"/>
                <w:rFonts w:ascii="Times New Roman" w:hAnsi="Times New Roman"/>
                <w:sz w:val="24"/>
              </w:rPr>
              <w:lastRenderedPageBreak/>
              <w:t>pakeitimo vertybiniais popieriais iniciatorė, grynasis pelnas, gaunamas kapitalizuojant ateities pajamas iš vertybiniais popieriais pakeisto turto, didinančio pakeitimo vertybiniais popieriais pozicijų kredito vertę.</w:t>
            </w:r>
          </w:p>
        </w:tc>
      </w:tr>
      <w:tr w:rsidR="00CC7D2C" w:rsidRPr="002A677E" w14:paraId="5EC409A3" w14:textId="77777777" w:rsidTr="00986F67">
        <w:tc>
          <w:tcPr>
            <w:tcW w:w="1247"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Pinigų srautų apsidraudimo rezervas</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33 straipsnio 1 dalies a punktas</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reikšmė gali būti teigiama arba neigiama. Reikšmė bus teigiama, jeigu pinigų srautų apsidraudimo rezerve yra nuostolis (t. y. jeigu dėl jo sumažėja apskaitinis nuosavas kapitalas), ir atvirkščiai. Taigi ženklas turi būti priešingas finansinėje apskaitoje įrašytam ženklui.</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nurodoma atėmus visus skaičiavimo metu numatomus mokesčius.</w:t>
            </w:r>
          </w:p>
        </w:tc>
      </w:tr>
      <w:tr w:rsidR="00CC7D2C" w:rsidRPr="002A677E" w14:paraId="284D2AD3" w14:textId="77777777" w:rsidTr="00986F67">
        <w:tc>
          <w:tcPr>
            <w:tcW w:w="1247"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Kaupiamasis pelnas ir nuostoliai iš įstaigos įsipareigojimų, vertinamų tikrąja verte, kurie susidaro dėl pačios įstaigos kredito rizikos pokyčių</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33 straipsnio 1 dalies b punktas</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reikšmė gali būti teigiama arba neigiama. Reikšmė bus teigiama, jeigu dėl pačios įstaigos kredito rizikos pokyčių susidaro nuostolis (t. y. jeigu dėl jo sumažėja apskaitinis nuosavas kapitalas), ir atvirkščiai. Taigi ženklas turi būti priešingas finansinėje apskaitoje įrašytam ženklui.</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Neaudituotas pelnas į šį straipsnį neįtraukiamas.</w:t>
            </w:r>
          </w:p>
        </w:tc>
      </w:tr>
      <w:tr w:rsidR="00CC7D2C" w:rsidRPr="002A677E" w14:paraId="6CC52A02" w14:textId="77777777" w:rsidTr="00986F67">
        <w:tc>
          <w:tcPr>
            <w:tcW w:w="1247"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Tikrąja verte vertinamas pelnas ir nuostoliai, kurie susidaro dėl pačios įstaigos kredito rizikos, susijusios su išvestinių finansinių priemonių įsipareigojimais</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33 straipsnio 1 dalies c punktas ir 33 straipsnio 2 dalis</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Nurodomos sumos reikšmė gali būti teigiama arba neigiama. Reikšmė bus teigiama, jeigu dėl pačios įstaigos kredito rizikos pokyčių susidaro nuostolis, ir atvirkščiai. Taigi ženklas turi būti priešingas finansinėje apskaitoje įrašytam ženklui.</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Neaudituotas pelnas į šį straipsnį neįtraukiamas.</w:t>
            </w:r>
          </w:p>
        </w:tc>
      </w:tr>
      <w:tr w:rsidR="00CC7D2C" w:rsidRPr="002A677E" w14:paraId="0620E497" w14:textId="77777777" w:rsidTr="00986F67">
        <w:tc>
          <w:tcPr>
            <w:tcW w:w="1247"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Vertės koregavimai pagal rizikos ribojimo principais pagrįsto vertinimo reikalavimus</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34 ir 105 straipsniai</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Prekybos knygos arba ne prekybos knygos pozicijų tikrosios vertės koregavimai laikantis Reglamento (ES) Nr. 575/2013 105 straipsnyje</w:t>
            </w:r>
            <w:r>
              <w:t xml:space="preserve"> nustatytų griežtesnių rizikos ribojimo principais pagrįsto vertinimo standartų.</w:t>
            </w:r>
          </w:p>
        </w:tc>
      </w:tr>
      <w:tr w:rsidR="00CC7D2C" w:rsidRPr="002A677E" w14:paraId="689618FB" w14:textId="77777777" w:rsidTr="00986F67">
        <w:tc>
          <w:tcPr>
            <w:tcW w:w="1247"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Prestižas</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113 punktas, 36 straipsnio 1 dalies b punktas ir 37 straipsnis</w:t>
            </w:r>
          </w:p>
        </w:tc>
      </w:tr>
      <w:tr w:rsidR="00CC7D2C" w:rsidRPr="002A677E" w14:paraId="4EE59EA3" w14:textId="77777777" w:rsidTr="00986F67">
        <w:tc>
          <w:tcPr>
            <w:tcW w:w="1247"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Prestižas, apskaitomas kaip nematerialusis turtas</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lastRenderedPageBreak/>
              <w:t>Reglamento (ES) Nr. 575/2013 4 straipsnio 1 dalies 113 punktas ir 36 straipsnio 1 dalies b punktas</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Sąvokos „prestižas“ reikšmė yra tokia pati, kaip apibrėžta taikomame apskaitos standarte.</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Čia nurodoma suma yra ta pati suma, kokia įrašyta balanse.</w:t>
            </w:r>
          </w:p>
        </w:tc>
      </w:tr>
      <w:tr w:rsidR="00CC7D2C" w:rsidRPr="002A677E" w14:paraId="07B42061" w14:textId="77777777" w:rsidTr="00986F67">
        <w:tc>
          <w:tcPr>
            <w:tcW w:w="1247"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Prestižas, įtrauktas į reikšmingų investicijų vertinimą</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37 straipsnio b punktas ir 43 straipsnis</w:t>
            </w:r>
          </w:p>
        </w:tc>
      </w:tr>
      <w:tr w:rsidR="00CC7D2C" w:rsidRPr="002A677E" w14:paraId="2C686AE1" w14:textId="77777777" w:rsidTr="00986F67">
        <w:tc>
          <w:tcPr>
            <w:tcW w:w="1247"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Atidėtųjų mokesčių įsipareigojimai, susiję su prestižu</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37 straipsnio a punktas</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įsipareigojimų suma, kuri būtų anuliuota, jeigu prestižo vertė sumažėtų arba būtų nutrauktas jo pripažinimas pagal atitinkamą apskaitos standartą.</w:t>
            </w:r>
          </w:p>
        </w:tc>
      </w:tr>
      <w:tr w:rsidR="00CC7D2C" w:rsidRPr="002A677E" w14:paraId="4EF2E6CA" w14:textId="77777777" w:rsidTr="00986F67">
        <w:tc>
          <w:tcPr>
            <w:tcW w:w="1247"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Patronuojamųjų įmonių prestižo, gauto konsoliduojant patronuojamąsias įmones ir priskirtino tretiesiems asmenims, perkainojimas apskaitoje</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37 straipsnio c punktas</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Suma, gauta apskaitoje perkainojus patronuojamųjų įmonių prestižą, gautą konsoliduojant patronuojamąsias įmones ir priskirtiną kitiems asmenims nei pagal pirmos dalies II antraštinės dalies 2 skyrių konsoliduojamos įmonės.</w:t>
            </w:r>
          </w:p>
        </w:tc>
      </w:tr>
      <w:tr w:rsidR="00CC7D2C" w:rsidRPr="002A677E" w14:paraId="7744B572" w14:textId="77777777" w:rsidTr="00986F67">
        <w:tc>
          <w:tcPr>
            <w:tcW w:w="1247"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Kitas nematerialusis turtas</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115 punktas, 36 straipsnio 1 dalies b punktas ir 37 straipsnio a ir c punktai</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Kitas nematerialusis turtas – nematerialusis turtas pagal taikomą apskaitos standartą, atėmus prestižą (taip pat pagal taikomą apskaitos standartą).</w:t>
            </w:r>
          </w:p>
        </w:tc>
      </w:tr>
      <w:tr w:rsidR="00CC7D2C" w:rsidRPr="002A677E" w14:paraId="20D6A288" w14:textId="77777777" w:rsidTr="00986F67">
        <w:tc>
          <w:tcPr>
            <w:tcW w:w="1247"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Kitas nematerialusis turtas prieš atidėtųjų mokesčių įsipareigojimų atskaitymą</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115 punktas ir 36 straipsnio 1 dalies b punktas</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Kitas nematerialusis turtas – nematerialusis turtas pagal taikomą apskaitos standartą, atėmus prestižą (taip pat pagal taikomą apskaitos standartą).</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sutampa su balanse pagal taikomą apskaitos standartą įrašyta nematerialiojo turto suma, išskyrus prestižą ir apdairiai vertinamos programinės įrangos kaip turto sumą, kuri yra neatskaitoma iš CET1 straipsnių pagal Reglamento (ES) Nr. 575/2013 36 straipsnio 1 dalies b punktą.</w:t>
            </w:r>
          </w:p>
        </w:tc>
      </w:tr>
      <w:tr w:rsidR="00CC7D2C" w:rsidRPr="002A677E" w14:paraId="54A3CD6E" w14:textId="77777777" w:rsidTr="00986F67">
        <w:tc>
          <w:tcPr>
            <w:tcW w:w="1247"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dalis, kurią atitinka: programinė įranga kaip turtas, apskaitoma kaip kitas nematerialusis turtas prieš atidėtųjų mokesčių įsipareigojimų atskaitymą</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115 punktas ir 36 straipsnio 1 dalies b punktas</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Programinės įrangos kaip turto suma, apskaitoma kaip nematerialusis turtas, atskaitomas iš CET1 straipsnių pagal Reglamento (ES) Nr. 575/2013 36 straipsnio 1 dalies b punktą ir Deleguotojo reglamento (ES) Nr. 241/2014 13a straipsnį</w:t>
            </w:r>
            <w:r>
              <w:t>. Nurodant sumą neatsižvelgiama į Reglamento (ES) Nr. 575/2013 37 straipsnio a punkte nurodytos tvarkos taikymo poveikį, susijusį su atidėtųjų mokesčių įsipareigojimais, siejamais su ta programine įranga kaip turtu.</w:t>
            </w:r>
          </w:p>
          <w:p w14:paraId="39783C08" w14:textId="77777777" w:rsidR="00CC7D2C" w:rsidRPr="002A677E" w:rsidRDefault="00CC7D2C" w:rsidP="00320EFD">
            <w:pPr>
              <w:pStyle w:val="InstructionsText"/>
              <w:rPr>
                <w:rStyle w:val="InstructionsTabelleberschrift"/>
                <w:rFonts w:ascii="Times New Roman" w:hAnsi="Times New Roman"/>
                <w:sz w:val="24"/>
              </w:rPr>
            </w:pPr>
            <w:r>
              <w:t>Kai įstaiga priima sprendimą, užuot taikius Deleguotojo reglamento (ES) Nr. 241/2014 13a straipsnyje nurodytą tvarką, atskaityti visą savo programinės įrangos kaip turto sumą pagal Reglamento (ES) Nr. 575/2013 3 straipsnį, šioje eilutėje nurodoma suma atitinka programinės įrangos kaip turto sumą, pagal taikomą apskaitos standartą apskaitomą kaip nematerialusis turtas.</w:t>
            </w:r>
          </w:p>
        </w:tc>
      </w:tr>
      <w:tr w:rsidR="00CC7D2C" w:rsidRPr="002A677E" w14:paraId="28B86AF5" w14:textId="77777777" w:rsidTr="00986F67">
        <w:tc>
          <w:tcPr>
            <w:tcW w:w="1247"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Atidėtųjų mokesčių įsipareigojimai, susiję su kitu nematerialiuoju turtu</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37 straipsnio a punktas</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įsipareigojimų suma, kuri būtų anuliuota, jeigu nematerialiojo turto, išskyrus prestižą ir apdairiai vertinamos programinės įrangos kaip turto sumą, kurios leidžiama neatskaityti iš CET1 straipsnių pagal Deleguotojo reglamento (ES) Nr. 241/2014 13a straipsnį, vertė sumažėtų arba būtų nutrauktas jo pripažinimas pagal atitinkamą apskaitos standartą.</w:t>
            </w:r>
          </w:p>
        </w:tc>
      </w:tr>
      <w:tr w:rsidR="00CC7D2C" w:rsidRPr="002A677E" w14:paraId="35B2FE40" w14:textId="77777777" w:rsidTr="00986F67">
        <w:tc>
          <w:tcPr>
            <w:tcW w:w="1247"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Atidėtųjų mokesčių įsipareigojimai, susiję su programine įranga kaip turtu, apskaitoma kaip nematerialusis turtas</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37 straipsnio a punktas</w:t>
            </w:r>
          </w:p>
          <w:p w14:paraId="0A9FF627" w14:textId="77777777" w:rsidR="00CC7D2C" w:rsidRPr="002A677E" w:rsidRDefault="00CC7D2C" w:rsidP="00320EFD">
            <w:pPr>
              <w:pStyle w:val="InstructionsText"/>
              <w:rPr>
                <w:rStyle w:val="InstructionsTabelleberschrift"/>
                <w:rFonts w:ascii="Times New Roman" w:hAnsi="Times New Roman"/>
                <w:sz w:val="24"/>
              </w:rPr>
            </w:pPr>
            <w:r>
              <w:t>Atidėtųjų mokesčių įsipareigojimų dalis, siejama su programinės įrangos kaip turto suma, apskaitoma kaip nematerialusis turtas, atskaitomas iš CET1 straipsnių pagal Reglamento (ES) Nr. 575/2013 36 straipsnio 1 dalies b punktą ir Deleguotojo reglamento (ES) Nr. 241/2014 13a straipsnį arba Reglamento (ES) Nr. 575/2013 3 straipsnį.</w:t>
            </w:r>
          </w:p>
        </w:tc>
      </w:tr>
      <w:tr w:rsidR="00CC7D2C" w:rsidRPr="002A677E" w14:paraId="70934E08" w14:textId="77777777" w:rsidTr="00986F67">
        <w:tc>
          <w:tcPr>
            <w:tcW w:w="1247"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Patronuojamųjų įmonių kito nematerialiojo turto, gauto konsoliduojant patronuojamąsias įmones ir priskirtino tretiesiems asmenims, perkainojimas apskaitoje</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37 straipsnio c punktas</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Suma, gauta apskaitoje perkainojus patronuojamųjų įmonių nematerialųjį turtą, išskyrus prestižą, gautą konsoliduojant patronuojamąsias įmones ir priskirtiną kitiems asmenims nei pagal pirmos dalies II antraštinės dalies 2 skyrių konsoliduojamos įmonės.</w:t>
            </w:r>
          </w:p>
        </w:tc>
      </w:tr>
      <w:tr w:rsidR="00CC7D2C" w:rsidRPr="002A677E" w14:paraId="0BF2A120" w14:textId="77777777" w:rsidTr="00986F67">
        <w:tc>
          <w:tcPr>
            <w:tcW w:w="1247"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Atidėtųjų mokesčių turtas, kuris priklauso nuo būsimo pelningumo ir susidaro ne dėl laikinųjų skirtumų, atėmus susijusius atidėtųjų mokesčių įsipareigojimus</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36 straipsnio 1 dalies c punktas ir 38 straipsnis</w:t>
            </w:r>
          </w:p>
        </w:tc>
      </w:tr>
      <w:tr w:rsidR="00CC7D2C" w:rsidRPr="002A677E" w14:paraId="24CD0FAD" w14:textId="77777777" w:rsidTr="00986F67">
        <w:tc>
          <w:tcPr>
            <w:tcW w:w="1247"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Kredito rizikos koregavimų pagal IRB metodą trūkumas, atsižvelgiant į tikėtinus nuostolius</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36 straipsnio 1 dalies d punktas, 40, 158 ir 159 straipsniai</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t>Nurodomos sumos nemažinamos padidėjusia atidėtųjų mokesčių turto, kuris priklauso nuo būsimo pelningumo, dalimi arba dėl kito papildomo mokesčių poveikio, kuris galėtų atsirasti, jeigu atidėjiniai būtų padidinti iki tikėtinų nuostolių lygio (Reglamento (ES) Nr. 575/2013 40 straipsnis).</w:t>
            </w:r>
          </w:p>
        </w:tc>
      </w:tr>
      <w:tr w:rsidR="00CC7D2C" w:rsidRPr="002A677E" w14:paraId="6B49E9C5" w14:textId="77777777" w:rsidTr="00986F67">
        <w:tc>
          <w:tcPr>
            <w:tcW w:w="1247"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Nustatytų išmokų pensijų fondo turtas</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109 punktas, 36 straipsnio 1 dalies e punktas ir 41 straipsnis</w:t>
            </w:r>
          </w:p>
        </w:tc>
      </w:tr>
      <w:tr w:rsidR="00CC7D2C" w:rsidRPr="002A677E" w14:paraId="7BDB1D8B" w14:textId="77777777" w:rsidTr="00986F67">
        <w:tc>
          <w:tcPr>
            <w:tcW w:w="1247"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Nustatytų išmokų pensijų fondo turtas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109 punktas ir 36 straipsnio 1 dalies e punktas</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Nustatytų išmokų pensijų fondo turtas apibrėžiamas kaip „nustatyto dydžio išmokų pensijų fondo ar sistemos turtas, apskaičiuotas iš jo atėmus to fondo arba pagal tą sistemą prisiimtus įsipareigojimus“.</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sutampa su balanse įrašyta suma (jei ji nurodyta atskirai).</w:t>
            </w:r>
          </w:p>
        </w:tc>
      </w:tr>
      <w:tr w:rsidR="00CC7D2C" w:rsidRPr="002A677E" w14:paraId="6670AAD7" w14:textId="77777777" w:rsidTr="00986F67">
        <w:tc>
          <w:tcPr>
            <w:tcW w:w="1247"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Atidėtųjų mokesčių įsipareigojimai, susiję su nustatytų išmokų pensijų fondo turtu</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108 ir 109 punktai ir 41 straipsnio 1 dalies a punktas</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Atidėtųjų mokesčių įsipareigojimų suma, kuri būtų anuliuota, jeigu nustatytų išmokų pensijų fondo turto vertė sumažėtų arba būtų nutrauktas jo pripažinimas pagal atitinkamą apskaitos standartą.</w:t>
            </w:r>
          </w:p>
        </w:tc>
      </w:tr>
      <w:tr w:rsidR="00CC7D2C" w:rsidRPr="002A677E" w14:paraId="626DD82F" w14:textId="77777777" w:rsidTr="00986F67">
        <w:tc>
          <w:tcPr>
            <w:tcW w:w="1247"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Nustatytų išmokų pensijų fondo turtas, kurį įstaiga gali neribotai naudoti</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109 punktas ir 41 straipsnio 1 dalies b punktas</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kokia nors suma nurodoma tik tada, jeigu yra gautas kompetentingos institucijos išankstinis leidimas mažinti atskaitomą nustatytų išmokų pensijų fondo turto sumą.</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šią eilutę įtraukiamam turtui taikomas rizikos koeficientas pagal kredito rizikos reikalavimus.</w:t>
            </w:r>
          </w:p>
        </w:tc>
      </w:tr>
      <w:tr w:rsidR="00CC7D2C" w:rsidRPr="002A677E" w14:paraId="19AA0A30" w14:textId="77777777" w:rsidTr="00986F67">
        <w:tc>
          <w:tcPr>
            <w:tcW w:w="1247"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Abipusė kryžminė CET1 kapitalo dalių nuosavybė</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122 punktas, 36 straipsnio 1 dalies g punktas ir 44 straipsnis</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t>Turimos finansų sektoriaus subjektų (apibrėžtų Reglamento (ES) Nr. 575/2013 4 straipsnio 1 dalies 27 punkte), su kuriais turima abipusės kryžminės kapitalo dalių nuosavybės, CET1 priemonės, kurios, kompetentingos institucijos nuomone, buvo sukurtos siekiant dirbtinai padidinti įstaigos nuosavas lėšas.</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Nurodytina suma apskaičiuojama pagal bendrąsias ilgąsias pozicijas ir į ją turi būti įtraukti 1 lygio nuosavų lėšų draudimo straipsniai.</w:t>
            </w:r>
          </w:p>
        </w:tc>
      </w:tr>
      <w:tr w:rsidR="00CC7D2C" w:rsidRPr="002A677E" w14:paraId="4336E454" w14:textId="77777777" w:rsidTr="00986F67">
        <w:tc>
          <w:tcPr>
            <w:tcW w:w="1247"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Atskaitymai iš AT1 straipsnių, viršijantys AT1 kapitalą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36 straipsnio 1 dalies j punktas</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tiesiogiai perkeliama iš CA1 formos straipsnio „Atskaitymai iš AT1 straipsnių, viršijantys AT1 kapitalą“. Ši suma turi būti atskaityta iš CET1.</w:t>
            </w:r>
          </w:p>
        </w:tc>
      </w:tr>
      <w:tr w:rsidR="00CC7D2C" w:rsidRPr="002A677E" w14:paraId="6D33881F" w14:textId="77777777" w:rsidTr="00986F67">
        <w:tc>
          <w:tcPr>
            <w:tcW w:w="1247"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Kvalifikuotoji akcijų paketo dalis, turima ne finansų sektoriaus įmonėse, kuriai kaip alternatyva gali būti taikomas 1 250 % rizikos koeficientas</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36 punktas, 36 straipsnio 1 dalies k punkto i papunktis ir 89–91 straipsniai</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Kvalifikuotoji akcijų paketo dalis – tiesiogiai arba netiesiogiai turima įmonės kapitalo dalis, kuri sudaro 10 % ar daugiau kapitalo ar balsavimo teisių, arba tokia dalis, kuri suteikia galimybę daryti reikšmingą įtaką tos įmonės valdymui.</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Pagal Reglamento (ES) Nr. 575/2013 36 straipsnio</w:t>
            </w:r>
            <w:r>
              <w:t xml:space="preserve"> 1 dalies k punkto i papunktį </w:t>
            </w:r>
            <w:r>
              <w:rPr>
                <w:rStyle w:val="FormatvorlageInstructionsTabelleText"/>
                <w:rFonts w:ascii="Times New Roman" w:hAnsi="Times New Roman"/>
                <w:sz w:val="24"/>
              </w:rPr>
              <w:t>kvalifikuotoji akcijų paketo dalis gali būti atskaityta iš CET1 (naudojant šį straipsnį) arba jai gali būti taikomas 1 250 % rizikos</w:t>
            </w:r>
            <w:r>
              <w:t xml:space="preserve"> </w:t>
            </w:r>
            <w:r>
              <w:rPr>
                <w:rStyle w:val="FormatvorlageInstructionsTabelleText"/>
                <w:rFonts w:ascii="Times New Roman" w:hAnsi="Times New Roman"/>
                <w:sz w:val="24"/>
              </w:rPr>
              <w:t>koeficientas</w:t>
            </w:r>
            <w:r>
              <w:t>.</w:t>
            </w:r>
          </w:p>
        </w:tc>
      </w:tr>
      <w:tr w:rsidR="00CC7D2C" w:rsidRPr="002A677E" w14:paraId="53EB9EFA" w14:textId="77777777" w:rsidTr="00986F67">
        <w:tc>
          <w:tcPr>
            <w:tcW w:w="1247"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Pakeitimo vertybiniais popieriais pozicijos, kurioms kaip alternatyva gali būti taikomas 1 250 % rizikos koeficientas</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t>Reglamento (ES) Nr. 575/2013 244 straipsnio 1 dalies b punktas, 245 straipsnio 1 dalies b punktas ir 253 straipsnio 1 dalis</w:t>
            </w:r>
            <w:r>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nurodomos pakeitimo vertybiniais popieriais pozicijos, kurioms taikomas 1 250 %</w:t>
            </w:r>
            <w:r>
              <w:t xml:space="preserve"> </w:t>
            </w:r>
            <w:r>
              <w:rPr>
                <w:rStyle w:val="FormatvorlageInstructionsTabelleText"/>
                <w:rFonts w:ascii="Times New Roman" w:hAnsi="Times New Roman"/>
                <w:sz w:val="24"/>
              </w:rPr>
              <w:t>rizikos koeficientas, kurias antraip galima atskaityti iš CET1 (Reglamento (ES) Nr. 575/2013 36 straipsnio 1 dalies k punkto ii papunktis).</w:t>
            </w:r>
          </w:p>
        </w:tc>
      </w:tr>
      <w:tr w:rsidR="00CC7D2C" w:rsidRPr="002A677E" w14:paraId="07BBECDD" w14:textId="77777777" w:rsidTr="00986F67">
        <w:tc>
          <w:tcPr>
            <w:tcW w:w="1247"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Nebaigti sandoriai, kuriems kaip alternatyva gali būti taikomas 1 250 % rizikos koeficientas</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36 straipsnio 1 dalies k punkto iii papunktis ir 379 straipsnio 3 dalis</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Nebaigtiems sandoriams 1 250 % rizikos koeficientas pradedamas taikyti praėjus 5 dienoms</w:t>
            </w:r>
            <w:r>
              <w:t xml:space="preserve"> </w:t>
            </w:r>
            <w:r>
              <w:rPr>
                <w:rStyle w:val="FormatvorlageInstructionsTabelleText"/>
                <w:rFonts w:ascii="Times New Roman" w:hAnsi="Times New Roman"/>
                <w:sz w:val="24"/>
              </w:rPr>
              <w:t xml:space="preserve">nuo antro sutartinio mokėjimo arba įsipareigojimo pristatyti ir taikomas iki sandorio įvykdymo, laikantis nuosavų lėšų reikalavimų atsiskaitymo rizikai padengti. </w:t>
            </w:r>
            <w:r>
              <w:t>Antraip juos galima atskaityti iš CET1 (Reglamento (ES) Nr. 575/2013 36 straipsnio 1 dalies k punkto iii papunktis).</w:t>
            </w:r>
            <w:r>
              <w:rPr>
                <w:rStyle w:val="FormatvorlageInstructionsTabelleText"/>
                <w:rFonts w:ascii="Times New Roman" w:hAnsi="Times New Roman"/>
                <w:sz w:val="24"/>
              </w:rPr>
              <w:t xml:space="preserve"> Pastaruoju atveju jie nurodomi šiame straipsnyje.</w:t>
            </w:r>
          </w:p>
        </w:tc>
      </w:tr>
      <w:tr w:rsidR="00CC7D2C" w:rsidRPr="002A677E" w14:paraId="222C2779" w14:textId="77777777" w:rsidTr="00986F67">
        <w:tc>
          <w:tcPr>
            <w:tcW w:w="1247"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Į krepšelį įtrauktos pozicijos, kurių rizikos koeficiento pagal IRB metodą įstaiga negali nustatyti ir kurioms kaip alternatyva gali būti taikomas 1 250 % rizikos koeficientas</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36 straipsnio 1 dalies k punkto iv papunktis ir 153 straipsnio 8 dalis</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lastRenderedPageBreak/>
              <w:t>Pagal Reglamento (ES) Nr. 575/2013 36 straipsnio 1 dalies k punkto iv papunktį į krepšelį įtrauktos pozicijos, kurių rizikos koeficiento pagal IRB metodą įstaiga negali nustatyti, gali būti atskaitytos iš CET1 (naudojant šį straipsnį) arba joms gali būti taikomas 1 250 % rizikos koeficientas.</w:t>
            </w:r>
          </w:p>
        </w:tc>
      </w:tr>
      <w:tr w:rsidR="00CC7D2C" w:rsidRPr="002A677E" w14:paraId="71C680BD" w14:textId="77777777" w:rsidTr="00986F67">
        <w:tc>
          <w:tcPr>
            <w:tcW w:w="1247"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Nuosavybės vertybinių popierių pozicijos pagal vidaus modelių metodą, kurioms kaip alternatyva gali būti taikomas 1 250 % rizikos koeficientas</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36 straipsnio 1 dalies k punkto v papunktis ir 155 straipsnio 4 dalis</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t>Pagal Reglamento (ES) Nr. 575/2013 36 straipsnio 1 dalies k punkto v papunktį nuosavybės vertybinių popierių pozicijos pagal vidaus modelių metodą gali būti atskaitytos iš CET1 (naudojant šį straipsnį) arba joms gali būti taikomas 1 250 % rizikos koeficientas.</w:t>
            </w:r>
          </w:p>
        </w:tc>
      </w:tr>
      <w:tr w:rsidR="00CC7D2C" w:rsidRPr="002A677E" w14:paraId="35B2C8E3" w14:textId="77777777" w:rsidTr="00986F67">
        <w:tc>
          <w:tcPr>
            <w:tcW w:w="1247"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Finansų sektoriaus subjektų, kuriuose įstaiga neturi reikšmingų investicijų, CET1 priemonės</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27 punktas, 36 straipsnio 1 dalies h punktas, 43–46 straipsniai, 49 straipsnio 2 ir 3 dalys ir 79 straipsnis</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t>Įstaigos turimų finansų sektoriaus subjektų (apibrėžtų Reglamento (ES) Nr. 575/2013 4 straipsnio 1 dalies 27 punkte), kuriuose įstaiga neturi reikšmingų investicijų, priemonių dalis, kuri turi būti atskaityta iš CET1.</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atskaitymo alternatyvas, kai taikomas konsolidavimas (49 straipsnio 2 ir 3 dalys).</w:t>
            </w:r>
          </w:p>
        </w:tc>
      </w:tr>
      <w:tr w:rsidR="00CC7D2C" w:rsidRPr="002A677E" w14:paraId="07AF0461" w14:textId="77777777" w:rsidTr="00986F67">
        <w:tc>
          <w:tcPr>
            <w:tcW w:w="1247"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Atskaitomas atidėtųjų mokesčių turtas, kuris priklauso nuo būsimo pelningumo ir susidaro dėl laikinųjų skirtumų</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36 straipsnio 1 dalies c punktas, 38 straipsnis ir 48 straipsnio 1 dalies a punktas</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t>Atidėtųjų mokesčių turto, kuris priklauso nuo būsimo pelningumo ir susidaro dėl laikinųjų skirtumų, dalis (atėmus susijusių atidėtųjų mokesčių įsipareigojimų dalį, priskirtą prie atidėtųjų mokesčių turto, kuris susidaro dėl laikinųjų skirtumų), kuri pagal Reglamento (ES) Nr. 575/2013 38 straipsnio 5 dalies b punktą turi būti atskaityta laikantis to reglamento 48 straipsnio 1 dalies a punkte nurodytos 10 % ribos.</w:t>
            </w:r>
          </w:p>
        </w:tc>
      </w:tr>
      <w:tr w:rsidR="00CC7D2C" w:rsidRPr="002A677E" w14:paraId="08DD7DB0" w14:textId="77777777" w:rsidTr="00986F67">
        <w:tc>
          <w:tcPr>
            <w:tcW w:w="1247"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Finansų sektoriaus subjektų, kuriuose įstaiga turi reikšmingų investicijų, CET1 priemonės</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Reglamento (ES) Nr. 575/2013 4 straipsnio 1 dalies 27 punktas, 36 straipsnio 1 dalies i punktas, 43, 45, 47 straipsniai, 48 straipsnio 2 dalies b punktas, 49 straipsnio 1, 2 ir 3 dalys ir 79 straipsnis</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t>Įstaigos turimų finansų sektoriaus subjektų (apibrėžtų Reglamento (ES) Nr. 575/2013 4 straipsnio 1 dalies 27 punkte), kuriuose įstaiga turi reikšmingų investicijų, CET1 priemonių dalis, kuri turi būti atskaityta laikantis to reglamento 48 straipsnio 1 dalies b punkte nustatytos 10 % ribos.</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lastRenderedPageBreak/>
              <w:t>Žr. atskaitymo alternatyvas, kai taikomas konsolidavimas (Reglamento (ES) Nr. 575/2013 49 straipsnio 1, 2 ir 3 dalys).</w:t>
            </w:r>
          </w:p>
        </w:tc>
      </w:tr>
      <w:tr w:rsidR="00CC7D2C" w:rsidRPr="002A677E" w14:paraId="1718B66D" w14:textId="77777777" w:rsidTr="00986F67">
        <w:tc>
          <w:tcPr>
            <w:tcW w:w="1247"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17,65 % ribą viršijanti suma</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48 straipsnio 2 dalis</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t>Atidėtųjų mokesčių turto, kuris priklauso nuo būsimo pelningumo ir susidaro dėl laikinųjų skirtumų, dalis ir įstaigos tiesiogiai, netiesiogiai bei dirbtinai turimų finansų sektoriaus subjektų (apibrėžtų Reglamento (ES) Nr. 575/2013 4 straipsnio 1 dalies 27 punkte), kuriuose įstaiga turi reikšmingų investicijų, CET1 priemonių dalis, kuri turi būti atskaityta laikantis to reglamento 48 straipsnio 2 dalyje nustatytos 17,65 % ribos.</w:t>
            </w:r>
          </w:p>
        </w:tc>
      </w:tr>
      <w:tr w:rsidR="00CC7D2C" w:rsidRPr="002A677E" w14:paraId="3C4AD346" w14:textId="77777777" w:rsidTr="00986F67">
        <w:tc>
          <w:tcPr>
            <w:tcW w:w="1247"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Su finansų sektoriaus subjektų, kuriuose įstaiga turi reikšmingų investicijų, CET1 priemonėmis susijusi 17,65 % ribą viršijanti suma</w:t>
            </w:r>
          </w:p>
        </w:tc>
      </w:tr>
      <w:tr w:rsidR="00CC7D2C" w:rsidRPr="002A677E" w14:paraId="7929A46A" w14:textId="77777777" w:rsidTr="00986F67">
        <w:tc>
          <w:tcPr>
            <w:tcW w:w="1247"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Su atidėtųjų mokesčių turtu, kuris susidaro dėl laikinųjų skirtumų, susijusi 17,65 % ribą viršijanti suma</w:t>
            </w:r>
          </w:p>
        </w:tc>
      </w:tr>
      <w:tr w:rsidR="00CC7D2C" w:rsidRPr="002A677E" w14:paraId="5E7DD32F" w14:textId="77777777" w:rsidTr="00986F67">
        <w:tc>
          <w:tcPr>
            <w:tcW w:w="1247"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Neveiksnių pozicijų nepakankamas padengimo lygis</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Reglamento (ES) Nr. 575/2013 36 straipsnio 1 dalies m punktas ir 47c straipsnis</w:t>
            </w:r>
          </w:p>
        </w:tc>
      </w:tr>
      <w:tr w:rsidR="00CC7D2C" w:rsidRPr="002A677E" w14:paraId="65DD59D7" w14:textId="77777777" w:rsidTr="00986F67">
        <w:tc>
          <w:tcPr>
            <w:tcW w:w="1247"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1.1.1.25B. (–) Minimalios vertės įsipareigojimo trūkumai </w:t>
            </w:r>
          </w:p>
          <w:p w14:paraId="5C5FE4E7" w14:textId="77777777" w:rsidR="00CC7D2C" w:rsidRPr="002A677E" w:rsidRDefault="00CC7D2C" w:rsidP="00320EFD">
            <w:pPr>
              <w:pStyle w:val="InstructionsText"/>
              <w:rPr>
                <w:rStyle w:val="InstructionsTabelleberschrift"/>
                <w:rFonts w:ascii="Times New Roman" w:hAnsi="Times New Roman"/>
                <w:sz w:val="24"/>
              </w:rPr>
            </w:pPr>
            <w:r>
              <w:t>Reglamento (ES) Nr. 575/2013 36 straipsnio 1 dalies n punktas ir 132c straipsnio 2 dalis</w:t>
            </w:r>
          </w:p>
        </w:tc>
      </w:tr>
      <w:tr w:rsidR="00CC7D2C" w:rsidRPr="002A677E" w14:paraId="081BFBC8" w14:textId="77777777" w:rsidTr="00986F67">
        <w:tc>
          <w:tcPr>
            <w:tcW w:w="1247"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Kiti numatomi mokesčiai</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t>Reglamento (ES) Nr. 575/2013 36 straipsnio 1 dalies l punktas</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Su bendro 1 lygio nuosavo kapitalo straipsniais susiję skaičiavimo metu numatomi mokesčiai, išskyrus mokesčius, į kuriuos jau atsižvelgta kitose eilutėse, kuriose nurodomi bendro 1 lygio nuosavo kapitalo straipsniai, sumažinant konkretaus bendro 1 lygio nuosavo kapitalo straipsnio sumą.</w:t>
            </w:r>
          </w:p>
        </w:tc>
      </w:tr>
      <w:tr w:rsidR="00CC7D2C" w:rsidRPr="002A677E" w14:paraId="6C5A4DA3" w14:textId="77777777" w:rsidTr="00986F67">
        <w:tc>
          <w:tcPr>
            <w:tcW w:w="1247"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Kiti CET1 kapitalo pereinamojo laikotarpio koregavimai</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469–478 ir 481 straipsniai</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Atskaitymų koregavimai dėl pereinamojo laikotarpio nuostatų. Nurodoma suma yra tiesiogiai perkeliama iš CA5 formos.</w:t>
            </w:r>
          </w:p>
        </w:tc>
      </w:tr>
      <w:tr w:rsidR="00CC7D2C" w:rsidRPr="002A677E" w14:paraId="5736C556" w14:textId="77777777" w:rsidTr="00986F67">
        <w:tc>
          <w:tcPr>
            <w:tcW w:w="1247"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Papildomi atskaitymai iš CET1 kapitalo pagal Reglamento (ES) Nr. 575/2013 3 straipsnį</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3 straipsnis</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t>Kai įstaiga priima sprendimą, užuot taikius Deleguotojo reglamento (ES) Nr. 241/2014 13a straipsnyje nurodytą tvarką, atskaityti visą savo programinės įrangos kaip turto sumą pagal Reglamento (ES) Nr. 575/2013 3 straipsnį, papildoma atskaityta suma nurodoma ne šioje eilutėje, o 0352 eilutėje.</w:t>
            </w:r>
          </w:p>
        </w:tc>
      </w:tr>
      <w:tr w:rsidR="00CC7D2C" w:rsidRPr="002A677E" w14:paraId="662A8EF0" w14:textId="77777777" w:rsidTr="00986F67">
        <w:tc>
          <w:tcPr>
            <w:tcW w:w="1247"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CET1 kapitalo elementai arba atskaitymai: kita</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Ši eilutė skirta tik tam, kad būtų galima lanksčiau rengti informaciją. Ji pildoma tik tais retais atvejais, kai nėra galutinio sprendimo tam tikrus kapitalo straipsnius / atskaitymus įtraukti į esamą CA1 formą. Todėl ši eilutė pildoma tik tada, kai CET1 kapitalo elementas arba atskaitymas iš CET1 elemento negali būti įtrauktas į vieną iš 020–524 eilučių.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t>Šios eilutės negalima naudoti kapitalo straipsniams / atskaitymams, kuriems Reglamentas (ES) Nr. 575/2013 netaikomas, įtraukti į mokumo koeficientų skaičiavimus (pvz., nacionaliniams kapitalo straipsniams / atskaitymams, kuriems Reglamentas (ES) Nr. 575/2013 netaikomas, įtraukti).</w:t>
            </w:r>
          </w:p>
        </w:tc>
      </w:tr>
      <w:tr w:rsidR="00CC7D2C" w:rsidRPr="002A677E" w14:paraId="6407D659" w14:textId="77777777" w:rsidTr="00986F67">
        <w:tc>
          <w:tcPr>
            <w:tcW w:w="1247"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PAPILDOMAS 1 LYGIO KAPITALAS</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t>Reglamento (ES) Nr. 575/2013 61 straipsnis</w:t>
            </w:r>
          </w:p>
        </w:tc>
      </w:tr>
      <w:tr w:rsidR="00CC7D2C" w:rsidRPr="002A677E" w14:paraId="623CCD0F" w14:textId="77777777" w:rsidTr="00986F67">
        <w:tc>
          <w:tcPr>
            <w:tcW w:w="1247"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Kapitalo priemonės ir akcijų priedai, atitinkantys AT1 kapitalo reikalavimus</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51 straipsnio a punktas, 52, 53 ir 54 straipsniai, 56 straipsnio a punktas ir 57 straipsnis</w:t>
            </w:r>
          </w:p>
        </w:tc>
      </w:tr>
      <w:tr w:rsidR="00CC7D2C" w:rsidRPr="002A677E" w14:paraId="573719AB" w14:textId="77777777" w:rsidTr="00986F67">
        <w:tc>
          <w:tcPr>
            <w:tcW w:w="1247"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Visiškai apmokėtos tiesiogiai išleistos kapitalo priemonės</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51 straipsnio a punktas, 52, 53 ir 54 straipsniai</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neįskaičiuojami.</w:t>
            </w:r>
          </w:p>
        </w:tc>
      </w:tr>
      <w:tr w:rsidR="00CC7D2C" w:rsidRPr="002A677E" w14:paraId="3A7700CF" w14:textId="77777777" w:rsidTr="00986F67">
        <w:tc>
          <w:tcPr>
            <w:tcW w:w="1247"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w:t>
            </w:r>
            <w:r>
              <w:rPr>
                <w:rStyle w:val="InstructionsTabelleberschrift"/>
                <w:rFonts w:ascii="Times New Roman" w:hAnsi="Times New Roman"/>
                <w:sz w:val="24"/>
              </w:rPr>
              <w:tab/>
              <w:t>Papildomas straipsnis. Reikalavimų neatitinkančios kapitalo priemonės</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52 straipsnio 1 dalies c, e ir f punktai</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neįskaičiuojami.</w:t>
            </w:r>
          </w:p>
        </w:tc>
      </w:tr>
      <w:tr w:rsidR="00CC7D2C" w:rsidRPr="002A677E" w14:paraId="6A57CE01" w14:textId="77777777" w:rsidTr="00986F67">
        <w:tc>
          <w:tcPr>
            <w:tcW w:w="1247"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Akcijų priedai</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51 straipsnio b punktas</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Sąvokos „akcijų priedai“ reikšmė yra tokia pati, kaip apibrėžta taikomame apskaitos standarte.</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nurodoma sumos dalis, susijusi su visiškai apmokėtomis tiesiogiai išleistomis kapitalo priemonėmis.</w:t>
            </w:r>
          </w:p>
        </w:tc>
      </w:tr>
      <w:tr w:rsidR="00CC7D2C" w:rsidRPr="002A677E" w14:paraId="58ACF44C" w14:textId="77777777" w:rsidTr="00986F67">
        <w:tc>
          <w:tcPr>
            <w:tcW w:w="1247"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Nuosavos AT1 priemonės</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52 straipsnio 1 dalies b punktas, 56 straipsnio a punktas ir 57 straipsnis</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Informaciją teikiančios įstaigos ar grupės ataskaitinę dieną turimos nuosavos AT1 priemonės ir AT1 priemonių sumos, kurios turi būti atskaitytos pagal Deleguotojo reglamento (ES) Nr. 241/2014 28 straipsnio </w:t>
            </w:r>
            <w:r>
              <w:rPr>
                <w:rStyle w:val="FormatvorlageInstructionsTabelleText"/>
                <w:rFonts w:ascii="Times New Roman" w:hAnsi="Times New Roman"/>
                <w:sz w:val="24"/>
              </w:rPr>
              <w:lastRenderedPageBreak/>
              <w:t xml:space="preserve">2 dalį. </w:t>
            </w:r>
            <w:r>
              <w:t>Taikomos Reglamento (ES) Nr. 575/2013 57 straipsnyje nustatytos išimtys.</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akcijos, priskirtos prie „reikalavimų neatitinkančių kapitalo priemonių“, šioje eilutėje nenurodomos.</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įskaičiuojami su nuosavomis akcijomis susiję akcijų priedai.</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1.1.2.1.4–1.1.2.1.4.3 straipsnius neįtraukiami nei faktiniai, nei neapibrėžtieji įsipareigojimai pirkti nuosavas AT1 priemones. Faktiniai arba neapibrėžtieji įsipareigojimai pirkti nuosavas AT1 priemones nurodomi atskirai 1.1.2.1.5 straipsnyje.</w:t>
            </w:r>
          </w:p>
        </w:tc>
      </w:tr>
      <w:tr w:rsidR="00CC7D2C" w:rsidRPr="002A677E" w14:paraId="73E21D37" w14:textId="77777777" w:rsidTr="00986F67">
        <w:tc>
          <w:tcPr>
            <w:tcW w:w="1247"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Tiesiogiai turimos AT1 priemonės</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Reglamento (ES) Nr. 575/2013 4 straipsnio 1 dalies 144 punktas, 52 straipsnio 1 dalies b punktas ir 56 straipsnio a punktas ir 57 straipsnis</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Konsoliduotos grupės įstaigų turimos papildomos 1 lygio priemonės, įtrauktos į 1.1.2.1.1 straipsnį, ir AT1 priemonių sumos, kurios turi būti atskaitytos pagal Deleguotojo reglamento (ES) Nr. 241/2014 28 straipsnio 2 dalį. </w:t>
            </w:r>
          </w:p>
        </w:tc>
      </w:tr>
      <w:tr w:rsidR="00CC7D2C" w:rsidRPr="002A677E" w14:paraId="62EF8C25" w14:textId="77777777" w:rsidTr="00986F67">
        <w:tc>
          <w:tcPr>
            <w:tcW w:w="1247"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Netiesiogiai turimos AT1 priemonės</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52 straipsnio 1 dalies b punkto ii papunktis, 56 straipsnio a punktas ir 57 straipsnis</w:t>
            </w:r>
          </w:p>
        </w:tc>
      </w:tr>
      <w:tr w:rsidR="00CC7D2C" w:rsidRPr="002A677E" w14:paraId="68C6D4A4" w14:textId="77777777" w:rsidTr="00986F67">
        <w:tc>
          <w:tcPr>
            <w:tcW w:w="1247"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Dirbtinai turimos AT1 priemonės</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Reglamento (ES) Nr. 575/2013 4 straipsnio 1 dalies 126 punktas, 52 straipsnio 1 dalies b punktas ir 56 straipsnio a punktas ir 57 straipsnis</w:t>
            </w:r>
          </w:p>
        </w:tc>
      </w:tr>
      <w:tr w:rsidR="00CC7D2C" w:rsidRPr="002A677E" w14:paraId="32E83E14" w14:textId="77777777" w:rsidTr="00986F67">
        <w:tc>
          <w:tcPr>
            <w:tcW w:w="1247"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Faktiniai arba neapibrėžtieji įsipareigojimai pirkti nuosavas AT1 priemones</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56 straipsnio a punktas ir 57 straipsnis</w:t>
            </w:r>
          </w:p>
          <w:p w14:paraId="3E468850" w14:textId="77777777" w:rsidR="00CC7D2C" w:rsidRPr="002A677E" w:rsidRDefault="00CC7D2C" w:rsidP="00320EFD">
            <w:pPr>
              <w:pStyle w:val="InstructionsText"/>
              <w:rPr>
                <w:rStyle w:val="InstructionsTabelleberschrift"/>
                <w:rFonts w:ascii="Times New Roman" w:hAnsi="Times New Roman"/>
                <w:sz w:val="24"/>
              </w:rPr>
            </w:pPr>
            <w:r>
              <w:t>Pagal Reglamento (ES) Nr. 575/2013 56 straipsnio a punktą įstaigos nuosavos papildomos 1 lygio priemonės, kurias įstaiga galėtų būti įsipareigojusi pirkti pagal esamus sutartinius įsipareigojimus, yra atskaitomos.</w:t>
            </w:r>
          </w:p>
        </w:tc>
      </w:tr>
      <w:tr w:rsidR="00CC7D2C" w:rsidRPr="002A677E" w14:paraId="582FD4C2" w14:textId="77777777" w:rsidTr="00986F67">
        <w:tc>
          <w:tcPr>
            <w:tcW w:w="1247"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Pereinamojo laikotarpio koregavimai dėl AT1 kapitalo priemonių, kurioms taikomas tęstinumo principas</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483 straipsnio 4 ir 5 dalys, 484–487, 489 ir 491 straipsniai</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priemonių, pereinamuoju laikotarpiu likusių galioti kaip AT1, suma. Nurodoma suma yra tiesiogiai perkeliama iš CA5 formos.</w:t>
            </w:r>
          </w:p>
        </w:tc>
      </w:tr>
      <w:tr w:rsidR="00CC7D2C" w:rsidRPr="002A677E" w14:paraId="16377810" w14:textId="77777777" w:rsidTr="00986F67">
        <w:tc>
          <w:tcPr>
            <w:tcW w:w="1247"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Patronuojamųjų įmonių išleistos priemonės, pripažintos kaip AT1 kapitalas</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t>Reglamento (ES) Nr. 575/2013 83, 85 ir 86 straipsniai</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patronuojamųjų įmonių kvalifikuotojo T1 kapitalo suma, įtraukiama į konsoliduotą AT1 kapitalą.</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lastRenderedPageBreak/>
              <w:t>Įtraukiamas specialiosios paskirties subjekto išleistas kvalifikuotasis AT1 kapitalas (Reglamento (ES) Nr. 575/2013 83 straipsnis).</w:t>
            </w:r>
          </w:p>
        </w:tc>
      </w:tr>
      <w:tr w:rsidR="00CC7D2C" w:rsidRPr="002A677E" w14:paraId="4EB0390C" w14:textId="77777777" w:rsidTr="00986F67">
        <w:tc>
          <w:tcPr>
            <w:tcW w:w="1247"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Pereinamojo laikotarpio koregavimai dėl papildomai AT1 kapitale pripažįstamų patronuojamųjų įmonių išleistų priemonių</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480 straipsnis</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Kvalifikuotojo T1 kapitalo, įtraukto į konsoliduotą AT1 kapitalą, koregavimai dėl pereinamojo laikotarpio nuostatų. Šis straipsnis tiesiogiai perkeliamas iš CA5 formos.</w:t>
            </w:r>
          </w:p>
        </w:tc>
      </w:tr>
      <w:tr w:rsidR="00CC7D2C" w:rsidRPr="002A677E" w14:paraId="2E31DA4D" w14:textId="77777777" w:rsidTr="00986F67">
        <w:tc>
          <w:tcPr>
            <w:tcW w:w="1247"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Abipusė kryžminė AT1 kapitalo dalių nuosavybė</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Reglamento (ES) Nr. 575/2013 4 straipsnio 1 dalies 122 punktas, 56 straipsnio b punktas ir 58 straipsnis</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t>Turimos finansų sektoriaus subjektų (apibrėžtų Reglamento (ES) Nr. 575/2013 4 straipsnio 1 dalies 27 punkte), su kuriais turima abipusės kryžminės kapitalo dalių nuosavybės, AT1 priemonės, kurios, kompetentingos institucijos nuomone, buvo sukurtos siekiant dirbtinai padidinti įstaigos nuosavas lėšas.</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Nurodytina suma apskaičiuojama pagal bendrąsias ilgąsias pozicijas ir į ją turi būti įtraukti papildomų 1 lygio nuosavų lėšų draudimo straipsniai.</w:t>
            </w:r>
          </w:p>
        </w:tc>
      </w:tr>
      <w:tr w:rsidR="00CC7D2C" w:rsidRPr="002A677E" w14:paraId="1EC9825C" w14:textId="77777777" w:rsidTr="00986F67">
        <w:tc>
          <w:tcPr>
            <w:tcW w:w="1247"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Finansų sektoriaus subjektų, kuriuose įstaiga neturi reikšmingų investicijų, AT1 priemonės</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27 punktas, 56 straipsnio c punktas ir 59, 60 ir 79 straipsniai</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t>Įstaigos turimų finansų sektoriaus subjektų (apibrėžtų Reglamento (ES) Nr. 575/2013 4 straipsnio 1 dalies 27 punkte), kuriuose įstaiga neturi reikšmingų investicijų, priemonių dalis, kuri turi būti atskaityta iš AT1.</w:t>
            </w:r>
          </w:p>
        </w:tc>
      </w:tr>
      <w:tr w:rsidR="00CC7D2C" w:rsidRPr="002A677E" w14:paraId="41E5F99E" w14:textId="77777777" w:rsidTr="00986F67">
        <w:tc>
          <w:tcPr>
            <w:tcW w:w="1247"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Finansų sektoriaus subjektų, kuriuose įstaiga turi reikšmingų investicijų, AT1 priemonės</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27 punktas, 56 straipsnio d punktas ir 59 ir 79 straipsniai</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t>Įstaigos turima finansų sektoriaus subjektų (apibrėžtų Reglamento (ES) Nr. 575/2013 4 straipsnio 1 dalies 27 punkte), kuriuose įstaiga turi reikšmingų investicijų, AT1 priemonių dalis yra atskaitoma visa.</w:t>
            </w:r>
          </w:p>
        </w:tc>
      </w:tr>
      <w:tr w:rsidR="00CC7D2C" w:rsidRPr="002A677E" w14:paraId="25A9DEF2" w14:textId="77777777" w:rsidTr="00986F67">
        <w:tc>
          <w:tcPr>
            <w:tcW w:w="1247"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Atskaitymai iš T2 straipsnių, viršijantys T2 kapitalą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56 straipsnio e punktas</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Nurodoma suma tiesiogiai perkeliama iš CA1 formos straipsnio „Atskaitymai iš T2 straipsnių, viršijantys T2 kapitalą (atskaitoma iš AT1)“.</w:t>
            </w:r>
          </w:p>
        </w:tc>
      </w:tr>
      <w:tr w:rsidR="00CC7D2C" w:rsidRPr="002A677E" w14:paraId="72D816DB" w14:textId="77777777" w:rsidTr="00986F67">
        <w:tc>
          <w:tcPr>
            <w:tcW w:w="1247"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Kiti AT1 kapitalo pereinamojo laikotarpio koregavimai</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t>Reglamento (ES) Nr. 575/2013 472, 474, 475, 478 ir 481 straipsniai</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Koregavimai dėl pereinamojo laikotarpio nuostatų. Nurodoma suma yra tiesiogiai perkeliama iš CA5 formos.</w:t>
            </w:r>
          </w:p>
        </w:tc>
      </w:tr>
      <w:tr w:rsidR="00CC7D2C" w:rsidRPr="002A677E" w14:paraId="4D2C1ED3" w14:textId="77777777" w:rsidTr="00986F67">
        <w:tc>
          <w:tcPr>
            <w:tcW w:w="1247"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Atskaitymai iš AT1 straipsnių, viršijantys AT1 kapitalą (atskaitoma iš CET1)</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36 straipsnio 1 dalies j punktas</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Papildomo 1 lygio kapitalo reikšmė negali būti neigiama, bet gali būti, kad AT1 atskaitymai bus didesni už AT1 kapitalo ir susijusių akcijų priedų sumą. Kai taip nutinka, AT1 turi būti prilyginamas nuliui, o jį viršijantys AT1 atskaitymai turi būti atlikti iš CET1.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Šiuo straipsniu užtikrinama, kad 1.1.2.1–1.1.2.12 straipsnių suma niekada nebūtų mažesnė už nulį. Jeigu šiame straipsnyje įrašomas teigiamas skaičius, 1.1.1.16 straipsnyje įrašomas jam priešingas skaičius.</w:t>
            </w:r>
          </w:p>
        </w:tc>
      </w:tr>
      <w:tr w:rsidR="00CC7D2C" w:rsidRPr="002A677E" w14:paraId="76E516A8" w14:textId="77777777" w:rsidTr="00986F67">
        <w:tc>
          <w:tcPr>
            <w:tcW w:w="1247"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Papildomi atskaitymai iš AT1 kapitalo pagal Reglamento (ES) Nr. 575/2013 3 straipsnį</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3 straipsnis</w:t>
            </w:r>
          </w:p>
        </w:tc>
      </w:tr>
      <w:tr w:rsidR="00CC7D2C" w:rsidRPr="002A677E" w14:paraId="14CFF964" w14:textId="77777777" w:rsidTr="00986F67">
        <w:tc>
          <w:tcPr>
            <w:tcW w:w="1247"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AT1 kapitalo elementai arba atskaitymai: kita</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atskaitymus įtraukti į esamą CA1 formą. Todėl ši eilutė pildoma tik tada, kai AT1 kapitalo elementas arba atskaitymas iš AT1 elemento negali būti įtrauktas į vieną iš 530–744 eilučių.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t>Šios eilutės negalima naudoti kapitalo straipsniams / atskaitymams, kuriems Reglamentas (ES) Nr. 575/2013 netaikomas, įtraukti į mokumo koeficientų skaičiavimus (pvz., nacionaliniams kapitalo straipsniams / atskaitymams, kuriems tas reglamentas netaikomas, įtraukti).</w:t>
            </w:r>
          </w:p>
        </w:tc>
      </w:tr>
      <w:tr w:rsidR="00CC7D2C" w:rsidRPr="002A677E" w14:paraId="0D98E6DF" w14:textId="77777777" w:rsidTr="00986F67">
        <w:tc>
          <w:tcPr>
            <w:tcW w:w="1247"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2 LYGIO KAPITALAS</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t>Reglamento (ES) Nr. 575/2013 71 straipsnis</w:t>
            </w:r>
          </w:p>
        </w:tc>
      </w:tr>
      <w:tr w:rsidR="00CC7D2C" w:rsidRPr="002A677E" w14:paraId="56549326" w14:textId="77777777" w:rsidTr="00986F67">
        <w:tc>
          <w:tcPr>
            <w:tcW w:w="1247"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Kapitalo priemonės ir akcijų priedai, atitinkantys T2 kapitalo reikalavimus</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t>Reglamento (ES) Nr. 575/2013 62 straipsnio a punktas, 63–65 straipsniai, 66 straipsnio a punktas ir 67 straipsnis</w:t>
            </w:r>
          </w:p>
        </w:tc>
      </w:tr>
      <w:tr w:rsidR="00CC7D2C" w:rsidRPr="002A677E" w14:paraId="5D1B7DAB" w14:textId="77777777" w:rsidTr="00986F67">
        <w:tc>
          <w:tcPr>
            <w:tcW w:w="1247"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Visiškai apmokėtos tiesiogiai išleistos kapitalo priemonės</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t>Reglamento (ES) Nr. 575/2013 62 straipsnio a punktas, 63 ir 65 straipsniai</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Į nurodomą sumą su tomis priemonėmis susiję akcijų priedai neįskaičiuojami.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priemones gali sudaryti nuosavas kapitalas arba įsipareigojimai, įskaitant reikalavimus atitinkančias subordinuotąsias paskolas.</w:t>
            </w:r>
          </w:p>
        </w:tc>
      </w:tr>
      <w:tr w:rsidR="00CC7D2C" w:rsidRPr="002A677E" w14:paraId="0562750A" w14:textId="77777777" w:rsidTr="00986F67">
        <w:tc>
          <w:tcPr>
            <w:tcW w:w="1247"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w:t>
            </w:r>
            <w:r>
              <w:rPr>
                <w:rStyle w:val="InstructionsTabelleberschrift"/>
                <w:rFonts w:ascii="Times New Roman" w:hAnsi="Times New Roman"/>
                <w:sz w:val="24"/>
              </w:rPr>
              <w:tab/>
              <w:t>Papildomas straipsnis. Reikalavimų neatitinkančios kapitalo</w:t>
            </w:r>
            <w:r>
              <w:t xml:space="preserve"> </w:t>
            </w:r>
            <w:r>
              <w:rPr>
                <w:rStyle w:val="InstructionsTabelleberschrift"/>
                <w:rFonts w:ascii="Times New Roman" w:hAnsi="Times New Roman"/>
                <w:sz w:val="24"/>
              </w:rPr>
              <w:t>priemonės</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t>Reglamento (ES) Nr. 575/2013 63 straipsnio c, e ir f punktai ir 64 straipsnis</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Sąlygos, nurodytos tuose punktuose, atspindi įvairius kapitalo atvejus ir gali kisti, taigi gali būti, kad nurodoma suma vėlesniais laikotarpiais reikalavimus atitiks.</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su tomis priemonėmis susiję akcijų priedai neįskaičiuojami.</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priemones gali sudaryti nuosavas kapitalas arba įsipareigojimai, įskaitant subordinuotąsias paskolas.</w:t>
            </w:r>
          </w:p>
        </w:tc>
      </w:tr>
      <w:tr w:rsidR="00CC7D2C" w:rsidRPr="002A677E" w14:paraId="320D14E4" w14:textId="77777777" w:rsidTr="00986F67">
        <w:tc>
          <w:tcPr>
            <w:tcW w:w="1247"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Akcijų priedai</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t>Reglamento (ES) Nr. 575/2013 62 straipsnio b punktas ir 65 straipsnis</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Sąvokos „akcijų priedai“ reikšmė yra tokia pati, kaip apibrėžta taikomame apskaitos standarte.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Šiame straipsnyje nurodoma sumos dalis, susijusi su visiškai apmokėtomis tiesiogiai išleistomis kapitalo priemonėmis.</w:t>
            </w:r>
          </w:p>
        </w:tc>
      </w:tr>
      <w:tr w:rsidR="00CC7D2C" w:rsidRPr="002A677E" w14:paraId="0AD5B5F9" w14:textId="77777777" w:rsidTr="00986F67">
        <w:tc>
          <w:tcPr>
            <w:tcW w:w="1247"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Nuosavos T2 priemonės</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Reglamento (ES) Nr. 575/2013 63 straipsnio b punkto i papunktis, 66 straipsnio a punktas ir 67 straipsnis</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Informaciją teikiančios įstaigos ar grupės ataskaitinę dieną turimos nuosavos T2 priemonės ir T2 priemonių sumos, kurios turi būti atskaitytos pagal Deleguotojo reglamento (ES) Nr. 241/2014 28 straipsnio 2 dalį. </w:t>
            </w:r>
            <w:r>
              <w:t>Taikomos Reglamento (ES) Nr. 575/2013 67 straipsnyje nustatytos išimtys.</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Turimos akcijos, priskirtos prie „reikalavimų neatitinkančių kapitalo priemonių“, šioje eilutėje nenurodomos.</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nurodomą sumą įskaičiuojami su nuosavomis akcijomis susiję akcijų priedai.</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1.2.1.4–1.2.1.4.3 straipsnius neįtraukiami nei faktiniai, nei neapibrėžtieji įsipareigojimai pirkti nuosavas T2 priemones. Faktiniai arba neapibrėžtieji įsipareigojimai pirkti nuosavas T2 priemones nurodomi atskirai 1.2.1.5 straipsnyje.</w:t>
            </w:r>
          </w:p>
        </w:tc>
      </w:tr>
      <w:tr w:rsidR="00CC7D2C" w:rsidRPr="002A677E" w14:paraId="4BC336FD" w14:textId="77777777" w:rsidTr="00986F67">
        <w:tc>
          <w:tcPr>
            <w:tcW w:w="1247"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Tiesiogiai turimos T2 priemonės</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t>Reglamento (ES) Nr. 575/2013 63 straipsnio b punktas, 66 straipsnio a punktas ir 67 straipsnis</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Konsoliduotos grupės įstaigų turimos 2 lygio priemonės, įtrauktos į 1.2.1.1 straipsnį, ir T2 priemonių sumos, kurios turi būti atskaitytos pagal Deleguotojo reglamento (ES) Nr. 241/2014 28 straipsnio 2 dalį. </w:t>
            </w:r>
          </w:p>
        </w:tc>
      </w:tr>
      <w:tr w:rsidR="00CC7D2C" w:rsidRPr="002A677E" w14:paraId="6AC511C9" w14:textId="77777777" w:rsidTr="00986F67">
        <w:tc>
          <w:tcPr>
            <w:tcW w:w="1247"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Netiesiogiai turimos T2 priemonės</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Reglamento (ES) Nr. 575/2013 4 straipsnio 1 dalies 114 punktas, 63 straipsnio b punktas ir 66 straipsnio a punktas ir 67 straipsnis</w:t>
            </w:r>
          </w:p>
        </w:tc>
      </w:tr>
      <w:tr w:rsidR="00CC7D2C" w:rsidRPr="002A677E" w14:paraId="49F7D7F3" w14:textId="77777777" w:rsidTr="00986F67">
        <w:tc>
          <w:tcPr>
            <w:tcW w:w="1247"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Dirbtinai turimos T2 priemonės</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4 straipsnio 1 dalies 126 punktas, 63 straipsnio b punktas ir 66 straipsnio a punktas ir 67 straipsnis</w:t>
            </w:r>
          </w:p>
        </w:tc>
      </w:tr>
      <w:tr w:rsidR="00CC7D2C" w:rsidRPr="002A677E" w14:paraId="5150E3CB" w14:textId="77777777" w:rsidTr="00986F67">
        <w:tc>
          <w:tcPr>
            <w:tcW w:w="1247"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Faktiniai arba neapibrėžtieji įsipareigojimai pirkti nuosavas T2 priemones</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t>Reglamento (ES) Nr. 575/2013 66 straipsnio a punktas ir 67 straipsnis</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Pagal Reglamento (ES) Nr. 575/2013 66 straipsnio a punktą įstaigos nuosavos 2 lygio priemonės, kurias įstaiga galėtų būti įsipareigojusi pirkti pagal esamus sutartinius įsipareigojimus, yra atskaitomos.</w:t>
            </w:r>
          </w:p>
        </w:tc>
      </w:tr>
      <w:tr w:rsidR="00CC7D2C" w:rsidRPr="002A677E" w14:paraId="74C787B7" w14:textId="77777777" w:rsidTr="00986F67">
        <w:tc>
          <w:tcPr>
            <w:tcW w:w="1247"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Pereinamojo laikotarpio koregavimai dėl T2 kapitalo priemonių, kurioms taikomas tęstinumo principas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483 straipsnio 6 ir 7 dalys, 484, 486, 488, 490 ir 491 straipsniai</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Kapitalo priemonių, pereinamuoju laikotarpiu likusių galioti kaip T2, suma. Nurodoma suma yra tiesiogiai perkeliama iš CA5 formos.</w:t>
            </w:r>
          </w:p>
        </w:tc>
      </w:tr>
      <w:tr w:rsidR="00CC7D2C" w:rsidRPr="002A677E" w14:paraId="3804921C" w14:textId="77777777" w:rsidTr="00986F67">
        <w:tc>
          <w:tcPr>
            <w:tcW w:w="1247"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Patronuojamųjų įmonių išleistos priemonės, pripažintos kaip T2 kapitalas</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t>Reglamento (ES) Nr. 575/2013 83, 87 ir 88 straipsniai</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patronuojamųjų įmonių kvalifikuotųjų nuosavų lėšų suma, įtraukta į konsoliduotą T2 kapitalą.</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t>Įtraukiamas specialiosios paskirties subjekto išleistas kvalifikuotasis 2 lygio kapitalas (Reglamento (ES) Nr. 575/2013 83 straipsnis).</w:t>
            </w:r>
          </w:p>
        </w:tc>
      </w:tr>
      <w:tr w:rsidR="00CC7D2C" w:rsidRPr="002A677E" w14:paraId="664A0254" w14:textId="77777777" w:rsidTr="00986F67">
        <w:tc>
          <w:tcPr>
            <w:tcW w:w="1247"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Pereinamojo laikotarpio koregavimai dėl papildomai T2 kapitale pripažįstamų patronuojamųjų įmonių išleistų priemonių</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480 straipsnis</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Kvalifikuotųjų nuosavų lėšų, įtrauktų į konsoliduotą T2 kapitalą, koregavimai dėl pereinamojo laikotarpio nuostatų. Šis straipsnis tiesiogiai perkeliamas iš CA5 formos.</w:t>
            </w:r>
          </w:p>
        </w:tc>
      </w:tr>
      <w:tr w:rsidR="00CC7D2C" w:rsidRPr="002A677E" w14:paraId="6A638479" w14:textId="77777777" w:rsidTr="00986F67">
        <w:tc>
          <w:tcPr>
            <w:tcW w:w="1247"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Atidėjinių pagal IRB metodą perviršis, atsižvelgiant į reikalavimus atitinkančius tikėtinus nuostolius</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t>Reglamento (ES) Nr. 575/2013 62 straipsnio d punktas</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Kai įstaigos pagal riziką įvertintų pozicijų sumas apskaičiuoja pagal IRB metodą, šį straipsnį sudaro teigiamos reikšmės, gautos palyginus atidėjinius ir tikėtinus nuostolius, kurie atitinka T2 kapitalo reikalavimus.</w:t>
            </w:r>
          </w:p>
        </w:tc>
      </w:tr>
      <w:tr w:rsidR="00CC7D2C" w:rsidRPr="002A677E" w14:paraId="408881FB" w14:textId="77777777" w:rsidTr="00986F67">
        <w:tc>
          <w:tcPr>
            <w:tcW w:w="1247"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Bendrosios kredito rizikos koregavimai pagal SA</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t>Reglamento (ES) Nr. 575/2013 62 straipsnio c punktas</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Kai įstaigos pagal riziką įvertintų pozicijų sumas apskaičiuoja pagal standartizuotą metodą, šį straipsnį sudaro bendrosios kredito rizikos koregavimai, atitinkantys T2 kapitalo reikalavimus.</w:t>
            </w:r>
          </w:p>
        </w:tc>
      </w:tr>
      <w:tr w:rsidR="00CC7D2C" w:rsidRPr="002A677E" w14:paraId="38A9300A" w14:textId="77777777" w:rsidTr="00986F67">
        <w:tc>
          <w:tcPr>
            <w:tcW w:w="1247"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Abipusė kryžminė T2 kapitalo dalių nuosavybė</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122 punktas, 66 straipsnio b punktas ir 68 straipsnis</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t xml:space="preserve">Turimos finansų sektoriaus subjektų (apibrėžtų Reglamento (ES) Nr. 575/2013 4 straipsnio 1 dalies 27 punkte), su kuriais turima abipusės </w:t>
            </w:r>
            <w:r>
              <w:lastRenderedPageBreak/>
              <w:t>kryžminės kapitalo dalių nuosavybės, T2 priemonės, kurios, kompetentingos institucijos nuomone, buvo sukurtos siekiant dirbtinai padidinti įstaigos nuosavas lėšas.</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Nurodytina suma apskaičiuojama pagal bendrąsias ilgąsias pozicijas ir į ją turi būti įtraukti 2 ir 3 lygių nuosavų lėšų draudimo straipsniai.</w:t>
            </w:r>
          </w:p>
        </w:tc>
      </w:tr>
      <w:tr w:rsidR="00CC7D2C" w:rsidRPr="002A677E" w14:paraId="30FBE5EE" w14:textId="77777777" w:rsidTr="00986F67">
        <w:tc>
          <w:tcPr>
            <w:tcW w:w="1247"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Finansų sektoriaus subjektų, kuriuose įstaiga neturi reikšmingų investicijų, T2 priemonės</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27 punktas, 66 straipsnio c punktas ir 68–70 ir 79 straipsniai</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t>Įstaigos turimų finansų sektoriaus subjektų (apibrėžtų Reglamento (ES) Nr. 575/2013 4 straipsnio 1 dalies 27 punkte), kuriuose įstaiga neturi reikšmingų investicijų, priemonių dalis, kuri turi būti atskaityta iš T2.</w:t>
            </w:r>
          </w:p>
        </w:tc>
      </w:tr>
      <w:tr w:rsidR="00CC7D2C" w:rsidRPr="002A677E" w14:paraId="40F8C2BA" w14:textId="77777777" w:rsidTr="00986F67">
        <w:tc>
          <w:tcPr>
            <w:tcW w:w="1247"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Finansų sektoriaus subjektų, kuriuose įstaiga turi reikšmingų investicijų, T2 priemonės</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t>Reglamento (ES) Nr. 575/2013 4 straipsnio 1 dalies 27 punktas, 66 straipsnio d punktas ir 68, 69 ir 79 straipsniai</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t>Įstaigos turima finansų sektoriaus subjektų (apibrėžtų Reglamento (ES) Nr. 575/2013 4 straipsnio 1 dalies 27 punkte), kuriuose įstaiga turi reikšmingų investicijų, T2 priemonių dalis yra atskaitoma visa.</w:t>
            </w:r>
          </w:p>
        </w:tc>
      </w:tr>
      <w:tr w:rsidR="00CC7D2C" w:rsidRPr="002A677E" w14:paraId="642376D3" w14:textId="77777777" w:rsidTr="00986F67">
        <w:tc>
          <w:tcPr>
            <w:tcW w:w="1247"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Atskaitymai iš reikalavimus atitinkančių įsipareigojimų, viršijantys reikalavimus atitinkančius įsipareigojimus</w:t>
            </w:r>
          </w:p>
          <w:p w14:paraId="4449F407" w14:textId="77777777" w:rsidR="00CC7D2C" w:rsidRPr="002A677E" w:rsidRDefault="00CC7D2C" w:rsidP="00320EFD">
            <w:pPr>
              <w:pStyle w:val="InstructionsText"/>
              <w:rPr>
                <w:rStyle w:val="InstructionsTabelleberschrift"/>
                <w:rFonts w:ascii="Times New Roman" w:hAnsi="Times New Roman"/>
                <w:sz w:val="24"/>
              </w:rPr>
            </w:pPr>
            <w:r>
              <w:t>Reglamento (ES) Nr. 575/2013 66 straipsnio e punktas</w:t>
            </w:r>
          </w:p>
        </w:tc>
      </w:tr>
      <w:tr w:rsidR="00CC7D2C" w:rsidRPr="002A677E" w14:paraId="4C3FB305" w14:textId="77777777" w:rsidTr="00986F67">
        <w:tc>
          <w:tcPr>
            <w:tcW w:w="1247"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Kiti T2 kapitalo pereinamojo laikotarpio koregavimai</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t>Reglamento (ES) Nr. 575/2013 472, 476, 477, 478 ir 481 straipsniai</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Koregavimai dėl pereinamojo laikotarpio nuostatų. Nurodoma suma yra tiesiogiai perkeliama iš CA5 formos.</w:t>
            </w:r>
          </w:p>
        </w:tc>
      </w:tr>
      <w:tr w:rsidR="00CC7D2C" w:rsidRPr="002A677E" w14:paraId="448B7EB5" w14:textId="77777777" w:rsidTr="00986F67">
        <w:tc>
          <w:tcPr>
            <w:tcW w:w="1247"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Atskaitymai iš T2 straipsnių, viršijantys T2 kapitalą (atskaitoma iš AT1)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t>Reglamento (ES) Nr. 575/2013 56 straipsnio e punktas</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 lygio kapitalo reikšmė negali būti neigiama, bet gali būti, kad T2 atskaitymai bus didesni už T2 kapitalo ir susijusių akcijų priedų sumą. Kai taip nutinka, T2 prilyginamas nuliui, o jį viršijantys T2 atskaitymai atliekami iš AT1.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Šiuo straipsniu užtikrinama, kad 1.2.1–1.2.13 straipsnių suma niekada nebūtų mažesnė už nulį. Jeigu šiame straipsnyje įrašomas teigiamas skaičius, 1.1.2.8 straipsnyje įrašomas jam priešingas skaičius.</w:t>
            </w:r>
          </w:p>
        </w:tc>
      </w:tr>
      <w:tr w:rsidR="00CC7D2C" w:rsidRPr="002A677E" w14:paraId="12D626E6" w14:textId="77777777" w:rsidTr="00986F67">
        <w:tc>
          <w:tcPr>
            <w:tcW w:w="1247"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Papildomi atskaitymai iš T2 kapitalo pagal Reglamento (ES) Nr. 575/2013 3 straipsnį</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3 straipsnis</w:t>
            </w:r>
          </w:p>
        </w:tc>
      </w:tr>
      <w:tr w:rsidR="00CC7D2C" w:rsidRPr="002A677E" w14:paraId="597E0397" w14:textId="77777777" w:rsidTr="00986F67">
        <w:tc>
          <w:tcPr>
            <w:tcW w:w="1247"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T2 kapitalo elementai arba atskaitymai: kita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Ši eilutė skirta tik tam, kad būtų galima lanksčiau rengti informaciją. Ji pildoma tik tais retais atvejais, kai nėra galutinio sprendimo tam tikrus kapitalo straipsnius / atskaitymus įtraukti į esamą CA1 formą. Todėl ši eilutė pildoma tik tada, kai T2 kapitalo elementas arba atskaitymas iš T2 elemento negali būti įtrauktas į vieną iš 750–974 eilučių.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t>Šios eilutės negalima naudoti kapitalo straipsniams / atskaitymams, kuriems Reglamentas (ES) Nr. 575/2013 netaikomas, įtraukti į mokumo koeficientų skaičiavimus (pvz., nacionaliniams kapitalo straipsniams / atskaitymams, kuriems tas reglamentas netaikomas, įtraukti).</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1.3.</w:t>
      </w:r>
      <w:r>
        <w:rPr>
          <w:u w:val="none"/>
        </w:rPr>
        <w:tab/>
      </w:r>
      <w:r>
        <w:t>C 02.00. NUOSAVŲ LĖŠŲ REIKALAVIMAI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rPr>
          <w:u w:val="none"/>
        </w:rPr>
        <w:tab/>
      </w:r>
      <w:r>
        <w:t>Nurodymai dėl konkrečių</w:t>
      </w:r>
      <w:bookmarkEnd w:id="23"/>
      <w:bookmarkEnd w:id="24"/>
      <w:r>
        <w:t xml:space="preserve"> pozicijų</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Skiltys</w:t>
            </w:r>
          </w:p>
        </w:tc>
        <w:tc>
          <w:tcPr>
            <w:tcW w:w="7274" w:type="dxa"/>
            <w:shd w:val="clear" w:color="auto" w:fill="D9D9D9"/>
          </w:tcPr>
          <w:p w14:paraId="190CA9EE" w14:textId="77777777" w:rsidR="00CC7D2C" w:rsidRPr="002A677E" w:rsidRDefault="00CC7D2C" w:rsidP="00320EFD">
            <w:pPr>
              <w:pStyle w:val="InstructionsText"/>
            </w:pPr>
            <w:r>
              <w:t>Nuorodos į teisės aktus ir nurodymai</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BENDRA RIZIKOS POZICIJOS SUMA</w:t>
            </w:r>
          </w:p>
          <w:p w14:paraId="11658B1F" w14:textId="77777777" w:rsidR="00CC7D2C" w:rsidRPr="002A677E" w:rsidRDefault="00CC7D2C" w:rsidP="00320EFD">
            <w:pPr>
              <w:pStyle w:val="InstructionsText"/>
            </w:pPr>
            <w:r>
              <w:t>Reglamento (ES) Nr. 575/2013 92 straipsnio 3 dalis, 95, 96 ir 98 straipsniai</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REZULTATŲ APATINĖS RIBOS S-TREA</w:t>
            </w:r>
          </w:p>
          <w:p w14:paraId="1D5124AF" w14:textId="2240D9CF" w:rsidR="00CC7D2C" w:rsidRDefault="00C32586" w:rsidP="00320EFD">
            <w:pPr>
              <w:pStyle w:val="InstructionsText"/>
            </w:pPr>
            <w:r>
              <w:t>Įstaigos, kurioms pagal Reglamento (ES) Nr. 575/2013 92 straipsnio 3 dalį taikoma rezultatų apatinė riba, pateikia standartizuotą bendrą rizikos pozicijos sumą (S-TREA), apskaičiuotą pagal 92 straipsnio 5 dalį. Ši skiltis yra taikoma tik įstaigoms, taikančioms vidaus modelius.</w:t>
            </w:r>
          </w:p>
          <w:p w14:paraId="4831FC09" w14:textId="08537DA3" w:rsidR="00585ABC" w:rsidRDefault="00585ABC" w:rsidP="00320EFD">
            <w:pPr>
              <w:pStyle w:val="InstructionsText"/>
            </w:pPr>
            <w:r>
              <w:t>Eilutėse, kuriose RWEA vertei apskaičiuoti taikomi vidaus modeliai, nurodomos standartizuotos šių pozicijų sumos.</w:t>
            </w:r>
          </w:p>
          <w:p w14:paraId="708B2B94" w14:textId="2316755B" w:rsidR="00585ABC" w:rsidRPr="002A677E" w:rsidRDefault="00585ABC" w:rsidP="00320EFD">
            <w:pPr>
              <w:pStyle w:val="InstructionsText"/>
            </w:pPr>
            <w:r>
              <w:t>Eilutėse, kuriose RWEA vertei apskaičiuoti taikomi standartizuoti metodai, nurodomos tos pačios 0010 skiltyje pateiktos šių pozicijų sumos.</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Eilutė</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Nuorodos į teisės aktus ir nurodymai</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BENDRA RIZIKOS POZICIJOS SUMA</w:t>
            </w:r>
          </w:p>
          <w:p w14:paraId="633B0735" w14:textId="77777777" w:rsidR="00CC7D2C" w:rsidRPr="002A677E" w:rsidRDefault="00CC7D2C" w:rsidP="00320EFD">
            <w:pPr>
              <w:pStyle w:val="InstructionsText"/>
            </w:pPr>
            <w:r>
              <w:t>Reglamento (ES) Nr. 575/2013 92 straipsnio 3 dalis, 95, 96 ir 98 straipsniai</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dalis, kurią atitinka: investicinėms įmonėms pagal Reglamento (ES) Nr. 575/2013 95 straipsnio 2 dalį ir 98 straipsnį</w:t>
            </w:r>
          </w:p>
          <w:p w14:paraId="7A0F1D20" w14:textId="77777777" w:rsidR="00CC7D2C" w:rsidRPr="002A677E" w:rsidRDefault="00CC7D2C" w:rsidP="00320EFD">
            <w:pPr>
              <w:pStyle w:val="InstructionsText"/>
            </w:pPr>
            <w:r>
              <w:t xml:space="preserve">Investicinėms įmonėms pagal Reglamento (ES) Nr. 575/2013 95 straipsnio </w:t>
            </w:r>
            <w:r>
              <w:rPr>
                <w:rStyle w:val="FormatvorlageInstructionsTabelleText"/>
                <w:rFonts w:ascii="Times New Roman" w:hAnsi="Times New Roman"/>
                <w:sz w:val="24"/>
              </w:rPr>
              <w:t>2</w:t>
            </w:r>
            <w:r>
              <w:t xml:space="preserve"> dalį ir 98 straipsnį.</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dalis, kurią atitinka: investicinėms įmonėms pagal Reglamento (ES) Nr. 575/2013 96 straipsnio 2 dalį ir 97 straipsnį</w:t>
            </w:r>
          </w:p>
          <w:p w14:paraId="04608E0A" w14:textId="77777777" w:rsidR="00CC7D2C" w:rsidRPr="002A677E" w:rsidRDefault="00CC7D2C" w:rsidP="00320EFD">
            <w:pPr>
              <w:pStyle w:val="InstructionsText"/>
            </w:pPr>
            <w:r>
              <w:t xml:space="preserve">Investicinėms įmonėms pagal Reglamento (ES) Nr. 575/2013 96 straipsnio </w:t>
            </w:r>
            <w:r>
              <w:rPr>
                <w:rStyle w:val="FormatvorlageInstructionsTabelleText"/>
                <w:rFonts w:ascii="Times New Roman" w:hAnsi="Times New Roman"/>
                <w:sz w:val="24"/>
              </w:rPr>
              <w:t>2</w:t>
            </w:r>
            <w:r>
              <w:t xml:space="preserve"> dalį ir 97 straipsnį.</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lastRenderedPageBreak/>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dalis, kurią atitinka: apatinės ribos koregavimas</w:t>
            </w:r>
          </w:p>
          <w:p w14:paraId="1879A8CD" w14:textId="65429001" w:rsidR="00CC7D2C" w:rsidRPr="002A677E" w:rsidRDefault="00A8011A" w:rsidP="00320EFD">
            <w:pPr>
              <w:pStyle w:val="InstructionsText"/>
              <w:rPr>
                <w:rStyle w:val="InstructionsTabelleberschrift"/>
                <w:rFonts w:ascii="Times New Roman" w:hAnsi="Times New Roman"/>
                <w:sz w:val="24"/>
              </w:rPr>
            </w:pPr>
            <w:r>
              <w:t>Įstaigos, kurioms pagal Reglamento (ES) Nr. 575/2013 92 straipsnio 3 dalį taikoma rezultatų apatinė riba, pateikia 0010 eilutėje nurodytos sumos ir 0036 eilutėje nurodytos sumos skirtumą. Vertė yra teigiama arba lygi nuliui.</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1a. BENDRA RIZIKOS POZICIJA PRIEŠ TAIKANT APATINĘ RIBĄ</w:t>
            </w:r>
          </w:p>
          <w:p w14:paraId="7BCD0DA1" w14:textId="04714494" w:rsidR="00CC7D2C" w:rsidRPr="002A677E" w:rsidRDefault="00A8011A" w:rsidP="00320EFD">
            <w:pPr>
              <w:pStyle w:val="InstructionsText"/>
              <w:rPr>
                <w:rStyle w:val="InstructionsTabelleberschrift"/>
                <w:rFonts w:ascii="Times New Roman" w:hAnsi="Times New Roman"/>
                <w:sz w:val="24"/>
              </w:rPr>
            </w:pPr>
            <w:r>
              <w:t>Įstaigos, kurioms pagal Reglamento (ES) Nr. 575/2013 92 straipsnio 3 dalį taikoma rezultatų apatinė riba, nurodo bendrą rizikos pozicijos sumą (TREA) netaikant apatinės ribos, kaip apibrėžta Reglamento (ES) Nr. 575/2013 92 straipsnio 4 dalyje.</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PAGAL KREDITO RIZIKĄ, SANDORIO ŠALIES KREDITO RIZIKĄ, GAUTINŲ SUMŲ SUMAŽĖJIMO RIZIKĄ IR SU NEBAIGTAIS SANDORIAIS SUSIJUSIĄ RIZIKĄ ĮVERTINTŲ POZICIJŲ SUMOS</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Reglamento (ES) Nr. 575/2013</w:t>
            </w:r>
            <w:r>
              <w:t xml:space="preserve"> 92 straipsnio 3 dalis ir 4 dalies a punktas</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Standartizuotas metodas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ir SEC SA formos bendrų pozicijų sumų lygmeniu.</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dalis, kurią atitinka: papildomi griežtesni rizikos ribojimo reikalavimai pagal Reglamento (ES) Nr. 575/2013 124 straipsnį</w:t>
            </w:r>
          </w:p>
          <w:p w14:paraId="4A7F7245" w14:textId="3BCE1E49" w:rsidR="00CC7D2C" w:rsidRPr="002A677E" w:rsidRDefault="00CC7D2C" w:rsidP="00320EFD">
            <w:pPr>
              <w:pStyle w:val="InstructionsText"/>
              <w:rPr>
                <w:rStyle w:val="InstructionsTabelleberschrift"/>
                <w:rFonts w:ascii="Times New Roman" w:hAnsi="Times New Roman"/>
                <w:sz w:val="24"/>
              </w:rPr>
            </w:pPr>
            <w:r>
              <w:t>Įstaigos nurodo papildomas rizikos pozicijos sumas, reikalingas siekiant laikytis pagal Reglamento (ES) Nr. 575/2013 124 straipsnio 8–13 dalis pasikonsultavus su EBI įstaigoms pateiktų griežtesnių rizikos ribojimo reikalavimų.</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Pozicijų klasės pagal standartizuotą metodą, išskyrus pakeitimo vertybiniais popieriais pozicijas</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forma bendrų pozicijų sumų lygmeniu. </w:t>
            </w:r>
            <w:r>
              <w:t>Pozicijų klasės pagal SA metodą – tai Reglamento (ES) Nr. 575/2013 112 straipsnyje išvardytos pozicijų klasės, išskyrus pakeitimo vertybiniais popieriais pozicijas.</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Centrinės valdžios arba centrinių bankų pozicijos</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Žr. CR SA formą.</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Regioninės arba vietos valdžios institucijų pozicijos</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Viešojo sektoriaus subjektų pozicijos</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Daugiašalių plėtros bankų pozicijos</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Žr. CR SA formą.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Tarptautinių organizacijų pozicijos</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Žr. CR SA formą.</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Įstaigų pozicijos</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rPr>
                <w:rStyle w:val="InstructionsTabelleberschrift"/>
                <w:rFonts w:ascii="Times New Roman" w:hAnsi="Times New Roman"/>
                <w:sz w:val="24"/>
              </w:rPr>
              <w:tab/>
              <w:t>Įmonių pozicijos: kitos pozicijos</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rPr>
                <w:rStyle w:val="InstructionsTabelleberschrift"/>
                <w:rFonts w:ascii="Times New Roman" w:hAnsi="Times New Roman"/>
                <w:sz w:val="24"/>
              </w:rPr>
              <w:tab/>
              <w:t>Įmonių pozicijos: specializuoto skolinimo pozicijos</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Mažmeninės pozicijos</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Nekilnojamojo turto hipoteka užtikrintos pozicijos ir ADC pozicijos</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 Gyvenamosios paskirties nekilnojamojo turto hipoteka užtikrintos pozicijos: ne IPRE pozicijos (užtikrintos)</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 Gyvenamosios paskirties nekilnojamojo turto hipoteka užtikrintos pozicijos: ne IPRE pozicijos (neužtikrintos)</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Gyvenamosios paskirties nekilnojamojo turto hipoteka užtikrintos pozicijos: kitos pozicijos, ne IPRE pozicijos</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Pr>
                <w:rStyle w:val="InstructionsTabelleberschrift"/>
              </w:rPr>
              <w:t xml:space="preserve"> </w:t>
            </w:r>
            <w:r>
              <w:rPr>
                <w:rStyle w:val="InstructionsTabelleberschrift"/>
                <w:rFonts w:ascii="Times New Roman" w:hAnsi="Times New Roman"/>
                <w:sz w:val="24"/>
              </w:rPr>
              <w:t>Gyvenamosios paskirties nekilnojamojo turto hipoteka užtikrintos pozicijos: IPRE pozicijos</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Gyvenamosios paskirties nekilnojamojo turto hipoteka užtikrintos pozicijos: kitos pozicijos, IPRE pozicijos</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 Komercinės paskirties nekilnojamojo turto hipoteka užtikrintos pozicijos: ne IPRE pozicijos (užtikrintos)</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 Komercinės paskirties nekilnojamojo turto hipoteka užtikrintos pozicijos: ne IPRE pozicijos (neužtikrintos)</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Komercinės paskirties nekilnojamojo turto hipoteka užtikrintos pozicijos: kitos pozicijos, ne IPRE pozicijos</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w:t>
            </w:r>
            <w:r>
              <w:rPr>
                <w:rStyle w:val="InstructionsTabelleberschrift"/>
              </w:rPr>
              <w:t xml:space="preserve"> </w:t>
            </w:r>
            <w:r>
              <w:rPr>
                <w:rStyle w:val="InstructionsTabelleberschrift"/>
                <w:rFonts w:ascii="Times New Roman" w:hAnsi="Times New Roman"/>
                <w:sz w:val="24"/>
              </w:rPr>
              <w:t>Komercinės paskirties nekilnojamojo turto hipoteka užtikrintos pozicijos: IPRE pozicijos</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Komercinės paskirties nekilnojamojo turto hipoteka užtikrintos pozicijos: kitos pozicijos, IPRE pozicijos</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w:t>
            </w:r>
            <w:r>
              <w:rPr>
                <w:rStyle w:val="InstructionsTabelleberschrift"/>
              </w:rPr>
              <w:t xml:space="preserve"> </w:t>
            </w:r>
            <w:r>
              <w:rPr>
                <w:rStyle w:val="InstructionsTabelleberschrift"/>
                <w:rFonts w:ascii="Times New Roman" w:hAnsi="Times New Roman"/>
                <w:sz w:val="24"/>
              </w:rPr>
              <w:t>Įsigijimo, vystymo ir statybos pozicijos (ADC pozicijos)</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Pozicijos esant įsipareigojimų neįvykdymui</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Subordinuotosios skolos pozicijos</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Padengtųjų obligacijų pozicijos</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Trumpalaikį kredito rizikos vertinimą turinčių įstaigų ir įmonių pozicijos</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Pozicijos, kurias sudaro kolektyvinio investavimo subjektų (KIS) investiciniai vienetai arba akcijos</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Nuosavybės vertybinių popierių pozicijos</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SA formą.</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Kitos pozicijos</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Žr. CR SA formą.</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dalis, kurią atitinka: programinė įranga kaip turtas, apskaitoma kaip nematerialusis turtas</w:t>
            </w:r>
          </w:p>
          <w:p w14:paraId="665DD53E" w14:textId="77777777" w:rsidR="00CC7D2C" w:rsidRPr="002A677E" w:rsidRDefault="00CC7D2C" w:rsidP="00320EFD">
            <w:pPr>
              <w:pStyle w:val="InstructionsText"/>
              <w:rPr>
                <w:rStyle w:val="InstructionsTabelleberschrift"/>
                <w:rFonts w:ascii="Times New Roman" w:hAnsi="Times New Roman"/>
                <w:sz w:val="24"/>
              </w:rPr>
            </w:pPr>
            <w:r>
              <w:t>Pagal riziką įvertintų pozicijų suma, susijusi su programinės įrangos kaip turto, apskaitomos kaip nematerialusis turtas, dalimi, kuri nėra atskaitoma iš CET1 straipsnių pagal Reglamento (ES) Nr. 575/2013 36 straipsnio 1 dalies b punktą, tačiau vertinama pagal riziką pagal to reglamento 113 straipsnio 5 dalį.</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Vidaus reitingais pagrįstas metodas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dalis, kurią atitinka: papildomi griežtesni rizikos ribojimo reikalavimai pagal Reglamento (ES) Nr. 575/2013 164 straipsnį</w:t>
            </w:r>
          </w:p>
          <w:p w14:paraId="6560C4C8" w14:textId="77777777" w:rsidR="00CC7D2C" w:rsidRPr="002A677E" w:rsidRDefault="00CC7D2C" w:rsidP="00320EFD">
            <w:pPr>
              <w:pStyle w:val="InstructionsText"/>
              <w:rPr>
                <w:rStyle w:val="InstructionsTabelleberschrift"/>
                <w:rFonts w:ascii="Times New Roman" w:hAnsi="Times New Roman"/>
                <w:sz w:val="24"/>
              </w:rPr>
            </w:pPr>
            <w:r>
              <w:t xml:space="preserve">Įstaigos nurodo papildomas rizikos pozicijos sumas, reikalingas siekiant laikytis pagal Reglamento (ES) Nr. 575/2013 164 straipsnio 5 </w:t>
            </w:r>
            <w:r>
              <w:lastRenderedPageBreak/>
              <w:t>ir 7 dalis EBI praneštų ir įstaigoms pateiktų griežtesnių rizikos ribojimo reikalavimų.</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dalis, kurią atitinka: papildomi griežtesni rizikos ribojimo reikalavimai pagal Reglamento (ES) Nr. 575/2013 124 straipsnį</w:t>
            </w:r>
          </w:p>
          <w:p w14:paraId="15832D3F" w14:textId="33F29755" w:rsidR="00CC7D2C" w:rsidRPr="002A677E" w:rsidRDefault="00CC7D2C" w:rsidP="00320EFD">
            <w:pPr>
              <w:pStyle w:val="InstructionsText"/>
              <w:rPr>
                <w:rStyle w:val="InstructionsTabelleberschrift"/>
                <w:rFonts w:ascii="Times New Roman" w:hAnsi="Times New Roman"/>
                <w:sz w:val="24"/>
              </w:rPr>
            </w:pPr>
            <w:r>
              <w:t>Įstaigos nurodo papildomas rizikos pozicijos sumas, reikalingas siekiant laikytis griežtesnių rizikos ribojimo reikalavimų, kuriuos pagal Reglamento (ES) Nr. 575/2013 124 straipsnio 8–13 dalis pasikonsultavusios su EBI nustatė kompetentingos institucijos ir kurie susiję su užtikrinimo priemonės tinkamos rinkos vertės ribomis, nustatytomis to reglamento 125 straipsnio 2 dalies d punkte ir 126 straipsnio 2 dalies d punkte.</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IRB metodai, kai nenaudojami nei pačios įstaigos apskaičiuoti LGD įverčiai, nei perskaičiavimo koeficientai</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CR IRB forma bendros pozicijų sumos lygmeniu (kai nenaudojami pačios įstaigos apskaičiuoti LGD įverčiai arba perskaičiavimo koeficientai).</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Centrinės valdžios ir centrinių bankų pozicijos</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Regioninės arba vietos valdžios institucijų pozicijos</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Viešojo sektoriaus subjektų pozicijos</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Įstaigų pozicijos</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Įmonių pozicijos: specializuoto skolinimo pozicijos</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Žr. CR IRB formą.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Įmonių pozicijos: įsigytos gautinos sumos</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Įmonių pozicijos: kitos pozicijos</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Papildomas straipsnis. Įmonių pozicijos: didelių įmonių pozicijos</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IRB formą.</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Papildomas straipsnis. Įmonių pozicijos: MVĮ pozicijos</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IRB metodai, kai naudojami pačios įstaigos apskaičiuoti LGD įverčiai ir (arba) perskaičiavimo koeficientas</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CR IRB forma bendros pozicijų sumos lygmeniu (kai naudojami pačios įstaigos apskaičiuoti LGD įverčiai ir (arba) perskaičiavimo koeficientai).</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Centrinės valdžios ir centrinių bankų pozicijos</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Regioninės arba vietos valdžios institucijų pozicijos</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Viešojo sektoriaus subjektų pozicijos</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Įmonių pozicijos: specializuoto skolinimo pozicijos</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Įmonių pozicijos: įsigytos gautinos sumos</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Įmonių pozicijos: kitos pozicijos</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Papildomas straipsnis. Įmonių pozicijos: didelių įmonių pozicijos</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IRB formą.</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Papildomas straipsnis. Įmonių pozicijos: MVĮ pozicijos</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Mažmeninės pozicijos: užtikrintos gyvenamosios paskirties nekilnojamuoju turtu</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Mažmeninės pozicijos: reikalavimus atitinkančios atnaujinamosios pozicijos</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Mažmeninės pozicijos: įsigytos gautinos sumos</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Mažmeninės pozicijos: kitos</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dalis, kurią atitinka: užtikrintos komercinės paskirties nekilnojamuoju turtu</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Papildomas straipsnis. Mažmeninės pozicijos: užtikrintos nekilnojamuoju turtu MVĮ pozicijos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Papildomas straipsnis. Mažmeninės pozicijos: užtikrintos nekilnojamuoju turtu ne MVĮ pozicijos</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Papildomas straipsnis. Mažmeninės pozicijos: kitos MVĮ pozicijos</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Papildomas straipsnis. Mažmeninės pozicijos: kitos ne MVĮ pozicijos</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Nuosavybės vertybinių popierių pozicijos pagal IRB metodą</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EQU IRB formą.</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Kolektyvinio investavimo subjektų (KIS) pozicijos</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IRB formą.</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Kito nekreditinių įsipareigojimų turto pozicijos</w:t>
            </w:r>
          </w:p>
          <w:p w14:paraId="0D47162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Nurodoma suma yra pagal riziką įvertintų pozicijų suma, apskaičiuota pagal Reglamento (ES) Nr. 575/2013 156 straipsnį.</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dalis, kurią atitinka: programinė įranga kaip turtas, apskaitoma kaip nematerialusis turtas</w:t>
            </w:r>
          </w:p>
          <w:p w14:paraId="725F0A16" w14:textId="77777777" w:rsidR="00CC7D2C" w:rsidRPr="002A677E" w:rsidRDefault="00CC7D2C" w:rsidP="00320EFD">
            <w:pPr>
              <w:pStyle w:val="InstructionsText"/>
              <w:rPr>
                <w:rStyle w:val="InstructionsTabelleberschrift"/>
                <w:rFonts w:ascii="Times New Roman" w:hAnsi="Times New Roman"/>
                <w:sz w:val="24"/>
              </w:rPr>
            </w:pPr>
            <w:r>
              <w:t>Pagal riziką įvertintų pozicijų suma, susijusi su programinės įrangos kaip turto, apskaitomos kaip nematerialusis turtas, dalimi, kuri nėra atskaitoma iš CET1 straipsnių pagal Reglamento (ES) Nr. 575/2013 36 straipsnio 1 dalies b punktą, tačiau vertinama pagal riziką pagal to reglamento 156 straipsnį.</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Rizikos pozicijos suma, susijusi su įmokomis į pagrindinės sandorio šalies įsipareigojimų neįvykdymo fondą</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307, 308 ir 309 straipsniai</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Pr>
                <w:rStyle w:val="InstructionsTabelleberschrift"/>
                <w:rFonts w:ascii="Times New Roman" w:hAnsi="Times New Roman"/>
                <w:sz w:val="24"/>
              </w:rPr>
              <w:tab/>
              <w:t>Pakeitimo vertybiniais popieriais pozicijos</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CR SEC formą.</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BENDRA RIZIKOS POZICIJOS SUMA ATSISKAITYMO / PRISTATYMO RIZIKAI</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92 straipsnio 3 dalis ir 4 dalies ca punktas</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Atsiskaitymo / pristatymo rizika ne prekybos knygoje</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SETT formą.</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Atsiskaitymo / pristatymo rizika prekybos knygoje</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CR SETT formą.</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ĮMONĖS, KURIAI KYLA RINKOS RIZIKA, BENDRA RIZIKOS POZICIJOS SUMA</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t>Reglamento (ES) Nr. 575/2013 92 straipsnio 4 dalies b punkto i papunktis ir c punktas, 5 dalies b punktas ir 7 dalies b punktas</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Įmonės, kuriai kyla rinkos rizika, rizikos pozicijos suma, apskaičiuojama subjektų, taikančių tik supaprastintą standartizuotą metodą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Pr>
                <w:rStyle w:val="InstructionsTabelleberschrift"/>
                <w:rFonts w:ascii="Times New Roman" w:hAnsi="Times New Roman"/>
                <w:sz w:val="24"/>
              </w:rPr>
              <w:tab/>
              <w:t>Skolos priemonės, kuriomis prekiaujama</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forma bendros valiutų sumos lygmeniu.</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Nuosavybės vertybinių popierių pozicijos</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forma bendros nacionalinių rinkų sumos lygmeniu.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Specialus metodas KIS pozicijų rizikai</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Reglamento (ES) Nr. 575/2013 348 straipsnio 1 dalis, 350 straipsnio 3 dalies c punktas ir 364 straipsnio 2 dalies a punktas</w:t>
            </w:r>
          </w:p>
          <w:p w14:paraId="0F8EF050"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Bendra rizikos pozicijos suma KIS pozicijoms, jeigu kapitalo reikalavimai apskaičiuojami pagal Reglamento (ES) Nr. 575/2013 348 straipsnio 1 dalį nedelsiant arba pritaikius to reglamento 350 straipsnio 3 dalies c punkte nustatytą apribojimą.</w:t>
            </w:r>
            <w:r>
              <w:rPr>
                <w:rFonts w:ascii="Times New Roman" w:hAnsi="Times New Roman"/>
                <w:sz w:val="24"/>
              </w:rPr>
              <w:t xml:space="preserve"> Reglamente (ES) Nr. 575/2013 šios pozicijos nėra aiškiai priskirtos nei prie palūkanų normų rizikos, nei prie nuosavybės vertybinių popierių rizikos.</w:t>
            </w:r>
          </w:p>
          <w:p w14:paraId="79A5F344"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Jeigu taikomas specialus metodas, nustatytas Reglamento (ES) Nr. 575/2013 348 straipsnio 1 dalies pirmame sakinyje, nurodoma suma yra 32 % atitinkamos grynosios KIS pozicijos, padauginta iš 12,5.</w:t>
            </w:r>
            <w:r>
              <w:rPr>
                <w:rStyle w:val="FormatvorlageInstructionsTabelleText"/>
                <w:rFonts w:ascii="Times New Roman" w:hAnsi="Times New Roman"/>
                <w:sz w:val="24"/>
              </w:rPr>
              <w:t xml:space="preserve"> </w:t>
            </w:r>
          </w:p>
          <w:p w14:paraId="6E727F78" w14:textId="77777777" w:rsidR="00CC7D2C" w:rsidRPr="002A677E"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Jeigu taikomas specialus metodas, nustatytas Reglamento (ES) Nr. 575/2013 348 straipsnio 1 dalies antrame sakinyje, nurodoma suma yra mažesnioji iš šių: 32 % atitinkamos grynosios KIS pozicijos arba skirtumas tarp 40 % šios grynosios pozicijos ir nuosavų lėšų reikalavimų, kurie kyla dėl užsienio valiutos kurso rizikos, susijusios su šia KIS pozicija, atitinkamai padauginta iš 12,5.</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Papildomas straipsnis. KIS, investuojantys tik į skolos priemones, kuriomis prekiaujama</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Bendra rizikos pozicijos suma KIS pozicijoms, jeigu KIS investuoja tik į priemones, susijusias su palūkanų normų rizika.</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KIS, investuojantys tik į nuosavybės priemones arba į mišrias priemones</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Bendra rizikos pozicijos suma KIS pozicijoms, jeigu KIS investuoja tik arba į priemones, susijusias su nuosavybės vertybinių popierių rizika, arba į mišrias priemones, arba jeigu KIS sudedamosios dalys yra nežinomos.</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Užsienio valiutos kurso pozicijos</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MKR SA FX formą.</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Biržos prekių kainų pozicijos</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Žr. MKR SA COM formą.</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Rizikos pozicijos suma pozicijos rizikai, užsienio valiutos kurso rizikai ir biržos prekių kainos rizikai pagal vidaus modelius (IM)</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Žr. MKR IM formą.</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Konsultacijoms skirtos aiškinamosios pastabos</w:t>
                  </w:r>
                </w:p>
                <w:p w14:paraId="4B9D2A68" w14:textId="77777777" w:rsidR="00CC7D2C" w:rsidRDefault="00CC7D2C" w:rsidP="00822842">
                  <w:pPr>
                    <w:rPr>
                      <w:rStyle w:val="FormatvorlageInstructionsTabelleText"/>
                      <w:rFonts w:ascii="Times New Roman" w:hAnsi="Times New Roman"/>
                      <w:sz w:val="24"/>
                    </w:rPr>
                  </w:pPr>
                  <w:r>
                    <w:t>Ši eilutė bus išbraukta, kai apskaičiuojant nuosavų lėšų reikalavimus rinkos rizikai padengti nebegalės būti taikomi dabartiniai vidaus modeliai.</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Rizikos pozicijos suma balansiniams ir nebalansiniams straipsniams, kuriems kyla rinkos rizika, apskaičiuojama subjektų, taikančių tik alternatyvų standartizuotą metodą (ASA)</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Žr. MKR ASA SUM formą.</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1.3.4. Rizikos pozicijos suma balansiniams ir nebalansiniams straipsniams, kuriems kyla rinkos rizika, apskaičiuojama subjektų, taikančių tik alternatyvų vidaus modelių metodą (AIMA) arba AIMA kartu su ASA</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Žr. MKR AIMA SUM formą.</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RIZIKOS POZICIJOS SUMA PERKLASIFIKAVIMUI TARP NE PREKYBOS IR PREKYBOS KNYGŲ</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Žr. MOV formą.</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BENDRA RIZIKOS POZICIJOS SUMA OPERACINEI RIZIKAI (OpR)</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t>Reglamento (ES) Nr. 575/2013 92 straipsnio 3 dalis ir 4 dalies e punktas</w:t>
            </w:r>
          </w:p>
          <w:p w14:paraId="36E7FC8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Investicinėse įmonėse pagal Reglamento (ES) Nr. 575/2013 95 straipsnio 2 dalį, 96 straipsnio 2 dalį ir 98 straipsnį šis elementas yra lygus nuliui.</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PAPILDOMA RIZIKOS POZICIJOS SUMA DĖL PASTOVIŲJŲ PRIDĖTINIŲ IŠLAIDŲ</w:t>
            </w:r>
          </w:p>
          <w:p w14:paraId="6FBC6E8E"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Reglamento (ES) Nr. 575/2013 95 straipsnio 2 dalis, 96 straipsnio 2 dalis, 97 straipsnis ir 98 straipsnio 1 dalies a punktas</w:t>
            </w:r>
          </w:p>
          <w:p w14:paraId="2AEA27C3"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Tik investicinėms įmonėms pagal Reglamento (ES) Nr. 575/2013 95 straipsnio 2 dalį, 96 straipsnio 2 dalį ir 98 straipsnį.</w:t>
            </w:r>
            <w:r>
              <w:rPr>
                <w:rStyle w:val="FormatvorlageInstructionsTabelleText"/>
                <w:rFonts w:ascii="Times New Roman" w:hAnsi="Times New Roman"/>
                <w:sz w:val="24"/>
              </w:rPr>
              <w:t xml:space="preserve"> </w:t>
            </w:r>
            <w:r>
              <w:rPr>
                <w:rFonts w:ascii="Times New Roman" w:hAnsi="Times New Roman"/>
                <w:sz w:val="24"/>
              </w:rPr>
              <w:t>Dar ž. Reglamento (ES) Nr. 575/2013 97 straipsnį.</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Reglamento (ES) Nr. 575/2013 96 straipsnyje nurodytos investicinės įmonės nurodo 97 straipsnyje nurodytą sumą, padaugintą iš 12,5.</w:t>
            </w:r>
          </w:p>
          <w:p w14:paraId="5E38767D"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Reglamento (ES) Nr. 575/2013 95 straipsnyje nurodytos investicinės įmonės informaciją teikia taip:</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lastRenderedPageBreak/>
              <w:t>-</w:t>
            </w:r>
            <w:r>
              <w:rPr>
                <w:rStyle w:val="FormatvorlageInstructionsTabelleText"/>
                <w:rFonts w:ascii="Arial" w:hAnsi="Arial"/>
                <w:sz w:val="24"/>
              </w:rPr>
              <w:tab/>
            </w:r>
            <w:r>
              <w:t>kai Reglamento (ES) Nr. 575/2013 95 straipsnio 2 dalies a punkte nurodyta suma yra didesnė negu to reglamento 95 straipsnio 2 dalies b punkte nurodyta suma, įrašoma suma yra lygi nuliui;</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kai Reglamento (ES) Nr. 575/2013 95 straipsnio 2 dalies b punkte nurodyta suma yra didesnė negu to reglamento 95 straipsnio 2 dalies a punkte nurodyta suma, įrašoma suma, gauta iš pirmosios sumos atėmus antrąją.</w:t>
            </w:r>
            <w:r>
              <w:rPr>
                <w:rStyle w:val="FormatvorlageInstructionsTabelleText"/>
                <w:rFonts w:ascii="Times New Roman" w:hAnsi="Times New Roman"/>
                <w:sz w:val="24"/>
              </w:rPr>
              <w:t xml:space="preserve">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BENDRA RIZIKOS POZICIJOS SUMA KREDITO VERTINIMO KOREGAVIMUI</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t>Reglamento (ES) Nr. 575/2013 92 straipsnio 4 dalies d punktas</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Žr. CVA formą.</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Standartizuotas metodas (SA)</w:t>
            </w:r>
          </w:p>
          <w:p w14:paraId="52EE3666" w14:textId="77777777" w:rsidR="00CC7D2C" w:rsidRPr="002A677E" w:rsidRDefault="00CC7D2C" w:rsidP="00320EFD">
            <w:pPr>
              <w:pStyle w:val="InstructionsText"/>
              <w:rPr>
                <w:rStyle w:val="InstructionsTabelleberschrift"/>
                <w:rFonts w:ascii="Times New Roman" w:hAnsi="Times New Roman"/>
                <w:sz w:val="24"/>
              </w:rPr>
            </w:pPr>
            <w:r>
              <w:t>Reglamento (ES) Nr. 575/2013 383 straipsnis</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Išsamus pagrindinis metodas (F-BA)</w:t>
            </w:r>
          </w:p>
          <w:p w14:paraId="50E188A9" w14:textId="77777777" w:rsidR="00CC7D2C" w:rsidRPr="002A677E" w:rsidRDefault="00CC7D2C" w:rsidP="00320EFD">
            <w:pPr>
              <w:pStyle w:val="InstructionsText"/>
              <w:rPr>
                <w:rStyle w:val="InstructionsTabelleberschrift"/>
                <w:rFonts w:ascii="Times New Roman" w:hAnsi="Times New Roman"/>
                <w:sz w:val="24"/>
              </w:rPr>
            </w:pPr>
            <w:r>
              <w:t>Reglamento (ES) Nr. 575/2013 384 straipsnio 3 dalis</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Supaprastintas pagrindinis metodas (R-BA)</w:t>
            </w:r>
          </w:p>
          <w:p w14:paraId="66955A99" w14:textId="77777777" w:rsidR="00CC7D2C" w:rsidRPr="002A677E" w:rsidRDefault="00CC7D2C" w:rsidP="00320EFD">
            <w:pPr>
              <w:pStyle w:val="InstructionsText"/>
              <w:rPr>
                <w:rStyle w:val="InstructionsTabelleberschrift"/>
                <w:rFonts w:ascii="Times New Roman" w:hAnsi="Times New Roman"/>
                <w:sz w:val="24"/>
              </w:rPr>
            </w:pPr>
            <w:r>
              <w:t>Reglamento (ES) Nr. 575/2013 384 straipsnio 2 dalis</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Supaprastintas metodas</w:t>
            </w:r>
          </w:p>
          <w:p w14:paraId="5D4966C6" w14:textId="77777777" w:rsidR="00CC7D2C" w:rsidRPr="002A677E" w:rsidRDefault="00CC7D2C" w:rsidP="00320EFD">
            <w:pPr>
              <w:pStyle w:val="InstructionsText"/>
              <w:rPr>
                <w:rStyle w:val="InstructionsTabelleberschrift"/>
                <w:rFonts w:ascii="Times New Roman" w:hAnsi="Times New Roman"/>
                <w:sz w:val="24"/>
              </w:rPr>
            </w:pPr>
            <w:r>
              <w:t>Reglamento (ES) Nr. 575/2013 385 straipsnis</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KIS išvestinių finansinių priemonių pozicijoms taikoma supaprastinta tvarka</w:t>
            </w:r>
          </w:p>
          <w:p w14:paraId="745B756E" w14:textId="77777777" w:rsidR="00CC7D2C" w:rsidRPr="002A677E" w:rsidRDefault="00CC7D2C" w:rsidP="00320EFD">
            <w:pPr>
              <w:pStyle w:val="InstructionsText"/>
              <w:rPr>
                <w:rStyle w:val="InstructionsTabelleberschrift"/>
                <w:rFonts w:ascii="Times New Roman" w:hAnsi="Times New Roman"/>
                <w:sz w:val="24"/>
              </w:rPr>
            </w:pPr>
            <w:r>
              <w:t>Reglamento (ES) Nr. 575/2013 132a straipsnio 3 dalis, 152 straipsnio 3 dalis ir 325j straipsnio 1 dalis</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BENDRA RIZIKOS POZICIJOS SUMA, SUSIJUSI SU DIDELĖMIS PREKYBOS KNYGOS POZICIJOMIS</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Reglamento (ES) Nr. 575/2013 92 straipsnio 4 dalies b punkto ii papunktis ir 395–401 straipsniai</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KITOS RIZIKOS POZICIJOS SUMOS</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Reglamento (ES) Nr. 575/2013 3, 458 ir 459 straipsniai ir rizikos pozicijos sumos, kurių negalima priskirti prie nė vieno iš 1.1–1.7 straipsnių.</w:t>
            </w:r>
            <w:r>
              <w:rPr>
                <w:rStyle w:val="InstructionsTabelleberschrift"/>
                <w:rFonts w:ascii="Times New Roman" w:hAnsi="Times New Roman"/>
                <w:b w:val="0"/>
                <w:sz w:val="24"/>
                <w:u w:val="none"/>
              </w:rPr>
              <w:t xml:space="preserve">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Įstaigos nurodo sumas, kurių reikia, kad atitiktų:</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Komisijos pagal Reglamento (ES) Nr. 575/2013 458 ir 459 straipsnius nustatytus griežtesnius rizikos ribojimo reikalavimus;</w:t>
            </w:r>
            <w:r>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mokėtinas papildomas rizikos pozicijos sumas pagal Reglamento (ES) Nr. 575/2013 3 straipsnį.</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Šis straipsnis nėra susijęs su detaliąja forma.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dalis, kurią atitinka: papildomi griežtesni rizikos ribojimo reikalavimai pagal Reglamento (ES) Nr. 575/2013 458 straipsnį</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458 straipsnis</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dalis, kurią atitinka: reikalavimai didelėms pozicijoms</w:t>
            </w:r>
          </w:p>
          <w:p w14:paraId="242C94AC" w14:textId="77777777" w:rsidR="00CC7D2C" w:rsidRPr="002A677E" w:rsidRDefault="00CC7D2C" w:rsidP="00320EFD">
            <w:pPr>
              <w:pStyle w:val="InstructionsText"/>
              <w:rPr>
                <w:rStyle w:val="InstructionsTabelleberschrift"/>
                <w:rFonts w:ascii="Times New Roman" w:hAnsi="Times New Roman"/>
                <w:sz w:val="24"/>
              </w:rPr>
            </w:pPr>
            <w:r>
              <w:t>Reglamento (ES) Nr. 575/2013 458 straipsnis</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dalis, kurią atitinka: dėl pakeistų gyvenamosios ir komercinės paskirties nekilnojamojo turto sektoriaus kainų burbulams skirtų rizikos koeficientų</w:t>
            </w:r>
          </w:p>
          <w:p w14:paraId="6AE45898" w14:textId="77777777" w:rsidR="00CC7D2C" w:rsidRPr="002A677E" w:rsidRDefault="00CC7D2C" w:rsidP="00320EFD">
            <w:pPr>
              <w:pStyle w:val="InstructionsText"/>
              <w:rPr>
                <w:rStyle w:val="InstructionsTabelleberschrift"/>
                <w:rFonts w:ascii="Times New Roman" w:hAnsi="Times New Roman"/>
                <w:sz w:val="24"/>
              </w:rPr>
            </w:pPr>
            <w:r>
              <w:t>Reglamento (ES) Nr. 575/2013 458 straipsnis</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dalis, kurią atitinka: dėl pozicijų finansų sektoriaus viduje</w:t>
            </w:r>
          </w:p>
          <w:p w14:paraId="0AD2BF6F" w14:textId="77777777" w:rsidR="00CC7D2C" w:rsidRPr="002A677E" w:rsidRDefault="00CC7D2C" w:rsidP="00320EFD">
            <w:pPr>
              <w:pStyle w:val="InstructionsText"/>
              <w:rPr>
                <w:rStyle w:val="InstructionsTabelleberschrift"/>
                <w:rFonts w:ascii="Times New Roman" w:hAnsi="Times New Roman"/>
                <w:sz w:val="24"/>
              </w:rPr>
            </w:pPr>
            <w:r>
              <w:t>Reglamento (ES) Nr. 575/2013 458 straipsnis</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dalis, kurią atitinka: papildomi griežtesni rizikos ribojimo reikalavimai pagal Reglamento (ES) Nr. 575/2013 459 straipsnį</w:t>
            </w:r>
          </w:p>
          <w:p w14:paraId="4F93B1E4" w14:textId="77777777" w:rsidR="00CC7D2C" w:rsidRPr="002A677E" w:rsidRDefault="00CC7D2C" w:rsidP="00320EFD">
            <w:pPr>
              <w:pStyle w:val="InstructionsText"/>
              <w:rPr>
                <w:rStyle w:val="InstructionsTabelleberschrift"/>
                <w:rFonts w:ascii="Times New Roman" w:hAnsi="Times New Roman"/>
                <w:sz w:val="24"/>
              </w:rPr>
            </w:pPr>
            <w:r>
              <w:t>Reglamento (ES) Nr. 575/2013 459 straipsnis</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320EFD">
            <w:pPr>
              <w:pStyle w:val="InstructionsText"/>
            </w:pPr>
            <w:r>
              <w:rPr>
                <w:b/>
                <w:bCs/>
              </w:rPr>
              <w:t>1.8.3a. dalis, kurią atitinka:</w:t>
            </w:r>
            <w:r>
              <w:t xml:space="preserve"> </w:t>
            </w:r>
            <w:r>
              <w:rPr>
                <w:b/>
                <w:bCs/>
              </w:rPr>
              <w:t>papildoma RWEA suma rinkos rizikai, kurią kelia priežiūros institucija pagal Direktyvos 2013/36/ES 110 straipsnį</w:t>
            </w:r>
          </w:p>
          <w:p w14:paraId="6AA689E0" w14:textId="70B9ABFD" w:rsidR="005F24EB" w:rsidRPr="003D5537" w:rsidRDefault="003D5537" w:rsidP="00320EFD">
            <w:pPr>
              <w:pStyle w:val="InstructionsText"/>
              <w:rPr>
                <w:b/>
                <w:bCs/>
              </w:rPr>
            </w:pPr>
            <w:r>
              <w:t>Direktyvos 2013/36/ES 101 straipsnis ir nacionalinės to straipsnio įgyvendinimo priemonės.</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dalis, kurią atitinka: mokėtinos papildomos rizikos pozicijos sumos pagal Reglamento (ES) Nr. 575/2013 3 straipsnį</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t>Reglamento (ES) Nr. 575/2013 3 straipsnis</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Turi būti nurodoma papildoma rizikos pozicijos suma. </w:t>
            </w:r>
            <w:r>
              <w:t>Ji apima tik papildomas sumas (pvz., jei pozicijai, kurios vertė 100, taikomas 20 % rizikos koeficientas ir įstaiga, remdamasi Reglamento (ES) Nr. 575/2013 3 straipsniu, taiko 50 % rizikos koeficientą, nurodoma suma yra 30).</w:t>
            </w:r>
            <w:r>
              <w:rPr>
                <w:rStyle w:val="InstructionsTabelleberschrift"/>
                <w:rFonts w:ascii="Times New Roman" w:hAnsi="Times New Roman"/>
                <w:b w:val="0"/>
                <w:sz w:val="24"/>
                <w:u w:val="none"/>
              </w:rPr>
              <w:t xml:space="preserve">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 dalis, kurią atitinka:  papildoma RWEA suma rinkos rizikai</w:t>
            </w:r>
          </w:p>
          <w:p w14:paraId="69E7A691" w14:textId="31285B3F" w:rsidR="003D5537" w:rsidRPr="002A677E" w:rsidRDefault="003D5537" w:rsidP="00320EFD">
            <w:pPr>
              <w:pStyle w:val="InstructionsText"/>
              <w:rPr>
                <w:rStyle w:val="InstructionsTabelleberschrift"/>
                <w:rFonts w:ascii="Times New Roman" w:hAnsi="Times New Roman"/>
                <w:sz w:val="24"/>
              </w:rPr>
            </w:pPr>
            <w:r>
              <w:t>Be kita ko, vertė apima riziką, neįtrauktą į modeliavimo atvejį.</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 dalis, kurią atitinka: su kriptoturtu susijusi pereinamojo laikotarpio rizikos pozicijos suma pagal Reglamento (ES) Nr. 575/2013 501d straipsnio 2 dalį</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CRYPTO formą.</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lastRenderedPageBreak/>
        <w:t>1.4.</w:t>
      </w:r>
      <w:r>
        <w:tab/>
        <w:t>C 03.00. KAPITALO PAKANKAMUMO KOEFICIENTAI IR KAPITALO LYGIAI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rPr>
          <w:u w:val="none"/>
        </w:rPr>
        <w:tab/>
      </w:r>
      <w:r>
        <w:t>Nurodymai dėl konkrečių</w:t>
      </w:r>
      <w:bookmarkEnd w:id="32"/>
      <w:bookmarkEnd w:id="33"/>
      <w:r>
        <w:t xml:space="preserve"> pozicijų</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Eilutės</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CET1 kapitalo pakankamumo koeficientas</w:t>
            </w:r>
          </w:p>
          <w:p w14:paraId="1A204CA3" w14:textId="77777777" w:rsidR="00CC7D2C" w:rsidRPr="002A677E" w:rsidRDefault="00CC7D2C" w:rsidP="00320EFD">
            <w:pPr>
              <w:pStyle w:val="InstructionsText"/>
            </w:pPr>
            <w:r>
              <w:t>Reglamento (ES) Nr. 575/2013 92 straipsnio 2 dalies a punktas</w:t>
            </w:r>
          </w:p>
          <w:p w14:paraId="6428C1DC" w14:textId="77777777" w:rsidR="00CC7D2C" w:rsidRPr="002A677E" w:rsidRDefault="00CC7D2C" w:rsidP="00320EFD">
            <w:pPr>
              <w:pStyle w:val="InstructionsText"/>
            </w:pPr>
            <w:r>
              <w:t>CET1 kapitalo pakankamumo koeficientas yra įstaigos CET1 kapitalas, išreikštas bendros rizikos pozicijos sumos procentine dalimi.</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CET1 kapitalo perviršis (+) / deficitas (–)</w:t>
            </w:r>
          </w:p>
          <w:p w14:paraId="197B9EAB" w14:textId="77777777" w:rsidR="00CC7D2C" w:rsidRPr="002A677E" w:rsidRDefault="00CC7D2C" w:rsidP="00320EFD">
            <w:pPr>
              <w:pStyle w:val="InstructionsText"/>
            </w:pPr>
            <w:r>
              <w:t>Šiame straipsnyje parodomas absoliutusis CET1 kapitalo perviršio arba deficito dydis pagal Reglamento (ES) Nr. 575/2013 92 straipsnio 1 dalies a punkte nustatytą reikalavimą (4,5 %), t. y. neatsižvelgiant į kapitalo rezervus ir pereinamojo laikotarpio nuostatas dėl pakankamumo koeficiento.</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T1 kapitalo pakankamumo koeficientas</w:t>
            </w:r>
          </w:p>
          <w:p w14:paraId="58F5E60A" w14:textId="77777777" w:rsidR="00CC7D2C" w:rsidRPr="002A677E" w:rsidRDefault="00CC7D2C" w:rsidP="00320EFD">
            <w:pPr>
              <w:pStyle w:val="InstructionsText"/>
            </w:pPr>
            <w:r>
              <w:t>Reglamento (ES) Nr. 575/2013 92 straipsnio 2 dalies b punktas</w:t>
            </w:r>
          </w:p>
          <w:p w14:paraId="6C86F22F" w14:textId="77777777" w:rsidR="00CC7D2C" w:rsidRPr="002A677E" w:rsidRDefault="00CC7D2C" w:rsidP="00320EFD">
            <w:pPr>
              <w:pStyle w:val="InstructionsText"/>
            </w:pPr>
            <w:r>
              <w:t>T1 kapitalo pakankamumo koeficientas yra įstaigos 1 lygio kapitalas, išreikštas bendros rizikos pozicijos sumos procentine dalimi.</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T1 kapitalo perviršis (+) / deficitas (–)</w:t>
            </w:r>
          </w:p>
          <w:p w14:paraId="2757AF24" w14:textId="77777777" w:rsidR="00CC7D2C" w:rsidRPr="002A677E" w:rsidRDefault="00CC7D2C" w:rsidP="00320EFD">
            <w:pPr>
              <w:pStyle w:val="InstructionsText"/>
            </w:pPr>
            <w:r>
              <w:t>Šiame straipsnyje parodomas absoliutusis T1 kapitalo perviršio arba deficito dydis pagal Reglamento (ES) Nr. 575/2013 92 straipsnio 1 dalies b punkte nustatytą reikalavimą (6 %), t. y. neatsižvelgiant į kapitalo rezervus ir pereinamojo laikotarpio nuostatas dėl pakankamumo koeficiento.</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Bendras kapitalo pakankamumo koeficientas</w:t>
            </w:r>
          </w:p>
          <w:p w14:paraId="393A8CC4" w14:textId="77777777" w:rsidR="00CC7D2C" w:rsidRPr="002A677E" w:rsidRDefault="00CC7D2C" w:rsidP="00320EFD">
            <w:pPr>
              <w:pStyle w:val="InstructionsText"/>
            </w:pPr>
            <w:r>
              <w:t>Reglamento (ES) Nr. 575/2013 92 straipsnio 2 dalies c punktas</w:t>
            </w:r>
          </w:p>
          <w:p w14:paraId="163717AB" w14:textId="77777777" w:rsidR="00CC7D2C" w:rsidRPr="002A677E" w:rsidRDefault="00CC7D2C" w:rsidP="00320EFD">
            <w:pPr>
              <w:pStyle w:val="InstructionsText"/>
            </w:pPr>
            <w:r>
              <w:t>Bendras kapitalo pakankamumo koeficientas yra įstaigos nuosavos lėšos, išreikštos bendros rizikos pozicijos sumos procentine dalimi.</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Viso kapitalo perviršis (+) / deficitas (−)</w:t>
            </w:r>
          </w:p>
          <w:p w14:paraId="03A15BAC" w14:textId="77777777" w:rsidR="00CC7D2C" w:rsidRPr="002A677E" w:rsidRDefault="00CC7D2C" w:rsidP="00320EFD">
            <w:pPr>
              <w:pStyle w:val="InstructionsText"/>
            </w:pPr>
            <w:r>
              <w:t>Šiame straipsnyje parodomas absoliutusis nuosavų lėšų perviršio arba deficito dydis pagal Reglamento (ES) Nr. 575/2013 92 straipsnio 1 dalies c punkte nustatytą reikalavimą (8 %), t. y. neatsižvelgiant į kapitalo rezervus ir pereinamojo laikotarpio nuostatas dėl pakankamumo koeficiento.</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CET1 kapitalo pakankamumo koeficientas atsižvelgus į TREA vertę nepritaikius apatinės ribos</w:t>
            </w:r>
          </w:p>
          <w:p w14:paraId="61978AA2" w14:textId="77777777" w:rsidR="00CC7D2C" w:rsidRPr="002A677E" w:rsidRDefault="00CC7D2C" w:rsidP="00320EFD">
            <w:pPr>
              <w:pStyle w:val="InstructionsText"/>
              <w:rPr>
                <w:rStyle w:val="InstructionsTabelleberschrift"/>
                <w:rFonts w:ascii="Times New Roman" w:hAnsi="Times New Roman"/>
                <w:sz w:val="24"/>
              </w:rPr>
            </w:pPr>
            <w:r>
              <w:t>Reglamento (ES) Nr. 575/2013 92 straipsnio 2 dalies a punkte apibrėžtas CET1 kapitalo pakankamumo koeficientas, išreikštas bendros rizikos pozicijos sumos procentine dalimi, apskaičiuota pagal Reglamento (ES) Nr. 575/2013 92 straipsnio 4 dalį</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lastRenderedPageBreak/>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T1 kapitalo pakankamumo koeficientas atsižvelgus į TREA vertę nepritaikius apatinės ribos</w:t>
            </w:r>
          </w:p>
          <w:p w14:paraId="1EA9C1BE" w14:textId="1AA1CC61" w:rsidR="00CC7D2C" w:rsidRPr="002A677E" w:rsidRDefault="00CC7D2C" w:rsidP="00320EFD">
            <w:pPr>
              <w:pStyle w:val="InstructionsText"/>
              <w:rPr>
                <w:rStyle w:val="InstructionsTabelleberschrift"/>
                <w:rFonts w:ascii="Times New Roman" w:hAnsi="Times New Roman"/>
                <w:sz w:val="24"/>
              </w:rPr>
            </w:pPr>
            <w:r>
              <w:t>Reglamento (ES) Nr. 575/2013 92 straipsnio 2 dalies b punkte apibrėžtas T1 kapitalo pakankamumo koeficientas, išreikštas bendros rizikos pozicijos sumos procentine dalimi, apskaičiuota pagal Reglamento (ES) Nr. 575/2013 92 straipsnio 4 dalį</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Bendras kapitalo pakankamumo koeficientas atsižvelgus į TREA vertę nepritaikius apatinės ribos</w:t>
            </w:r>
          </w:p>
          <w:p w14:paraId="79DB9F56" w14:textId="77777777" w:rsidR="00CC7D2C" w:rsidRPr="002A677E" w:rsidRDefault="00CC7D2C" w:rsidP="00320EFD">
            <w:pPr>
              <w:pStyle w:val="InstructionsText"/>
              <w:rPr>
                <w:rStyle w:val="InstructionsTabelleberschrift"/>
                <w:rFonts w:ascii="Times New Roman" w:hAnsi="Times New Roman"/>
                <w:sz w:val="24"/>
              </w:rPr>
            </w:pPr>
            <w:r>
              <w:t>Reglamento (ES) Nr. 575/2013 92 straipsnio 2 dalies c punkte apibrėžtas bendras kapitalo pakankamumo koeficientas, išreikštas bendros rizikos pozicijos sumos procentine dalimi, apskaičiuota pagal Reglamento (ES) Nr. 575/2013 92 straipsnio 4 dalį</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Bendro SREP kapitalo reikalavimo (TSCR) koeficientas</w:t>
            </w:r>
          </w:p>
          <w:p w14:paraId="422D18B0" w14:textId="77777777" w:rsidR="00CC7D2C" w:rsidRPr="002A677E" w:rsidRDefault="00CC7D2C" w:rsidP="00320EFD">
            <w:pPr>
              <w:pStyle w:val="InstructionsText"/>
            </w:pPr>
            <w:r>
              <w:t>Toliau nurodytų i ir ii punktų suma:</w:t>
            </w:r>
          </w:p>
          <w:p w14:paraId="5718EEA1" w14:textId="77777777" w:rsidR="00CC7D2C" w:rsidRPr="002A677E" w:rsidRDefault="00CC7D2C" w:rsidP="00320EFD">
            <w:pPr>
              <w:pStyle w:val="InstructionsText"/>
            </w:pPr>
            <w:r>
              <w:t xml:space="preserve">bendras kapitalo pakankamumo koeficientas (8 %), kaip nurodyta Reglamento (ES) Nr. 575/2013 92 straipsnio 1 dalies c punkte; </w:t>
            </w:r>
          </w:p>
          <w:p w14:paraId="72877665" w14:textId="77777777" w:rsidR="00CC7D2C" w:rsidRPr="002A677E" w:rsidRDefault="00CC7D2C" w:rsidP="00320EFD">
            <w:pPr>
              <w:pStyle w:val="InstructionsText"/>
            </w:pPr>
            <w:r>
              <w:t xml:space="preserve">papildomų nuosavų lėšų reikalavimų (II ramsčio reikalavimai, P2R), nurodytų Direktyvos 2013/36/ES 104 straipsnio 1 dalies a punkte, koeficientas. Jie nustatomi pagal kriterijus, nurodytus </w:t>
            </w:r>
            <w:r>
              <w:rPr>
                <w:i/>
              </w:rPr>
              <w:t>EBI gairėse dėl bendros priežiūrinio tikrinimo ir vertinimo proceso tvarkos bei metodikos ir priežiūrinio testavimo nepalankiausiomis sąlygomis</w:t>
            </w:r>
            <w:r>
              <w:t xml:space="preserve"> (EBA SREP GL).</w:t>
            </w:r>
          </w:p>
          <w:p w14:paraId="51D5EDB6" w14:textId="77777777" w:rsidR="00CC7D2C" w:rsidRPr="002A677E" w:rsidRDefault="00CC7D2C" w:rsidP="00320EFD">
            <w:pPr>
              <w:pStyle w:val="InstructionsText"/>
            </w:pPr>
            <w:r>
              <w:t>Šiame straipsnyje atsižvelgiama į bendro SREP kapitalo reikalavimo (TSCR) koeficientą, kurį įstaigai pateikė kompetentinga institucija. TSCR yra apibrėžtas EBA SREP GL 7.4 ir 7.5 skirsniuose.</w:t>
            </w:r>
          </w:p>
          <w:p w14:paraId="170D440C" w14:textId="77777777" w:rsidR="00CC7D2C" w:rsidRDefault="00CC7D2C" w:rsidP="00320EFD">
            <w:pPr>
              <w:pStyle w:val="InstructionsText"/>
            </w:pPr>
            <w:r>
              <w:t xml:space="preserve">Jei kompetentinga institucija nėra pateikusi papildomų nuosavų lėšų reikalavimų, nurodomas tik i punktas. </w:t>
            </w:r>
          </w:p>
          <w:p w14:paraId="72F84D88" w14:textId="77777777" w:rsidR="00CC7D2C" w:rsidRDefault="00CC7D2C" w:rsidP="00320EFD">
            <w:pPr>
              <w:pStyle w:val="InstructionsText"/>
            </w:pPr>
            <w:r>
              <w:t>Jei įstaigai taikoma rezultatų apatinė riba, nurodomi duomenys atspindi TSCR koeficientą, privalomą siekiant ataskaitinę datą įvykdyti reikalavimus atsižvelgus į Direktyvos 2013/36/ES 104a straipsnio 6 dalies nuostatas.</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TSCR: sudarytinas iš CET1 kapitalo </w:t>
            </w:r>
          </w:p>
          <w:p w14:paraId="28F90F3C" w14:textId="77777777" w:rsidR="00CC7D2C" w:rsidRPr="002A677E" w:rsidRDefault="00CC7D2C" w:rsidP="00320EFD">
            <w:pPr>
              <w:pStyle w:val="InstructionsText"/>
            </w:pPr>
            <w:r>
              <w:t>Toliau nurodytų i ir ii punktų suma:</w:t>
            </w:r>
          </w:p>
          <w:p w14:paraId="75CA447D" w14:textId="77777777" w:rsidR="00CC7D2C" w:rsidRPr="002A677E" w:rsidRDefault="00CC7D2C" w:rsidP="00320EFD">
            <w:pPr>
              <w:pStyle w:val="InstructionsText"/>
              <w:numPr>
                <w:ilvl w:val="0"/>
                <w:numId w:val="20"/>
              </w:numPr>
            </w:pPr>
            <w:r>
              <w:t>CET1 kapitalo pakankamumo koeficientas (4,5 %) pagal Reglamento (ES) Nr. 575/2013 92 straipsnio 1 dalies a punktą;</w:t>
            </w:r>
          </w:p>
          <w:p w14:paraId="6BB26B7D" w14:textId="77777777" w:rsidR="00CC7D2C" w:rsidRPr="002A677E" w:rsidRDefault="00CC7D2C" w:rsidP="00320EFD">
            <w:pPr>
              <w:pStyle w:val="InstructionsText"/>
              <w:numPr>
                <w:ilvl w:val="0"/>
                <w:numId w:val="20"/>
              </w:numPr>
              <w:rPr>
                <w:b/>
                <w:bCs/>
                <w:u w:val="single"/>
              </w:rPr>
            </w:pPr>
            <w:r>
              <w:t>P2R koeficiento, nurodyto 0130 eilutės ii punkte, dalis, kuri, kompetentingos institucijos reikalavimu, laikytina CET1 kapitalo forma.</w:t>
            </w:r>
          </w:p>
          <w:p w14:paraId="36D292D2" w14:textId="77777777" w:rsidR="00CC7D2C" w:rsidRDefault="00CC7D2C" w:rsidP="00320EFD">
            <w:pPr>
              <w:pStyle w:val="InstructionsText"/>
              <w:rPr>
                <w:rStyle w:val="InstructionsTabelleberschrift"/>
                <w:rFonts w:ascii="Times New Roman" w:hAnsi="Times New Roman"/>
                <w:b w:val="0"/>
                <w:sz w:val="24"/>
              </w:rPr>
            </w:pPr>
            <w:r>
              <w:t>Jei kompetentinga institucija nėra pateikusi papildomų nuosavų lėšų reikalavimų, laikytinų CET1 kapitalo forma, nurodomas tik i punktas.</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 xml:space="preserve">Jei įstaigai taikoma rezultatų apatinė riba, nurodomi duomenys atspindi TSCR koeficientą, privalomą siekiant ataskaitinę datą įvykdyti </w:t>
            </w:r>
            <w:r>
              <w:lastRenderedPageBreak/>
              <w:t>reikalavimus atsižvelgus į Direktyvos 2013/36/ES 104a straipsnio 6 dalies nuostatas.</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lastRenderedPageBreak/>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sudarytinas iš 1 lygio kapitalo</w:t>
            </w:r>
          </w:p>
          <w:p w14:paraId="58AEED52" w14:textId="77777777" w:rsidR="00CC7D2C" w:rsidRPr="002A677E" w:rsidRDefault="00CC7D2C" w:rsidP="00320EFD">
            <w:pPr>
              <w:pStyle w:val="InstructionsText"/>
            </w:pPr>
            <w:r>
              <w:t>Toliau nurodytų i ir ii punktų suma:</w:t>
            </w:r>
          </w:p>
          <w:p w14:paraId="49D34E50" w14:textId="77777777" w:rsidR="00CC7D2C" w:rsidRPr="002A677E" w:rsidRDefault="00CC7D2C" w:rsidP="00320EFD">
            <w:pPr>
              <w:pStyle w:val="InstructionsText"/>
              <w:numPr>
                <w:ilvl w:val="0"/>
                <w:numId w:val="21"/>
              </w:numPr>
            </w:pPr>
            <w:r>
              <w:t>1 lygio kapitalo pakankamumo koeficientas (6 %), kaip nurodyta Reglamento (ES) Nr. 575/2013 92 straipsnio 1 dalies b punkte;</w:t>
            </w:r>
          </w:p>
          <w:p w14:paraId="4A701FA4" w14:textId="77777777" w:rsidR="00CC7D2C" w:rsidRPr="002A677E" w:rsidRDefault="00CC7D2C" w:rsidP="00320EFD">
            <w:pPr>
              <w:pStyle w:val="InstructionsText"/>
              <w:numPr>
                <w:ilvl w:val="0"/>
                <w:numId w:val="21"/>
              </w:numPr>
              <w:rPr>
                <w:bCs/>
                <w:u w:val="single"/>
              </w:rPr>
            </w:pPr>
            <w:r>
              <w:t>P2R koeficiento, nurodyto 0130 eilutės ii punkte, dalis, kuri, kompetentingos institucijos reikalavimu, laikytina 1 lygio kapitalo forma.</w:t>
            </w:r>
          </w:p>
          <w:p w14:paraId="4A7AA27B" w14:textId="77777777" w:rsidR="00CC7D2C" w:rsidRDefault="00CC7D2C" w:rsidP="00320EFD">
            <w:pPr>
              <w:pStyle w:val="InstructionsText"/>
            </w:pPr>
            <w:r>
              <w:t>Jei kompetentinga institucija nėra pateikusi papildomų nuosavų lėšų reikalavimų, laikytinų 1 lygio kapitalo forma, nurodomas tik i punktas.</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Jei įstaigai taikoma rezultatų apatinė riba, nurodomi duomenys atspindi TSCR koeficientą, privalomą siekiant ataskaitinę datą įvykdyti reikalavimus atsižvelgus į Direktyvos 2013/36/ES 104a straipsnio 6 dalies nuostatas.</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Bendro SREP kapitalo reikalavimo (TSCR) koeficientas nepritaikius viršutinės ribos pagal Direktyvos 2013/36/ES 104a straipsnio 6 dalies a punktą</w:t>
            </w:r>
          </w:p>
          <w:p w14:paraId="63F2FF34" w14:textId="7D1FAC05" w:rsidR="00CC7D2C" w:rsidRDefault="00CC7D2C" w:rsidP="00320EFD">
            <w:pPr>
              <w:pStyle w:val="InstructionsText"/>
            </w:pPr>
            <w:r>
              <w:t>Direktyvos 2013/36/ES 104a straipsnio 6 dalies a punktas</w:t>
            </w:r>
          </w:p>
          <w:p w14:paraId="7C3569BE" w14:textId="77777777" w:rsidR="00CC7D2C" w:rsidRPr="002A677E" w:rsidRDefault="00CC7D2C" w:rsidP="00320EFD">
            <w:pPr>
              <w:pStyle w:val="InstructionsText"/>
              <w:rPr>
                <w:rStyle w:val="InstructionsTabelleberschrift"/>
                <w:rFonts w:ascii="Times New Roman" w:hAnsi="Times New Roman"/>
                <w:sz w:val="24"/>
              </w:rPr>
            </w:pPr>
            <w:r>
              <w:t>Įstaigos, kurioms taikoma rezultatų apatinė riba, nurodo TSCR koeficientą nepritaikius laikinos viršutinės ribos, nurodytos Direktyvos 2013/36/ES 104a straipsnio 6 dalies b punkte.</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sudarytinas iš CET1 kapitalo</w:t>
            </w:r>
          </w:p>
          <w:p w14:paraId="15CE0D0B" w14:textId="43173606" w:rsidR="00CC7D2C" w:rsidRDefault="00CC7D2C" w:rsidP="00320EFD">
            <w:pPr>
              <w:pStyle w:val="InstructionsText"/>
            </w:pPr>
            <w:r>
              <w:t>Direktyvos 2013/36/ES 104a straipsnio 6 dalies a punktas</w:t>
            </w:r>
          </w:p>
          <w:p w14:paraId="1CD71865" w14:textId="77777777" w:rsidR="00CC7D2C" w:rsidRPr="002A677E" w:rsidRDefault="00CC7D2C" w:rsidP="00320EFD">
            <w:pPr>
              <w:pStyle w:val="InstructionsText"/>
              <w:rPr>
                <w:rStyle w:val="InstructionsTabelleberschrift"/>
                <w:rFonts w:ascii="Times New Roman" w:hAnsi="Times New Roman"/>
                <w:sz w:val="24"/>
              </w:rPr>
            </w:pPr>
            <w:r>
              <w:t>Įstaigos, kurioms taikoma rezultatų apatinė riba, nurodo TSCR koeficientą nepritaikius laikinos viršutinės ribos, nurodytos Direktyvos 2013/36/ES 104a straipsnio 6 dalies b punkte.</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sudarytinas iš 1 lygio kapitalo</w:t>
            </w:r>
          </w:p>
          <w:p w14:paraId="244808EF" w14:textId="6711A984" w:rsidR="00CC7D2C" w:rsidRDefault="00CC7D2C" w:rsidP="00320EFD">
            <w:pPr>
              <w:pStyle w:val="InstructionsText"/>
            </w:pPr>
            <w:r>
              <w:t>Direktyvos 2013/36/ES 104a straipsnio 6 dalies a punktas</w:t>
            </w:r>
          </w:p>
          <w:p w14:paraId="7A8B6EB2" w14:textId="77777777" w:rsidR="00CC7D2C" w:rsidRPr="002A677E" w:rsidRDefault="00CC7D2C" w:rsidP="00320EFD">
            <w:pPr>
              <w:pStyle w:val="InstructionsText"/>
              <w:rPr>
                <w:rStyle w:val="InstructionsTabelleberschrift"/>
                <w:rFonts w:ascii="Times New Roman" w:hAnsi="Times New Roman"/>
                <w:sz w:val="24"/>
              </w:rPr>
            </w:pPr>
            <w:r>
              <w:t>Įstaigos, kurioms taikoma rezultatų apatinė riba, nurodo TSCR koeficientą nepritaikius laikinos viršutinės ribos, nurodytos Direktyvos 2013/36/ES 104a straipsnio 6 dalies b punkte.</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Bendro kapitalo reikalavimo (OCR) koeficientas</w:t>
            </w:r>
          </w:p>
          <w:p w14:paraId="5D827426" w14:textId="77777777" w:rsidR="00CC7D2C" w:rsidRPr="002A677E" w:rsidRDefault="00CC7D2C" w:rsidP="00320EFD">
            <w:pPr>
              <w:pStyle w:val="InstructionsText"/>
            </w:pPr>
            <w:r>
              <w:t>Toliau nurodytų i ir ii punktų suma:</w:t>
            </w:r>
          </w:p>
          <w:p w14:paraId="70AEC1C6" w14:textId="77777777" w:rsidR="00CC7D2C" w:rsidRPr="002A677E" w:rsidRDefault="00CC7D2C" w:rsidP="00320EFD">
            <w:pPr>
              <w:pStyle w:val="InstructionsText"/>
              <w:numPr>
                <w:ilvl w:val="0"/>
                <w:numId w:val="22"/>
              </w:numPr>
            </w:pPr>
            <w:r>
              <w:t>0130 eilutėje nurodytas TSCR koeficientas;</w:t>
            </w:r>
          </w:p>
          <w:p w14:paraId="7B4CBF50" w14:textId="77777777" w:rsidR="00CC7D2C" w:rsidRPr="002A677E" w:rsidRDefault="00CC7D2C" w:rsidP="00320EFD">
            <w:pPr>
              <w:pStyle w:val="InstructionsText"/>
              <w:numPr>
                <w:ilvl w:val="0"/>
                <w:numId w:val="22"/>
              </w:numPr>
            </w:pPr>
            <w:r>
              <w:t>kiek tai teisiniu požiūriu taikytina, jungtinio rezervo reikalavimo koeficientas, nurodytas Direktyvos 2013/36/ES 128 straipsnio 6 punkte.</w:t>
            </w:r>
          </w:p>
          <w:p w14:paraId="4A545FF7" w14:textId="77777777" w:rsidR="00CC7D2C" w:rsidRPr="002A677E" w:rsidRDefault="00CC7D2C" w:rsidP="00320EFD">
            <w:pPr>
              <w:pStyle w:val="InstructionsText"/>
            </w:pPr>
            <w:r>
              <w:t>Šiame straipsnyje atsižvelgiama į bendro kapitalo reikalavimo (OCR) koeficientą, apibrėžtą EBA SREP GL 7.5 skirsnyje.</w:t>
            </w:r>
          </w:p>
          <w:p w14:paraId="21F262F8" w14:textId="77777777" w:rsidR="00CC7D2C" w:rsidRPr="002A677E" w:rsidRDefault="00CC7D2C" w:rsidP="00320EFD">
            <w:pPr>
              <w:pStyle w:val="InstructionsText"/>
              <w:rPr>
                <w:rStyle w:val="InstructionsTabelleberschrift"/>
                <w:rFonts w:ascii="Times New Roman" w:hAnsi="Times New Roman"/>
                <w:sz w:val="24"/>
              </w:rPr>
            </w:pPr>
            <w:r>
              <w:lastRenderedPageBreak/>
              <w:t>Jei joks rezervo reikalavimas nėra taikomas, nurodomas tik i punktas.</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lastRenderedPageBreak/>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OCR: sudarytinas iš CET1 kapitalo </w:t>
            </w:r>
          </w:p>
          <w:p w14:paraId="3B6DAF93" w14:textId="77777777" w:rsidR="00CC7D2C" w:rsidRPr="002A677E" w:rsidRDefault="00CC7D2C" w:rsidP="00320EFD">
            <w:pPr>
              <w:pStyle w:val="InstructionsText"/>
            </w:pPr>
            <w:r>
              <w:t>Toliau nurodytų i ir ii punktų suma:</w:t>
            </w:r>
          </w:p>
          <w:p w14:paraId="79F55B10" w14:textId="77777777" w:rsidR="00CC7D2C" w:rsidRPr="002A677E" w:rsidRDefault="00CC7D2C" w:rsidP="00320EFD">
            <w:pPr>
              <w:pStyle w:val="InstructionsText"/>
              <w:numPr>
                <w:ilvl w:val="0"/>
                <w:numId w:val="23"/>
              </w:numPr>
            </w:pPr>
            <w:r>
              <w:t>TSCR koeficientas, sudarytinas iš CET1 kapitalo, nurodytas 0140 eilutėje;</w:t>
            </w:r>
          </w:p>
          <w:p w14:paraId="54B36BA6" w14:textId="77777777" w:rsidR="00CC7D2C" w:rsidRPr="002A677E" w:rsidRDefault="00CC7D2C" w:rsidP="00320EFD">
            <w:pPr>
              <w:pStyle w:val="InstructionsText"/>
              <w:numPr>
                <w:ilvl w:val="0"/>
                <w:numId w:val="23"/>
              </w:numPr>
              <w:rPr>
                <w:bCs/>
                <w:u w:val="single"/>
              </w:rPr>
            </w:pPr>
            <w:r>
              <w:t>kiek tai teisiniu požiūriu taikytina, jungtinio rezervo reikalavimo koeficientas, nurodytas Direktyvos 2013/36/ES 128 straipsnio 6 punkte.</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Jei joks rezervo reikalavimas nėra taikomas, nurodomas tik i punktas.</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sudarytinas iš 1 lygio kapitalo</w:t>
            </w:r>
          </w:p>
          <w:p w14:paraId="54EBB570" w14:textId="77777777" w:rsidR="00CC7D2C" w:rsidRPr="002A677E" w:rsidRDefault="00CC7D2C" w:rsidP="00320EFD">
            <w:pPr>
              <w:pStyle w:val="InstructionsText"/>
            </w:pPr>
            <w:r>
              <w:t>Toliau nurodytų i ir ii punktų suma:</w:t>
            </w:r>
          </w:p>
          <w:p w14:paraId="719C6493" w14:textId="77777777" w:rsidR="00CC7D2C" w:rsidRPr="002A677E" w:rsidRDefault="00CC7D2C" w:rsidP="00320EFD">
            <w:pPr>
              <w:pStyle w:val="InstructionsText"/>
              <w:numPr>
                <w:ilvl w:val="0"/>
                <w:numId w:val="24"/>
              </w:numPr>
            </w:pPr>
            <w:r>
              <w:t>TSCR koeficientas, sudarytinas iš 1 lygio kapitalo, nurodytas 0150 eilutėje;</w:t>
            </w:r>
          </w:p>
          <w:p w14:paraId="17CB41E8" w14:textId="77777777" w:rsidR="00CC7D2C" w:rsidRPr="002A677E" w:rsidRDefault="00CC7D2C" w:rsidP="00320EFD">
            <w:pPr>
              <w:pStyle w:val="InstructionsText"/>
              <w:numPr>
                <w:ilvl w:val="0"/>
                <w:numId w:val="24"/>
              </w:numPr>
              <w:rPr>
                <w:bCs/>
                <w:u w:val="single"/>
              </w:rPr>
            </w:pPr>
            <w:r>
              <w:t>kiek tai teisiniu požiūriu taikytina, jungtinio rezervo reikalavimo koeficientas, nurodytas Direktyvos 2013/36/ES 128 straipsnio 6 punkte.</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Jei joks rezervo reikalavimas nėra taikomas, nurodomas tik i punktas.</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Bendro kapitalo reikalavimo (OCR) ir II ramsčio gairių (P2G) koeficientas</w:t>
            </w:r>
          </w:p>
          <w:p w14:paraId="35C8C660" w14:textId="77777777" w:rsidR="00CC7D2C" w:rsidRPr="002A677E" w:rsidRDefault="00CC7D2C" w:rsidP="00320EFD">
            <w:pPr>
              <w:pStyle w:val="InstructionsText"/>
            </w:pPr>
            <w:r>
              <w:t>Toliau nurodytų i ir ii punktų suma:</w:t>
            </w:r>
          </w:p>
          <w:p w14:paraId="726F15CE" w14:textId="77777777" w:rsidR="00CC7D2C" w:rsidRPr="002A677E" w:rsidRDefault="00CC7D2C" w:rsidP="00320EFD">
            <w:pPr>
              <w:pStyle w:val="InstructionsText"/>
              <w:numPr>
                <w:ilvl w:val="0"/>
                <w:numId w:val="25"/>
              </w:numPr>
            </w:pPr>
            <w:r>
              <w:t>160 eilutėje nurodyto OCR koeficiento;</w:t>
            </w:r>
          </w:p>
          <w:p w14:paraId="2AA4843C" w14:textId="77777777" w:rsidR="00CC7D2C" w:rsidRPr="002A677E" w:rsidRDefault="00CC7D2C" w:rsidP="00320EFD">
            <w:pPr>
              <w:pStyle w:val="InstructionsText"/>
              <w:numPr>
                <w:ilvl w:val="0"/>
                <w:numId w:val="25"/>
              </w:numPr>
              <w:rPr>
                <w:bCs/>
                <w:u w:val="single"/>
              </w:rPr>
            </w:pPr>
            <w:r>
              <w:t>jei taikoma, kompetentingos institucijos pateiktų gairių dėl papildomų nuosavų lėšų (II ramsčio gairių (P2G), nurodytų Direktyvos 2013/36/ES 104b straipsnio 3 dalyje, koeficiento. Jie nustatomi pagal EBA SREP GL 7.7.1 skirsnį. P2G įtraukiamas tik tuo atveju, jei kompetentinga institucija yra jį pateikusi įstaigai.</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t xml:space="preserve">Jei kompetentinga institucija nėra pateikusi P2G, nurodomas tik i punktas.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ir P2G: sudarytini iš CET1 kapitalo </w:t>
            </w:r>
          </w:p>
          <w:p w14:paraId="13795065" w14:textId="77777777" w:rsidR="00CC7D2C" w:rsidRPr="002A677E" w:rsidRDefault="00CC7D2C" w:rsidP="00320EFD">
            <w:pPr>
              <w:pStyle w:val="InstructionsText"/>
            </w:pPr>
            <w:r>
              <w:t>Toliau nurodytų i ir ii punktų suma:</w:t>
            </w:r>
          </w:p>
          <w:p w14:paraId="300DF4C8" w14:textId="77777777" w:rsidR="00CC7D2C" w:rsidRPr="002A677E" w:rsidRDefault="00CC7D2C" w:rsidP="00320EFD">
            <w:pPr>
              <w:pStyle w:val="InstructionsText"/>
              <w:numPr>
                <w:ilvl w:val="0"/>
                <w:numId w:val="26"/>
              </w:numPr>
            </w:pPr>
            <w:r>
              <w:t>OCR koeficientas, sudarytinas iš CET1 kapitalo, nurodytas 0170 eilutėje;</w:t>
            </w:r>
          </w:p>
          <w:p w14:paraId="22745814" w14:textId="77777777" w:rsidR="00CC7D2C" w:rsidRPr="002A677E" w:rsidRDefault="00CC7D2C" w:rsidP="00320EFD">
            <w:pPr>
              <w:pStyle w:val="InstructionsText"/>
              <w:numPr>
                <w:ilvl w:val="0"/>
                <w:numId w:val="26"/>
              </w:numPr>
              <w:rPr>
                <w:bCs/>
                <w:u w:val="single"/>
              </w:rPr>
            </w:pPr>
            <w:r>
              <w:t>atitinkamais atvejais P2R koeficiento, nurodyto 0190 eilutės ii punkte, dalis, kuri, kompetentingos institucijos reikalavimu, laikytina CET1 kapitalo forma. P2G įtraukiamas tik tuo atveju, jei kompetentinga institucija yra jį pateikusi įstaigai.</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t>Jei kompetentinga institucija nėra pateikusi P2G, nurodomas tik i punktas.</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ir P2G: sudarytini iš 1 lygio kapitalo </w:t>
            </w:r>
          </w:p>
          <w:p w14:paraId="4156D090" w14:textId="77777777" w:rsidR="00CC7D2C" w:rsidRPr="002A677E" w:rsidRDefault="00CC7D2C" w:rsidP="00320EFD">
            <w:pPr>
              <w:pStyle w:val="InstructionsText"/>
            </w:pPr>
            <w:r>
              <w:t>Toliau nurodytų i ir ii punktų suma:</w:t>
            </w:r>
          </w:p>
          <w:p w14:paraId="3A8C0BF0" w14:textId="77777777" w:rsidR="00CC7D2C" w:rsidRPr="002A677E" w:rsidRDefault="00CC7D2C" w:rsidP="00320EFD">
            <w:pPr>
              <w:pStyle w:val="InstructionsText"/>
              <w:numPr>
                <w:ilvl w:val="0"/>
                <w:numId w:val="27"/>
              </w:numPr>
            </w:pPr>
            <w:r>
              <w:lastRenderedPageBreak/>
              <w:t>OCR koeficientas, sudarytinas iš 1 lygio kapitalo, nurodytas 0180 eilutėje;</w:t>
            </w:r>
          </w:p>
          <w:p w14:paraId="29B2D80C" w14:textId="77777777" w:rsidR="00CC7D2C" w:rsidRPr="002A677E" w:rsidRDefault="00CC7D2C" w:rsidP="00320EFD">
            <w:pPr>
              <w:pStyle w:val="InstructionsText"/>
              <w:numPr>
                <w:ilvl w:val="0"/>
                <w:numId w:val="27"/>
              </w:numPr>
            </w:pPr>
            <w:r>
              <w:t>atitinkamais atvejais P2R koeficiento, nurodyto 0190 eilutės ii punkte, dalis, kuri, kompetentingos institucijos reikalavimu, laikytina 1 lygio kapitalo forma. P2G įtraukiamas tik tuo atveju, jei kompetentinga institucija yra jį pateikusi įstaigai.</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Jei kompetentinga institucija nėra pateikusi P2G, nurodomas tik i punktas.</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lastRenderedPageBreak/>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CET1 kapitalo perviršis (+) / deficitas (−), atsižvelgus į Reglamento (ES) Nr. 575/2013 92 straipsnio ir Direktyvos 2013/36/ES 104a straipsnio reikalavimus</w:t>
            </w:r>
          </w:p>
          <w:p w14:paraId="372BA67A" w14:textId="77777777" w:rsidR="00CC7D2C" w:rsidRPr="002A677E" w:rsidRDefault="00CC7D2C" w:rsidP="00320EFD">
            <w:pPr>
              <w:pStyle w:val="InstructionsText"/>
            </w:pPr>
            <w:r>
              <w:t>Šiame straipsnyje parodomas absoliutusis CET1 kapitalo perviršio arba deficito dydis pagal Reglamento (ES) Nr. 575/2013 92 straipsnio 1 dalies a punkte nustatytą reikalavimą (4,5 %) ir Direktyvos 2013/36/ES 104a straipsnyje nustatytą reikalavimą (išskyrus papildomų nuosavų lėšų reikalavimus pernelyg didelio sverto rizikai pagal to straipsnio 3 dalį), jeigu tos direktyvos 104a straipsnio reikalavimo turi būti laikomasi naudojant CET1 kapitalą. Jeigu įstaiga turi naudoti savo CET1 kapitalą, kad laikytųsi savo reikalavimų pagal Reglamento (ES) Nr. 575/2013 92 straipsnio 1 dalies b ir (arba) c punktą ir (arba) reikalavimo pagal Direktyvos 2013/36/ES 104a straipsnį didesniu mastu, nei reikia, kad pastarojo būtų laikomasi naudojant CET1 kapitalą, pranešant apie perviršį ar deficitą į tai atsižvelgiama.</w:t>
            </w:r>
          </w:p>
          <w:p w14:paraId="209E5975" w14:textId="77777777" w:rsidR="00CC7D2C" w:rsidRPr="002A677E" w:rsidRDefault="00CC7D2C" w:rsidP="00320EFD">
            <w:pPr>
              <w:pStyle w:val="InstructionsText"/>
              <w:rPr>
                <w:rStyle w:val="InstructionsTabelleberschrift"/>
                <w:rFonts w:ascii="Times New Roman" w:hAnsi="Times New Roman"/>
                <w:sz w:val="24"/>
              </w:rPr>
            </w:pPr>
            <w:r>
              <w:t xml:space="preserve">Ši suma atitinka turimą CET1 kapitalą jungtinio rezervo reikalavimui ir kitiems reikalavimams patenkinti. </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Visuminis CET1 kapitalo pakankamumo koeficientas </w:t>
            </w:r>
          </w:p>
          <w:p w14:paraId="2949E777" w14:textId="77777777" w:rsidR="00CC7D2C" w:rsidRPr="009A3DD3" w:rsidRDefault="00CC7D2C" w:rsidP="00822842">
            <w:pPr>
              <w:rPr>
                <w:rFonts w:ascii="Times New Roman" w:hAnsi="Times New Roman"/>
                <w:sz w:val="24"/>
              </w:rPr>
            </w:pPr>
            <w:r>
              <w:rPr>
                <w:rFonts w:ascii="Times New Roman" w:hAnsi="Times New Roman"/>
                <w:sz w:val="24"/>
              </w:rPr>
              <w:t>Reglamento (ES) Nr. 575/2013 92 straipsnio 2 dalies a punktas, netaikant to reglamento 465 straipsnio</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Visuminis T1 kapitalo pakankamumo koeficientas </w:t>
            </w:r>
          </w:p>
          <w:p w14:paraId="39EB4D1F" w14:textId="77777777" w:rsidR="00CC7D2C" w:rsidRPr="009A3DD3" w:rsidRDefault="00CC7D2C" w:rsidP="00822842">
            <w:pPr>
              <w:rPr>
                <w:rFonts w:ascii="Times New Roman" w:hAnsi="Times New Roman"/>
                <w:sz w:val="24"/>
              </w:rPr>
            </w:pPr>
            <w:r>
              <w:rPr>
                <w:rFonts w:ascii="Times New Roman" w:hAnsi="Times New Roman"/>
                <w:sz w:val="24"/>
              </w:rPr>
              <w:t>Reglamento (ES) Nr. 575/2013 92 straipsnio 2 dalies b punktas, netaikant to reglamento 465 straipsnio</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Visuminis bendras kapitalo pakankamumo koeficientas </w:t>
            </w:r>
          </w:p>
          <w:p w14:paraId="45149E78" w14:textId="77777777" w:rsidR="00CC7D2C" w:rsidRPr="009A3DD3" w:rsidRDefault="00CC7D2C" w:rsidP="00822842">
            <w:pPr>
              <w:rPr>
                <w:rFonts w:ascii="Times New Roman" w:hAnsi="Times New Roman"/>
                <w:sz w:val="24"/>
              </w:rPr>
            </w:pPr>
            <w:r>
              <w:rPr>
                <w:rFonts w:ascii="Times New Roman" w:hAnsi="Times New Roman"/>
                <w:sz w:val="24"/>
              </w:rPr>
              <w:t>Reglamento (ES) Nr. 575/2013 92 straipsnio 2 dalies c punktas, netaikant to reglamento 465 straipsnio</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CET1 kapitalo pakankamumo koeficientas nepritaikius pereinamojo laikotarpio nuostatų dėl rezultatų apatinės ribos S-TREA vertės (Reglamento (ES) Nr. 575/2013 465 straipsnio 3, 4, 5 ir 7 dalys)</w:t>
            </w:r>
          </w:p>
          <w:p w14:paraId="0881DD8C" w14:textId="551C71D4" w:rsidR="00CC7D2C" w:rsidRPr="009A3DD3" w:rsidRDefault="00CC7D2C" w:rsidP="00822842">
            <w:pPr>
              <w:rPr>
                <w:rFonts w:ascii="Times New Roman" w:hAnsi="Times New Roman"/>
                <w:sz w:val="24"/>
              </w:rPr>
            </w:pPr>
            <w:r>
              <w:rPr>
                <w:rFonts w:ascii="Times New Roman" w:hAnsi="Times New Roman"/>
                <w:sz w:val="24"/>
              </w:rPr>
              <w:t>Reglamento (ES) Nr. 575/2013 92 straipsnio 2 dalies a punktas, netaikant to reglamento 465 straipsnio 3, 4, 5 ir 7 dalių</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T1 kapitalo pakankamumo koeficientas nepritaikius pereinamojo laikotarpio nuostatų dėl rezultatų apatinės ribos S-TREA vertės (Reglamento (ES) Nr. 575/2013 465 straipsnio 3, 4, 5 ir 7 dalys)</w:t>
            </w:r>
          </w:p>
          <w:p w14:paraId="33AE485B" w14:textId="77A464ED" w:rsidR="00CC7D2C" w:rsidRPr="009A3DD3" w:rsidRDefault="00CC7D2C" w:rsidP="00822842">
            <w:pPr>
              <w:rPr>
                <w:rFonts w:ascii="Times New Roman" w:hAnsi="Times New Roman"/>
                <w:sz w:val="24"/>
              </w:rPr>
            </w:pPr>
            <w:r>
              <w:rPr>
                <w:rFonts w:ascii="Times New Roman" w:hAnsi="Times New Roman"/>
                <w:sz w:val="24"/>
              </w:rPr>
              <w:lastRenderedPageBreak/>
              <w:t>Reglamento (ES) Nr. 575/2013 92 straipsnio 2 dalies b punktas, netaikant to reglamento 465 straipsnio 3, 4, 5 ir 7 dalių</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lastRenderedPageBreak/>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Bendras kapitalo pakankamumo koeficientas nepritaikius pereinamojo laikotarpio nuostatų dėl rezultatų apatinės ribos S-TREA vertės (Reglamento (ES) Nr. 575/2013 465 straipsnio 3, 4, 5 ir 7 dalys)</w:t>
            </w:r>
          </w:p>
          <w:p w14:paraId="116A4C8A" w14:textId="03344BD5" w:rsidR="00CC7D2C" w:rsidRPr="009A3DD3" w:rsidRDefault="00CC7D2C" w:rsidP="00822842">
            <w:pPr>
              <w:rPr>
                <w:rFonts w:ascii="Times New Roman" w:hAnsi="Times New Roman"/>
                <w:sz w:val="24"/>
              </w:rPr>
            </w:pPr>
            <w:r>
              <w:rPr>
                <w:rFonts w:ascii="Times New Roman" w:hAnsi="Times New Roman"/>
                <w:sz w:val="24"/>
              </w:rPr>
              <w:t>Reglamento (ES) Nr. 575/2013 92 straipsnio 2 dalies c punktas, netaikant to reglamento 465 straipsnio 3, 4, 5 ir 7 dalių</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rPr>
          <w:u w:val="none"/>
        </w:rPr>
        <w:tab/>
      </w:r>
      <w:r>
        <w:t>C 04.00. PAPILDOMI STRAIPSNIAI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rPr>
          <w:u w:val="none"/>
        </w:rPr>
        <w:tab/>
      </w:r>
      <w:r>
        <w:t>Nurodymai dėl konkrečių</w:t>
      </w:r>
      <w:bookmarkEnd w:id="41"/>
      <w:bookmarkEnd w:id="42"/>
      <w:r>
        <w:t xml:space="preserve"> pozicijų</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Eilutės</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Bendra atidėtųjų mokesčių turto suma</w:t>
            </w:r>
          </w:p>
          <w:p w14:paraId="245EEDA1" w14:textId="77777777" w:rsidR="00CC7D2C" w:rsidRPr="002A677E" w:rsidRDefault="00CC7D2C" w:rsidP="00320EFD">
            <w:pPr>
              <w:pStyle w:val="InstructionsText"/>
            </w:pPr>
            <w:r>
              <w:t>Šiame straipsnyje nurodoma suma yra lygi naujausiame patikrintame ar audituotame balanse įrašytai sumai.</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Atidėtųjų mokesčių turtas, kuris nepriklauso nuo būsimo pelningumo</w:t>
            </w:r>
          </w:p>
          <w:p w14:paraId="119E6584" w14:textId="77777777" w:rsidR="00CC7D2C" w:rsidRPr="002A677E" w:rsidRDefault="00CC7D2C" w:rsidP="00320EFD">
            <w:pPr>
              <w:pStyle w:val="InstructionsText"/>
            </w:pPr>
            <w:r>
              <w:t>Reglamento (ES) Nr. 575/2013 39 straipsnio 2 dalis</w:t>
            </w:r>
          </w:p>
          <w:p w14:paraId="04A932CD" w14:textId="77777777" w:rsidR="00CC7D2C" w:rsidRPr="002A677E" w:rsidRDefault="00CC7D2C" w:rsidP="00320EFD">
            <w:pPr>
              <w:pStyle w:val="InstructionsText"/>
            </w:pPr>
            <w:r>
              <w:t>Atidėtųjų mokesčių turtas, kuris buvo sukurtas anksčiau nei 2016 m. lapkričio 23 d. ir nepriklauso nuo būsimo pelningumo, todėl jam yra taikomas rizikos koeficientas.</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Atidėtųjų mokesčių turtas, kuris priklauso nuo būsimo pelningumo ir susidaro ne dėl laikinųjų skirtumų</w:t>
            </w:r>
          </w:p>
          <w:p w14:paraId="477958DE" w14:textId="77777777" w:rsidR="00CC7D2C" w:rsidRPr="002A677E" w:rsidRDefault="00CC7D2C" w:rsidP="00320EFD">
            <w:pPr>
              <w:pStyle w:val="InstructionsText"/>
            </w:pPr>
            <w:r>
              <w:t>Reglamento (ES) Nr. 575/2013 36 straipsnio 1 dalies c punktas ir 38 straipsnis</w:t>
            </w:r>
          </w:p>
          <w:p w14:paraId="155315E4" w14:textId="77777777" w:rsidR="00CC7D2C" w:rsidRPr="002A677E" w:rsidRDefault="00CC7D2C" w:rsidP="00320EFD">
            <w:pPr>
              <w:pStyle w:val="InstructionsText"/>
            </w:pPr>
            <w:r>
              <w:t>Atidėtųjų mokesčių turtas, kuris priklauso nuo būsimo pelningumo, bet susidaro ne dėl laikinųjų skirtumų, todėl jam netaikomos jokios ribos (t. y. jis visas atskaitomas iš CET1).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Atidėtųjų mokesčių turtas, kuris priklauso nuo būsimo pelningumo ir susidaro dėl laikinųjų skirtumų</w:t>
            </w:r>
          </w:p>
          <w:p w14:paraId="084F3ACD" w14:textId="77777777" w:rsidR="00CC7D2C" w:rsidRPr="002A677E" w:rsidRDefault="00CC7D2C" w:rsidP="00320EFD">
            <w:pPr>
              <w:pStyle w:val="InstructionsText"/>
            </w:pPr>
            <w:r>
              <w:t>Reglamento (ES) Nr. 575/2013 36 straipsnio 1 dalies c punktas, 38 straipsnis ir 48 straipsnio 1 dalies a punktas</w:t>
            </w:r>
          </w:p>
          <w:p w14:paraId="628F7B8D" w14:textId="77777777" w:rsidR="00CC7D2C" w:rsidRPr="002A677E" w:rsidRDefault="00CC7D2C" w:rsidP="00320EFD">
            <w:pPr>
              <w:pStyle w:val="InstructionsText"/>
            </w:pPr>
            <w:r>
              <w:t>Atidėtųjų mokesčių turtas, kuris priklauso nuo būsimo pelningumo ir susidaro dėl laikinųjų skirtumų, todėl iš CET1 jis atskaitomas laikantis 10 % ir 17,65 % ribos pagal Reglamento (ES) Nr. 575/2013 48 straipsnį.</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Bendra atidėtųjų mokesčių įsipareigojimų suma</w:t>
            </w:r>
          </w:p>
          <w:p w14:paraId="7EEBFB46" w14:textId="77777777" w:rsidR="00CC7D2C" w:rsidRPr="002A677E" w:rsidRDefault="00CC7D2C" w:rsidP="00320EFD">
            <w:pPr>
              <w:pStyle w:val="InstructionsText"/>
            </w:pPr>
            <w:r>
              <w:t>Šiame straipsnyje nurodoma suma yra lygi naujausiame patikrintame ar audituotame balanse įrašytai sumai.</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lastRenderedPageBreak/>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Atidėtųjų mokesčių įsipareigojimai, kurie nėra atskaitomi iš atidėtųjų mokesčių turto, kuris priklauso nuo būsimo pelningumo</w:t>
            </w:r>
          </w:p>
          <w:p w14:paraId="03F91C81" w14:textId="77777777" w:rsidR="00CC7D2C" w:rsidRPr="002A677E" w:rsidRDefault="00CC7D2C" w:rsidP="00320EFD">
            <w:pPr>
              <w:pStyle w:val="InstructionsText"/>
            </w:pPr>
            <w:r>
              <w:t>Reglamento (ES) Nr. 575/2013 38 straipsnio 3 ir 4 dalys</w:t>
            </w:r>
          </w:p>
          <w:p w14:paraId="06C72D86" w14:textId="77777777" w:rsidR="00CC7D2C" w:rsidRPr="002A677E" w:rsidRDefault="00CC7D2C" w:rsidP="00320EFD">
            <w:pPr>
              <w:pStyle w:val="InstructionsText"/>
            </w:pPr>
            <w:r>
              <w:t>Atidėtųjų mokesčių įsipareigojimai, kai nėra įvykdytos Reglamento (ES) Nr. 575/2013 38 straipsnio 3 ir 4 dalių sąlygos. Taigi į šį straipsnį įtraukiami atidėtųjų mokesčių įsipareigojimai, kuriais mažinama reikalaujama atskaityti prestižo, kito nematerialiojo turto arba nustatytų išmokų pensijų fondo turto suma ir kurie atitinkamai yra nurodyti CA1 formos 1.1.1.10.3, 1.1.1.11.2 ir 1.1.1.14.2 straipsniuose.</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Atidėtųjų mokesčių įsipareigojimai, kurie yra atskaitomi iš atidėtųjų mokesčių turto, kuris priklauso nuo būsimo pelningumo</w:t>
            </w:r>
          </w:p>
          <w:p w14:paraId="52387C25" w14:textId="77777777" w:rsidR="00CC7D2C" w:rsidRPr="002A677E" w:rsidRDefault="00CC7D2C" w:rsidP="00320EFD">
            <w:pPr>
              <w:pStyle w:val="InstructionsText"/>
            </w:pPr>
            <w:r>
              <w:t>Reglamento (ES) Nr. 575/2013 38 straipsnis</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Atskaitomi atidėtųjų mokesčių įsipareigojimai, susiję su atidėtųjų mokesčių turtu, kuris priklauso nuo būsimo pelningumo ir susidaro ne dėl laikinųjų skirtumų</w:t>
            </w:r>
          </w:p>
          <w:p w14:paraId="57B5679C" w14:textId="77777777" w:rsidR="00CC7D2C" w:rsidRPr="002A677E" w:rsidRDefault="00CC7D2C" w:rsidP="00320EFD">
            <w:pPr>
              <w:pStyle w:val="InstructionsText"/>
            </w:pPr>
            <w:r>
              <w:t>Reglamento (ES) Nr. 575/2013 38 straipsnio 3, 4 ir 5 dalys</w:t>
            </w:r>
          </w:p>
          <w:p w14:paraId="6554BBC3" w14:textId="77777777" w:rsidR="00CC7D2C" w:rsidRPr="002A677E" w:rsidRDefault="00CC7D2C" w:rsidP="00320EFD">
            <w:pPr>
              <w:pStyle w:val="InstructionsText"/>
            </w:pPr>
            <w:r>
              <w:t>Atidėtųjų mokesčių įsipareigojimai, kuriais gali būti mažinamas atidėtųjų mokesčių turtas, kuris priklauso nuo būsimo pelningumo, pagal Reglamento (ES) Nr. 575/2013 38 straipsnio 3 ir 4 dalis ir kurie nėra priskiriami prie atidėtųjų mokesčių turto, kuris priklauso nuo būsimo pelningumo ir susidaro dėl laikinųjų skirtumų, kaip nustatyta Reglamento (ES) Nr. 575/2013 38 straipsnio 5 dalyje.</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Atskaitomi atidėtųjų mokesčių įsipareigojimai, susiję su atidėtųjų mokesčių turtu, kuris priklauso nuo būsimo pelningumo ir susidaro dėl laikinųjų skirtumų</w:t>
            </w:r>
          </w:p>
          <w:p w14:paraId="5386BFFB" w14:textId="77777777" w:rsidR="00CC7D2C" w:rsidRPr="002A677E" w:rsidRDefault="00CC7D2C" w:rsidP="00320EFD">
            <w:pPr>
              <w:pStyle w:val="InstructionsText"/>
            </w:pPr>
            <w:r>
              <w:t>Reglamento (ES) Nr. 575/2013 38 straipsnio 3, 4 ir 5 dalys</w:t>
            </w:r>
          </w:p>
          <w:p w14:paraId="737FD646" w14:textId="77777777" w:rsidR="00CC7D2C" w:rsidRPr="002A677E" w:rsidRDefault="00CC7D2C" w:rsidP="00320EFD">
            <w:pPr>
              <w:pStyle w:val="InstructionsText"/>
            </w:pPr>
            <w:r>
              <w:t>Atidėtųjų mokesčių įsipareigojimai, kuriais gali būti mažinamas atidėtųjų mokesčių turtas, kuris priklauso nuo būsimo pelningumo, pagal Reglamento (ES) Nr. 575/2013 38 straipsnio 3 ir 4 dalis ir kurie yra priskiriami prie atidėtųjų mokesčių turto, kuris priklauso nuo būsimo pelningumo ir susidaro dėl laikinųjų skirtumų, kaip nustatyta Reglamento (ES) Nr. 575/2013 38 straipsnio 5 dalyje.</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 xml:space="preserve">2A. </w:t>
            </w:r>
            <w:r>
              <w:rPr>
                <w:rStyle w:val="InstructionsTabelleberschrift"/>
                <w:rFonts w:ascii="Times New Roman" w:hAnsi="Times New Roman"/>
                <w:sz w:val="24"/>
              </w:rPr>
              <w:tab/>
              <w:t>Mokesčių permokos ir perkelti mokestiniai nuostoliai</w:t>
            </w:r>
          </w:p>
          <w:p w14:paraId="64C3A725" w14:textId="77777777" w:rsidR="00CC7D2C" w:rsidRPr="002A677E" w:rsidRDefault="00CC7D2C" w:rsidP="00320EFD">
            <w:pPr>
              <w:pStyle w:val="InstructionsText"/>
            </w:pPr>
            <w:r>
              <w:t>Reglamento (ES) Nr. 575/2013 39 straipsnio 1 dalis</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Mokesčių permokų ir mokestinių nuostolių suma, neatskaitoma iš nuosavų lėšų pagal Reglamento (ES) Nr. 575/2013 39 straipsnio 1 dalį; nurodoma suma atitinka sumą prieš taikant rizikos koeficientus.</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lastRenderedPageBreak/>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 xml:space="preserve">2B. </w:t>
            </w:r>
            <w:r>
              <w:rPr>
                <w:rStyle w:val="InstructionsTabelleberschrift"/>
                <w:rFonts w:ascii="Times New Roman" w:hAnsi="Times New Roman"/>
                <w:sz w:val="24"/>
              </w:rPr>
              <w:tab/>
              <w:t>Atidėtųjų mokesčių turtas, kuriam taikomas 250 % rizikos koeficientas</w:t>
            </w:r>
          </w:p>
          <w:p w14:paraId="34D369D6" w14:textId="77777777" w:rsidR="00CC7D2C" w:rsidRPr="002A677E" w:rsidRDefault="00CC7D2C" w:rsidP="00320EFD">
            <w:pPr>
              <w:pStyle w:val="InstructionsText"/>
            </w:pPr>
            <w:r>
              <w:t>Reglamento (ES) Nr. 575/2013 48 straipsnio 4 dalis</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t>Atidėtųjų mokesčių turtas, kuris priklauso nuo būsimo pelningumo ir susidaro dėl laikinųjų skirtumų ir kuris nėra atskaitomas pagal Reglamento (ES) Nr. 575/2013 48 straipsnio 1 dalį, bet jam pagal to reglamento 48 straipsnio 4 dalį taikomas 250 % rizikos koeficientas, atsižvelgiant į to paties reglamento 470 straipsnio ir 478 straipsnio 2 dalies poveikį. Nurodoma suma atitinka atidėtųjų mokesčių turto sumą prieš taikant rizikos koeficientą.</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Atidėtųjų mokesčių turtas, kuriam taikomas 0 % rizikos koeficientas</w:t>
            </w:r>
          </w:p>
          <w:p w14:paraId="4E521C1C" w14:textId="77777777" w:rsidR="00CC7D2C" w:rsidRPr="002A677E" w:rsidRDefault="00CC7D2C" w:rsidP="00320EFD">
            <w:pPr>
              <w:pStyle w:val="InstructionsText"/>
            </w:pPr>
            <w:r>
              <w:t>Reglamento (ES) Nr. 575/2013 469 straipsnio 1 dalies d punktas, 470 straipsnis, 472 straipsnio 5 dalis ir 478 straipsnis</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t>Atidėtųjų mokesčių turtas, kuris priklauso nuo būsimo pelningumo ir susidaro dėl laikinųjų skirtumų ir kuris nėra atskaitomas pagal Reglamento (ES) Nr. 575/2013 469 straipsnio 1 dalies d punktą, 470 straipsnį ir 478 straipsnio 2 dalį, tačiau jam pagal to reglamento 472 straipsnio 5 dalį taikomas 0 % rizikos koeficientas. Nurodoma suma atitinka atidėtųjų mokesčių turto sumą prieš taikant rizikos koeficientą.</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Programinė įranga kaip turtas, apskaitoma kaip nematerialusis turtas, kurios leidžiama neatskaityti iš CET1 straipsnių</w:t>
            </w:r>
          </w:p>
          <w:p w14:paraId="5C8FA893" w14:textId="77777777" w:rsidR="00CC7D2C" w:rsidRPr="002A677E" w:rsidRDefault="00CC7D2C" w:rsidP="00320EFD">
            <w:pPr>
              <w:pStyle w:val="InstructionsText"/>
            </w:pPr>
            <w:r>
              <w:t>Reglamento (ES) Nr. 575/2013 36 straipsnio 1 dalies b punktas</w:t>
            </w:r>
          </w:p>
          <w:p w14:paraId="0E43062B" w14:textId="77777777" w:rsidR="00CC7D2C" w:rsidRPr="002A677E" w:rsidRDefault="00CC7D2C" w:rsidP="00320EFD">
            <w:pPr>
              <w:pStyle w:val="InstructionsText"/>
              <w:rPr>
                <w:rStyle w:val="InstructionsTabelleberschrift"/>
                <w:rFonts w:ascii="Times New Roman" w:hAnsi="Times New Roman"/>
                <w:sz w:val="24"/>
              </w:rPr>
            </w:pPr>
            <w:r>
              <w:t>Įstaigos nurodo apdairiai vertinamos programinės įrangos kaip turto sumą, kurios leidžiama neatskaityti iš CET1 straipsnių pagal Deleguotojo reglamento (ES) Nr. 241/2014 13a straipsnį.</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AT1 Kapitalo priemonės ir susiję akcijų priedai, pagal taikomus apskaitos standartus priskiriami prie nuosavo kapitalo</w:t>
            </w:r>
          </w:p>
          <w:p w14:paraId="461168E6" w14:textId="77777777" w:rsidR="00CC7D2C" w:rsidRPr="002A677E" w:rsidRDefault="00CC7D2C" w:rsidP="00320EFD">
            <w:pPr>
              <w:pStyle w:val="InstructionsText"/>
              <w:rPr>
                <w:rStyle w:val="InstructionsTabelleberschrift"/>
                <w:rFonts w:ascii="Times New Roman" w:hAnsi="Times New Roman"/>
                <w:sz w:val="24"/>
              </w:rPr>
            </w:pPr>
            <w:r>
              <w:t xml:space="preserve">AT1 priemonių, įskaitant susijusius akcijų priedus, pagal taikomą apskaitos standartą priskiriamų prie nuosavo kapitalo, suma. </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AT1 Kapitalo priemonės ir susiję akcijų priedai, pagal taikomus apskaitos standartus priskiriami prie įsipareigojimų</w:t>
            </w:r>
          </w:p>
          <w:p w14:paraId="7B3EED9F" w14:textId="77777777" w:rsidR="00CC7D2C" w:rsidRPr="002A677E" w:rsidRDefault="00CC7D2C" w:rsidP="00320EFD">
            <w:pPr>
              <w:pStyle w:val="InstructionsText"/>
              <w:rPr>
                <w:rStyle w:val="InstructionsTabelleberschrift"/>
                <w:rFonts w:ascii="Times New Roman" w:hAnsi="Times New Roman"/>
                <w:sz w:val="24"/>
              </w:rPr>
            </w:pPr>
            <w:r>
              <w:t xml:space="preserve">AT1 priemonių, įskaitant susijusius akcijų priedus, pagal taikomą apskaitos standartą priskiriamų prie įsipareigojimų, suma. </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Kredito rizikos koregavimų, papildomų vertės koregavimų ir kitų nuosavų lėšų sumažinimų pagal IRB metodą perviršis (+) arba trūkumas (–), atsižvelgiant į tikėtinus nuostolius pagal pozicijas, kurių atžvilgiu nėra įsipareigojimų neįvykdymo atvejų</w:t>
            </w:r>
          </w:p>
          <w:p w14:paraId="281DFA69" w14:textId="77777777" w:rsidR="00CC7D2C" w:rsidRPr="002A677E" w:rsidRDefault="00CC7D2C" w:rsidP="00320EFD">
            <w:pPr>
              <w:pStyle w:val="InstructionsText"/>
            </w:pPr>
            <w:r>
              <w:lastRenderedPageBreak/>
              <w:t>Reglamento (ES) Nr. 575/2013 36 straipsnio 1 dalies d punktas, 62 straipsnio d punktas ir 158 ir 159 straipsniai</w:t>
            </w:r>
          </w:p>
          <w:p w14:paraId="211C61EB" w14:textId="77777777" w:rsidR="00CC7D2C" w:rsidRPr="002A677E" w:rsidRDefault="00CC7D2C" w:rsidP="00320EFD">
            <w:pPr>
              <w:pStyle w:val="InstructionsText"/>
            </w:pPr>
            <w:r>
              <w:t>Šį straipsnį pildo tik IRB metodą taikančios įstaigos.</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lastRenderedPageBreak/>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Bendra kredito rizikos koregavimų, papildomų vertės koregavimų ir kitų nuosavų lėšų sumažinimų suma, į kurią galima atsižvelgti apskaičiuojant tikėtinų nuostolių sumą</w:t>
            </w:r>
          </w:p>
          <w:p w14:paraId="1AF7728C" w14:textId="77777777" w:rsidR="00CC7D2C" w:rsidRPr="002A677E" w:rsidRDefault="00CC7D2C" w:rsidP="00320EFD">
            <w:pPr>
              <w:pStyle w:val="InstructionsText"/>
            </w:pPr>
            <w:r>
              <w:t>Reglamento (ES) Nr. 575/2013 159 straipsnis</w:t>
            </w:r>
          </w:p>
          <w:p w14:paraId="21F21DE2" w14:textId="77777777" w:rsidR="00CC7D2C" w:rsidRPr="002A677E" w:rsidRDefault="00CC7D2C" w:rsidP="00320EFD">
            <w:pPr>
              <w:pStyle w:val="InstructionsText"/>
            </w:pPr>
            <w:r>
              <w:t>Šį straipsnį pildo tik IRB metodą taikančios įstaigos.</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Bendrosios kredito rizikos koregavimai</w:t>
            </w:r>
          </w:p>
          <w:p w14:paraId="6F03085D" w14:textId="77777777" w:rsidR="00CC7D2C" w:rsidRPr="002A677E" w:rsidRDefault="00CC7D2C" w:rsidP="00320EFD">
            <w:pPr>
              <w:pStyle w:val="InstructionsText"/>
            </w:pPr>
            <w:r>
              <w:t>Reglamento (ES) Nr. 575/2013 159 straipsnis</w:t>
            </w:r>
          </w:p>
          <w:p w14:paraId="6264BB70" w14:textId="77777777" w:rsidR="00CC7D2C" w:rsidRPr="002A677E" w:rsidRDefault="00CC7D2C" w:rsidP="00320EFD">
            <w:pPr>
              <w:pStyle w:val="InstructionsText"/>
            </w:pPr>
            <w:r>
              <w:t>Šį straipsnį pildo tik IRB metodą taikančios įstaigos.</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Specifinės kredito rizikos koregavimai</w:t>
            </w:r>
          </w:p>
          <w:p w14:paraId="66E78811" w14:textId="77777777" w:rsidR="00CC7D2C" w:rsidRPr="002A677E" w:rsidRDefault="00CC7D2C" w:rsidP="00320EFD">
            <w:pPr>
              <w:pStyle w:val="InstructionsText"/>
            </w:pPr>
            <w:r>
              <w:t>Reglamento (ES) Nr. 575/2013 159 straipsnis</w:t>
            </w:r>
          </w:p>
          <w:p w14:paraId="5B5BE89D" w14:textId="77777777" w:rsidR="00CC7D2C" w:rsidRPr="002A677E" w:rsidRDefault="00CC7D2C" w:rsidP="00320EFD">
            <w:pPr>
              <w:pStyle w:val="InstructionsText"/>
            </w:pPr>
            <w:r>
              <w:t>Šį straipsnį pildo tik IRB metodą taikančios įstaigos.</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Papildomi vertės koregavimai ir kiti nuosavų lėšų sumažinimai</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34, 110 ir 159 straipsniai</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Šį straipsnį pildo tik IRB metodą taikančios įstaigos.</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 xml:space="preserve">Bendra reikalavimus atitinkančių tikėtinų nuostolių suma </w:t>
            </w:r>
          </w:p>
          <w:p w14:paraId="4A89299A" w14:textId="77777777" w:rsidR="00CC7D2C" w:rsidRPr="002A677E" w:rsidRDefault="00CC7D2C" w:rsidP="00320EFD">
            <w:pPr>
              <w:pStyle w:val="InstructionsText"/>
            </w:pPr>
            <w:r>
              <w:t>Reglamento (ES) Nr. 575/2013 158 straipsnio 5, 6 ir 10 dalys ir 159 straipsnis</w:t>
            </w:r>
          </w:p>
          <w:p w14:paraId="0B0DDB08" w14:textId="77777777" w:rsidR="00CC7D2C" w:rsidRPr="002A677E" w:rsidRDefault="00CC7D2C" w:rsidP="00320EFD">
            <w:pPr>
              <w:pStyle w:val="InstructionsText"/>
            </w:pPr>
            <w:r>
              <w:t>Šį straipsnį pildo tik IRB metodą taikančios įstaigos. Nurodomi tik tikėtini nuostoliai, susiję pozicijomis, kurių atžvilgiu nėra įsipareigojimų neįvykdymo atvejų.</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Specifinės kredito rizikos koregavimų pagal IRB metodą perviršis (+) arba trūkumas (−), atsižvelgiant į tikėtinus nuostolius pagal pozicijas esant įsipareigojimų neįvykdymui</w:t>
            </w:r>
          </w:p>
          <w:p w14:paraId="2528CE63" w14:textId="77777777" w:rsidR="00CC7D2C" w:rsidRPr="002A677E" w:rsidRDefault="00CC7D2C" w:rsidP="00320EFD">
            <w:pPr>
              <w:pStyle w:val="InstructionsText"/>
            </w:pPr>
            <w:r>
              <w:t>Reglamento (ES) Nr. 575/2013 36 straipsnio 1 dalies d punktas, 62 straipsnio d punktas ir 158 ir 159 straipsniai</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Šį straipsnį pildo tik IRB metodą taikančios įstaigos.</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Specifinės kredito rizikos koregavimai ir panašiai vertinamos pozicijos</w:t>
            </w:r>
          </w:p>
          <w:p w14:paraId="1E7B4C7D" w14:textId="77777777" w:rsidR="00CC7D2C" w:rsidRPr="002A677E" w:rsidRDefault="00CC7D2C" w:rsidP="00320EFD">
            <w:pPr>
              <w:pStyle w:val="InstructionsText"/>
            </w:pPr>
            <w:r>
              <w:t>Reglamento (ES) Nr. 575/2013 159 straipsnis</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Šį straipsnį pildo tik IRB metodą taikančios įstaigos.</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Bendra reikalavimus atitinkančių tikėtinų nuostolių suma</w:t>
            </w:r>
          </w:p>
          <w:p w14:paraId="30E1E0B6" w14:textId="77777777" w:rsidR="00CC7D2C" w:rsidRPr="002A677E" w:rsidRDefault="00CC7D2C" w:rsidP="00320EFD">
            <w:pPr>
              <w:pStyle w:val="InstructionsText"/>
              <w:rPr>
                <w:rStyle w:val="InstructionsTabelleberschrift"/>
                <w:rFonts w:ascii="Times New Roman" w:hAnsi="Times New Roman"/>
                <w:sz w:val="24"/>
              </w:rPr>
            </w:pPr>
            <w:r>
              <w:t>Reglamento (ES) Nr. 575/2013 158 straipsnio 5, 6 ir 10 dalys ir 159 straipsnis</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Šį straipsnį pildo tik IRB metodą taikančios įstaigos. Nurodomi tik tikėtini nuostoliai, susiję su pozicijomis esant įsipareigojimų neįvykdymui.</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lastRenderedPageBreak/>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Pagal riziką įvertintų pozicijų sumos, skirtos T2 reikalavimus atitinkančio atidėjinio perviršio apribojimui apskaičiuoti</w:t>
            </w:r>
          </w:p>
          <w:p w14:paraId="563E7C9E" w14:textId="77777777" w:rsidR="00CC7D2C" w:rsidRPr="002A677E" w:rsidRDefault="00CC7D2C" w:rsidP="00320EFD">
            <w:pPr>
              <w:pStyle w:val="InstructionsText"/>
            </w:pPr>
            <w:r>
              <w:t>Reglamento (ES) Nr. 575/2013 62 straipsnio d punktas</w:t>
            </w:r>
          </w:p>
          <w:p w14:paraId="363FA5D2" w14:textId="77777777" w:rsidR="00CC7D2C" w:rsidRPr="002A677E" w:rsidRDefault="00CC7D2C" w:rsidP="00320EFD">
            <w:pPr>
              <w:pStyle w:val="InstructionsText"/>
            </w:pPr>
            <w:r>
              <w:t xml:space="preserve">IRB metodą taikančioms įstaigoms atidėjinių (tikėtiniems nuostoliams padengti) perviršio sumai, kurią galima įtraukti į 2 lygio kapitalą, taikomas apribojimas – 0,6 % pagal riziką įvertintų pozicijos sumų, apskaičiuotų pagal IRB metodą, </w:t>
            </w:r>
            <w:r>
              <w:rPr>
                <w:rStyle w:val="FormatvorlageInstructionsTabelleText"/>
                <w:rFonts w:ascii="Times New Roman" w:hAnsi="Times New Roman"/>
                <w:sz w:val="24"/>
              </w:rPr>
              <w:t>laikantis</w:t>
            </w:r>
            <w:r>
              <w:t xml:space="preserve"> Reglamento (ES) Nr. 575/2013 62 straipsnio d punkto.</w:t>
            </w:r>
          </w:p>
          <w:p w14:paraId="42C93CC2" w14:textId="77777777" w:rsidR="00CC7D2C" w:rsidRPr="002A677E" w:rsidRDefault="00CC7D2C" w:rsidP="00320EFD">
            <w:pPr>
              <w:pStyle w:val="InstructionsText"/>
            </w:pPr>
            <w:r>
              <w:t>Šiame straipsnyje nurodoma suma – pagal riziką įvertintų pozicijų sumos (t. y. nepadaugintos iš 0,6 %), kurios sudaro apribojimo apskaičiavimo pagrindą.</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Visa bendroji atidėjinių suma, kurią galima įtraukti į T2 kapitalą</w:t>
            </w:r>
          </w:p>
          <w:p w14:paraId="79DEE159" w14:textId="77777777" w:rsidR="00CC7D2C" w:rsidRPr="002A677E" w:rsidRDefault="00CC7D2C" w:rsidP="00320EFD">
            <w:pPr>
              <w:pStyle w:val="InstructionsText"/>
            </w:pPr>
            <w:r>
              <w:t>Reglamento (ES) Nr. 575/2013 62 straipsnio c punktas</w:t>
            </w:r>
          </w:p>
          <w:p w14:paraId="7677FF60" w14:textId="77777777" w:rsidR="00CC7D2C" w:rsidRPr="002A677E" w:rsidRDefault="00CC7D2C" w:rsidP="00320EFD">
            <w:pPr>
              <w:pStyle w:val="InstructionsText"/>
            </w:pPr>
            <w:r>
              <w:t>Į šį straipsnį įtraukiami bendrosios kredito rizikos koregavimai, kuriuos galima įtraukti į T2 kapitalą, prieš taikant apribojimą.</w:t>
            </w:r>
          </w:p>
          <w:p w14:paraId="748D0361" w14:textId="77777777" w:rsidR="00CC7D2C" w:rsidRPr="002A677E" w:rsidRDefault="00CC7D2C" w:rsidP="00320EFD">
            <w:pPr>
              <w:pStyle w:val="InstructionsText"/>
            </w:pPr>
            <w:r>
              <w:t>Suma nurodoma neatskaičius mokesčių.</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Pagal riziką įvertintų pozicijų sumos, skirtos T2 reikalavimus atitinkančio atidėjinio apribojimui apskaičiuoti</w:t>
            </w:r>
          </w:p>
          <w:p w14:paraId="345CC1D6" w14:textId="77777777" w:rsidR="00CC7D2C" w:rsidRPr="002A677E" w:rsidRDefault="00CC7D2C" w:rsidP="00320EFD">
            <w:pPr>
              <w:pStyle w:val="InstructionsText"/>
            </w:pPr>
            <w:r>
              <w:t>Reglamento (ES) Nr. 575/2013 62 straipsnio c punktas</w:t>
            </w:r>
          </w:p>
          <w:p w14:paraId="65850475" w14:textId="77777777" w:rsidR="00CC7D2C" w:rsidRPr="002A677E" w:rsidRDefault="00CC7D2C" w:rsidP="00320EFD">
            <w:pPr>
              <w:pStyle w:val="InstructionsText"/>
            </w:pPr>
            <w:r>
              <w:t>Pagal Reglamento (ES) Nr. 575/2013 62 straipsnio c punktą kredito rizikos koregavimams, kuriuos galima įtraukti į T2 kapitalą, taikomas apribojimas – 1,25 % pagal riziką įvertintų pozicijos sumų.</w:t>
            </w:r>
          </w:p>
          <w:p w14:paraId="3B08F4EA" w14:textId="77777777" w:rsidR="00CC7D2C" w:rsidRPr="002A677E" w:rsidRDefault="00CC7D2C" w:rsidP="00320EFD">
            <w:pPr>
              <w:pStyle w:val="InstructionsText"/>
            </w:pPr>
            <w:r>
              <w:t>Šiame straipsnyje nurodoma suma – pagal riziką įvertintų pozicijų sumos (t. y. nepadaugintos iš 1,25 %), kurios sudaro apribojimo apskaičiavimo pagrindą.</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Neatskaitomų turimų finansų sektoriaus subjektų, kuriuose įstaiga neturi reikšmingų investicijų, kapitalo dalių riba</w:t>
            </w:r>
          </w:p>
          <w:p w14:paraId="281FF318" w14:textId="77777777" w:rsidR="00CC7D2C" w:rsidRPr="002A677E" w:rsidRDefault="00CC7D2C" w:rsidP="00320EFD">
            <w:pPr>
              <w:pStyle w:val="InstructionsText"/>
            </w:pPr>
            <w:r>
              <w:t>Reglamento (ES) Nr. 575/2013 46 straipsnio 1 dalies a punktas</w:t>
            </w:r>
          </w:p>
          <w:p w14:paraId="6CBDA660" w14:textId="77777777" w:rsidR="00CC7D2C" w:rsidRPr="002A677E" w:rsidRDefault="00CC7D2C" w:rsidP="00320EFD">
            <w:pPr>
              <w:pStyle w:val="InstructionsText"/>
            </w:pPr>
            <w:r>
              <w:t>Šiame straipsnyje nurodoma riba, iki kurios turimos finansų sektoriaus subjektų, kuriuose įstaiga neturi reikšmingų investicijų, kapitalo dalys nėra atskaitomos. Ši suma gaunama sudėjus visus straipsnius, pagal kuriuos ši riba apskaičiuojama, ir gautą sumą padauginus iš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t xml:space="preserve">10 % CET1 riba </w:t>
            </w:r>
          </w:p>
          <w:p w14:paraId="59F6CAC3" w14:textId="77777777" w:rsidR="00CC7D2C" w:rsidRPr="002A677E" w:rsidRDefault="00CC7D2C" w:rsidP="00320EFD">
            <w:pPr>
              <w:pStyle w:val="InstructionsText"/>
            </w:pPr>
            <w:r>
              <w:t>Reglamento (ES) Nr. 575/2013 48 straipsnio 1 dalies a ir b punktai</w:t>
            </w:r>
          </w:p>
          <w:p w14:paraId="6BCD7ABF" w14:textId="77777777" w:rsidR="00CC7D2C" w:rsidRPr="002A677E" w:rsidRDefault="00CC7D2C" w:rsidP="00320EFD">
            <w:pPr>
              <w:pStyle w:val="InstructionsText"/>
            </w:pPr>
            <w:r>
              <w:lastRenderedPageBreak/>
              <w:t>Šiame straipsnyje nurodoma 10 % riba, taikoma turimoms finansų sektoriaus subjektų, kuriuose įstaiga turi reikšmingų investicijų, kapitalo dalims ir atidėtųjų mokesčių turtui, kuris priklauso nuo būsimo pelningumo ir susidaro dėl laikinųjų skirtumų.</w:t>
            </w:r>
          </w:p>
          <w:p w14:paraId="44EADE68" w14:textId="77777777" w:rsidR="00CC7D2C" w:rsidRPr="002A677E" w:rsidRDefault="00CC7D2C" w:rsidP="00320EFD">
            <w:pPr>
              <w:pStyle w:val="InstructionsText"/>
            </w:pPr>
            <w:r>
              <w:t>Ši suma gaunama sudėjus visus straipsnius, pagal kuriuos ši riba apskaičiuojama, ir gautą sumą padauginus iš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lastRenderedPageBreak/>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17,65 % CET1 riba </w:t>
            </w:r>
          </w:p>
          <w:p w14:paraId="742C492D" w14:textId="77777777" w:rsidR="00CC7D2C" w:rsidRPr="002A677E" w:rsidRDefault="00CC7D2C" w:rsidP="00320EFD">
            <w:pPr>
              <w:pStyle w:val="InstructionsText"/>
            </w:pPr>
            <w:r>
              <w:t>Reglamento (ES) Nr. 575/2013 48 straipsnio 1 dalis</w:t>
            </w:r>
          </w:p>
          <w:p w14:paraId="62003D54" w14:textId="77777777" w:rsidR="00CC7D2C" w:rsidRPr="002A677E" w:rsidRDefault="00CC7D2C" w:rsidP="00320EFD">
            <w:pPr>
              <w:pStyle w:val="InstructionsText"/>
            </w:pPr>
            <w:r>
              <w:t>Šiame straipsnyje nurodoma 17,65 % riba, taikoma turimoms finansų sektoriaus subjektų, kuriuose įstaiga turi reikšmingų investicijų, kapitalo dalims ir atidėtųjų mokesčių turtui, kuris priklauso nuo būsimo pelningumo ir susidaro dėl laikinųjų skirtumų, kuri turi būti taikoma pritaikius 10 % ribą.</w:t>
            </w:r>
          </w:p>
          <w:p w14:paraId="3E3DB4A1" w14:textId="77777777" w:rsidR="00CC7D2C" w:rsidRPr="002A677E" w:rsidRDefault="00CC7D2C" w:rsidP="00320EFD">
            <w:pPr>
              <w:pStyle w:val="InstructionsText"/>
            </w:pPr>
            <w:r>
              <w:t>Riba turi būti apskaičiuota taip, kad pripažįstama abiejų straipsnių suma neviršytų 15 % galutinio bendro 1 lygio nuosavo kapitalo, t. y. CET1 kapitalo, po visų atskaitymų, neįskaičiuojant koregavimų dėl pereinamojo laikotarpio nuostatų.</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Reikalavimus atitinkantis kapitalas nustatant kvalifikuotąją akcijų paketo dalį, turimą ne finansų sektoriuje</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Reglamento (ES) Nr. 575/2013 4 straipsnio 1 dalies 71 punkto a papunktis</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Turima finansų sektoriaus subjektų, kuriuose įstaiga neturi reikšmingų investicijų, CET1 kapitalo dalis atėmus trumpąsias pozicijas</w:t>
            </w:r>
          </w:p>
          <w:p w14:paraId="05E6C89B" w14:textId="77777777" w:rsidR="00CC7D2C" w:rsidRPr="002A677E" w:rsidRDefault="00CC7D2C" w:rsidP="00320EFD">
            <w:pPr>
              <w:pStyle w:val="InstructionsText"/>
            </w:pPr>
            <w:r>
              <w:t>Reglamento (ES) Nr. 575/2013 44, 45, 46 ir 49 straipsniai</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Tiesiogiai turima finansų sektoriaus subjektų, kuriuose įstaiga neturi reikšmingų investicijų, CET1 kapitalo dalis</w:t>
            </w:r>
          </w:p>
          <w:p w14:paraId="07F396F8" w14:textId="77777777" w:rsidR="00CC7D2C" w:rsidRPr="002A677E" w:rsidRDefault="00CC7D2C" w:rsidP="00320EFD">
            <w:pPr>
              <w:pStyle w:val="InstructionsText"/>
            </w:pPr>
            <w:r>
              <w:t>Reglamento (ES) Nr. 575/2013 44, 45, 46 ir 49 straipsniai</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Bendroji tiesiogiai turima finansų sektoriaus subjektų, kuriuose įstaiga neturi reikšmingų investicijų, CET1 kapitalo dalis</w:t>
            </w:r>
          </w:p>
          <w:p w14:paraId="35734353" w14:textId="77777777" w:rsidR="00CC7D2C" w:rsidRPr="002A677E" w:rsidRDefault="00CC7D2C" w:rsidP="00320EFD">
            <w:pPr>
              <w:pStyle w:val="InstructionsText"/>
            </w:pPr>
            <w:r>
              <w:t>Reglamento (ES) Nr. 575/2013 44, 46 ir 49 straipsniai</w:t>
            </w:r>
          </w:p>
          <w:p w14:paraId="21EA9B4D" w14:textId="77777777" w:rsidR="00CC7D2C" w:rsidRPr="002A677E" w:rsidRDefault="00CC7D2C" w:rsidP="00320EFD">
            <w:pPr>
              <w:pStyle w:val="InstructionsText"/>
            </w:pPr>
            <w:r>
              <w:t>Tiesiogiai turima finansų sektoriaus subjektų, kuriuose įstaiga neturi reikšmingų investicijų, CET1 kapitalo dalis, išskyrus:</w:t>
            </w:r>
          </w:p>
          <w:p w14:paraId="40548BC6" w14:textId="77777777" w:rsidR="00CC7D2C" w:rsidRPr="002A677E" w:rsidRDefault="00CC7D2C" w:rsidP="00320EFD">
            <w:pPr>
              <w:pStyle w:val="InstructionsText"/>
            </w:pPr>
            <w:r>
              <w:t>a)</w:t>
            </w:r>
            <w:r>
              <w:tab/>
              <w:t xml:space="preserve">5 darbo dienas arba trumpesnį laikotarpį turimas platinamas pozicijas; </w:t>
            </w:r>
          </w:p>
          <w:p w14:paraId="06830A9E" w14:textId="77777777" w:rsidR="00CC7D2C" w:rsidRPr="002A677E" w:rsidRDefault="00CC7D2C" w:rsidP="00320EFD">
            <w:pPr>
              <w:pStyle w:val="InstructionsText"/>
            </w:pPr>
            <w:r>
              <w:t>b)</w:t>
            </w:r>
            <w:r>
              <w:tab/>
              <w:t xml:space="preserve">sumas, susijusias su investicijomis, kurioms taikoma kuri nors iš 49 straipsnyje numatytų alternatyvų, ir </w:t>
            </w:r>
          </w:p>
          <w:p w14:paraId="6C3B0126" w14:textId="77777777" w:rsidR="00CC7D2C" w:rsidRPr="002A677E" w:rsidRDefault="00CC7D2C" w:rsidP="00320EFD">
            <w:pPr>
              <w:pStyle w:val="InstructionsText"/>
            </w:pPr>
            <w:r>
              <w:t>c)</w:t>
            </w:r>
            <w:r>
              <w:tab/>
              <w:t>kapitalo dalis, laikomas abipuse kryžmine kapitalo dalių nuosavybe pagal Reglamento (ES) Nr. 575/2013 36 straipsnio 1 dalies g punktą.</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lastRenderedPageBreak/>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Leidžiama trumpųjų pozicijų ir pirmiau nurodytų tiesiogiai turimų kapitalo dalių bendrosios sumos užskaita</w:t>
            </w:r>
          </w:p>
          <w:p w14:paraId="5C7CD820" w14:textId="77777777" w:rsidR="00CC7D2C" w:rsidRPr="002A677E" w:rsidRDefault="00CC7D2C" w:rsidP="00320EFD">
            <w:pPr>
              <w:pStyle w:val="InstructionsText"/>
            </w:pPr>
            <w:r>
              <w:t>Reglamento (ES) Nr. 575/2013 45 straipsnis</w:t>
            </w:r>
          </w:p>
          <w:p w14:paraId="3C7C2B7A" w14:textId="77777777" w:rsidR="00CC7D2C" w:rsidRPr="002A677E" w:rsidRDefault="00CC7D2C" w:rsidP="00320EFD">
            <w:pPr>
              <w:pStyle w:val="InstructionsText"/>
            </w:pPr>
            <w:r>
              <w:t>Pagal Reglamento (ES) Nr. 575/2013 45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Netiesiogiai turima finansų sektoriaus subjektų, kuriuose įstaiga neturi reikšmingų investicijų, CET1 kapitalo dalis</w:t>
            </w:r>
          </w:p>
          <w:p w14:paraId="5B60A6DB" w14:textId="77777777" w:rsidR="00CC7D2C" w:rsidRPr="002A677E" w:rsidRDefault="00CC7D2C" w:rsidP="00320EFD">
            <w:pPr>
              <w:pStyle w:val="InstructionsText"/>
            </w:pPr>
            <w:r>
              <w:t>Reglamento (ES) Nr. 575/2013 4 straipsnio 1 dalies 114 punktas ir 44 bei 45 straipsniai</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Bendroji netiesiogiai turima finansų sektoriaus subjektų, kuriuose įstaiga neturi reikšmingų investicijų, CET1 kapitalo dalis</w:t>
            </w:r>
          </w:p>
          <w:p w14:paraId="1712D6BE" w14:textId="77777777" w:rsidR="00CC7D2C" w:rsidRPr="002A677E" w:rsidRDefault="00CC7D2C" w:rsidP="00320EFD">
            <w:pPr>
              <w:pStyle w:val="InstructionsText"/>
            </w:pPr>
            <w:r>
              <w:t>Reglamento (ES) Nr. 575/2013 4 straipsnio 1 dalies 114 punktas ir 44 bei 45 straipsniai</w:t>
            </w:r>
          </w:p>
          <w:p w14:paraId="48C4F8F6" w14:textId="77777777" w:rsidR="00CC7D2C" w:rsidRPr="002A677E" w:rsidRDefault="00CC7D2C" w:rsidP="00320EFD">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478FC936" w14:textId="77777777" w:rsidR="00CC7D2C" w:rsidRPr="002A677E" w:rsidRDefault="00CC7D2C" w:rsidP="00320EFD">
            <w:pPr>
              <w:pStyle w:val="InstructionsText"/>
            </w:pPr>
            <w:r>
              <w:t>Kapitalo dalys, laikomos abipuse kryžmine kapitalo dalių nuosavybe pagal Reglamento (ES) Nr. 575/2013 36 straipsnio 1 dalies g punktą, neįskaičiuojamos.</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Leidžiama trumpųjų pozicijų ir pirmiau nurodytų netiesiogiai turimų kapitalo dalių bendrosios sumos užskaita</w:t>
            </w:r>
          </w:p>
          <w:p w14:paraId="4FFA5E51" w14:textId="77777777" w:rsidR="00CC7D2C" w:rsidRPr="002A677E" w:rsidRDefault="00CC7D2C" w:rsidP="00320EFD">
            <w:pPr>
              <w:pStyle w:val="InstructionsText"/>
            </w:pPr>
            <w:r>
              <w:t>Reglamento (ES) Nr. 575/2013 4 straipsnio 1 dalies 114 punktas ir 45 straipsnis</w:t>
            </w:r>
          </w:p>
          <w:p w14:paraId="53013672" w14:textId="77777777" w:rsidR="00CC7D2C" w:rsidRPr="002A677E" w:rsidRDefault="00CC7D2C" w:rsidP="00320EFD">
            <w:pPr>
              <w:pStyle w:val="InstructionsText"/>
            </w:pPr>
            <w:r>
              <w:t>Pagal Reglamento (ES) Nr. 575/2013 45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Dirbtinai turima finansų sektoriaus subjektų, kuriuose įstaiga neturi reikšmingų investicijų, CET1 kapitalo dalis</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4 straipsnio 1 dalies 126 punktas ir 44 bei 45 straipsniai</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lastRenderedPageBreak/>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Bendroji dirbtinai turima finansų sektoriaus subjektų, kuriuose įstaiga neturi reikšmingų investicijų, CET1 kapitalo dalis</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4 straipsnio 1 dalies 126 punktas ir 44 bei 45 straipsniai</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Leidžiama trumpųjų pozicijų ir pirmiau nurodytų dirbtinai turimų kapitalo dalių bendrosios sumos užskaita</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4 straipsnio 1 dalies 126 punktas ir 45 straipsnis</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Pagal Reglamento (ES) Nr. 575/2013 45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Turima finansų sektoriaus subjektų, kuriuose įstaiga neturi reikšmingų investicijų, AT1 kapitalo dalis atėmus trumpąsias pozicijas</w:t>
            </w:r>
          </w:p>
          <w:p w14:paraId="2446C324" w14:textId="77777777" w:rsidR="00CC7D2C" w:rsidRPr="002A677E" w:rsidRDefault="00CC7D2C" w:rsidP="00320EFD">
            <w:pPr>
              <w:pStyle w:val="InstructionsText"/>
            </w:pPr>
            <w:r>
              <w:t>Reglamento (ES) Nr. 575/2013 58, 59 ir 60 straipsniai</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Tiesiogiai turima finansų sektoriaus subjektų, kuriuose įstaiga neturi reikšmingų investicijų, AT1 kapitalo dalis</w:t>
            </w:r>
          </w:p>
          <w:p w14:paraId="2BC29626" w14:textId="77777777" w:rsidR="00CC7D2C" w:rsidRPr="002A677E" w:rsidRDefault="00CC7D2C" w:rsidP="00320EFD">
            <w:pPr>
              <w:pStyle w:val="InstructionsText"/>
            </w:pPr>
            <w:r>
              <w:t>Reglamento (ES) Nr. 575/2013 58, 59 straipsniai ir 60 straipsnio 2 dalis</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Bendroji tiesiogiai turima finansų sektoriaus subjektų, kuriuose įstaiga neturi reikšmingų investicijų, AT1 kapitalo dalis</w:t>
            </w:r>
          </w:p>
          <w:p w14:paraId="75E43435" w14:textId="77777777" w:rsidR="00CC7D2C" w:rsidRPr="002A677E" w:rsidRDefault="00CC7D2C" w:rsidP="00320EFD">
            <w:pPr>
              <w:pStyle w:val="InstructionsText"/>
            </w:pPr>
            <w:r>
              <w:t>Reglamento (ES) Nr. 575/2013 58 straipsnis, 60 straipsnio 2 dalis</w:t>
            </w:r>
          </w:p>
          <w:p w14:paraId="4EB3C9FE" w14:textId="77777777" w:rsidR="00CC7D2C" w:rsidRPr="002A677E" w:rsidRDefault="00CC7D2C" w:rsidP="00320EFD">
            <w:pPr>
              <w:pStyle w:val="InstructionsText"/>
            </w:pPr>
            <w:r>
              <w:t>Tiesiogiai turima finansų sektoriaus subjektų, kuriuose įstaiga neturi reikšmingų investicijų, AT1 kapitalo dalis, išskyrus:</w:t>
            </w:r>
          </w:p>
          <w:p w14:paraId="6258EF1C" w14:textId="77777777" w:rsidR="00CC7D2C" w:rsidRPr="002A677E" w:rsidRDefault="00CC7D2C" w:rsidP="00320EFD">
            <w:pPr>
              <w:pStyle w:val="InstructionsText"/>
            </w:pPr>
            <w:r>
              <w:t>a)</w:t>
            </w:r>
            <w:r>
              <w:tab/>
              <w:t xml:space="preserve">5 darbo dienas arba trumpesnį laikotarpį turimas platinamas pozicijas ir </w:t>
            </w:r>
          </w:p>
          <w:p w14:paraId="08D9FD36" w14:textId="77777777" w:rsidR="00CC7D2C" w:rsidRPr="002A677E" w:rsidRDefault="00CC7D2C" w:rsidP="00320EFD">
            <w:pPr>
              <w:pStyle w:val="InstructionsText"/>
            </w:pPr>
            <w:r>
              <w:t>b)</w:t>
            </w:r>
            <w:r>
              <w:tab/>
              <w:t>kapitalo dalis, laikomas abipuse kryžmine kapitalo dalių nuosavybe pagal Reglamento (ES) Nr. 575/2013 56 straipsnio b punktą.</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Leidžiama trumpųjų pozicijų ir pirmiau nurodytų tiesiogiai turimų kapitalo dalių bendrosios sumos užskaita</w:t>
            </w:r>
          </w:p>
          <w:p w14:paraId="1C009EDB" w14:textId="77777777" w:rsidR="00CC7D2C" w:rsidRPr="002A677E" w:rsidRDefault="00CC7D2C" w:rsidP="00320EFD">
            <w:pPr>
              <w:pStyle w:val="InstructionsText"/>
            </w:pPr>
            <w:r>
              <w:t>Reglamento (ES) Nr. 575/2013 59 straipsnis</w:t>
            </w:r>
          </w:p>
          <w:p w14:paraId="5EDAF213" w14:textId="77777777" w:rsidR="00CC7D2C" w:rsidRPr="002A677E" w:rsidRDefault="00CC7D2C" w:rsidP="00320EFD">
            <w:pPr>
              <w:pStyle w:val="InstructionsText"/>
            </w:pPr>
            <w:r>
              <w:t xml:space="preserve">Pagal Reglamento (ES) Nr. 575/2013 59 straipsnio a punktą trumpąsias pozicijas leidžiama užskaityti toje pačioje pagrindinėje pozicijoje, jeigu trumposios pozicijos terminas arba yra toks pat </w:t>
            </w:r>
            <w:r>
              <w:lastRenderedPageBreak/>
              <w:t>kaip ilgosios pozicijos terminas ar ilgesnis, arba trumposios pozicijos likęs terminas yra bent vieni metai.</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lastRenderedPageBreak/>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Netiesiogiai turima finansų sektoriaus subjektų, kuriuose įstaiga neturi reikšmingų investicijų, AT1 kapitalo dalis</w:t>
            </w:r>
          </w:p>
          <w:p w14:paraId="524DE4E1" w14:textId="77777777" w:rsidR="00CC7D2C" w:rsidRPr="002A677E" w:rsidRDefault="00CC7D2C" w:rsidP="00320EFD">
            <w:pPr>
              <w:pStyle w:val="InstructionsText"/>
            </w:pPr>
            <w:r>
              <w:t>Reglamento (ES) Nr. 575/2013 4 straipsnio 1 dalies 114 punktas ir 58 bei 59 straipsniai</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Bendroji netiesiogiai turima finansų sektoriaus subjektų, kuriuose įstaiga neturi reikšmingų investicijų, AT1 kapitalo dalis</w:t>
            </w:r>
          </w:p>
          <w:p w14:paraId="18873CD2" w14:textId="77777777" w:rsidR="00CC7D2C" w:rsidRPr="002A677E" w:rsidRDefault="00CC7D2C" w:rsidP="00320EFD">
            <w:pPr>
              <w:pStyle w:val="InstructionsText"/>
            </w:pPr>
            <w:r>
              <w:t>Reglamento (ES) Nr. 575/2013 4 straipsnio 1 dalies 114 punktas ir 58 bei 59 straipsniai</w:t>
            </w:r>
          </w:p>
          <w:p w14:paraId="17350A93" w14:textId="77777777" w:rsidR="00CC7D2C" w:rsidRPr="002A677E" w:rsidRDefault="00CC7D2C" w:rsidP="00320EFD">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68E36B69" w14:textId="77777777" w:rsidR="00CC7D2C" w:rsidRPr="002A677E" w:rsidRDefault="00CC7D2C" w:rsidP="00320EFD">
            <w:pPr>
              <w:pStyle w:val="InstructionsText"/>
            </w:pPr>
            <w:r>
              <w:t>Kapitalo dalys, laikomos abipuse kryžmine kapitalo dalių nuosavybe pagal Reglamento (ES) Nr. 575/2013 56 straipsnio b punktą, neįskaičiuojamos.</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Leidžiama trumpųjų pozicijų ir pirmiau nurodytų netiesiogiai turimų kapitalo dalių bendrosios sumos užskaita</w:t>
            </w:r>
          </w:p>
          <w:p w14:paraId="66D7BED8" w14:textId="77777777" w:rsidR="00CC7D2C" w:rsidRPr="002A677E" w:rsidRDefault="00CC7D2C" w:rsidP="00320EFD">
            <w:pPr>
              <w:pStyle w:val="InstructionsText"/>
            </w:pPr>
            <w:r>
              <w:t>Reglamento (ES) Nr. 575/2013 4 straipsnio 1 dalies 114 punktas ir 59 straipsnis</w:t>
            </w:r>
          </w:p>
          <w:p w14:paraId="7DC14B0B" w14:textId="77777777" w:rsidR="00CC7D2C" w:rsidRPr="002A677E" w:rsidRDefault="00CC7D2C" w:rsidP="00320EFD">
            <w:pPr>
              <w:pStyle w:val="InstructionsText"/>
            </w:pPr>
            <w:r>
              <w:t>Pagal Reglamento (ES) Nr. 575/2013 59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Dirbtinai turima finansų sektoriaus subjektų, kuriuose įstaiga neturi reikšmingų investicijų, AT1 kapitalo dalis</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Reglamento (ES) Nr. 575/2013 4 straipsnio 1 dalies 126 punktas ir 58 bei 59 straipsniai</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Bendroji dirbtinai turima finansų sektoriaus subjektų, kuriuose įstaiga neturi reikšmingų investicijų, AT1 kapitalo dalis</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Reglamento (ES) Nr. 575/2013 4 straipsnio 1 dalies 126 punktas ir 58 bei 59 straipsniai</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Leidžiama trumpųjų pozicijų ir pirmiau nurodytų dirbtinai turimų kapitalo dalių bendrosios sumos užskaita</w:t>
            </w:r>
          </w:p>
          <w:p w14:paraId="072D1CD4" w14:textId="77777777" w:rsidR="00CC7D2C" w:rsidRPr="002A677E" w:rsidRDefault="00CC7D2C" w:rsidP="00320EFD">
            <w:pPr>
              <w:pStyle w:val="InstructionsText"/>
            </w:pPr>
            <w:r>
              <w:lastRenderedPageBreak/>
              <w:t>Reglamento (ES) Nr. 575/2013 4 straipsnio 1 dalies 126 punktas ir 59 straipsnis</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Pagal Reglamento (ES) Nr. 575/2013 59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lastRenderedPageBreak/>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Turima finansų sektoriaus subjektų, kuriuose įstaiga neturi reikšmingų investicijų, T2 kapitalo dalis atėmus trumpąsias pozicijas</w:t>
            </w:r>
          </w:p>
          <w:p w14:paraId="7F7CE21E" w14:textId="77777777" w:rsidR="00CC7D2C" w:rsidRPr="002A677E" w:rsidRDefault="00CC7D2C" w:rsidP="00320EFD">
            <w:pPr>
              <w:pStyle w:val="InstructionsText"/>
            </w:pPr>
            <w:r>
              <w:t>Reglamento (ES) Nr. 575/2013 68, 69 ir 70 straipsniai</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Tiesiogiai turima finansų sektoriaus subjektų, kuriuose įstaiga neturi reikšmingų investicijų, T2 kapitalo dalis</w:t>
            </w:r>
          </w:p>
          <w:p w14:paraId="27A664CA" w14:textId="77777777" w:rsidR="00CC7D2C" w:rsidRPr="002A677E" w:rsidRDefault="00CC7D2C" w:rsidP="00320EFD">
            <w:pPr>
              <w:pStyle w:val="InstructionsText"/>
            </w:pPr>
            <w:r>
              <w:t>Reglamento (ES) Nr. 575/2013 68 ir 69 straipsniai ir 70 straipsnio 2 dalis</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Bendroji tiesiogiai turima finansų sektoriaus subjektų, kuriuose įstaiga neturi reikšmingų investicijų, T2 kapitalo dalis</w:t>
            </w:r>
          </w:p>
          <w:p w14:paraId="65520E33" w14:textId="77777777" w:rsidR="00CC7D2C" w:rsidRPr="002A677E" w:rsidRDefault="00CC7D2C" w:rsidP="00320EFD">
            <w:pPr>
              <w:pStyle w:val="InstructionsText"/>
            </w:pPr>
            <w:r>
              <w:t>Reglamento (ES) Nr. 575/2013 68 straipsnis, 70 straipsnio 2 dalis</w:t>
            </w:r>
          </w:p>
          <w:p w14:paraId="17F7ABF9" w14:textId="77777777" w:rsidR="00CC7D2C" w:rsidRPr="002A677E" w:rsidRDefault="00CC7D2C" w:rsidP="00320EFD">
            <w:pPr>
              <w:pStyle w:val="InstructionsText"/>
            </w:pPr>
            <w:r>
              <w:t>Tiesiogiai turima finansų sektoriaus subjektų, kuriuose įstaiga neturi reikšmingų investicijų, T2 kapitalo dalis, išskyrus:</w:t>
            </w:r>
          </w:p>
          <w:p w14:paraId="138D2316" w14:textId="77777777" w:rsidR="00CC7D2C" w:rsidRPr="002A677E" w:rsidRDefault="00CC7D2C" w:rsidP="00320EFD">
            <w:pPr>
              <w:pStyle w:val="InstructionsText"/>
            </w:pPr>
            <w:r>
              <w:t>a)</w:t>
            </w:r>
            <w:r>
              <w:tab/>
              <w:t xml:space="preserve">5 darbo dienas arba trumpesnį laikotarpį turimas platinamas pozicijas ir </w:t>
            </w:r>
          </w:p>
          <w:p w14:paraId="2887BC3D" w14:textId="77777777" w:rsidR="00CC7D2C" w:rsidRPr="002A677E" w:rsidRDefault="00CC7D2C" w:rsidP="00320EFD">
            <w:pPr>
              <w:pStyle w:val="InstructionsText"/>
            </w:pPr>
            <w:r>
              <w:t>b)</w:t>
            </w:r>
            <w:r>
              <w:tab/>
              <w:t>kapitalo dalis, laikomas abipuse kryžmine kapitalo dalių nuosavybe pagal Reglamento (ES) Nr. 575/2013 66 straipsnio b punktą.</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Leidžiama trumpųjų pozicijų ir pirmiau nurodytų tiesiogiai turimų kapitalo dalių bendrosios sumos užskaita</w:t>
            </w:r>
          </w:p>
          <w:p w14:paraId="1AF115D3" w14:textId="77777777" w:rsidR="00CC7D2C" w:rsidRPr="002A677E" w:rsidRDefault="00CC7D2C" w:rsidP="00320EFD">
            <w:pPr>
              <w:pStyle w:val="InstructionsText"/>
            </w:pPr>
            <w:r>
              <w:t>Reglamento (ES) Nr. 575/2013 69 straipsnis</w:t>
            </w:r>
          </w:p>
          <w:p w14:paraId="2DDF012E" w14:textId="77777777" w:rsidR="00CC7D2C" w:rsidRPr="002A677E" w:rsidRDefault="00CC7D2C" w:rsidP="00320EFD">
            <w:pPr>
              <w:pStyle w:val="InstructionsText"/>
            </w:pPr>
            <w:r>
              <w:t>Pagal Reglamento (ES) Nr. 575/2013 69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Netiesiogiai turima finansų sektoriaus subjektų, kuriuose įstaiga neturi reikšmingų investicijų, T2 kapitalo dalis</w:t>
            </w:r>
          </w:p>
          <w:p w14:paraId="2E9A4143" w14:textId="77777777" w:rsidR="00CC7D2C" w:rsidRPr="002A677E" w:rsidRDefault="00CC7D2C" w:rsidP="00320EFD">
            <w:pPr>
              <w:pStyle w:val="InstructionsText"/>
            </w:pPr>
            <w:r>
              <w:t>Reglamento (ES) Nr. 575/2013 4 straipsnio 1 dalies 114 punktas ir 68 bei 69 straipsniai</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Bendroji netiesiogiai turima finansų sektoriaus subjektų, kuriuose įstaiga neturi reikšmingų investicijų, T2 kapitalo dalis</w:t>
            </w:r>
          </w:p>
          <w:p w14:paraId="661ED498" w14:textId="77777777" w:rsidR="00CC7D2C" w:rsidRPr="002A677E" w:rsidRDefault="00CC7D2C" w:rsidP="00320EFD">
            <w:pPr>
              <w:pStyle w:val="InstructionsText"/>
            </w:pPr>
            <w:r>
              <w:lastRenderedPageBreak/>
              <w:t>Reglamento (ES) Nr. 575/2013 4 straipsnio 1 dalies 114 punktas ir 68 bei 69 straipsniai</w:t>
            </w:r>
          </w:p>
          <w:p w14:paraId="47CEB0E6" w14:textId="77777777" w:rsidR="00CC7D2C" w:rsidRPr="002A677E" w:rsidRDefault="00CC7D2C" w:rsidP="00320EFD">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5F653926" w14:textId="77777777" w:rsidR="00CC7D2C" w:rsidRPr="002A677E" w:rsidRDefault="00CC7D2C" w:rsidP="00320EFD">
            <w:pPr>
              <w:pStyle w:val="InstructionsText"/>
            </w:pPr>
            <w:r>
              <w:t>Kapitalo dalys, laikomos abipuse kryžmine kapitalo dalių nuosavybe pagal Reglamento (ES) Nr. 575/2013 66 straipsnio b punktą, neįskaičiuojamos.</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lastRenderedPageBreak/>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Leidžiama trumpųjų pozicijų ir pirmiau nurodytų netiesiogiai turimų kapitalo dalių bendrosios sumos užskaita</w:t>
            </w:r>
          </w:p>
          <w:p w14:paraId="3D51CA91" w14:textId="77777777" w:rsidR="00CC7D2C" w:rsidRPr="002A677E" w:rsidRDefault="00CC7D2C" w:rsidP="00320EFD">
            <w:pPr>
              <w:pStyle w:val="InstructionsText"/>
            </w:pPr>
            <w:r>
              <w:t>Reglamento (ES) Nr. 575/2013 4 straipsnio 1 dalies 114 punktas ir 69 straipsnis</w:t>
            </w:r>
          </w:p>
          <w:p w14:paraId="05D4EBCE" w14:textId="77777777" w:rsidR="00CC7D2C" w:rsidRPr="002A677E" w:rsidRDefault="00CC7D2C" w:rsidP="00320EFD">
            <w:pPr>
              <w:pStyle w:val="InstructionsText"/>
            </w:pPr>
            <w:r>
              <w:t>Pagal Reglamento (ES) Nr. 575/2013 69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Dirbtinai turima finansų sektoriaus subjektų, kuriuose įstaiga neturi reikšmingų investicijų, T2 kapitalo dalis</w:t>
            </w:r>
          </w:p>
          <w:p w14:paraId="51085EB2" w14:textId="77777777" w:rsidR="00CC7D2C" w:rsidRPr="002A677E" w:rsidRDefault="00CC7D2C" w:rsidP="00320EFD">
            <w:pPr>
              <w:pStyle w:val="InstructionsText"/>
              <w:rPr>
                <w:rStyle w:val="InstructionsTabelleberschrift"/>
                <w:rFonts w:ascii="Times New Roman" w:hAnsi="Times New Roman"/>
                <w:sz w:val="24"/>
              </w:rPr>
            </w:pPr>
            <w:r>
              <w:t>Reglamento (ES) Nr. 575/2013 4 straipsnio 1 dalies 126 punktas ir 68 bei 69 straipsniai</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Bendroji dirbtinai turima finansų sektoriaus subjektų, kuriuose įstaiga neturi reikšmingų investicijų, T2 kapitalo dalis</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Reglamento (ES) Nr. 575/2013 4 straipsnio 1 dalies 126 punktas ir 68 bei 69 straipsniai</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Leidžiama trumpųjų pozicijų ir pirmiau nurodytų dirbtinai turimų kapitalo dalių bendrosios sumos užskaita</w:t>
            </w:r>
          </w:p>
          <w:p w14:paraId="3DB92575" w14:textId="77777777" w:rsidR="00CC7D2C" w:rsidRPr="002A677E" w:rsidRDefault="00CC7D2C" w:rsidP="00320EFD">
            <w:pPr>
              <w:pStyle w:val="InstructionsText"/>
            </w:pPr>
            <w:r>
              <w:t>Reglamento (ES) Nr. 575/2013 4 straipsnio 1 dalies 126 punktas ir 69 straipsnis</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Pagal Reglamento (ES) Nr. 575/2013 69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Turima finansų sektoriaus subjektų, kuriuose įstaiga turi reikšmingų investicijų, CET1 kapitalo dalis atėmus trumpąsias pozicijas</w:t>
            </w:r>
          </w:p>
          <w:p w14:paraId="7C875F9C" w14:textId="77777777" w:rsidR="00CC7D2C" w:rsidRPr="002A677E" w:rsidRDefault="00CC7D2C" w:rsidP="00320EFD">
            <w:pPr>
              <w:pStyle w:val="InstructionsText"/>
            </w:pPr>
            <w:r>
              <w:t>Reglamento (ES) Nr. 575/2013 44, 45, 47 ir 49 straipsniai</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lastRenderedPageBreak/>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Tiesiogiai turima finansų sektoriaus subjektų, kuriuose įstaiga turi reikšmingų investicijų, CET1 kapitalo dalis</w:t>
            </w:r>
          </w:p>
          <w:p w14:paraId="741527BD" w14:textId="77777777" w:rsidR="00CC7D2C" w:rsidRPr="002A677E" w:rsidRDefault="00CC7D2C" w:rsidP="00320EFD">
            <w:pPr>
              <w:pStyle w:val="InstructionsText"/>
            </w:pPr>
            <w:r>
              <w:t>Reglamento (ES) Nr. 575/2013 44, 45, 47 ir 49 straipsniai</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Bendroji tiesiogiai turima finansų sektoriaus subjektų, kuriuose įstaiga turi reikšmingų investicijų, CET1 kapitalo dalis</w:t>
            </w:r>
          </w:p>
          <w:p w14:paraId="036661F9" w14:textId="77777777" w:rsidR="00CC7D2C" w:rsidRPr="002A677E" w:rsidRDefault="00CC7D2C" w:rsidP="00320EFD">
            <w:pPr>
              <w:pStyle w:val="InstructionsText"/>
            </w:pPr>
            <w:r>
              <w:t>Reglamento (ES) Nr. 575/2013 44, 45, 47 ir 49 straipsniai</w:t>
            </w:r>
          </w:p>
          <w:p w14:paraId="09C948F4" w14:textId="77777777" w:rsidR="00CC7D2C" w:rsidRPr="002A677E" w:rsidRDefault="00CC7D2C" w:rsidP="00320EFD">
            <w:pPr>
              <w:pStyle w:val="InstructionsText"/>
            </w:pPr>
            <w:r>
              <w:t>Tiesiogiai turima finansų sektoriaus subjektų, kuriuose įstaiga turi reikšmingų investicijų, CET1 kapitalo dalis, išskyrus:</w:t>
            </w:r>
          </w:p>
          <w:p w14:paraId="0A0074A9" w14:textId="77777777" w:rsidR="00CC7D2C" w:rsidRPr="002A677E" w:rsidRDefault="00CC7D2C" w:rsidP="00320EFD">
            <w:pPr>
              <w:pStyle w:val="InstructionsText"/>
            </w:pPr>
            <w:r>
              <w:t>a)</w:t>
            </w:r>
            <w:r>
              <w:tab/>
              <w:t xml:space="preserve">5 darbo dienas arba trumpesnį laikotarpį turimas platinamas pozicijas; </w:t>
            </w:r>
          </w:p>
          <w:p w14:paraId="4E883DD4" w14:textId="77777777" w:rsidR="00CC7D2C" w:rsidRPr="002A677E" w:rsidRDefault="00CC7D2C" w:rsidP="00320EFD">
            <w:pPr>
              <w:pStyle w:val="InstructionsText"/>
            </w:pPr>
            <w:r>
              <w:t>b)</w:t>
            </w:r>
            <w:r>
              <w:tab/>
              <w:t xml:space="preserve">sumas, susijusias su investicijomis, kurioms taikoma kuri nors iš 49 straipsnyje numatytų alternatyvų, ir </w:t>
            </w:r>
          </w:p>
          <w:p w14:paraId="5BB8BDF6" w14:textId="77777777" w:rsidR="00CC7D2C" w:rsidRPr="002A677E" w:rsidRDefault="00CC7D2C" w:rsidP="00320EFD">
            <w:pPr>
              <w:pStyle w:val="InstructionsText"/>
            </w:pPr>
            <w:r>
              <w:t>c)</w:t>
            </w:r>
            <w:r>
              <w:tab/>
              <w:t>kapitalo dalis, laikomas abipuse kryžmine kapitalo dalių nuosavybe pagal Reglamento (ES) Nr. 575/2013 36 straipsnio 1 dalies g punktą.</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Leidžiama trumpųjų pozicijų ir pirmiau nurodytų tiesiogiai turimų kapitalo dalių bendrosios sumos užskaita</w:t>
            </w:r>
          </w:p>
          <w:p w14:paraId="608988C8" w14:textId="77777777" w:rsidR="00CC7D2C" w:rsidRPr="002A677E" w:rsidRDefault="00CC7D2C" w:rsidP="00320EFD">
            <w:pPr>
              <w:pStyle w:val="InstructionsText"/>
            </w:pPr>
            <w:r>
              <w:t>Reglamento (ES) Nr. 575/2013 45 straipsnis</w:t>
            </w:r>
          </w:p>
          <w:p w14:paraId="17514F1A" w14:textId="77777777" w:rsidR="00CC7D2C" w:rsidRPr="002A677E" w:rsidRDefault="00CC7D2C" w:rsidP="00320EFD">
            <w:pPr>
              <w:pStyle w:val="InstructionsText"/>
            </w:pPr>
            <w:r>
              <w:t>Pagal Reglamento (ES) Nr. 575/2013 45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Netiesiogiai turima finansų sektoriaus subjektų, kuriuose įstaiga turi reikšmingų investicijų, CET1 kapitalo dalis</w:t>
            </w:r>
          </w:p>
          <w:p w14:paraId="6E5583DA" w14:textId="77777777" w:rsidR="00CC7D2C" w:rsidRPr="002A677E" w:rsidRDefault="00CC7D2C" w:rsidP="00320EFD">
            <w:pPr>
              <w:pStyle w:val="InstructionsText"/>
            </w:pPr>
            <w:r>
              <w:t>Reglamento (ES) Nr. 575/2013 4 straipsnio 1 dalies 114 punktas ir 44 bei 45 straipsniai</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Bendroji netiesiogiai turima finansų sektoriaus subjektų, kuriuose įstaiga turi reikšmingų investicijų, CET1 kapitalo dalis</w:t>
            </w:r>
          </w:p>
          <w:p w14:paraId="794C9AFE" w14:textId="77777777" w:rsidR="00CC7D2C" w:rsidRPr="002A677E" w:rsidRDefault="00CC7D2C" w:rsidP="00320EFD">
            <w:pPr>
              <w:pStyle w:val="InstructionsText"/>
            </w:pPr>
            <w:r>
              <w:t>Reglamento (ES) Nr. 575/2013 4 straipsnio 1 dalies 114 punktas ir 44 bei 45 straipsniai</w:t>
            </w:r>
          </w:p>
          <w:p w14:paraId="0AE2F25F" w14:textId="77777777" w:rsidR="00CC7D2C" w:rsidRPr="002A677E" w:rsidRDefault="00CC7D2C" w:rsidP="00320EFD">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3F78CFCC" w14:textId="77777777" w:rsidR="00CC7D2C" w:rsidRPr="002A677E" w:rsidRDefault="00CC7D2C" w:rsidP="00320EFD">
            <w:pPr>
              <w:pStyle w:val="InstructionsText"/>
            </w:pPr>
            <w:r>
              <w:lastRenderedPageBreak/>
              <w:t>Kapitalo dalys, laikomos abipuse kryžmine kapitalo dalių nuosavybe pagal Reglamento (ES) Nr. 575/2013 36 straipsnio 1 dalies g punktą, neįskaičiuojamos.</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lastRenderedPageBreak/>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Leidžiama trumpųjų pozicijų ir pirmiau nurodytų netiesiogiai turimų kapitalo dalių bendrosios sumos užskaita</w:t>
            </w:r>
          </w:p>
          <w:p w14:paraId="0260A712" w14:textId="77777777" w:rsidR="00CC7D2C" w:rsidRPr="002A677E" w:rsidRDefault="00CC7D2C" w:rsidP="00320EFD">
            <w:pPr>
              <w:pStyle w:val="InstructionsText"/>
            </w:pPr>
            <w:r>
              <w:t>Reglamento (ES) Nr. 575/2013 4 straipsnio 1 dalies 114 punktas ir 45 straipsnis</w:t>
            </w:r>
          </w:p>
          <w:p w14:paraId="50F604F3" w14:textId="77777777" w:rsidR="00CC7D2C" w:rsidRPr="002A677E" w:rsidRDefault="00CC7D2C" w:rsidP="00320EFD">
            <w:pPr>
              <w:pStyle w:val="InstructionsText"/>
            </w:pPr>
            <w:r>
              <w:t>Pagal Reglamento (ES) Nr. 575/2013 45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Dirbtinai turima finansų sektoriaus subjektų, kuriuose įstaiga turi reikšmingų investicijų, CET1 kapitalo dalis</w:t>
            </w:r>
          </w:p>
          <w:p w14:paraId="4FDA5923" w14:textId="77777777" w:rsidR="00CC7D2C" w:rsidRPr="002A677E" w:rsidRDefault="00CC7D2C" w:rsidP="00320EFD">
            <w:pPr>
              <w:pStyle w:val="InstructionsText"/>
            </w:pPr>
            <w:r>
              <w:t>Reglamento (ES) Nr. 575/2013 4 straipsnio 1 dalies 126 punktas ir 44 bei 45 straipsniai</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Bendroji dirbtinai turima finansų sektoriaus subjektų, kuriuose įstaiga turi reikšmingų investicijų, CET1 kapitalo dalis</w:t>
            </w:r>
          </w:p>
          <w:p w14:paraId="324270A6" w14:textId="77777777" w:rsidR="00CC7D2C" w:rsidRPr="002A677E" w:rsidRDefault="00CC7D2C" w:rsidP="00320EFD">
            <w:pPr>
              <w:pStyle w:val="InstructionsText"/>
            </w:pPr>
            <w:r>
              <w:t>Reglamento (ES) Nr. 575/2013 4 straipsnio 1 dalies 126 punktas ir 44 bei 45 straipsniai</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Leidžiama trumpųjų pozicijų ir pirmiau nurodytų dirbtinai turimų kapitalo dalių bendrosios sumos užskaita</w:t>
            </w:r>
          </w:p>
          <w:p w14:paraId="514B205E" w14:textId="77777777" w:rsidR="00CC7D2C" w:rsidRPr="002A677E" w:rsidRDefault="00CC7D2C" w:rsidP="00320EFD">
            <w:pPr>
              <w:pStyle w:val="InstructionsText"/>
            </w:pPr>
            <w:r>
              <w:t>Reglamento (ES) Nr. 575/2013 4 straipsnio 1 dalies 126 punktas ir 45 straipsnis</w:t>
            </w:r>
          </w:p>
          <w:p w14:paraId="4A259B9A" w14:textId="77777777" w:rsidR="00CC7D2C" w:rsidRPr="002A677E" w:rsidRDefault="00CC7D2C" w:rsidP="00320EFD">
            <w:pPr>
              <w:pStyle w:val="InstructionsText"/>
            </w:pPr>
            <w:r>
              <w:t>Pagal Reglamento (ES) Nr. 575/2013 45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Investicijos į finansų sektoriaus subjektų, kuriuose įstaiga turi reikšmingų investicijų, CET1 kapitalą, kurioms taikomas 250 % rizikos koeficientas</w:t>
            </w:r>
          </w:p>
          <w:p w14:paraId="7F700D84" w14:textId="77777777" w:rsidR="00CC7D2C" w:rsidRPr="002A677E" w:rsidRDefault="00CC7D2C" w:rsidP="00320EFD">
            <w:pPr>
              <w:pStyle w:val="InstructionsText"/>
            </w:pPr>
            <w:r>
              <w:t>Reglamento (ES) Nr. 575/2013 48 straipsnio 4 dalis</w:t>
            </w:r>
          </w:p>
          <w:p w14:paraId="08C3709A" w14:textId="77777777" w:rsidR="00CC7D2C" w:rsidRPr="002A677E" w:rsidRDefault="00CC7D2C" w:rsidP="00320EFD">
            <w:pPr>
              <w:pStyle w:val="InstructionsText"/>
            </w:pPr>
            <w:r>
              <w:t>Reikšmingų investicijų į finansų sektoriaus subjektų CET1 kapitalą, kurios neatskaitomos pagal Reglamento (ES) Nr. 575/2013 48 straipsnio 1 dalį, bet kurioms pagal to reglamento 48 straipsnio 4 dalį taikomas 250 % rizikos koeficientas, suma.</w:t>
            </w:r>
          </w:p>
          <w:p w14:paraId="4CC369EF" w14:textId="77777777" w:rsidR="00CC7D2C" w:rsidRPr="002A677E" w:rsidRDefault="00CC7D2C" w:rsidP="00320EFD">
            <w:pPr>
              <w:pStyle w:val="InstructionsText"/>
              <w:rPr>
                <w:rStyle w:val="InstructionsTabelleberschrift"/>
                <w:rFonts w:ascii="Times New Roman" w:hAnsi="Times New Roman"/>
                <w:sz w:val="24"/>
              </w:rPr>
            </w:pPr>
            <w:r>
              <w:t>Nurodoma suma atitinka reikšmingų investicijų sumą prieš taikant rizikos koeficientą.</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lastRenderedPageBreak/>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Turima finansų sektoriaus subjektų, kuriuose įstaiga turi reikšmingų investicijų, AT1 kapitalo dalis atėmus trumpąsias pozicijas</w:t>
            </w:r>
          </w:p>
          <w:p w14:paraId="0B60B353" w14:textId="77777777" w:rsidR="00CC7D2C" w:rsidRPr="002A677E" w:rsidRDefault="00CC7D2C" w:rsidP="00320EFD">
            <w:pPr>
              <w:pStyle w:val="InstructionsText"/>
            </w:pPr>
            <w:r>
              <w:t>Reglamento (ES) Nr. 575/2013 58 ir 59 straipsniai</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Tiesiogiai turima finansų sektoriaus subjektų, kuriuose įstaiga turi reikšmingų investicijų, AT1 kapitalo dalis</w:t>
            </w:r>
          </w:p>
          <w:p w14:paraId="615CAEA4" w14:textId="77777777" w:rsidR="00CC7D2C" w:rsidRPr="002A677E" w:rsidRDefault="00CC7D2C" w:rsidP="00320EFD">
            <w:pPr>
              <w:pStyle w:val="InstructionsText"/>
            </w:pPr>
            <w:r>
              <w:t>Reglamento (ES) Nr. 575/2013 58 ir 59 straipsniai</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Bendroji tiesiogiai turima finansų sektoriaus subjektų, kuriuose įstaiga turi reikšmingų investicijų, AT1 kapitalo dalis</w:t>
            </w:r>
          </w:p>
          <w:p w14:paraId="12F44F50" w14:textId="77777777" w:rsidR="00CC7D2C" w:rsidRPr="002A677E" w:rsidRDefault="00CC7D2C" w:rsidP="00320EFD">
            <w:pPr>
              <w:pStyle w:val="InstructionsText"/>
            </w:pPr>
            <w:r>
              <w:t>Reglamento (ES) Nr. 575/2013 58 straipsnis</w:t>
            </w:r>
          </w:p>
          <w:p w14:paraId="41935DD8" w14:textId="77777777" w:rsidR="00CC7D2C" w:rsidRPr="002A677E" w:rsidRDefault="00CC7D2C" w:rsidP="00320EFD">
            <w:pPr>
              <w:pStyle w:val="InstructionsText"/>
            </w:pPr>
            <w:r>
              <w:t>Tiesiogiai turima finansų sektoriaus subjektų, kuriuose įstaiga turi reikšmingų investicijų, AT1 kapitalo dalis, išskyrus:</w:t>
            </w:r>
          </w:p>
          <w:p w14:paraId="4D8400A2" w14:textId="77777777" w:rsidR="00CC7D2C" w:rsidRPr="002A677E" w:rsidRDefault="00CC7D2C" w:rsidP="00320EFD">
            <w:pPr>
              <w:pStyle w:val="InstructionsText"/>
            </w:pPr>
            <w:r>
              <w:t>a)</w:t>
            </w:r>
            <w:r>
              <w:tab/>
              <w:t>5 darbo dienas arba trumpesnį laikotarpį turimas platinamas pozicijas (Reglamento (ES) Nr. 575/2013 56 straipsnio d punktas) ir</w:t>
            </w:r>
          </w:p>
          <w:p w14:paraId="5C192689" w14:textId="77777777" w:rsidR="00CC7D2C" w:rsidRPr="002A677E" w:rsidRDefault="00CC7D2C" w:rsidP="00320EFD">
            <w:pPr>
              <w:pStyle w:val="InstructionsText"/>
            </w:pPr>
            <w:r>
              <w:t>b)</w:t>
            </w:r>
            <w:r>
              <w:tab/>
              <w:t>kapitalo dalis, laikomas abipuse kryžmine kapitalo dalių nuosavybe pagal Reglamento (ES) Nr. 575/2013 56 straipsnio b punktą.</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Leidžiama trumpųjų pozicijų ir pirmiau nurodytų tiesiogiai turimų kapitalo dalių bendrosios sumos užskaita</w:t>
            </w:r>
          </w:p>
          <w:p w14:paraId="78A0D4FB" w14:textId="77777777" w:rsidR="00CC7D2C" w:rsidRPr="002A677E" w:rsidRDefault="00CC7D2C" w:rsidP="00320EFD">
            <w:pPr>
              <w:pStyle w:val="InstructionsText"/>
            </w:pPr>
            <w:r>
              <w:t>Reglamento (ES) Nr. 575/2013 59 straipsnis</w:t>
            </w:r>
          </w:p>
          <w:p w14:paraId="4D179792" w14:textId="77777777" w:rsidR="00CC7D2C" w:rsidRPr="002A677E" w:rsidRDefault="00CC7D2C" w:rsidP="00320EFD">
            <w:pPr>
              <w:pStyle w:val="InstructionsText"/>
            </w:pPr>
            <w:r>
              <w:t>Pagal Reglamento (ES) Nr. 575/2013 59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Netiesiogiai turima finansų sektoriaus subjektų, kuriuose įstaiga turi reikšmingų investicijų, AT1 kapitalo dalis</w:t>
            </w:r>
          </w:p>
          <w:p w14:paraId="541FB02F" w14:textId="77777777" w:rsidR="00CC7D2C" w:rsidRPr="002A677E" w:rsidRDefault="00CC7D2C" w:rsidP="00320EFD">
            <w:pPr>
              <w:pStyle w:val="InstructionsText"/>
            </w:pPr>
            <w:r>
              <w:t>Reglamento (ES) Nr. 575/2013 4 straipsnio 1 dalies 114 punktas ir 58 bei 59 straipsniai</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Bendroji netiesiogiai turima finansų sektoriaus subjektų, kuriuose įstaiga turi reikšmingų investicijų, AT1 kapitalo dalis</w:t>
            </w:r>
          </w:p>
          <w:p w14:paraId="7AF4342B" w14:textId="77777777" w:rsidR="00CC7D2C" w:rsidRPr="002A677E" w:rsidRDefault="00CC7D2C" w:rsidP="00320EFD">
            <w:pPr>
              <w:pStyle w:val="InstructionsText"/>
            </w:pPr>
            <w:r>
              <w:t>Reglamento (ES) Nr. 575/2013 4 straipsnio 1 dalies 114 punktas ir 58 bei 59 straipsniai</w:t>
            </w:r>
          </w:p>
          <w:p w14:paraId="058247BE" w14:textId="77777777" w:rsidR="00CC7D2C" w:rsidRPr="002A677E" w:rsidRDefault="00CC7D2C" w:rsidP="00320EFD">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7206E9B6" w14:textId="77777777" w:rsidR="00CC7D2C" w:rsidRPr="002A677E" w:rsidRDefault="00CC7D2C" w:rsidP="00320EFD">
            <w:pPr>
              <w:pStyle w:val="InstructionsText"/>
            </w:pPr>
            <w:r>
              <w:lastRenderedPageBreak/>
              <w:t>Kapitalo dalys, laikomos abipuse kryžmine kapitalo dalių nuosavybe pagal Reglamento (ES) Nr. 575/2013 56 straipsnio b punktą, neįskaičiuojamos.</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lastRenderedPageBreak/>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Leidžiama trumpųjų pozicijų ir pirmiau nurodytų netiesiogiai turimų kapitalo dalių bendrosios sumos užskaita</w:t>
            </w:r>
          </w:p>
          <w:p w14:paraId="4E8AE615" w14:textId="77777777" w:rsidR="00CC7D2C" w:rsidRPr="002A677E" w:rsidRDefault="00CC7D2C" w:rsidP="00320EFD">
            <w:pPr>
              <w:pStyle w:val="InstructionsText"/>
            </w:pPr>
            <w:r>
              <w:t>Reglamento (ES) Nr. 575/2013 4 straipsnio 1 dalies 114 punktas ir 59 straipsnis</w:t>
            </w:r>
          </w:p>
          <w:p w14:paraId="41A9A020" w14:textId="77777777" w:rsidR="00CC7D2C" w:rsidRPr="002A677E" w:rsidRDefault="00CC7D2C" w:rsidP="00320EFD">
            <w:pPr>
              <w:pStyle w:val="InstructionsText"/>
            </w:pPr>
            <w:r>
              <w:t>Pagal Reglamento (ES) Nr. 575/2013 59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Dirbtinai turima finansų sektoriaus subjektų, kuriuose įstaiga turi reikšmingų investicijų, AT1 kapitalo dalis</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Reglamento (ES) Nr. 575/2013 4 straipsnio 1 dalies 126 punktas ir 58 bei 59 straipsniai</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Bendroji dirbtinai turima finansų sektoriaus subjektų, kuriuose įstaiga turi reikšmingų investicijų, AT1 kapitalo dalis</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Reglamento (ES) Nr. 575/2013 4 straipsnio 1 dalies 126 punktas ir 58 bei 59 straipsniai</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Leidžiama trumpųjų pozicijų ir pirmiau nurodytų dirbtinai turimų kapitalo dalių bendrosios sumos užskaita</w:t>
            </w:r>
          </w:p>
          <w:p w14:paraId="0EC24D17" w14:textId="77777777" w:rsidR="00CC7D2C" w:rsidRPr="002A677E" w:rsidRDefault="00CC7D2C" w:rsidP="00320EFD">
            <w:pPr>
              <w:pStyle w:val="InstructionsText"/>
            </w:pPr>
            <w:r>
              <w:t>Reglamento (ES) Nr. 575/2013 4 straipsnio 1 dalies 126 punktas ir 59 straipsnis</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Pagal Reglamento (ES) Nr. 575/2013 59 straipsnio a punktą </w:t>
            </w:r>
            <w:r>
              <w:rPr>
                <w:rStyle w:val="InstructionsTabelleberschrift"/>
                <w:rFonts w:ascii="Times New Roman" w:hAnsi="Times New Roman"/>
                <w:b w:val="0"/>
                <w:sz w:val="24"/>
                <w:u w:val="none"/>
              </w:rPr>
              <w:t>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Turima finansų sektoriaus subjektų, kuriuose įstaiga turi reikšmingų investicijų, T2 kapitalo dalis atėmus trumpąsias pozicijas</w:t>
            </w:r>
          </w:p>
          <w:p w14:paraId="2AB15F70" w14:textId="77777777" w:rsidR="00CC7D2C" w:rsidRPr="002A677E" w:rsidRDefault="00CC7D2C" w:rsidP="00320EFD">
            <w:pPr>
              <w:pStyle w:val="InstructionsText"/>
            </w:pPr>
            <w:r>
              <w:t>Reglamento (ES) Nr. 575/2013 68 ir 69 straipsniai</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Tiesiogiai turima finansų sektoriaus subjektų, kuriuose įstaiga turi reikšmingų investicijų, T2 kapitalo dalis</w:t>
            </w:r>
          </w:p>
          <w:p w14:paraId="6AED8073" w14:textId="77777777" w:rsidR="00CC7D2C" w:rsidRPr="002A677E" w:rsidRDefault="00CC7D2C" w:rsidP="00320EFD">
            <w:pPr>
              <w:pStyle w:val="InstructionsText"/>
            </w:pPr>
            <w:r>
              <w:t>Reglamento (ES) Nr. 575/2013 68 ir 69 straipsniai</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Bendroji tiesiogiai turima finansų sektoriaus subjektų, kuriuose įstaiga turi reikšmingų investicijų, T2 kapitalo dalis</w:t>
            </w:r>
          </w:p>
          <w:p w14:paraId="16D79134" w14:textId="77777777" w:rsidR="00CC7D2C" w:rsidRPr="002A677E" w:rsidRDefault="00CC7D2C" w:rsidP="00320EFD">
            <w:pPr>
              <w:pStyle w:val="InstructionsText"/>
            </w:pPr>
            <w:r>
              <w:lastRenderedPageBreak/>
              <w:t>Reglamento (ES) Nr. 575/2013 68 straipsnis</w:t>
            </w:r>
          </w:p>
          <w:p w14:paraId="66EA3661" w14:textId="77777777" w:rsidR="00CC7D2C" w:rsidRPr="002A677E" w:rsidRDefault="00CC7D2C" w:rsidP="00320EFD">
            <w:pPr>
              <w:pStyle w:val="InstructionsText"/>
            </w:pPr>
            <w:r>
              <w:t>Tiesiogiai turima finansų sektoriaus subjektų, kuriuose įstaiga turi reikšmingų investicijų, T2 kapitalo dalis, išskyrus:</w:t>
            </w:r>
          </w:p>
          <w:p w14:paraId="423513CF" w14:textId="77777777" w:rsidR="00CC7D2C" w:rsidRPr="002A677E" w:rsidRDefault="00CC7D2C" w:rsidP="00320EFD">
            <w:pPr>
              <w:pStyle w:val="InstructionsText"/>
            </w:pPr>
            <w:r>
              <w:t>a)</w:t>
            </w:r>
            <w:r>
              <w:tab/>
              <w:t xml:space="preserve">5 darbo dienas arba trumpesnį laikotarpį turimas platinamas pozicijas (Reglamento (ES) Nr. 575/2013 66 straipsnio d punktas) ir </w:t>
            </w:r>
          </w:p>
          <w:p w14:paraId="0945CD9C" w14:textId="77777777" w:rsidR="00CC7D2C" w:rsidRPr="002A677E" w:rsidRDefault="00CC7D2C" w:rsidP="00320EFD">
            <w:pPr>
              <w:pStyle w:val="InstructionsText"/>
            </w:pPr>
            <w:r>
              <w:t>b)</w:t>
            </w:r>
            <w:r>
              <w:tab/>
              <w:t>kapitalo dalis, laikomas abipuse kryžmine kapitalo dalių nuosavybe pagal Reglamento (ES) Nr. 575/2013 66 straipsnio b punktą.</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lastRenderedPageBreak/>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Leidžiama trumpųjų pozicijų ir pirmiau nurodytų tiesiogiai turimų kapitalo dalių bendrosios sumos užskaita</w:t>
            </w:r>
          </w:p>
          <w:p w14:paraId="18ADFB22" w14:textId="77777777" w:rsidR="00CC7D2C" w:rsidRPr="002A677E" w:rsidRDefault="00CC7D2C" w:rsidP="00320EFD">
            <w:pPr>
              <w:pStyle w:val="InstructionsText"/>
            </w:pPr>
            <w:r>
              <w:t>Reglamento (ES) Nr. 575/2013 69 straipsnis</w:t>
            </w:r>
          </w:p>
          <w:p w14:paraId="658809D0" w14:textId="77777777" w:rsidR="00CC7D2C" w:rsidRPr="002A677E" w:rsidRDefault="00CC7D2C" w:rsidP="00320EFD">
            <w:pPr>
              <w:pStyle w:val="InstructionsText"/>
            </w:pPr>
            <w:r>
              <w:t>Pagal Reglamento (ES) Nr. 575/2013 69 straipsnio a punktą 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Netiesiogiai turima finansų sektoriaus subjektų, kuriuose įstaiga turi reikšmingų investicijų, T2 kapitalo dalis</w:t>
            </w:r>
          </w:p>
          <w:p w14:paraId="0C6BA394" w14:textId="77777777" w:rsidR="00CC7D2C" w:rsidRPr="002A677E" w:rsidRDefault="00CC7D2C" w:rsidP="00320EFD">
            <w:pPr>
              <w:pStyle w:val="InstructionsText"/>
            </w:pPr>
            <w:r>
              <w:t>Reglamento (ES) Nr. 575/2013 4 straipsnio 1 dalies 114 punktas ir 68 bei 69 straipsniai</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Bendroji netiesiogiai turima finansų sektoriaus subjektų, kuriuose įstaiga turi reikšmingų investicijų, T2 kapitalo dalis</w:t>
            </w:r>
          </w:p>
          <w:p w14:paraId="6C79EB51" w14:textId="77777777" w:rsidR="00CC7D2C" w:rsidRPr="002A677E" w:rsidRDefault="00CC7D2C" w:rsidP="00320EFD">
            <w:pPr>
              <w:pStyle w:val="InstructionsText"/>
            </w:pPr>
            <w:r>
              <w:t>Reglamento (ES) Nr. 575/2013 4 straipsnio 1 dalies 114 punktas ir 68 bei 69 straipsniai</w:t>
            </w:r>
          </w:p>
          <w:p w14:paraId="1C456D47" w14:textId="77777777" w:rsidR="00CC7D2C" w:rsidRPr="002A677E" w:rsidRDefault="00CC7D2C" w:rsidP="00320EFD">
            <w:pPr>
              <w:pStyle w:val="InstructionsText"/>
            </w:pPr>
            <w:r>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2E7DF12B" w14:textId="77777777" w:rsidR="00CC7D2C" w:rsidRPr="002A677E" w:rsidRDefault="00CC7D2C" w:rsidP="00320EFD">
            <w:pPr>
              <w:pStyle w:val="InstructionsText"/>
            </w:pPr>
            <w:r>
              <w:t>Kapitalo dalys, laikomos abipuse kryžmine kapitalo dalių nuosavybe pagal Reglamento (ES) Nr. 575/2013 66 straipsnio b punktą, neįskaičiuojamos.</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Leidžiama trumpųjų pozicijų ir pirmiau nurodytų netiesiogiai turimų kapitalo dalių bendrosios sumos užskaita</w:t>
            </w:r>
          </w:p>
          <w:p w14:paraId="337B5275" w14:textId="77777777" w:rsidR="00CC7D2C" w:rsidRPr="002A677E" w:rsidRDefault="00CC7D2C" w:rsidP="00320EFD">
            <w:pPr>
              <w:pStyle w:val="InstructionsText"/>
            </w:pPr>
            <w:r>
              <w:t>Reglamento (ES) Nr. 575/2013 4 straipsnio 1 dalies 114 punktas ir 69 straipsnis</w:t>
            </w:r>
          </w:p>
          <w:p w14:paraId="1D1733C3" w14:textId="77777777" w:rsidR="00CC7D2C" w:rsidRPr="002A677E" w:rsidRDefault="00CC7D2C" w:rsidP="00320EFD">
            <w:pPr>
              <w:pStyle w:val="InstructionsText"/>
            </w:pPr>
            <w:r>
              <w:t xml:space="preserve">Pagal Reglamento (ES) Nr. 575/2013 69 straipsnio a punktą trumpąsias pozicijas leidžiama užskaityti toje pačioje pagrindinėje pozicijoje, jeigu trumposios pozicijos terminas arba yra toks pat </w:t>
            </w:r>
            <w:r>
              <w:lastRenderedPageBreak/>
              <w:t>kaip ilgosios pozicijos terminas ar ilgesnis, arba trumposios pozicijos likęs terminas yra bent vieni metai.</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lastRenderedPageBreak/>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Dirbtinai turima finansų sektoriaus subjektų, kuriuose įstaiga turi reikšmingų investicijų, T2 kapitalo dalis</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Reglamento (ES) Nr. 575/2013 4 straipsnio 1 dalies 126 punktas ir 68 bei 69 straipsniai</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Bendroji dirbtinai turima finansų sektoriaus subjektų, kuriuose įstaiga turi reikšmingų investicijų, T2 kapitalo dalis</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Reglamento (ES) Nr. 575/2013 4 straipsnio 1 dalies 126 punktas ir 68 bei 69 straipsniai</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Leidžiama trumpųjų pozicijų ir pirmiau nurodytų dirbtinai turimų kapitalo dalių bendrosios sumos užskaita</w:t>
            </w:r>
          </w:p>
          <w:p w14:paraId="4F4571E8" w14:textId="77777777" w:rsidR="00CC7D2C" w:rsidRPr="002A677E" w:rsidRDefault="00CC7D2C" w:rsidP="00320EFD">
            <w:pPr>
              <w:pStyle w:val="InstructionsText"/>
            </w:pPr>
            <w:r>
              <w:t>Reglamento (ES) Nr. 575/2013 4 straipsnio 1 dalies 126 punktas ir 69 straipsnis</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Pagal Reglamento (ES) Nr. 575/2013 69 straipsnio a punktą </w:t>
            </w:r>
            <w:r>
              <w:rPr>
                <w:rStyle w:val="InstructionsTabelleberschrift"/>
                <w:rFonts w:ascii="Times New Roman" w:hAnsi="Times New Roman"/>
                <w:b w:val="0"/>
                <w:sz w:val="24"/>
                <w:u w:val="none"/>
              </w:rPr>
              <w:t>trumpąsias pozicijas leidžiama užskaityti toje pačioje pagrindinėje pozicijoje, jeigu trumposios pozicijos terminas arba yra toks pat kaip ilgosios pozicijos terminas ar ilgesnis, arba trumposios pozicijos likęs terminas yra bent vieni metai.</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Pagal riziką įvertintos finansų sektoriaus subjektuose turimų CET1 kapitalo dalių, kurios nėra atskaitomos iš įstaigos CET1 kapitalo, pozicijos</w:t>
            </w:r>
          </w:p>
          <w:p w14:paraId="2A1347E7" w14:textId="77777777" w:rsidR="00CC7D2C" w:rsidRPr="002A677E" w:rsidRDefault="00CC7D2C" w:rsidP="00320EFD">
            <w:pPr>
              <w:pStyle w:val="InstructionsText"/>
            </w:pPr>
            <w:r>
              <w:t>Reglamento (ES) Nr. 575/2013 46 straipsnio 4 dalis, 48 straipsnio 4 dalis ir 49 straipsnio 4 dalis</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Pagal riziką įvertintos finansų sektoriaus subjektuose turimų AT1 kapitalo dalių, kurios nėra atskaitomos iš įstaigos AT1 kapitalo, pozicijos</w:t>
            </w:r>
          </w:p>
          <w:p w14:paraId="30C320BB" w14:textId="77777777" w:rsidR="00CC7D2C" w:rsidRPr="002A677E" w:rsidRDefault="00CC7D2C" w:rsidP="00320EFD">
            <w:pPr>
              <w:pStyle w:val="InstructionsText"/>
            </w:pPr>
            <w:r>
              <w:t>Reglamento (ES) Nr. 575/2013 60 straipsnio 4 dalis</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Pagal riziką įvertintos finansų sektoriaus subjektuose turimų T2 kapitalo dalių, kurios nėra atskaitomos iš įstaigos T2 kapitalo, pozicijos</w:t>
            </w:r>
          </w:p>
          <w:p w14:paraId="78BD6DA2" w14:textId="77777777" w:rsidR="00CC7D2C" w:rsidRPr="002A677E" w:rsidRDefault="00CC7D2C" w:rsidP="00320EFD">
            <w:pPr>
              <w:pStyle w:val="InstructionsText"/>
            </w:pPr>
            <w:r>
              <w:t>Reglamento (ES) Nr. 575/2013 70 straipsnio 4 dalis</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Turimos finansų sektoriaus subjektų, kuriuose įstaiga neturi reikšmingų investicijų, CET1 kapitalo priemonės, kurioms nuostatos dėl atskaitymo laikinai netaikomos</w:t>
            </w:r>
          </w:p>
          <w:p w14:paraId="2FF787C2" w14:textId="77777777" w:rsidR="00CC7D2C" w:rsidRPr="002A677E" w:rsidRDefault="00CC7D2C" w:rsidP="00320EFD">
            <w:pPr>
              <w:pStyle w:val="InstructionsText"/>
            </w:pPr>
            <w:r>
              <w:t>Reglamento (ES) Nr. 575/2013 79 straipsnis</w:t>
            </w:r>
          </w:p>
          <w:p w14:paraId="461FF48B" w14:textId="77777777" w:rsidR="00CC7D2C" w:rsidRPr="002A677E" w:rsidRDefault="00CC7D2C" w:rsidP="00320EFD">
            <w:pPr>
              <w:pStyle w:val="InstructionsText"/>
            </w:pPr>
            <w:r>
              <w:t xml:space="preserve">Kompetentinga institucija gali leisti laikinai netaikyti nuostatų dėl atskaitymo iš CET1 turimoms konkretaus finansų sektoriaus subjekto priemonėms, jeigu mano, kad tos priemonės įsigytos </w:t>
            </w:r>
            <w:r>
              <w:lastRenderedPageBreak/>
              <w:t>finansinės paramos, skirtos tokiam subjektui reorganizuoti ir išgelbėti, teikimo tikslais.</w:t>
            </w:r>
          </w:p>
          <w:p w14:paraId="52F554E2" w14:textId="77777777" w:rsidR="00CC7D2C" w:rsidRPr="002A677E" w:rsidRDefault="00CC7D2C" w:rsidP="00320EFD">
            <w:pPr>
              <w:pStyle w:val="InstructionsText"/>
            </w:pPr>
            <w:r>
              <w:t>Atkreipkite dėmesį, kad tos priemonės taip pat nurodomos 12.1 straipsnyje.</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lastRenderedPageBreak/>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Turimos finansų sektoriaus subjektų, kuriuose įstaiga turi reikšmingų investicijų, CET1 kapitalo priemonės, kurioms nuostatos dėl atskaitymo laikinai netaikomos</w:t>
            </w:r>
          </w:p>
          <w:p w14:paraId="75D9BB74" w14:textId="77777777" w:rsidR="00CC7D2C" w:rsidRPr="002A677E" w:rsidRDefault="00CC7D2C" w:rsidP="00320EFD">
            <w:pPr>
              <w:pStyle w:val="InstructionsText"/>
            </w:pPr>
            <w:r>
              <w:t>Reglamento (ES) Nr. 575/2013 79 straipsnis</w:t>
            </w:r>
          </w:p>
          <w:p w14:paraId="3CF93984" w14:textId="77777777" w:rsidR="00CC7D2C" w:rsidRPr="002A677E" w:rsidRDefault="00CC7D2C" w:rsidP="00320EFD">
            <w:pPr>
              <w:pStyle w:val="InstructionsText"/>
            </w:pPr>
            <w:r>
              <w:t>Kompetentinga institucija gali leisti netaikyti nuostatų dėl atskaitymo iš CET1 turimoms konkretaus finansų sektoriaus subjekto priemonėms, jeigu mano, kad tos priemonės įsigytos finansinės paramos, skirtos tokiam subjektui reorganizuoti ir išgelbėti, teikimo tikslais.</w:t>
            </w:r>
          </w:p>
          <w:p w14:paraId="402057D7" w14:textId="77777777" w:rsidR="00CC7D2C" w:rsidRPr="002A677E" w:rsidRDefault="00CC7D2C" w:rsidP="00320EFD">
            <w:pPr>
              <w:pStyle w:val="InstructionsText"/>
            </w:pPr>
            <w:r>
              <w:t>Atkreipkite dėmesį, kad tos priemonės taip pat nurodomos 15.1 straipsnyje.</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Turimos finansų sektoriaus subjektų, kuriuose įstaiga neturi reikšmingų investicijų, AT1 kapitalo priemonės, kurioms nuostatos dėl atskaitymo laikinai netaikomos</w:t>
            </w:r>
          </w:p>
          <w:p w14:paraId="21529E99" w14:textId="77777777" w:rsidR="00CC7D2C" w:rsidRPr="002A677E" w:rsidRDefault="00CC7D2C" w:rsidP="00320EFD">
            <w:pPr>
              <w:pStyle w:val="InstructionsText"/>
            </w:pPr>
            <w:r>
              <w:t>Reglamento (ES) Nr. 575/2013 79 straipsnis</w:t>
            </w:r>
          </w:p>
          <w:p w14:paraId="799B0BA0" w14:textId="77777777" w:rsidR="00CC7D2C" w:rsidRPr="002A677E" w:rsidRDefault="00CC7D2C" w:rsidP="00320EFD">
            <w:pPr>
              <w:pStyle w:val="InstructionsText"/>
            </w:pPr>
            <w:r>
              <w:t>Kompetentinga institucija gali leisti laikinai netaikyti nuostatų dėl atskaitymo iš AT1 turimoms konkretaus finansų sektoriaus subjekto priemonėms, jeigu mano, kad tos priemonės įsigytos finansinės paramos, skirtos tokiam subjektui reorganizuoti ir išgelbėti, teikimo tikslais.</w:t>
            </w:r>
          </w:p>
          <w:p w14:paraId="4C19F43B" w14:textId="77777777" w:rsidR="00CC7D2C" w:rsidRPr="002A677E" w:rsidRDefault="00CC7D2C" w:rsidP="00320EFD">
            <w:pPr>
              <w:pStyle w:val="InstructionsText"/>
            </w:pPr>
            <w:r>
              <w:t>Atkreipkite dėmesį, kad šios priemonės taip pat turi būti nurodytos 13.1 straipsnyje.</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Turimos finansų sektoriaus subjektų, kuriuose įstaiga turi reikšmingų investicijų, AT1 kapitalo priemonės, kurioms nuostatos dėl atskaitymo laikinai netaikomos</w:t>
            </w:r>
          </w:p>
          <w:p w14:paraId="29ECC364" w14:textId="77777777" w:rsidR="00CC7D2C" w:rsidRPr="002A677E" w:rsidRDefault="00CC7D2C" w:rsidP="00320EFD">
            <w:pPr>
              <w:pStyle w:val="InstructionsText"/>
            </w:pPr>
            <w:r>
              <w:t>Reglamento (ES) Nr. 575/2013 79 straipsnis</w:t>
            </w:r>
          </w:p>
          <w:p w14:paraId="7B10897F" w14:textId="77777777" w:rsidR="00CC7D2C" w:rsidRPr="002A677E" w:rsidRDefault="00CC7D2C" w:rsidP="00320EFD">
            <w:pPr>
              <w:pStyle w:val="InstructionsText"/>
            </w:pPr>
            <w:r>
              <w:t>Kompetentinga institucija gali leisti laikinai netaikyti nuostatų dėl atskaitymo iš AT1 turimoms konkretaus finansų sektoriaus subjekto priemonėms, jeigu mano, kad tos priemonės įsigytos finansinės paramos, skirtos tokiam subjektui reorganizuoti ir išgelbėti, teikimo tikslais.</w:t>
            </w:r>
          </w:p>
          <w:p w14:paraId="4477D9DA" w14:textId="77777777" w:rsidR="00CC7D2C" w:rsidRPr="002A677E" w:rsidRDefault="00CC7D2C" w:rsidP="00320EFD">
            <w:pPr>
              <w:pStyle w:val="InstructionsText"/>
            </w:pPr>
            <w:r>
              <w:t>Atkreipkite dėmesį, kad šios priemonės taip pat turi būti nurodytos 16.1 straipsnyje.</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Turimos finansų sektoriaus subjektų, kuriuose įstaiga neturi reikšmingų investicijų, T2 kapitalo priemonės, kurioms nuostatos dėl atskaitymo laikinai netaikomos</w:t>
            </w:r>
          </w:p>
          <w:p w14:paraId="11A612C2" w14:textId="77777777" w:rsidR="00CC7D2C" w:rsidRPr="002A677E" w:rsidRDefault="00CC7D2C" w:rsidP="00320EFD">
            <w:pPr>
              <w:pStyle w:val="InstructionsText"/>
            </w:pPr>
            <w:r>
              <w:t>Reglamento (ES) Nr. 575/2013 79 straipsnis</w:t>
            </w:r>
          </w:p>
          <w:p w14:paraId="2B2A46AA" w14:textId="77777777" w:rsidR="00CC7D2C" w:rsidRPr="002A677E" w:rsidRDefault="00CC7D2C" w:rsidP="00320EFD">
            <w:pPr>
              <w:pStyle w:val="InstructionsText"/>
            </w:pPr>
            <w:r>
              <w:t xml:space="preserve">Kompetentinga institucija gali leisti netaikyti nuostatų dėl atskaitymo iš T2 turimoms konkretaus finansų sektoriaus subjekto </w:t>
            </w:r>
            <w:r>
              <w:lastRenderedPageBreak/>
              <w:t>priemonėms, jeigu mano, kad tos priemonės įsigytos finansinės paramos, skirtos tokiam subjektui reorganizuoti ir išgelbėti, teikimo tikslais.</w:t>
            </w:r>
          </w:p>
          <w:p w14:paraId="0FE5A55A" w14:textId="77777777" w:rsidR="00CC7D2C" w:rsidRPr="002A677E" w:rsidRDefault="00CC7D2C" w:rsidP="00320EFD">
            <w:pPr>
              <w:pStyle w:val="InstructionsText"/>
            </w:pPr>
            <w:r>
              <w:t>Atkreipkite dėmesį, kad tos priemonės taip pat nurodomos 14.1 straipsnyje.</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lastRenderedPageBreak/>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Turimos finansų sektoriaus subjektų, kuriuose įstaiga turi reikšmingų investicijų, T2 kapitalo priemonės, kurioms nuostatos dėl atskaitymo laikinai netaikomos</w:t>
            </w:r>
          </w:p>
          <w:p w14:paraId="208EC193" w14:textId="77777777" w:rsidR="00CC7D2C" w:rsidRPr="002A677E" w:rsidRDefault="00CC7D2C" w:rsidP="00320EFD">
            <w:pPr>
              <w:pStyle w:val="InstructionsText"/>
            </w:pPr>
            <w:r>
              <w:t>Reglamento (ES) Nr. 575/2013 79 straipsnis</w:t>
            </w:r>
          </w:p>
          <w:p w14:paraId="1FA4E3CB" w14:textId="77777777" w:rsidR="00CC7D2C" w:rsidRPr="002A677E" w:rsidRDefault="00CC7D2C" w:rsidP="00320EFD">
            <w:pPr>
              <w:pStyle w:val="InstructionsText"/>
            </w:pPr>
            <w:r>
              <w:t>Kompetentinga institucija gali leisti netaikyti nuostatų dėl atskaitymo iš T2 turimoms konkretaus finansų sektoriaus subjekto priemonėms, jeigu mano, kad tos priemonės įsigytos finansinės paramos, skirtos tokiam subjektui reorganizuoti ir išgelbėti, teikimo tikslais.</w:t>
            </w:r>
          </w:p>
          <w:p w14:paraId="13C3AFDA" w14:textId="77777777" w:rsidR="00CC7D2C" w:rsidRPr="002A677E" w:rsidRDefault="00CC7D2C" w:rsidP="00320EFD">
            <w:pPr>
              <w:pStyle w:val="InstructionsText"/>
            </w:pPr>
            <w:r>
              <w:t>Atkreipkite dėmesį, kad tos priemonės taip pat nurodomos 17.1 straipsnyje.</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Jungtinio rezervo reikalavimas</w:t>
            </w:r>
          </w:p>
          <w:p w14:paraId="0AF29A6F" w14:textId="77777777" w:rsidR="00CC7D2C" w:rsidRPr="002A677E" w:rsidRDefault="00CC7D2C" w:rsidP="00320EFD">
            <w:pPr>
              <w:pStyle w:val="InstructionsText"/>
            </w:pPr>
            <w:r>
              <w:t>Direktyvos 2013/36/ES 128 straipsnio 6 punktas</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Kapitalo apsaugos rezervas</w:t>
            </w:r>
          </w:p>
          <w:p w14:paraId="1304A556" w14:textId="77777777" w:rsidR="00CC7D2C" w:rsidRPr="002A677E" w:rsidRDefault="00CC7D2C" w:rsidP="00320EFD">
            <w:pPr>
              <w:pStyle w:val="InstructionsText"/>
            </w:pPr>
            <w:r>
              <w:t xml:space="preserve">Direktyvos 2013/36/ES 128 straipsnio 1 punktas ir 129 straipsnis </w:t>
            </w:r>
          </w:p>
          <w:p w14:paraId="34478878" w14:textId="77777777" w:rsidR="00CC7D2C" w:rsidRPr="002A677E" w:rsidRDefault="00CC7D2C" w:rsidP="00320EFD">
            <w:pPr>
              <w:pStyle w:val="InstructionsText"/>
            </w:pPr>
            <w:r>
              <w:t>Pagal Direktyvos 2013/36/ES 129 straipsnio 1 dalį kapitalo apsaugos rezervas yra papildoma bendro 1 lygio nuosavo kapitalo suma. Kadangi kapitalo apsaugos rezervo 2,5 % norma yra pastovi, suma nurodoma šioje eilutėje.</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Apsaugos rezervas, sudarytas dėl valstybės narės lygmeniu nustatytos makroprudencinės rizikos arba sisteminės rizikos </w:t>
            </w:r>
          </w:p>
          <w:p w14:paraId="6B9D8D9B" w14:textId="77777777" w:rsidR="00CC7D2C" w:rsidRPr="002A677E" w:rsidRDefault="00CC7D2C" w:rsidP="00320EFD">
            <w:pPr>
              <w:pStyle w:val="InstructionsText"/>
            </w:pPr>
            <w:r>
              <w:t>Reglamento (ES) Nr. 575/2013 458 straipsnio 2 dalies d punkto iv papunktis</w:t>
            </w:r>
          </w:p>
          <w:p w14:paraId="164E576A" w14:textId="77777777" w:rsidR="00CC7D2C" w:rsidRPr="002A677E" w:rsidRDefault="00CC7D2C" w:rsidP="00320EFD">
            <w:pPr>
              <w:pStyle w:val="InstructionsText"/>
            </w:pPr>
            <w:r>
              <w:t>Šioje eilutėje nurodoma apsaugos rezervo, sudaryto dėl valstybės narės lygmeniu nustatytos makroprudencinės rizikos arba sisteminės rizikos, kurį pagal Reglamento (ES) Nr. 575/2013 458 straipsnį gali būti reikalaujama turėti kartu su kapitalo apsaugos rezervu, suma.</w:t>
            </w:r>
          </w:p>
          <w:p w14:paraId="567C4AC2" w14:textId="77777777" w:rsidR="00CC7D2C" w:rsidRPr="002A677E" w:rsidRDefault="00CC7D2C" w:rsidP="00320EFD">
            <w:pPr>
              <w:pStyle w:val="InstructionsText"/>
            </w:pPr>
            <w:r>
              <w:t>Nurodoma suma atitinka nuosavų lėšų sumą, reikalingą atitinkamiems kapitalo rezervo reikalavimams ataskaitinę dieną įvykdyti.</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Įstaigos specialus anticiklinis kapitalo rezervas </w:t>
            </w:r>
          </w:p>
          <w:p w14:paraId="5911F73C" w14:textId="77777777" w:rsidR="00CC7D2C" w:rsidRPr="002A677E" w:rsidRDefault="00CC7D2C" w:rsidP="00320EFD">
            <w:pPr>
              <w:pStyle w:val="InstructionsText"/>
            </w:pPr>
            <w:r>
              <w:t xml:space="preserve">Direktyvos 2013/36/ES 128 straipsnio 2 punktas, 130 straipsnis ir 135–140 straipsniai </w:t>
            </w:r>
          </w:p>
          <w:p w14:paraId="2146B003" w14:textId="77777777" w:rsidR="00CC7D2C" w:rsidRPr="002A677E" w:rsidRDefault="00CC7D2C" w:rsidP="00320EFD">
            <w:pPr>
              <w:pStyle w:val="InstructionsText"/>
            </w:pPr>
            <w:r>
              <w:t>Nurodoma suma atitinka nuosavų lėšų sumą, reikalingą atitinkamiems kapitalo rezervo reikalavimams ataskaitinę dieną įvykdyti.</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lastRenderedPageBreak/>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Sisteminės rizikos rezervas </w:t>
            </w:r>
          </w:p>
          <w:p w14:paraId="441B636C" w14:textId="77777777" w:rsidR="00CC7D2C" w:rsidRPr="002A677E" w:rsidRDefault="00CC7D2C" w:rsidP="00320EFD">
            <w:pPr>
              <w:pStyle w:val="InstructionsText"/>
            </w:pPr>
            <w:r>
              <w:t xml:space="preserve">Direktyvos 2013/36/ES 128 straipsnio 5 punktas, 133 ir 134 straipsniai </w:t>
            </w:r>
          </w:p>
          <w:p w14:paraId="69C1F43C" w14:textId="77777777" w:rsidR="00CC7D2C" w:rsidRPr="002A677E" w:rsidRDefault="00CC7D2C" w:rsidP="00320EFD">
            <w:pPr>
              <w:pStyle w:val="InstructionsText"/>
            </w:pPr>
            <w:r>
              <w:t>Nurodoma suma atitinka nuosavų lėšų sumą, reikalingą atitinkamiems kapitalo rezervo reikalavimams ataskaitinę dieną įvykdyti.</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Pasaulinės sisteminės svarbos įstaigos rezervas</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t>Direktyvos 2013/36/ES 128 straipsnio 3 punktas ir 131 straipsnis</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Nurodoma suma atitinka nuosavų lėšų sumą, reikalingą atitinkamiems kapitalo rezervo reikalavimams ataskaitinę dieną įvykdyti.</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Kitos sisteminės svarbos įstaigos rezervas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t>Direktyvos 2013/36/ES 128 straipsnio 4 punktas ir 131 straipsnis</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Nurodoma suma atitinka nuosavų lėšų sumą, reikalingą atitinkamiems kapitalo rezervo reikalavimams ataskaitinę dieną įvykdyti.</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Nuosavų lėšų reikalavimai, susiję su II ramsčio koregavimais</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t>Direktyvos 2013/36/ES 104a straipsnio 1 dalis</w:t>
            </w:r>
            <w:r>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Jeigu kompetentinga institucija nusprendžia, kad įstaiga turi dėl II ramsčio reikalavimų apskaičiuoti papildomus nuosavų lėšų reikalavimus, šių papildomų nuosavų lėšų reikalavimų suma nurodoma šioje eilutėje.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Pradinis kapitalas</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t>Direktyvos 2013/36/ES 12 ir 28–31 straipsniai ir Reglamento (ES) Nr. 575/2013 93 straipsnis</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Nuosavos lėšos, nustatomos pagal pastoviąsias pridėtines išlaidas</w:t>
            </w:r>
          </w:p>
          <w:p w14:paraId="0512C5F3" w14:textId="77777777" w:rsidR="00CC7D2C" w:rsidRDefault="00CC7D2C" w:rsidP="00320EFD">
            <w:pPr>
              <w:pStyle w:val="InstructionsText"/>
            </w:pPr>
            <w:r>
              <w:t>Reglamento (ES) Nr. 575/2013 95 straipsnio 2 dalies b punktas, 96 straipsnio 2 dalies b punktas, 97 straipsnis ir 98 straipsnio 1 dalies a punktas</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Nurodoma suma yra lygi nuosavų lėšų reikalavimams pagal pirmiau minėtus straipsnius.</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Ne vidaus pradinės pozicijos</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kurios reikia ribai apskaičiuoti pildant CR GB formą</w:t>
            </w:r>
            <w:r>
              <w:t xml:space="preserve"> pagal šio </w:t>
            </w:r>
            <w:r>
              <w:rPr>
                <w:rStyle w:val="InstructionsTabelleberschrift"/>
                <w:rFonts w:ascii="Times New Roman" w:hAnsi="Times New Roman"/>
                <w:b w:val="0"/>
                <w:sz w:val="24"/>
                <w:u w:val="none"/>
              </w:rPr>
              <w:t xml:space="preserve">įgyvendinimo reglamento 5 straipsnio 5 dalį. Riba apskaičiuojama remiantis pradine pozicija iki perskaičiavimo koeficiento taikymo.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Pozicijos yra laikomos vidaus pozicijomis, kai yra susijusios su valstybėje narėje, kurioje yra įstaiga, esančiomis sandorio šalimis.</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Nukrypstant nuo šio įgyvendinimo reglamento 21 straipsnio 1 dalies a punkto, ši eilutė turi būti visada užpildyta.</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Bendra pradinių pozicijų suma</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kurios reikia ribai apskaičiuoti pildant CR GB formą</w:t>
            </w:r>
            <w:r>
              <w:t xml:space="preserve"> pagal šio </w:t>
            </w:r>
            <w:r>
              <w:rPr>
                <w:rStyle w:val="InstructionsTabelleberschrift"/>
                <w:rFonts w:ascii="Times New Roman" w:hAnsi="Times New Roman"/>
                <w:b w:val="0"/>
                <w:sz w:val="24"/>
                <w:u w:val="none"/>
              </w:rPr>
              <w:t>įgyvendinimo reglamento 5 straipsnio 5 dalį. Riba apskaičiuojama remiantis pradine pozicija iki perskaičiavimo koeficiento taikymo.</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Pozicijos yra laikomos vidaus pozicijomis, kai yra susijusios su valstybėje narėje, kurioje yra įstaiga, esančiomis sandorio šalimis.</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Nukrypstant nuo šio įgyvendinimo reglamento 21 straipsnio 1 dalies a punkto, ši eilutė turi būti visada užpildyta.</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APATINĖS RIBOS KOREGAVIMAS PRIEŠ TAIKANT PEREINAMOJO LAIKOTARPIO VIRŠUTINĘ RIBĄ</w:t>
            </w:r>
          </w:p>
          <w:p w14:paraId="0E5E8397" w14:textId="77777777" w:rsidR="00CC7D2C" w:rsidRPr="002A677E" w:rsidRDefault="00CC7D2C" w:rsidP="00320EFD">
            <w:pPr>
              <w:pStyle w:val="InstructionsText"/>
              <w:rPr>
                <w:rStyle w:val="InstructionsTabelleberschrift"/>
                <w:rFonts w:ascii="Times New Roman" w:hAnsi="Times New Roman"/>
                <w:sz w:val="24"/>
              </w:rPr>
            </w:pPr>
            <w:r>
              <w:t>Įstaigos, kurioms pagal Reglamento (ES) Nr. 575/2013 92 straipsnio 3 dalį taikoma rezultatų apatinė riba, nurodo apatinės ribos koregavimą netaikant pereinamojo laikotarpio viršutinės ribos, nustatytos Reglamento (ES) Nr. 575/2013 465 straipsnio 2 dalyje.</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APATINĖS RIBOS KOREGAVIMAS PRITAIKIUS PEREINAMOJO LAIKOTARPIO VIRŠUTINĘ RIBĄ</w:t>
            </w:r>
          </w:p>
          <w:p w14:paraId="373CB5D0" w14:textId="77777777" w:rsidR="00CC7D2C" w:rsidRDefault="00CC7D2C" w:rsidP="00320EFD">
            <w:pPr>
              <w:pStyle w:val="InstructionsText"/>
              <w:rPr>
                <w:rStyle w:val="InstructionsTabelleberschrift"/>
                <w:rFonts w:ascii="Times New Roman" w:hAnsi="Times New Roman"/>
                <w:sz w:val="24"/>
              </w:rPr>
            </w:pPr>
            <w:r>
              <w:t>Įstaigos, kurioms pagal Reglamento (ES) Nr. 575/2013 92 straipsnio 3 dalį taikoma rezultatų apatinė riba, nurodo apatinės ribos koregavimą pritaikius pereinamojo laikotarpio viršutinę ribą, nustatytą Reglamento (ES) Nr. 575/2013 465 straipsnio 2 dalyje.</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VISUMINIS APATINĖS RIBOS KOREGAVIMAS </w:t>
            </w:r>
          </w:p>
          <w:p w14:paraId="7B9000EF" w14:textId="77777777" w:rsidR="00CC7D2C" w:rsidRPr="002A677E" w:rsidRDefault="00CC7D2C" w:rsidP="00320EFD">
            <w:pPr>
              <w:pStyle w:val="InstructionsText"/>
              <w:rPr>
                <w:rStyle w:val="InstructionsTabelleberschrift"/>
                <w:rFonts w:ascii="Times New Roman" w:hAnsi="Times New Roman"/>
                <w:sz w:val="24"/>
              </w:rPr>
            </w:pPr>
            <w:r>
              <w:t>Įstaigos, kurioms pagal Reglamento (ES) Nr. 575/2013 92 straipsnio 3 dalį taikoma rezultatų apatinė riba, nurodo apatinės ribos koregavimą netaikant jokių pereinamojo laikotarpio priemonių, nustatytų Reglamento (ES) Nr. 575/2013 465 straipsnyje.</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Taikyta rezultatų apatinė riba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Rezultatų apatinė riba, išreikšta procentine dalimi ir taikoma banko apskaičiuojant apatinės ribos koregavimo vertę,</w:t>
            </w:r>
          </w:p>
          <w:p w14:paraId="4826F3C6" w14:textId="77777777" w:rsidR="00CC7D2C" w:rsidRPr="002A677E" w:rsidRDefault="00CC7D2C" w:rsidP="00320EFD">
            <w:pPr>
              <w:pStyle w:val="InstructionsText"/>
              <w:rPr>
                <w:rStyle w:val="InstructionsTabelleberschrift"/>
                <w:rFonts w:ascii="Times New Roman" w:hAnsi="Times New Roman"/>
                <w:sz w:val="24"/>
              </w:rPr>
            </w:pPr>
            <w:r>
              <w:t xml:space="preserve"> t. y. x koeficientą pagal Reglamento (ES) Nr. 575/2013 92 straipsnio 3 dalį ir 465 straipsnio 1 dalį.</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1.6.</w:t>
      </w:r>
      <w:r>
        <w:tab/>
        <w:t>PEREINAMOJO LAIKOTARPIO NUOSTATOS ir PRIEMONĖS, KURIOMS TAIKOMAS TĘSTINUMO PRINCIPAS. PRIEMONĖS, KURIOS NĖRA VALSTYBĖS PAGALBA (CA5)</w:t>
      </w:r>
      <w:bookmarkEnd w:id="46"/>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Bendrosios pastabos</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 xml:space="preserve">CA5 formoje apibendrinami nuosavų lėšų sudedamųjų dalių ir atskaitymų, kuriems taikomos Reglamento (ES) Nr. 575/2013 465–491, 494a ir 494b straipsniuose išdėstytos pereinamojo laikotarpio nuostatos, skaičiavimai. </w:t>
      </w:r>
    </w:p>
    <w:p w14:paraId="5236D7A3" w14:textId="77777777" w:rsidR="00CC7D2C" w:rsidRPr="002A677E" w:rsidRDefault="00CC7D2C" w:rsidP="00886567">
      <w:pPr>
        <w:pStyle w:val="InstructionsText2"/>
        <w:numPr>
          <w:ilvl w:val="0"/>
          <w:numId w:val="0"/>
        </w:numPr>
      </w:pPr>
      <w:r>
        <w:lastRenderedPageBreak/>
        <w:fldChar w:fldCharType="begin"/>
      </w:r>
      <w:r>
        <w:instrText>seq paragraphs</w:instrText>
      </w:r>
      <w:r>
        <w:fldChar w:fldCharType="separate"/>
      </w:r>
      <w:r>
        <w:t>17</w:t>
      </w:r>
      <w:r>
        <w:fldChar w:fldCharType="end"/>
      </w:r>
      <w:r>
        <w:t>.</w:t>
      </w:r>
      <w:r>
        <w:tab/>
        <w:t>CA5 formos struktūra tokia:</w:t>
      </w:r>
    </w:p>
    <w:p w14:paraId="1CFB5D30" w14:textId="77777777" w:rsidR="00CC7D2C" w:rsidRPr="002A677E" w:rsidRDefault="00CC7D2C" w:rsidP="00886567">
      <w:pPr>
        <w:pStyle w:val="InstructionsText2"/>
        <w:numPr>
          <w:ilvl w:val="0"/>
          <w:numId w:val="0"/>
        </w:numPr>
        <w:ind w:left="993"/>
      </w:pPr>
      <w:r>
        <w:t>a)</w:t>
      </w:r>
      <w:r>
        <w:tab/>
        <w:t>CA5.1 formoje apibendrinami visi koregavimai, kuriuos reikia atlikti įvairioms nuosavų lėšų sudedamosioms dalims (jos nurodomos CA1 formoje pagal galutines nuostatas) dėl pereinamojo laikotarpio nuostatų taikymo. Šios formos įrašai pateikiami kaip įvairių CA1 formoje nurodytų kapitalo sudedamųjų dalių koregavimai, taip parodant pereinamojo laikotarpio nuostatų poveikį nuosavų lėšų sudedamosioms dalims.</w:t>
      </w:r>
    </w:p>
    <w:p w14:paraId="7232AD29" w14:textId="77777777" w:rsidR="00CC7D2C" w:rsidRPr="002A677E" w:rsidRDefault="00CC7D2C" w:rsidP="00886567">
      <w:pPr>
        <w:pStyle w:val="InstructionsText2"/>
        <w:numPr>
          <w:ilvl w:val="0"/>
          <w:numId w:val="0"/>
        </w:numPr>
        <w:ind w:left="993"/>
      </w:pPr>
      <w:r>
        <w:t>b)</w:t>
      </w:r>
      <w:r>
        <w:tab/>
        <w:t xml:space="preserve">5.2 formoje pateikiami išsamesni duomenys apie tai, kaip apskaičiuotos tos priemonės, kurioms taikomas tęstinumo principas ir kurios nėra valstybės pagalba.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t>18</w:t>
      </w:r>
      <w:r w:rsidRPr="00624117">
        <w:fldChar w:fldCharType="end"/>
      </w:r>
      <w:r>
        <w:t>.</w:t>
      </w:r>
      <w:r>
        <w:tab/>
        <w:t>Pirmose keturiose skiltyse įstaigos nurodo bendro 1 lygio nuosavo kapitalo, papildomo 1 lygio kapitalo ir 2 lygio kapitalo koregavimus bei sumą, laikytiną pagal riziką įvertintu turtu. Įstaigos 0050 skiltyje taip pat turi nurodyti taikomą procentinę dalį, o 0060 skiltyje – reikalavimus atitinkančią sumą, neatsižvelgiant į pereinamojo laikotarpio nuostatas.</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Įstaigos CA5 formoje duomenis teikia tik tuo laikotarpiu, kurį taikomos pereinamojo laikotarpio nuostatos, nustatytos Reglamento (ES) Nr. 575/2013 dešimtoje dalyje.</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Pagal kai kurias iš pereinamojo laikotarpio nuostatų yra reikalaujamas atskaitymas iš 1 lygio kapitalo. Tokiu atveju, jeigu susidaro likutinė atskaitymo arba atskaitymų iš 1 lygio kapitalo suma ir papildomas 1 lygio kapitalas yra nepakankamas tai sumai atskaityti, ši suma atskaitoma iš CET1.</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PEREINAMOJO LAIKOTARPIO NUOSTATOS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CA5.1 formoje įstaigos palygina, kaip nuosavų lėšų sudedamosioms dalims yra taikomos pereinamojo laikotarpio nuostatos, išdėstytos Reglamento (ES) Nr. 575/2013 465–491, 494a ir 494b straipsniuose, ir galutinės nuostatos, išdėstytos to Reglamento (ES) Nr. 575/2013 antros dalies II antraštinėje dalyje.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0060–0065 eilutėse įstaigos pateikia informaciją apie pereinamojo laikotarpio nuostatų taikymą priemonėms, kurioms taikomas tęstinumo principas. CA5.1 formos 0060 eilutėje nurodomi skaičiai yra susiję su pereinamojo laikotarpio nuostatomis, įtrauktomis į Reglamento (ES) Nr. 575/2013 versiją, taikytą iki 2019 m. birželio 26 d., ir gali būti gauti iš atitinkamų CA5.2 formos skyrių. 0061–0065 eilutėse nurodomas Reglamento (ES) Nr. 575/2013 494a ir 494b straipsnių pereinamojo laikotarpio nuostatų poveikis.</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0070–0092 eilutėse įstaigos pateikia informaciją apie pereinamojo laikotarpio nuostatų taikymą mažumos dalims ir papildomoms 1 lygio bei 2 lygio priemonėms, kurių emitentės yra patronuojamosios įmonės (pagal Reglamento (ES) Nr. 575/2013 479 ir 480 straipsnius).</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Nuo 0100 eilutės įstaigos pateikia informaciją apie pereinamojo laikotarpio nuostatų poveikį, susijusį su nerealizuotu pelnu ir nuostoliais, atskaitymais, taip pat su papildomais filtrais ir atskaitymais bei 9-uoju TFAS.</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Tam tikrais atvejais pereinamojo laikotarpio atskaitymai iš CET1, AT1 arba T2 kapitalo gali viršyti įstaigos CET1, AT1 arba T2 kapitalą. Tas poveikis – jeigu jį lemia pereinamojo laikotarpio nuostatos – parodomas atitinkamuose CA1 formos laukeliuose. Todėl į koregavimus CA5 formos skiltyse neįtraukiamas joks šalutinis poveikis, jeigu kapitalo turima nepakankamai.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lastRenderedPageBreak/>
        <w:t>1.6.2.1.</w:t>
      </w:r>
      <w:r>
        <w:tab/>
        <w:t>Nurodymai dėl konkrečių pozicijų</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Skiltys</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CET1 koregavimai</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AT1 koregavimai</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T2 koregavimai</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Koregavimai, įtraukti į pagal riziką įvertintą turtą (RWA)</w:t>
            </w:r>
          </w:p>
          <w:p w14:paraId="2AB15337" w14:textId="77777777" w:rsidR="00CC7D2C" w:rsidRPr="002A677E" w:rsidRDefault="00CC7D2C" w:rsidP="00320EFD">
            <w:pPr>
              <w:pStyle w:val="InstructionsText"/>
              <w:rPr>
                <w:rStyle w:val="InstructionsTabelleText"/>
                <w:rFonts w:ascii="Times New Roman" w:hAnsi="Times New Roman"/>
                <w:sz w:val="24"/>
              </w:rPr>
            </w:pPr>
            <w:r>
              <w:t>0040 skiltis apima atitinkamas sumas, kuriomis dėl pereinamojo laikotarpio nuostatų koreguojama bendra rizikos pozicijos suma pagal Reglamento (ES) Nr. 575/2013 92 straipsnio 3 dalį.</w:t>
            </w:r>
            <w:r>
              <w:rPr>
                <w:rStyle w:val="InstructionsTabelleText"/>
                <w:rFonts w:ascii="Times New Roman" w:hAnsi="Times New Roman"/>
                <w:sz w:val="24"/>
              </w:rPr>
              <w:t xml:space="preserve"> </w:t>
            </w:r>
            <w:r>
              <w:t>Nurodant sumas atsižvelgiama į pagal Reglamento (ES) Nr. 575/2013 92 straipsnio 4 dalį taikomas trečios dalies II antraštinės dalies 2 ar 3 skyriaus arba trečios dalies IV antraštinės dalies nuostatas.</w:t>
            </w:r>
            <w:r>
              <w:rPr>
                <w:rStyle w:val="InstructionsTabelleText"/>
                <w:rFonts w:ascii="Times New Roman" w:hAnsi="Times New Roman"/>
                <w:sz w:val="24"/>
              </w:rPr>
              <w:t xml:space="preserve"> Vadinasi, pereinamosios sumos, kurioms taikomas trečios dalies II antraštinės dalies 2 ar 3 skyrius, nurodomos kaip pagal riziką įvertintų pozicijų sumos, o pereinamosios sumos, kurioms taikomos trečios dalies IV antraštinės dalies nuostatos, atitinka nuosavų lėšų reikalavimų sumą, padaugintą iš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Kadangi 0010–0030 skiltys yra tiesiogiai susietos su CA1 forma, bendros rizikos pozicijos sumos koregavimai nėra tiesiogiai susieti su atitinkamomis formomis, kuriose pateikiama informacija apie kredito riziką. Jeigu bendros rizikos pozicijos sumos koregavimus reikia atlikti dėl pereinamojo laikotarpio nuostatų, tie koregavimai tiesiogiai įtraukiami į CR SA, CR IRB, CR EQU IRB, MKR SA TDI, MKR SA EQU ar MKR IM formas. Be to, jų poveikis nurodomas CA5.1 formos 0040 skiltyje. Todėl šios sumos yra tik papildomi straipsniai.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Taikoma procentinė dalis</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Reikalavimus atitinkanti suma neatsižvelgiant į pereinamojo laikotarpio nuostatas</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Šioje skiltyje įrašoma kiekvienos priemonės suma iki pereinamojo laikotarpio nuostatų taikymo, t. y. bazinė suma, pagal kurią skaičiuojami koregavimai.</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Eilutės</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Bendra koregavimų suma</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Šioje eilutėje pažymimas bendras pereinamojo laikotarpio koregavimų poveikis įvairių rūšių kapitalui, taip pat įtraukiamos dėl tų koregavimų susidariusios pagal riziką įvertintos sumos.</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Priemonės, kurioms taikomas tęstinumo principas</w:t>
            </w:r>
          </w:p>
          <w:p w14:paraId="5D53743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Reglamento (ES) Nr. 575/2013 483–491 straipsniai</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lastRenderedPageBreak/>
              <w:t>Šioje eilutėje parodomas bendras pereinamuoju laikotarpiu likusių galioti skirtingų rūšių kapitalui skirtų priemonių poveikis.</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Priemonės, kurios nėra valstybės pagalba</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Nurodoma suma yra perkeliama iš CA5.2 formos 060 skilties.</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Per specialiosios paskirties įmones išleistos priemonės</w:t>
            </w:r>
          </w:p>
          <w:p w14:paraId="28A4DB45"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 xml:space="preserve">Reglamento (ES) Nr. 575/2013 </w:t>
            </w:r>
            <w:r>
              <w:rPr>
                <w:rStyle w:val="InstructionsTabelleberschrift"/>
                <w:rFonts w:ascii="Times New Roman" w:hAnsi="Times New Roman"/>
                <w:b w:val="0"/>
                <w:sz w:val="24"/>
                <w:u w:val="none"/>
              </w:rPr>
              <w:t>494a straipsnis</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Iki 2019 m. birželio 27 d. išleistos priemonės, kurios neatitinka tinkamumo kriterijų, susijusių su nurašymo ir konvertavimo įgaliojimais pagal Direktyvos 2014/59/ES 59 straipsnį, arba kurioms taikomi įskaitymo ar užskaitos susitarimai</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Reglamento (ES) Nr. 575/2013 494b straipsnis</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Įstaigos nurodo priemonių, kurios patenka į Reglamento (ES) Nr. 575/2013 494b straipsnio taikymo sritį, bet neatitinka vieno ar kelių to reglamento 52 straipsnio 1 dalies p, q ir r punktuose arba to reglamento 63 straipsnio n, o ir p punktuose (nelygu, kas taikoma) nustatytų tinkamumo kriterijų, sumą</w:t>
            </w:r>
          </w:p>
          <w:p w14:paraId="26471CE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2 lygio priemonių, atitinkančių kriterijus pagal Reglamento (ES) Nr. 575/2013 494b straipsnio 2 dalį, atveju paisoma to reglamento 64 straipsnio amortizavimo nuostatų.</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dalis, kurią atitinka: priemonės, kurių, naudojantis įgaliojimais pagal Direktyvos 2014/59/ES 59 straipsnį, nei teisiškai, nei pagal sutartį neprivaloma nei nurašyti, nei konvertuoti</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Reglamento (ES) Nr. 575/2013 494b straipsnis, 52 straipsnio 1 dalies p punktas ir 63 straipsnio n punktas</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Įstaigos nurodo priemonių, kurios patenka į Reglamento (ES) Nr. 575/2013 494b straipsnio taikymo sritį, bet neatitinka to reglamento 52 straipsnio 1 dalies p punkte arba to reglamento 63 straipsnio n punkte (nelygu, kas taikoma) nustatytų tinkamumo kriterijų, sumą.</w:t>
            </w:r>
          </w:p>
          <w:p w14:paraId="6243954E"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Tai taip pat apima priemones, kurios, be kita ko, neatitinka Reglamento (ES) Nr. 575/2013 52 straipsnio 1 dalies q arba r punkte arba 63 straipsnio o arba p punkte (nelygu, kas taikoma) nustatytų tinkamumo kriterijų.</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dalis, kurią atitinka: priemonės, kurioms taikoma trečiųjų valstybių teisė be veiksmingo naudojimosi Direktyvos 2014/59/ES 59 straipsnio įgaliojimais ir jų vykdymo užtikrinimo galimybės</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Reglamento (ES) Nr. 575/2013 494b straipsnis, 52 straipsnio 1 dalies q punktas ir 63 straipsnio o punktas</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Įstaigos nurodo priemonių, kurios patenka į Reglamento (ES) Nr. 575/2013 494b straipsnio taikymo sritį, bet neatitinka to reglamento 52 straipsnio 1 dalies q punkte arba to reglamento 63 straipsnio o punkte (nelygu, kas taikoma) nustatytų tinkamumo kriterijų, sumą.</w:t>
            </w:r>
          </w:p>
          <w:p w14:paraId="6BD5AA7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lastRenderedPageBreak/>
              <w:t>Tai taip pat apima priemones, kurios, be kita ko, neatitinka Reglamento (ES) Nr. 575/2013 52 straipsnio 1 dalies p arba r punkte arba 63 straipsnio n arba p punkte (nelygu, kas taikoma) nustatytų tinkamumo kriterijų.</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dalis, kurią atitinka: priemonės, kurioms taikomi įskaitymo ar užskaitos susitarimai</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Reglamento (ES) Nr. 575/2013 494b straipsnis, 52 straipsnio 1 dalies r punktas ir 63 straipsnio p punktas</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Įstaigos nurodo priemonių, kurios patenka į Reglamento (ES) Nr. 575/2013 494b straipsnio taikymo sritį, bet neatitinka to reglamento 52 straipsnio 1 dalies r punkte arba to reglamento 63 straipsnio p punkte (nelygu, kas taikoma) nustatytų tinkamumo kriterijų, sumą.</w:t>
            </w:r>
          </w:p>
          <w:p w14:paraId="55CA01D9"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Tai taip pat apima priemones, kurios, be kita ko, neatitinka Reglamento (ES) Nr. 575/2013 52 straipsnio 1 dalies p arba q punkte arba 63 straipsnio n arba o punkte (nelygu, kas taikoma) nustatytų tinkamumo kriterijų.</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Mažumos dalys ir lygiavertės priemonės</w:t>
            </w:r>
          </w:p>
          <w:p w14:paraId="43EE34B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Reglamento (ES) Nr. 575/2013 479 ir 480 straipsniai</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Šioje eilutėje parodomas pereinamojo laikotarpio nuostatų poveikis mažumos dalims, kurios gali būti laikomos bendru 1 lygio kapitalu, kvalifikuotosioms 1 lygio priemonėms, kurios gali būti laikomos konsoliduotu papildomu 1 lygio kapitalu, ir kvalifikuotosioms nuosavoms lėšoms, kurios gali būti laikomos konsoliduotu 2 lygio kapitalu.</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Kapitalo priemonės ir straipsniai, nesudarantys mažumos dalių</w:t>
            </w:r>
          </w:p>
          <w:p w14:paraId="0C0141BB" w14:textId="77777777" w:rsidR="00CC7D2C" w:rsidRPr="002A677E" w:rsidRDefault="00CC7D2C" w:rsidP="00320EFD">
            <w:pPr>
              <w:pStyle w:val="InstructionsText"/>
              <w:rPr>
                <w:rStyle w:val="InstructionsTabelleText"/>
                <w:rFonts w:ascii="Times New Roman" w:hAnsi="Times New Roman"/>
                <w:bCs/>
                <w:sz w:val="24"/>
              </w:rPr>
            </w:pPr>
            <w:r>
              <w:t>Reglamento (ES) Nr. 575/2013 479 straipsnis</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Šios eilutės 060 skiltyje nurodoma suma, kuri atitinka konsoliduotų rezervų reikalavimus pagal ankstesnį reglamentavimą.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Mažumos dalių pripažinimas pereinamuoju laikotarpiu konsoliduotomis nuosavomis lėšomis</w:t>
            </w:r>
          </w:p>
          <w:p w14:paraId="3BF8A481" w14:textId="77777777" w:rsidR="00CC7D2C" w:rsidRPr="002A677E" w:rsidRDefault="00CC7D2C" w:rsidP="00320EFD">
            <w:pPr>
              <w:pStyle w:val="InstructionsText"/>
              <w:rPr>
                <w:rStyle w:val="InstructionsTabelleText"/>
                <w:rFonts w:ascii="Times New Roman" w:hAnsi="Times New Roman"/>
                <w:sz w:val="24"/>
              </w:rPr>
            </w:pPr>
            <w:r>
              <w:t>Reglamento (ES) Nr. 575/2013 84 ir 480 straipsniai</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Šios eilutės 0060 skiltyje nurodoma suma yra reikalavimus atitinkanti suma nepritaikius pereinamojo laikotarpio nuostatų.</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Kvalifikuotojo papildomo 1 lygio kapitalo pripažinimas pereinamuoju laikotarpiu konsoliduotomis nuosavomis lėšomis</w:t>
            </w:r>
          </w:p>
          <w:p w14:paraId="4A315E24" w14:textId="77777777" w:rsidR="00CC7D2C" w:rsidRPr="002A677E" w:rsidRDefault="00CC7D2C" w:rsidP="00320EFD">
            <w:pPr>
              <w:pStyle w:val="InstructionsText"/>
              <w:rPr>
                <w:rStyle w:val="InstructionsTabelleText"/>
                <w:rFonts w:ascii="Times New Roman" w:hAnsi="Times New Roman"/>
                <w:sz w:val="24"/>
              </w:rPr>
            </w:pPr>
            <w:r>
              <w:t>Reglamento (ES) Nr. 575/2013 85 ir 480 straipsniai</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Šios eilutės 0060 skiltyje nurodoma suma yra reikalavimus atitinkanti suma nepritaikius pereinamojo laikotarpio nuostatų.</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Kvalifikuotojo 2 lygio kapitalo pripažinimas pereinamuoju laikotarpiu konsoliduotomis nuosavomis lėšomis</w:t>
            </w:r>
          </w:p>
          <w:p w14:paraId="16966D71" w14:textId="77777777" w:rsidR="00CC7D2C" w:rsidRPr="002A677E" w:rsidRDefault="00CC7D2C" w:rsidP="00320EFD">
            <w:pPr>
              <w:pStyle w:val="InstructionsText"/>
              <w:rPr>
                <w:rStyle w:val="InstructionsTabelleText"/>
                <w:rFonts w:ascii="Times New Roman" w:hAnsi="Times New Roman"/>
                <w:sz w:val="24"/>
              </w:rPr>
            </w:pPr>
            <w:r>
              <w:t>Reglamento (ES) Nr. 575/2013 87 ir 480 straipsniai</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Šios eilutės 0060 skiltyje nurodoma suma yra reikalavimus atitinkanti suma nepritaikius pereinamojo laikotarpio nuostatų.</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Kiti pereinamojo laikotarpio koregavimai</w:t>
            </w:r>
          </w:p>
          <w:p w14:paraId="632B4D61"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Reglamento (ES) Nr. 575/2013 468–478 ir 481 straipsniai</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Šioje eilutėje parodomas bendras pereinamojo laikotarpio koregavimų poveikis įvairių rūšių kapitalo atskaitymui, nerealizuotam pelnui ir nuostoliams, papildomiems filtrams ir atskaitymams, taip pat įtraukiamos pagal riziką įvertintos sumos, susidariusios dėl tų koregavimų.</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Centrinės valdžios, regioninės ir vietos valdžios institucijų ir viešojo sektoriaus subjektų tam tikrų skolos pozicijų nerealizuotas pelnas ir nuostoliai</w:t>
            </w:r>
          </w:p>
          <w:p w14:paraId="1495FA2D" w14:textId="77777777" w:rsidR="00CC7D2C" w:rsidRPr="002A677E" w:rsidRDefault="00CC7D2C" w:rsidP="00320EFD">
            <w:pPr>
              <w:pStyle w:val="InstructionsText"/>
              <w:rPr>
                <w:rStyle w:val="InstructionsTabelleberschrift"/>
                <w:rFonts w:ascii="Times New Roman" w:hAnsi="Times New Roman"/>
                <w:sz w:val="24"/>
              </w:rPr>
            </w:pPr>
            <w:r>
              <w:t>Reglamento (ES) Nr. 575/2013 468 straipsnis</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dalis, kurią atitinka: A suma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t>Suma A, apskaičiuota pagal Reglamento (ES) Nr. 575/2013 468 straipsnio 1 dalyje nurodytą formulę.</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Atskaitymai</w:t>
            </w:r>
          </w:p>
          <w:p w14:paraId="51CECA1B"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Reglamento (ES) Nr. 575/2013 36 straipsnio 1 dalis ir 469–478 straipsniai</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Šioje eilutėje pažymimas bendras pereinamojo laikotarpio nuostatų poveikis atskaitymams.</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Atidėtųjų mokesčių turtas, kuris priklauso nuo būsimo pelningumo ir susidaro ne dėl laikinųjų skirtumų</w:t>
            </w:r>
          </w:p>
          <w:p w14:paraId="08D3639D" w14:textId="77777777" w:rsidR="00CC7D2C" w:rsidRPr="002A677E" w:rsidRDefault="00CC7D2C" w:rsidP="00320EFD">
            <w:pPr>
              <w:pStyle w:val="InstructionsText"/>
              <w:rPr>
                <w:rStyle w:val="InstructionsTabelleText"/>
                <w:rFonts w:ascii="Times New Roman" w:hAnsi="Times New Roman"/>
                <w:sz w:val="24"/>
              </w:rPr>
            </w:pPr>
            <w:r>
              <w:t>Reglamento (ES) Nr. 575/2013 36 straipsnio 1 dalies c punktas, 469 straipsnio 1 dalis, 472 straipsnio 5 dalis ir 478 straipsnis</w:t>
            </w:r>
          </w:p>
          <w:p w14:paraId="30A136AF" w14:textId="77777777" w:rsidR="00CC7D2C" w:rsidRPr="002A677E" w:rsidRDefault="00CC7D2C" w:rsidP="00320EFD">
            <w:pPr>
              <w:pStyle w:val="InstructionsText"/>
              <w:rPr>
                <w:rStyle w:val="InstructionsTabelleText"/>
                <w:rFonts w:ascii="Times New Roman" w:hAnsi="Times New Roman"/>
                <w:sz w:val="24"/>
              </w:rPr>
            </w:pPr>
            <w:r>
              <w:t>Nustatydamos, kokią pirmiau paminėto atidėtųjų mokesčių turto sumą atskaityti, įstaigos turi atsižvelgti į Reglamento (ES) Nr. 575/2013 38 straipsnio nuostatas dėl atidėtųjų mokesčių turto mažinimo atidėtųjų mokesčių įsipareigojimų suma.</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Šios eilutės 0060 skiltyje nurodoma suma: </w:t>
            </w:r>
            <w:r>
              <w:t>bendra suma pagal Reglamento (ES) Nr. 575/2013 469 straipsnio 1 dalį.</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Atidėtųjų mokesčių turtas, kuris priklauso nuo būsimo pelningumo ir susidaro dėl laikinųjų skirtumų, ir finansų sektoriaus subjektų, kuriuose įstaiga turi reikšmingų investicijų, CET1 priemonės</w:t>
            </w:r>
          </w:p>
          <w:p w14:paraId="308D07D4" w14:textId="77777777" w:rsidR="00CC7D2C" w:rsidRPr="002A677E" w:rsidRDefault="00CC7D2C" w:rsidP="00320EFD">
            <w:pPr>
              <w:pStyle w:val="InstructionsText"/>
              <w:rPr>
                <w:rStyle w:val="InstructionsTabelleText"/>
                <w:rFonts w:ascii="Times New Roman" w:hAnsi="Times New Roman"/>
                <w:sz w:val="24"/>
              </w:rPr>
            </w:pPr>
            <w:r>
              <w:t>Reglamento (ES) Nr. 575/2013 470 straipsnio 2 ir 3 dalys</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Šios eilutės 0060 skiltyje nurodoma suma pagal </w:t>
            </w:r>
            <w:r>
              <w:t>Reglamento (ES) Nr. 575/2013 470 straipsnio 1 dalį.</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Atidėtųjų mokesčių turtas, kuris priklauso nuo būsimo pelningumo ir susidaro dėl laikinųjų skirtumų</w:t>
            </w:r>
          </w:p>
          <w:p w14:paraId="6C5EEFFD" w14:textId="77777777" w:rsidR="00CC7D2C" w:rsidRPr="002A677E" w:rsidRDefault="00CC7D2C" w:rsidP="00320EFD">
            <w:pPr>
              <w:pStyle w:val="InstructionsText"/>
              <w:rPr>
                <w:rStyle w:val="InstructionsTabelleText"/>
                <w:rFonts w:ascii="Times New Roman" w:hAnsi="Times New Roman"/>
                <w:bCs/>
                <w:sz w:val="24"/>
              </w:rPr>
            </w:pPr>
            <w:r>
              <w:t>Reglamento (ES) Nr. 575/2013 469 straipsnio 1 dalies c punktas, 472 straipsnio 5 dalis ir 478 straipsnis</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t>Atidėtųjų mokesčių turto, kuris priklauso nuo būsimo pelningumo ir susidaro dėl laikinųjų skirtumų, dalis, viršijanti 10 % ribą, nustatytą Reglamento (ES) Nr. 575/2013 470 straipsnio 2 dalies a punkte.</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Draudimo bendrovėse turimų nuosavo kapitalo dalių atskaitymo iš CET1 straipsnių išimtis</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t>Reglamento (ES) Nr. 575/2013 471 straipsnis</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Papildomi filtrai ir atskaitymai</w:t>
            </w:r>
          </w:p>
          <w:p w14:paraId="4A80E244"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Reglamento (ES) Nr. 575/2013 481 straipsnis</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Šioje eilutėje parodomas bendras pereinamojo laikotarpio nuostatų poveikis papildomiems filtrams ir atskaitymams.</w:t>
            </w:r>
          </w:p>
          <w:p w14:paraId="204FEDF5" w14:textId="77777777" w:rsidR="00CC7D2C" w:rsidRPr="002A677E" w:rsidRDefault="00CC7D2C" w:rsidP="00320EFD">
            <w:pPr>
              <w:pStyle w:val="InstructionsText"/>
              <w:rPr>
                <w:rStyle w:val="InstructionsTabelleText"/>
                <w:rFonts w:ascii="Times New Roman" w:hAnsi="Times New Roman"/>
                <w:sz w:val="24"/>
              </w:rPr>
            </w:pPr>
            <w:r>
              <w:t>Pagal Reglamento (ES) Nr. 575/2013 481 straipsnį įstaigos 1.3.3 straipsnyje turi pateikti informaciją apie filtrus ir atskaitymus, būtinus pagal Direktyvos 2006/48/EB 57 ir 66 straipsnių ir Direktyvos 2006/49/EB 13 ir 16 straipsnių perkėlimo į nacionalinę teisę priemones, bet neprivalomus pagal antrą dalį.</w:t>
            </w:r>
            <w:r>
              <w:rPr>
                <w:rStyle w:val="InstructionsTabelleText"/>
                <w:rFonts w:ascii="Times New Roman" w:hAnsi="Times New Roman"/>
                <w:sz w:val="24"/>
              </w:rPr>
              <w:t xml:space="preserve">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1.6.3.</w:t>
      </w:r>
      <w:r>
        <w:rPr>
          <w:u w:val="none"/>
        </w:rPr>
        <w:tab/>
      </w:r>
      <w:r>
        <w:t>C 05.02. PRIEMONĖS, KURIOMS TAIKOMAS TĘSTINUMO PRINCIPAS, KURIOS NĖRA VALSTYBĖS PAGALBA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Įstaigos pateikia informaciją apie pereinamojo laikotarpio nuostatų taikymą priemonėms, kurioms taikomas tęstinumo principas, kurios nėra valstybės pagalba (Reglamento (ES) Nr. 575/2013 484–491 straipsniai).</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rPr>
          <w:u w:val="none"/>
        </w:rPr>
        <w:tab/>
      </w:r>
      <w:r>
        <w:t>Nurodymai dėl konkrečių pozicijų</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Skiltys</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Priemonių suma ir susiję akcijų priedai</w:t>
            </w:r>
          </w:p>
          <w:p w14:paraId="57EE6D2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484 straipsnio 3, 4 ir 5 dalys</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Priemonės, kurias pagal nustatytus kriterijus reikia įrašyti kiekvienoje eilutėje, įskaitant su jomis susijusius akcijų priedus.</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Apribojimo apskaičiavimo pagrindas</w:t>
            </w:r>
          </w:p>
          <w:p w14:paraId="02F52F4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486 straipsnio 2, 3 ir 4 dalys</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Taikoma procentinė dalis</w:t>
            </w:r>
          </w:p>
          <w:p w14:paraId="775F53AC"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486 straipsnio 5 dalis</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Apribojimas</w:t>
            </w:r>
          </w:p>
          <w:p w14:paraId="3094B820"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486 straipsnio 2–5 dalys</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Suma, kuri viršija tęstinumo ribą</w:t>
            </w:r>
          </w:p>
          <w:p w14:paraId="70C8059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486 straipsnio 2–5 dalys</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Bendra priemonių, kurioms taikomas tęstinumo principas, suma</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Nurodoma suma yra lygi atitinkamose CA5.1 formos 060 eilutės skiltyse nurodytoms sumoms.</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Eilutės</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Priemonės, kurioms buvo galima taikyti Direktyvos 2006/48/EB 57 straipsnio a punktą</w:t>
            </w:r>
          </w:p>
          <w:p w14:paraId="532731B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484 straipsnio 3 dalis</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Priemonės, kurioms buvo galima taikyti Direktyvos 2006/48/EB 57 straipsnio ca punktą ir 154 straipsnio 8 ir 9 dalis ir kurioms nustatytas Reglamento (ES) Nr. 575/2013 489 straipsnyje nurodytas apribojimas</w:t>
            </w:r>
          </w:p>
          <w:p w14:paraId="51F58E3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484 straipsnio 4 dalis</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Bendra priemonių, kurių negali būti pareikalauta arba kurių neskatinama išpirkti, suma</w:t>
            </w:r>
          </w:p>
          <w:p w14:paraId="040CC4ED"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Reglamento (ES) Nr. 575/2013 484 straipsnio 4 dalis ir 489 straipsnis</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Priemonės, kurioms taikomas tęstinumo principas, kurių gali būti pareikalauta ir kurias gali būti skatinama išpirkti</w:t>
            </w:r>
          </w:p>
          <w:p w14:paraId="31393B5C"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Reglamento (ES) Nr. 575/2013 489 straipsnis</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Priemonės, kurių gali būti pareikalauta po ataskaitinės datos ir kurios pasibaigus efektyviajam terminui atitinka Reglamento (ES) Nr. 575/2013 52 straipsnyje nustatytas sąlygas</w:t>
            </w:r>
          </w:p>
          <w:p w14:paraId="59A4A4EB"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lastRenderedPageBreak/>
              <w:t>Reglamento (ES) Nr. 575/2013 489 straipsnio 3 dalis ir 491 straipsnio a punktas</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Priemonės, kurių gali būti pareikalauta po ataskaitinės datos ir kurios pasibaigus efektyviajam terminui neatitinka Reglamento (ES) Nr. 575/2013 52 straipsnyje nustatytų sąlygų</w:t>
            </w:r>
          </w:p>
          <w:p w14:paraId="048F329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489 straipsnio 5 dalis ir 491 straipsnio a punktas</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Priemonės, kurių galėjo būti pareikalauta iki 2011 m. liepos 20 d. imtinai ir kurios pasibaigus efektyviajam terminui neatitinka Reglamento (ES) Nr. 575/2013 52 straipsnyje nustatytų sąlygų</w:t>
            </w:r>
          </w:p>
          <w:p w14:paraId="7B8E2D4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489 straipsnio 6 dalis ir 491 straipsnio c punktas</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CET1 priemonėms, kurioms taikomas tęstinumo principas, nustatyto apribojimo perviršis</w:t>
            </w:r>
          </w:p>
          <w:p w14:paraId="021928E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487 straipsnio 1 dalis</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CET1 priemonėms, kurioms taikomas tęstinumo principas, nustatytą ribą viršijančios priemonės gali būti priskiriamos prie priemonių, kurios gali toliau galioti kaip AT1 priemonės.</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Straipsniai, kuriems buvo galima taikyti Direktyvos 2006/48/EB 57 straipsnio e, f, g arba h punktą laikantis Reglamento (ES) Nr. 575/2013 490 straipsnyje nustatyto apribojimo</w:t>
            </w:r>
          </w:p>
          <w:p w14:paraId="284C24AA"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Reglamento (ES) Nr. 575/2013 484 straipsnio 5 dalis</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Bendra straipsnių, kuriems netaikoma paskata išpirkti, suma</w:t>
            </w:r>
          </w:p>
          <w:p w14:paraId="3A4F871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490 straipsnis</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Straipsniai, kuriems taikomas tęstinumo principas ir kuriems taikoma paskata išpirkti</w:t>
            </w:r>
          </w:p>
          <w:p w14:paraId="773B0F0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lastRenderedPageBreak/>
              <w:t>Reglamento (ES) Nr. 575/2013 490 straipsnis</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Straipsniai, kurių gali būti pareikalauta po ataskaitinės datos ir kurie pasibaigus efektyviajam terminui atitinka Reglamento (ES) Nr. 575/2013 63 straipsnyje nustatytas sąlygas</w:t>
            </w:r>
          </w:p>
          <w:p w14:paraId="78E9816A"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490 straipsnio 3 dalis ir 491 straipsnio a punktas</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Straipsniai, kurių gali būti pareikalauta po ataskaitinės datos ir kurie pasibaigus efektyviajam terminui neatitinka Reglamento (ES) Nr. 575/2013 63 straipsnyje nustatytų sąlygų</w:t>
            </w:r>
          </w:p>
          <w:p w14:paraId="42333F8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490 straipsnio 5 dalis ir 491 straipsnio a punktas</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Straipsniai, kurių galėjo būti pareikalauta iki 2011 m. liepos 20 d. imtinai ir kurie pasibaigus efektyviajam terminui neatitinka Reglamento (ES) Nr. 575/2013 63 straipsnyje nustatytų sąlygų</w:t>
            </w:r>
          </w:p>
          <w:p w14:paraId="4D02A052"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Reglamento (ES) Nr. 575/2013 490 straipsnio 6 dalis ir 491 straipsnio c punktas</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Į nurodomą sumą turi būti įtraukti susiję akcijų priedai.</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AT1 priemonėms, kurioms taikomas tęstinumo principas, nustatyto apribojimo perviršis</w:t>
            </w:r>
          </w:p>
          <w:p w14:paraId="5B5CC60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 xml:space="preserve">Reglamento (ES) Nr. 575/2013 487 straipsnio 2 dalis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AT1 priemonėms, kurioms taikomas tęstinumo principas, nustatytą apribojimą viršijančios priemonės gali būti priskiriamos prie priemonių, kurios gali toliau galioti kaip T2 priemonės.</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rPr>
          <w:color w:val="444444"/>
        </w:rPr>
        <w:tab/>
        <w:t>2014 m. sausio 7 d. Komisijos deleguotasis reglamentas (ES) Nr. 241/2014, kuriuo papildomos Europos Parlamento ir Tarybos reglamento (ES) Nr. 575/2013 nuostatos, susijusios su įstaigų nuosavų lėšų reikalavimų techniniais reguliavimo standartais (OL L 74, 2014 3 14, p. 8)</w:t>
      </w:r>
      <w:r>
        <w:rPr>
          <w:rStyle w:val="Emphasis"/>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86F67"/>
    <w:rsid w:val="009D5CC6"/>
    <w:rsid w:val="00A6002C"/>
    <w:rsid w:val="00A63F48"/>
    <w:rsid w:val="00A8011A"/>
    <w:rsid w:val="00A85510"/>
    <w:rsid w:val="00A94A24"/>
    <w:rsid w:val="00AE747F"/>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lt-LT"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lt-LT"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lt-LT"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lt-LT"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lt-LT"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lt-LT"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lt-L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lt-LT"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lt-LT"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lt-LT"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lt-LT"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lt-LT"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lt-LT"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lt-LT"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lt-LT"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lt-LT"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lt-LT"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lt-LT"/>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lt-LT"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6B189C-1D52-4078-94CC-61BF93D4A360}"/>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67</Pages>
  <Words>22843</Words>
  <Characters>120387</Characters>
  <Application>Microsoft Office Word</Application>
  <DocSecurity>0</DocSecurity>
  <Lines>3168</Lines>
  <Paragraphs>2046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2025-01-27T08:44:10Z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7d395802-fbdb-485b-9c85-9dced3e39e26</vt:lpwstr>
  </property>
  <property fmtid="{D5CDD505-2E9C-101B-9397-08002B2CF9AE}" pid="10" name="MSIP_Label_6bd9ddd1-4d20-43f6-abfa-fc3c07406f94_ContentBits">
    <vt:lpwstr>0</vt:lpwstr>
  </property>
</Properties>
</file>