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RO</w:t>
      </w:r>
      <w:r>
        <w:t xml:space="preserve"> </w:t>
      </w:r>
      <w:r>
        <w:br/>
      </w:r>
      <w:r>
        <w:rPr>
          <w:rFonts w:ascii="Times New Roman" w:hAnsi="Times New Roman"/>
          <w:b/>
          <w:sz w:val="24"/>
        </w:rPr>
        <w:t>ANEXA VIII</w:t>
      </w:r>
    </w:p>
    <w:p w14:paraId="7586364F" w14:textId="77777777" w:rsidR="00923A16" w:rsidRPr="0062077A" w:rsidRDefault="00923A16" w:rsidP="00845EB1">
      <w:pPr>
        <w:jc w:val="center"/>
        <w:rPr>
          <w:rFonts w:ascii="Times New Roman" w:hAnsi="Times New Roman"/>
          <w:b/>
          <w:sz w:val="24"/>
          <w:lang w:val="fr-BE"/>
        </w:rPr>
      </w:pPr>
    </w:p>
    <w:p w14:paraId="38DE6923" w14:textId="77777777" w:rsidR="00923A16" w:rsidRPr="0062077A" w:rsidRDefault="00923A16" w:rsidP="00845EB1">
      <w:pPr>
        <w:jc w:val="center"/>
        <w:rPr>
          <w:rFonts w:ascii="Times New Roman" w:hAnsi="Times New Roman"/>
          <w:b/>
          <w:sz w:val="24"/>
          <w:lang w:val="fr-BE"/>
        </w:rPr>
      </w:pPr>
    </w:p>
    <w:p w14:paraId="60311301" w14:textId="6E170F77" w:rsidR="0040604D" w:rsidRPr="0068244B" w:rsidRDefault="00515147" w:rsidP="00845EB1">
      <w:pPr>
        <w:jc w:val="center"/>
        <w:rPr>
          <w:b/>
          <w:u w:val="single"/>
        </w:rPr>
      </w:pPr>
      <w:r>
        <w:rPr>
          <w:b/>
          <w:u w:val="single"/>
        </w:rPr>
        <w:t>„ANEXA XXI</w:t>
      </w:r>
    </w:p>
    <w:p w14:paraId="55B2E7E1" w14:textId="45F1B4D9" w:rsidR="0040604D" w:rsidRPr="0068244B" w:rsidRDefault="0040604D" w:rsidP="00D02291">
      <w:pPr>
        <w:jc w:val="center"/>
        <w:rPr>
          <w:b/>
        </w:rPr>
      </w:pPr>
      <w:r>
        <w:rPr>
          <w:b/>
        </w:rPr>
        <w:t>INSTRUCȚIUNI DE COMPLETARE A FORMULARULUI PRIVIND CONCENTRAREA CAPACITĂȚII DE COMPENSARE (C 71.00) DIN ANEXA XX</w:t>
      </w:r>
    </w:p>
    <w:p w14:paraId="4B767D67" w14:textId="77777777" w:rsidR="0040604D" w:rsidRPr="0068244B" w:rsidRDefault="0040604D" w:rsidP="00845EB1">
      <w:pPr>
        <w:pStyle w:val="InstructionsText"/>
      </w:pPr>
    </w:p>
    <w:p w14:paraId="1BB5AA04" w14:textId="61EDA49D" w:rsidR="00E05204" w:rsidRPr="0068244B" w:rsidRDefault="00E05204" w:rsidP="00E05204">
      <w:pPr>
        <w:rPr>
          <w:rFonts w:ascii="Times New Roman" w:hAnsi="Times New Roman"/>
          <w:sz w:val="24"/>
          <w:u w:val="single"/>
        </w:rPr>
      </w:pPr>
      <w:r>
        <w:rPr>
          <w:rFonts w:ascii="Times New Roman" w:hAnsi="Times New Roman"/>
          <w:sz w:val="24"/>
          <w:u w:val="single"/>
        </w:rPr>
        <w:t>Concentrarea capacității de compensare în funcție de emitent/contraparte (CCC) (C</w:t>
      </w:r>
      <w:r w:rsidR="0062077A">
        <w:rPr>
          <w:rFonts w:ascii="Times New Roman" w:hAnsi="Times New Roman"/>
          <w:sz w:val="24"/>
          <w:u w:val="single"/>
        </w:rPr>
        <w:t> </w:t>
      </w:r>
      <w:r>
        <w:rPr>
          <w:rFonts w:ascii="Times New Roman" w:hAnsi="Times New Roman"/>
          <w:sz w:val="24"/>
          <w:u w:val="single"/>
        </w:rPr>
        <w:t>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Pentru a colecta informații despre concentrarea capacității de compensare a instituțiilor raportoare pe cele zece cele mai mari dețineri de active sau de linii de lichidități acordate instituției în acest scop în cadrul formularului C 71.00, instituțiile aplică instrucțiunile cuprinse în prezenta anexă.</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În cazul în care unui emitent sau unei contrapărți i se atribuie mai multe tipuri de produs, monede sau niveluri de calitate a creditului, se raportează cuantumul total. Tipul de produs, moneda sau nivelul de calitate a creditului care trebuie raportate sunt cele care prezintă relevanță pentru cea mai mare parte din concentrarea capacității de compensare.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Capacitatea de compensare din formularul C 71.00 trebuie să fie aceeași cu cea din formularul C 66.01, cu condiția ca activele raportate ca reprezentând capacitate de compensare în sensul formularului C</w:t>
      </w:r>
      <w:r>
        <w:t xml:space="preserve"> </w:t>
      </w:r>
      <w:r>
        <w:rPr>
          <w:rFonts w:ascii="Times New Roman" w:hAnsi="Times New Roman"/>
          <w:sz w:val="24"/>
        </w:rPr>
        <w:t>71.00 să fie negrevate de sarcini și disponibile pentru ca instituția să le transforme în numerar la data de referință a raportării.</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Pentru calcularea concentrărilor în scopul formularului de raportare C 71.00 în funcție de moneda semnificativă, instituțiile utilizează concentrările în toate monedele.</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În cazul în care un emitent sau o contraparte aparține mai multor grupuri de clienți aflați în legătură, acesta (aceasta) trebuie raportat(ă) doar o singură dată în grupul cu cea mai ridicată concentrare a capacității de compensare.</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Cu excepția rândului 0120, concentrările capacității de compensare cu o bancă centrală în calitate de emitent sau de contraparte nu se raportează în acest formular. În cazul în care o instituție are active pre-poziționate la o bancă centrală pentru operațiuni standard cu lichidități și în măsura în care aceste active intră în categoria primilor zece emitenți sau primelor zece contrapărți ale capacității de compensare negrevate de sarcini, instituția raportează emitentul inițial și tipul de produs original.</w:t>
      </w:r>
    </w:p>
    <w:p w14:paraId="423289FA" w14:textId="77777777" w:rsidR="00E05204" w:rsidRPr="0062077A"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1016"/>
        <w:gridCol w:w="7280"/>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Coloană</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Referințe juridice și instrucțiuni</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Denumirea emitentului</w:t>
            </w:r>
          </w:p>
          <w:p w14:paraId="36B02E7E" w14:textId="3FDFB966" w:rsidR="00E05204" w:rsidRPr="0068244B" w:rsidRDefault="00E05204" w:rsidP="00D665FC">
            <w:pPr>
              <w:rPr>
                <w:rFonts w:ascii="Times New Roman" w:hAnsi="Times New Roman"/>
                <w:sz w:val="24"/>
              </w:rPr>
            </w:pPr>
            <w:r>
              <w:rPr>
                <w:rFonts w:ascii="Times New Roman" w:hAnsi="Times New Roman"/>
                <w:sz w:val="24"/>
              </w:rPr>
              <w:t xml:space="preserve">În coloana 0010, se înregistrează în ordine descrescătoare denumirea primilor zece emitenți de active negrevate de sarcini sau a primelor zece </w:t>
            </w:r>
            <w:r>
              <w:rPr>
                <w:rFonts w:ascii="Times New Roman" w:hAnsi="Times New Roman"/>
                <w:sz w:val="24"/>
              </w:rPr>
              <w:lastRenderedPageBreak/>
              <w:t>contrapărți la linii de lichiditate angajate și neutilizate acordate instituției. Emitentul/contrapartea căruia îi corespunde cea mai mare valoare se înregistrează la poziția 1.01, al doilea/a doua la poziția 1.02 și așa mai departe.</w:t>
            </w:r>
            <w:r>
              <w:t xml:space="preserve"> </w:t>
            </w:r>
            <w:r>
              <w:rPr>
                <w:rFonts w:ascii="Times New Roman" w:hAnsi="Times New Roman"/>
                <w:sz w:val="24"/>
              </w:rPr>
              <w:t>Emitenții și contrapărțile care formează un grup de clienți aflați în legătură se raportează ca o singură concentrare.</w:t>
            </w:r>
          </w:p>
          <w:p w14:paraId="4E01B5DA" w14:textId="4F0E946D" w:rsidR="00E05204" w:rsidRPr="0068244B" w:rsidRDefault="00E05204" w:rsidP="00C05CCA">
            <w:pPr>
              <w:rPr>
                <w:rFonts w:ascii="Times New Roman" w:hAnsi="Times New Roman"/>
                <w:sz w:val="24"/>
              </w:rPr>
            </w:pPr>
            <w:r>
              <w:rPr>
                <w:rFonts w:ascii="Times New Roman" w:hAnsi="Times New Roman"/>
                <w:sz w:val="24"/>
              </w:rPr>
              <w:t>Denumirea raportată a emitentului sau a contrapărții este denumirea completă a entității juridice care a emis activele sau a acordat liniile de lichiditate, inclusiv orice trimitere la tipul de societate în conformitate cu dreptul național al societăților comerciale.</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Codul LEI</w:t>
            </w:r>
          </w:p>
          <w:p w14:paraId="7861A1B2" w14:textId="0A8A8B52" w:rsidR="00E05204" w:rsidRPr="0068244B" w:rsidRDefault="00E05204" w:rsidP="00C05CCA">
            <w:pPr>
              <w:rPr>
                <w:b/>
                <w:sz w:val="24"/>
              </w:rPr>
            </w:pPr>
            <w:r>
              <w:rPr>
                <w:rFonts w:ascii="Times New Roman" w:hAnsi="Times New Roman"/>
                <w:sz w:val="24"/>
              </w:rPr>
              <w:t xml:space="preserve">Codul de identificare a entității juridice corespunzător contrapărții.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Sectorul emitentului</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Pentru fiecare emitent sau contraparte se alocă un sector pe baza următoarelor clase ale sectoarelor economice din cadrul raportării financiare ([FINREP]) (partea 1 din anexa V la prezentul regulament de punere în aplicare):</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administrații publice; (ii) instituții de credit; (iii) alte societăți financiare; (iv) societăți nefinanciare; (v) gospodării.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Pentru</w:t>
            </w:r>
            <w:r>
              <w:rPr>
                <w:rFonts w:ascii="Times New Roman" w:hAnsi="Times New Roman"/>
                <w:sz w:val="24"/>
              </w:rPr>
              <w:t xml:space="preserve"> grupurile de </w:t>
            </w:r>
            <w:r>
              <w:rPr>
                <w:rStyle w:val="FormatvorlageInstructionsTabelleText"/>
                <w:rFonts w:ascii="Times New Roman" w:hAnsi="Times New Roman"/>
                <w:sz w:val="24"/>
              </w:rPr>
              <w:t xml:space="preserve">clienți aflați în legătură nu se raportează niciun sector.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Reședința emitentului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Se utilizează codul ISO 3166-1-alfa-2 al țării de înregistrare a emitentului sau a contrapărții, inclusiv pseudocodurile ISO în cazul organizațiilor internaționale</w:t>
            </w:r>
            <w:r>
              <w:rPr>
                <w:rFonts w:ascii="Times New Roman" w:hAnsi="Times New Roman"/>
                <w:sz w:val="24"/>
              </w:rPr>
              <w:t>, disponibile în ultima ediție a „Vademecumului privind balanța de plăți” publicat de Eurostat</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În cazul grupurilor de clienți aflați în legătură nu se raportează nicio țară.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Tipul de produs</w:t>
            </w:r>
          </w:p>
          <w:p w14:paraId="7DC48699" w14:textId="4D5DEEF0" w:rsidR="00E05204" w:rsidRPr="0068244B" w:rsidRDefault="00E05204" w:rsidP="00D665FC">
            <w:pPr>
              <w:rPr>
                <w:rFonts w:ascii="Times New Roman" w:hAnsi="Times New Roman"/>
                <w:sz w:val="24"/>
              </w:rPr>
            </w:pPr>
            <w:r>
              <w:rPr>
                <w:rFonts w:ascii="Times New Roman" w:hAnsi="Times New Roman"/>
                <w:sz w:val="24"/>
              </w:rPr>
              <w:t xml:space="preserve">Emitenților/contrapărților indicați (indicate) în coloana 0010 li se atribuie un tip de produs </w:t>
            </w:r>
            <w:r>
              <w:rPr>
                <w:rStyle w:val="FormatvorlageInstructionsTabelleText"/>
                <w:rFonts w:ascii="Times New Roman" w:hAnsi="Times New Roman"/>
                <w:sz w:val="24"/>
              </w:rPr>
              <w:t>corespunzător</w:t>
            </w:r>
            <w:r>
              <w:rPr>
                <w:rFonts w:ascii="Times New Roman" w:hAnsi="Times New Roman"/>
                <w:sz w:val="24"/>
              </w:rPr>
              <w:t xml:space="preserve"> produsului în care este deținut activul sau în care s-a primit facilitatea stand-by de lichidități, folosind următoarele coduri indicate cu caractere aldine:</w:t>
            </w:r>
          </w:p>
          <w:p w14:paraId="1CB9AEA2" w14:textId="77777777" w:rsidR="00E05204" w:rsidRPr="0068244B" w:rsidRDefault="00E05204" w:rsidP="00D665FC">
            <w:pPr>
              <w:rPr>
                <w:rFonts w:ascii="Times New Roman" w:hAnsi="Times New Roman"/>
                <w:sz w:val="24"/>
              </w:rPr>
            </w:pPr>
            <w:bookmarkStart w:id="0" w:name="OLE_LINK1"/>
            <w:r>
              <w:rPr>
                <w:rFonts w:ascii="Times New Roman" w:hAnsi="Times New Roman"/>
                <w:b/>
                <w:sz w:val="24"/>
              </w:rPr>
              <w:t>SrB</w:t>
            </w:r>
            <w:r>
              <w:rPr>
                <w:rFonts w:ascii="Times New Roman" w:hAnsi="Times New Roman"/>
                <w:sz w:val="24"/>
              </w:rPr>
              <w:t xml:space="preserve"> (obligațiune de rang </w:t>
            </w:r>
            <w:r>
              <w:rPr>
                <w:rStyle w:val="FormatvorlageInstructionsTabelleText"/>
                <w:rFonts w:ascii="Times New Roman" w:hAnsi="Times New Roman"/>
                <w:sz w:val="24"/>
              </w:rPr>
              <w:t>superior</w:t>
            </w:r>
            <w:r>
              <w:rPr>
                <w:rFonts w:ascii="Times New Roman" w:hAnsi="Times New Roman"/>
                <w:sz w:val="24"/>
              </w:rPr>
              <w:t xml:space="preserve">); </w:t>
            </w:r>
          </w:p>
          <w:p w14:paraId="6ADB0D10" w14:textId="77777777" w:rsidR="00E05204" w:rsidRPr="0068244B" w:rsidRDefault="00E05204" w:rsidP="00D665FC">
            <w:pPr>
              <w:rPr>
                <w:rFonts w:ascii="Times New Roman" w:hAnsi="Times New Roman"/>
                <w:sz w:val="24"/>
              </w:rPr>
            </w:pPr>
            <w:r>
              <w:rPr>
                <w:rFonts w:ascii="Times New Roman" w:hAnsi="Times New Roman"/>
                <w:b/>
                <w:sz w:val="24"/>
              </w:rPr>
              <w:t>SubB</w:t>
            </w:r>
            <w:r>
              <w:rPr>
                <w:rFonts w:ascii="Times New Roman" w:hAnsi="Times New Roman"/>
                <w:sz w:val="24"/>
              </w:rPr>
              <w:t xml:space="preserve"> (obligațiune </w:t>
            </w:r>
            <w:r>
              <w:rPr>
                <w:rStyle w:val="FormatvorlageInstructionsTabelleText"/>
                <w:rFonts w:ascii="Times New Roman" w:hAnsi="Times New Roman"/>
                <w:sz w:val="24"/>
              </w:rPr>
              <w:t>subordonată</w:t>
            </w:r>
            <w:r>
              <w:rPr>
                <w:rFonts w:ascii="Times New Roman" w:hAnsi="Times New Roman"/>
                <w:sz w:val="24"/>
              </w:rPr>
              <w:t>);</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CP</w:t>
            </w:r>
            <w:r>
              <w:rPr>
                <w:rFonts w:ascii="Times New Roman" w:hAnsi="Times New Roman"/>
                <w:sz w:val="24"/>
              </w:rPr>
              <w:t xml:space="preserve"> (efecte de </w:t>
            </w:r>
            <w:r>
              <w:rPr>
                <w:rStyle w:val="FormatvorlageInstructionsTabelleText"/>
                <w:rFonts w:ascii="Times New Roman" w:hAnsi="Times New Roman"/>
                <w:sz w:val="24"/>
              </w:rPr>
              <w:t>comerț</w:t>
            </w:r>
            <w:r>
              <w:rPr>
                <w:rFonts w:ascii="Times New Roman" w:hAnsi="Times New Roman"/>
                <w:sz w:val="24"/>
              </w:rPr>
              <w:t>);</w:t>
            </w:r>
          </w:p>
          <w:p w14:paraId="71AB267C" w14:textId="77777777" w:rsidR="00E05204" w:rsidRPr="0068244B" w:rsidRDefault="00E05204">
            <w:pPr>
              <w:rPr>
                <w:rFonts w:ascii="Times New Roman" w:hAnsi="Times New Roman"/>
                <w:sz w:val="24"/>
              </w:rPr>
            </w:pPr>
            <w:r>
              <w:rPr>
                <w:rFonts w:ascii="Times New Roman" w:hAnsi="Times New Roman"/>
                <w:b/>
                <w:sz w:val="24"/>
              </w:rPr>
              <w:t>CB</w:t>
            </w:r>
            <w:r>
              <w:rPr>
                <w:rFonts w:ascii="Times New Roman" w:hAnsi="Times New Roman"/>
                <w:sz w:val="24"/>
              </w:rPr>
              <w:t xml:space="preserve"> </w:t>
            </w:r>
            <w:r>
              <w:rPr>
                <w:rStyle w:val="FormatvorlageInstructionsTabelleText"/>
                <w:rFonts w:ascii="Times New Roman" w:hAnsi="Times New Roman"/>
                <w:sz w:val="24"/>
              </w:rPr>
              <w:t>(obligațiuni</w:t>
            </w:r>
            <w:r>
              <w:rPr>
                <w:rFonts w:ascii="Times New Roman" w:hAnsi="Times New Roman"/>
                <w:sz w:val="24"/>
              </w:rPr>
              <w:t xml:space="preserve"> garantate); </w:t>
            </w:r>
          </w:p>
          <w:p w14:paraId="16004F55" w14:textId="644C50DD" w:rsidR="00E05204" w:rsidRPr="0068244B" w:rsidRDefault="00E05204">
            <w:pPr>
              <w:rPr>
                <w:rFonts w:ascii="Times New Roman" w:hAnsi="Times New Roman"/>
                <w:sz w:val="24"/>
              </w:rPr>
            </w:pPr>
            <w:r>
              <w:rPr>
                <w:rFonts w:ascii="Times New Roman" w:hAnsi="Times New Roman"/>
                <w:b/>
                <w:sz w:val="24"/>
              </w:rPr>
              <w:t>US</w:t>
            </w:r>
            <w:r>
              <w:rPr>
                <w:rFonts w:ascii="Times New Roman" w:hAnsi="Times New Roman"/>
                <w:sz w:val="24"/>
              </w:rPr>
              <w:t xml:space="preserve"> (</w:t>
            </w:r>
            <w:r>
              <w:rPr>
                <w:rStyle w:val="FormatvorlageInstructionsTabelleText"/>
                <w:rFonts w:ascii="Times New Roman" w:hAnsi="Times New Roman"/>
                <w:sz w:val="24"/>
              </w:rPr>
              <w:t>valori mobiliare</w:t>
            </w:r>
            <w:r>
              <w:rPr>
                <w:rFonts w:ascii="Times New Roman" w:hAnsi="Times New Roman"/>
                <w:sz w:val="24"/>
              </w:rPr>
              <w:t xml:space="preserve"> OPCVM, și anume instrumente financiare care reprezintă participații într-un organism de plasament colectiv în valori mobiliare sau titluri emise de un astfel de organism);</w:t>
            </w:r>
          </w:p>
          <w:p w14:paraId="2E54EB88" w14:textId="77777777" w:rsidR="00E05204" w:rsidRPr="0068244B" w:rsidRDefault="00E05204">
            <w:pPr>
              <w:rPr>
                <w:rFonts w:ascii="Times New Roman" w:hAnsi="Times New Roman"/>
                <w:sz w:val="24"/>
              </w:rPr>
            </w:pPr>
            <w:r>
              <w:rPr>
                <w:rFonts w:ascii="Times New Roman" w:hAnsi="Times New Roman"/>
                <w:b/>
                <w:sz w:val="24"/>
              </w:rPr>
              <w:t>ABS</w:t>
            </w:r>
            <w:r>
              <w:rPr>
                <w:rFonts w:ascii="Times New Roman" w:hAnsi="Times New Roman"/>
                <w:sz w:val="24"/>
              </w:rPr>
              <w:t xml:space="preserve"> (titluri de valoare garantate cu active);</w:t>
            </w:r>
          </w:p>
          <w:p w14:paraId="47B806DE" w14:textId="77777777" w:rsidR="00E05204" w:rsidRPr="0068244B" w:rsidRDefault="00E05204">
            <w:pPr>
              <w:rPr>
                <w:rFonts w:ascii="Times New Roman" w:hAnsi="Times New Roman"/>
                <w:sz w:val="24"/>
              </w:rPr>
            </w:pPr>
            <w:r>
              <w:rPr>
                <w:rFonts w:ascii="Times New Roman" w:hAnsi="Times New Roman"/>
                <w:b/>
                <w:sz w:val="24"/>
              </w:rPr>
              <w:t>CrCl</w:t>
            </w:r>
            <w:r>
              <w:rPr>
                <w:rFonts w:ascii="Times New Roman" w:hAnsi="Times New Roman"/>
                <w:sz w:val="24"/>
              </w:rPr>
              <w:t xml:space="preserve"> (</w:t>
            </w:r>
            <w:r>
              <w:rPr>
                <w:rStyle w:val="FormatvorlageInstructionsTabelleText"/>
                <w:rFonts w:ascii="Times New Roman" w:hAnsi="Times New Roman"/>
                <w:sz w:val="24"/>
              </w:rPr>
              <w:t>creanțe</w:t>
            </w:r>
            <w:r>
              <w:rPr>
                <w:rFonts w:ascii="Times New Roman" w:hAnsi="Times New Roman"/>
                <w:sz w:val="24"/>
              </w:rPr>
              <w:t xml:space="preserve"> private);</w:t>
            </w:r>
          </w:p>
          <w:p w14:paraId="77F497F4" w14:textId="77777777" w:rsidR="00E05204" w:rsidRPr="0068244B" w:rsidRDefault="00E05204">
            <w:pPr>
              <w:rPr>
                <w:rFonts w:ascii="Times New Roman" w:hAnsi="Times New Roman"/>
                <w:sz w:val="24"/>
              </w:rPr>
            </w:pPr>
            <w:r>
              <w:rPr>
                <w:rFonts w:ascii="Times New Roman" w:hAnsi="Times New Roman"/>
                <w:b/>
                <w:sz w:val="24"/>
              </w:rPr>
              <w:lastRenderedPageBreak/>
              <w:t>Eq</w:t>
            </w:r>
            <w:r>
              <w:rPr>
                <w:rFonts w:ascii="Times New Roman" w:hAnsi="Times New Roman"/>
                <w:sz w:val="24"/>
              </w:rPr>
              <w:t xml:space="preserve"> (</w:t>
            </w:r>
            <w:r>
              <w:rPr>
                <w:rStyle w:val="FormatvorlageInstructionsTabelleText"/>
                <w:rFonts w:ascii="Times New Roman" w:hAnsi="Times New Roman"/>
                <w:sz w:val="24"/>
              </w:rPr>
              <w:t>titluri de capital</w:t>
            </w:r>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t>Aur (dacă este vorba de aur fizic, care poate fi considerat drept o singură contraparte)</w:t>
            </w:r>
          </w:p>
          <w:p w14:paraId="6AE61C73" w14:textId="77777777" w:rsidR="00E05204" w:rsidRPr="0068244B" w:rsidRDefault="00E05204">
            <w:pPr>
              <w:rPr>
                <w:rFonts w:ascii="Times New Roman" w:hAnsi="Times New Roman"/>
                <w:sz w:val="24"/>
              </w:rPr>
            </w:pPr>
            <w:r>
              <w:rPr>
                <w:rFonts w:ascii="Times New Roman" w:hAnsi="Times New Roman"/>
                <w:b/>
                <w:sz w:val="24"/>
              </w:rPr>
              <w:t>LiqL</w:t>
            </w:r>
            <w:r>
              <w:rPr>
                <w:rFonts w:ascii="Times New Roman" w:hAnsi="Times New Roman"/>
                <w:sz w:val="24"/>
              </w:rPr>
              <w:t xml:space="preserve"> (linie de lichiditate angajată și </w:t>
            </w:r>
            <w:r>
              <w:rPr>
                <w:rStyle w:val="FormatvorlageInstructionsTabelleText"/>
                <w:rFonts w:ascii="Times New Roman" w:hAnsi="Times New Roman"/>
                <w:sz w:val="24"/>
              </w:rPr>
              <w:t>neutilizată</w:t>
            </w:r>
            <w:r>
              <w:rPr>
                <w:rFonts w:ascii="Times New Roman" w:hAnsi="Times New Roman"/>
                <w:sz w:val="24"/>
              </w:rPr>
              <w:t xml:space="preserve"> acordată instituției);</w:t>
            </w:r>
          </w:p>
          <w:p w14:paraId="23B5C30F" w14:textId="77777777" w:rsidR="00E05204" w:rsidRPr="0068244B" w:rsidRDefault="00E05204">
            <w:pPr>
              <w:rPr>
                <w:rFonts w:ascii="Times New Roman" w:hAnsi="Times New Roman"/>
                <w:b/>
                <w:sz w:val="24"/>
              </w:rPr>
            </w:pPr>
            <w:r>
              <w:rPr>
                <w:rFonts w:ascii="Times New Roman" w:hAnsi="Times New Roman"/>
                <w:b/>
                <w:sz w:val="24"/>
              </w:rPr>
              <w:t>OPT</w:t>
            </w:r>
            <w:r>
              <w:rPr>
                <w:rFonts w:ascii="Times New Roman" w:hAnsi="Times New Roman"/>
                <w:sz w:val="24"/>
              </w:rPr>
              <w:t xml:space="preserve"> (</w:t>
            </w:r>
            <w:r>
              <w:rPr>
                <w:rStyle w:val="FormatvorlageInstructionsTabelleText"/>
                <w:rFonts w:ascii="Times New Roman" w:hAnsi="Times New Roman"/>
                <w:sz w:val="24"/>
              </w:rPr>
              <w:t>alt</w:t>
            </w:r>
            <w:r>
              <w:rPr>
                <w:rFonts w:ascii="Times New Roman" w:hAnsi="Times New Roman"/>
                <w:sz w:val="24"/>
              </w:rPr>
              <w:t xml:space="preserve"> tip de produs)</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Monedă</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Emitenților sau contrapărților indicați (indicate) în coloana 0010 li se atribuie un cod ISO de monedă în coloana 0060 care corespunde denominării activului primit sau liniilor de lichiditate angajate și neutilizate acordate instituției. Se raportează codul unității monetare format din trei litere conform ISO 4217. </w:t>
            </w:r>
          </w:p>
          <w:p w14:paraId="74611C9A" w14:textId="7CC928F5" w:rsidR="00774708" w:rsidRPr="0068244B" w:rsidRDefault="00047ECB" w:rsidP="00BC5835">
            <w:pPr>
              <w:rPr>
                <w:rFonts w:ascii="Times New Roman" w:hAnsi="Times New Roman"/>
                <w:sz w:val="24"/>
              </w:rPr>
            </w:pPr>
            <w:r>
              <w:rPr>
                <w:rFonts w:ascii="Times New Roman" w:hAnsi="Times New Roman"/>
                <w:sz w:val="24"/>
              </w:rPr>
              <w:t>În cazul în care concentrarea capacității de compensare conține o linie multivalutară, linia se calculează în moneda care este preponderentă în restul concentrării. În ceea ce privește raportarea separată în monede semnificative, astfel cum se prevede la articolul 415 alineatul (2) din Regulamentul (UE) nr. 575/2013, instituțiile efectuează o evaluare cu privire la moneda în care este probabil ca fluxul să se materializeze și raportează elementul numai în moneda semnificativă respectivă, în concordanță cu instrucțiunile privind raportarea separată a monedelor semnificative în cerințele de acoperire a necesarului de lichiditate (LCR), în conformitate cu Regulamentul (UE)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Nivelul de calitate a creditului</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Nivelul de calitate a creditului adecvat este atribuit în conformitate cu Regulamentul (UE) nr. 575/2013 și este același ca și pentru elementele raportate în formularul privind benzile de scadență. În cazul în care nu există un rating, se atribuie nivelul „fără rating”.</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Valoarea de piață/nominală</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Valoarea de piață sau valoarea justă a activelor sau, dacă este cazul, valoarea nominală a liniei de lichiditate neutilizate acordate instituției.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Valoarea garanțiilor eligibile la banca centrală</w:t>
            </w:r>
          </w:p>
          <w:p w14:paraId="507C4FE8" w14:textId="2A6E5839" w:rsidR="00E05204" w:rsidRPr="0068244B" w:rsidRDefault="00E05204" w:rsidP="00047ECB">
            <w:pPr>
              <w:rPr>
                <w:rFonts w:ascii="Times New Roman" w:hAnsi="Times New Roman"/>
                <w:sz w:val="24"/>
              </w:rPr>
            </w:pPr>
            <w:r>
              <w:rPr>
                <w:rFonts w:ascii="Times New Roman" w:hAnsi="Times New Roman"/>
                <w:sz w:val="24"/>
              </w:rPr>
              <w:t xml:space="preserve">Valoarea </w:t>
            </w:r>
            <w:r>
              <w:rPr>
                <w:rStyle w:val="FormatvorlageInstructionsTabelleText"/>
                <w:rFonts w:ascii="Times New Roman" w:hAnsi="Times New Roman"/>
                <w:sz w:val="24"/>
              </w:rPr>
              <w:t>garanțiilor</w:t>
            </w:r>
            <w:r>
              <w:rPr>
                <w:rFonts w:ascii="Times New Roman" w:hAnsi="Times New Roman"/>
                <w:sz w:val="24"/>
              </w:rPr>
              <w:t xml:space="preserve"> potrivit normelor băncii centrale privind facilitățile permanente pentru activele specifice.</w:t>
            </w:r>
          </w:p>
          <w:p w14:paraId="4C124B93" w14:textId="0E66424F" w:rsidR="00BA0551" w:rsidRPr="0068244B" w:rsidRDefault="00B457F4" w:rsidP="00515147">
            <w:pPr>
              <w:rPr>
                <w:rFonts w:ascii="Times New Roman" w:hAnsi="Times New Roman"/>
                <w:sz w:val="24"/>
              </w:rPr>
            </w:pPr>
            <w:r>
              <w:rPr>
                <w:rFonts w:ascii="Times New Roman" w:hAnsi="Times New Roman"/>
                <w:sz w:val="24"/>
              </w:rPr>
              <w:t>În cazul activelor denominate într-o monedă inclusă în Regulamentul de punere în aplicare (UE) 2015/233 al Comisiei</w:t>
            </w:r>
            <w:r>
              <w:rPr>
                <w:rFonts w:ascii="Times New Roman" w:hAnsi="Times New Roman"/>
                <w:sz w:val="24"/>
                <w:vertAlign w:val="superscript"/>
              </w:rPr>
              <w:t>*</w:t>
            </w:r>
            <w:r>
              <w:rPr>
                <w:rFonts w:ascii="Times New Roman" w:hAnsi="Times New Roman"/>
                <w:sz w:val="24"/>
              </w:rPr>
              <w:t xml:space="preserve"> ca monedă cu o eligibilitate la banca centrală definită într-un mod foarte restrictiv, instituțiile lasă acest câmp necompletat.”</w:t>
            </w:r>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rPr>
          <w:vertAlign w:val="superscript"/>
        </w:rPr>
        <w:t xml:space="preserve">* </w:t>
      </w:r>
      <w:r>
        <w:t xml:space="preserve">Regulamentul de punere în aplicare (UE) 2015/233 al Comisiei din 13 februarie 2015 de stabilire a unor standarde tehnice de punere în aplicare referitoare la monedele în cazul cărora banca centrală definește eligibilitatea într-un mod extrem de restrictiv în temeiul Regulamentului (UE) nr. 575/2013 al Parlamentului European și al Consiliului (JO L 39, 14.2.2015, p.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1197237575">
    <w:abstractNumId w:val="2"/>
  </w:num>
  <w:num w:numId="2" w16cid:durableId="618681033">
    <w:abstractNumId w:val="1"/>
  </w:num>
  <w:num w:numId="3" w16cid:durableId="150936517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077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ro-RO"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ro-RO"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ro-RO"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ro-RO" w:eastAsia="en-US" w:bidi="ar-SA"/>
    </w:rPr>
  </w:style>
  <w:style w:type="character" w:customStyle="1" w:styleId="FunoteChar">
    <w:name w:val="Fußnote Char"/>
    <w:aliases w:val=" Char Char Char"/>
    <w:semiHidden/>
    <w:rsid w:val="009D253B"/>
    <w:rPr>
      <w:rFonts w:ascii="Arial" w:hAnsi="Arial"/>
      <w:sz w:val="18"/>
      <w:lang w:val="ro-RO"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ro-RO"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ro-RO"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ro-RO"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ro-RO"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ro-RO"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ro-RO"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C42ECE4C-97ED-4BA2-B920-C39B3C699FFB}"/>
</file>

<file path=customXml/itemProps4.xml><?xml version="1.0" encoding="utf-8"?>
<ds:datastoreItem xmlns:ds="http://schemas.openxmlformats.org/officeDocument/2006/customXml" ds:itemID="{2F46A8C4-B4A8-4578-B008-C2D90AB234FD}"/>
</file>

<file path=customXml/itemProps5.xml><?xml version="1.0" encoding="utf-8"?>
<ds:datastoreItem xmlns:ds="http://schemas.openxmlformats.org/officeDocument/2006/customXml" ds:itemID="{677BCE42-19F1-4D33-9F6B-562814348C7A}"/>
</file>

<file path=docProps/app.xml><?xml version="1.0" encoding="utf-8"?>
<Properties xmlns="http://schemas.openxmlformats.org/officeDocument/2006/extended-properties" xmlns:vt="http://schemas.openxmlformats.org/officeDocument/2006/docPropsVTypes">
  <Template>Normal</Template>
  <TotalTime>0</TotalTime>
  <Pages>3</Pages>
  <Words>1019</Words>
  <Characters>6079</Characters>
  <Application>Microsoft Office Word</Application>
  <DocSecurity>0</DocSecurity>
  <Lines>134</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2025-01-27T10:05:59Z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609ed04e-f94c-4217-a033-c8e0b5def368</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