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C87C" w14:textId="68BD02C6" w:rsidR="00E50DD0" w:rsidRDefault="00BC5027" w:rsidP="00E50DD0">
      <w:pPr>
        <w:jc w:val="center"/>
        <w:rPr>
          <w:rFonts w:ascii="Times New Roman" w:hAnsi="Times New Roman"/>
          <w:sz w:val="24"/>
          <w:szCs w:val="22"/>
        </w:rPr>
      </w:pPr>
      <w:r>
        <w:rPr>
          <w:rFonts w:ascii="Times New Roman" w:hAnsi="Times New Roman"/>
          <w:sz w:val="24"/>
        </w:rPr>
        <w:t>LT</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rFonts w:ascii="Times New Roman" w:hAnsi="Times New Roman"/>
          <w:sz w:val="24"/>
        </w:rPr>
      </w:pPr>
      <w:r>
        <w:rPr>
          <w:rFonts w:ascii="Times New Roman" w:hAnsi="Times New Roman"/>
          <w:sz w:val="24"/>
        </w:rPr>
        <w:t>II PRIEDAS</w:t>
      </w:r>
    </w:p>
    <w:p w14:paraId="33BF0F02" w14:textId="77777777" w:rsidR="00DD798A" w:rsidRPr="00037E7B" w:rsidRDefault="00DD798A" w:rsidP="00DD798A">
      <w:pPr>
        <w:jc w:val="center"/>
        <w:rPr>
          <w:rFonts w:ascii="Times New Roman" w:hAnsi="Times New Roman"/>
          <w:sz w:val="24"/>
        </w:rPr>
      </w:pPr>
      <w:r>
        <w:rPr>
          <w:rFonts w:ascii="Times New Roman" w:hAnsi="Times New Roman"/>
          <w:sz w:val="24"/>
        </w:rPr>
        <w:t>„II PRIEDAS</w:t>
      </w:r>
    </w:p>
    <w:p w14:paraId="43AF84F6" w14:textId="77777777" w:rsidR="00DD798A" w:rsidRPr="00037E7B" w:rsidRDefault="00DD798A" w:rsidP="00DD798A">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6B9B322A" w14:textId="77777777" w:rsidR="00E26A90" w:rsidRDefault="00E26A90"/>
    <w:p w14:paraId="2A45E9E8" w14:textId="77777777" w:rsidR="00A931D0" w:rsidRDefault="00A931D0" w:rsidP="00A931D0">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DALIS. SU FORMA SUSIJĘ NURODYMAI</w:t>
      </w:r>
    </w:p>
    <w:p w14:paraId="572B21DA" w14:textId="77777777" w:rsidR="00A931D0"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2CBE875B" w14:textId="77777777" w:rsidR="00A931D0" w:rsidRPr="00736637"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289C48A" w14:textId="77777777" w:rsidR="00A931D0" w:rsidRDefault="00A931D0"/>
    <w:p w14:paraId="7D324BFC"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09.01. Geografinis pozicijų suskirstymas pagal įsipareigojančiojo asmens įsisteigimo vietą. Pozicijos, kurioms taikomas SA metodas (CR GB 1)</w:t>
      </w:r>
    </w:p>
    <w:p w14:paraId="0D9A10C4"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0" w:name="_Toc360188363"/>
      <w:bookmarkStart w:id="1" w:name="_Toc473560914"/>
      <w:bookmarkStart w:id="2" w:name="_Toc151714418"/>
      <w:r>
        <w:rPr>
          <w:rFonts w:ascii="Times New Roman" w:hAnsi="Times New Roman"/>
          <w:sz w:val="24"/>
          <w:u w:val="none"/>
        </w:rPr>
        <w:t>3.4.1.1.</w:t>
      </w:r>
      <w:r w:rsidRPr="003529BB">
        <w:rPr>
          <w:u w:val="none"/>
        </w:rPr>
        <w:tab/>
      </w:r>
      <w:r>
        <w:rPr>
          <w:rFonts w:ascii="Times New Roman" w:hAnsi="Times New Roman"/>
          <w:sz w:val="24"/>
        </w:rPr>
        <w:t>Nurodymai dėl konkrečių pozicijų</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t>Skiltys</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4841BFD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PRADINĖ POZICIJA IKI PERSKAIČIAVIMO KOEFICIENTŲ TAIKYMO</w:t>
            </w:r>
          </w:p>
          <w:p w14:paraId="1D6A0F00" w14:textId="77777777" w:rsidR="009D6580" w:rsidRPr="002A677E" w:rsidRDefault="009D6580" w:rsidP="00822842">
            <w:pPr>
              <w:rPr>
                <w:rFonts w:ascii="Times New Roman" w:hAnsi="Times New Roman"/>
                <w:sz w:val="24"/>
              </w:rPr>
            </w:pPr>
            <w:r>
              <w:rPr>
                <w:rFonts w:ascii="Times New Roman" w:hAnsi="Times New Roman"/>
                <w:sz w:val="24"/>
              </w:rPr>
              <w:t>Ta pati apibrėžtis kaip CR SA formos 0010 skiltyje.</w:t>
            </w:r>
          </w:p>
        </w:tc>
      </w:tr>
      <w:tr w:rsidR="009D6580" w:rsidRPr="002A677E" w14:paraId="5F923D3B" w14:textId="77777777" w:rsidTr="00822842">
        <w:tc>
          <w:tcPr>
            <w:tcW w:w="1188" w:type="dxa"/>
          </w:tcPr>
          <w:p w14:paraId="69087815"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04F3B53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Pozicijos esant įsipareigojimų neįvykdymui</w:t>
            </w:r>
          </w:p>
          <w:p w14:paraId="147BD4ED" w14:textId="29FBEBE8"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Pradinės pozicijos, priskirtos prie pozicijų klasės „pozicijos esant įsipareigojimų neįvykdymui“ ir pozicijų esant įsipareigojimų neįvykdymui klasių „nuosavybės vertybinių popierių pozicijos“ ir „pozicijos, kurias sudaro kolektyvinio investavimo subjektų (KIS) investiciniai vienetai arba akcijos“, iki perskaičiavimo koeficientų taikymo.</w:t>
            </w:r>
          </w:p>
          <w:p w14:paraId="6DA448A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 xml:space="preserve">Šiame papildomame straipsnyje pateikiama papildoma informacija apie pozicijų esant įsipareigojimų neįvykdymui įsipareigojančiųjų asmenų struktūrą. Pozicijos, priskirtos prie Reglamento (ES) Nr. 575/2013 112 straipsnio j punkte nurodytos pozicijų klasės „pozicijos esant įsipareigojimų neįvykdymui“, nurodomos, kai informacija apie įsipareigojančiuosius asmenis būtų buvusi pateikta, jeigu šios pozicijos nebūtų priskirtos prie pozicijų klasės „pozicijos esant įsipareigojimų neįvykdymui“. </w:t>
            </w:r>
          </w:p>
          <w:p w14:paraId="52855171" w14:textId="65C7A920" w:rsidR="009D6580" w:rsidRPr="002A677E" w:rsidRDefault="00123FDD" w:rsidP="00822842">
            <w:pPr>
              <w:rPr>
                <w:rFonts w:ascii="Times New Roman" w:hAnsi="Times New Roman"/>
                <w:sz w:val="24"/>
              </w:rPr>
            </w:pPr>
            <w:r>
              <w:rPr>
                <w:rStyle w:val="InstructionsTabelleText"/>
                <w:rFonts w:ascii="Times New Roman" w:hAnsi="Times New Roman"/>
                <w:sz w:val="24"/>
              </w:rPr>
              <w:t>Tai papildomas straipsnis, todėl jis neturi įtakos pagal riziką įvertintų pozicijų, priklausančių Reglamento (ES) Nr. 575/2013 112 straipsnio j, p ir o punktuose nurodytoms pozicijų klasėms „pozicijos esant įsipareigojimų neįvykdymui“, „nuosavybės vertybinių popierių pozicijos“, arba „pozicijos, kurias sudaro kolektyvinio investavimo subjektų (KIS) investiciniai vienetai arba akcijos“, sumų skaičiavimui</w:t>
            </w:r>
            <w:r>
              <w:rPr>
                <w:rFonts w:ascii="Times New Roman" w:hAnsi="Times New Roman"/>
                <w:sz w:val="24"/>
              </w:rPr>
              <w:t>.</w:t>
            </w:r>
          </w:p>
        </w:tc>
      </w:tr>
      <w:tr w:rsidR="009D6580" w:rsidRPr="002A677E" w14:paraId="12737C01" w14:textId="77777777" w:rsidTr="00822842">
        <w:tc>
          <w:tcPr>
            <w:tcW w:w="1188" w:type="dxa"/>
          </w:tcPr>
          <w:p w14:paraId="0843F0D4"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640" w:type="dxa"/>
          </w:tcPr>
          <w:p w14:paraId="317ABA2D"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Per laikotarpį pastebėti nauji įsipareigojimų neįvykdymo atvejai</w:t>
            </w:r>
          </w:p>
          <w:p w14:paraId="4C451CE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Pradinių pozicijų, perkeltų į pozicijų klasę „pozicijos esant įsipareigojimų neįvykdymui“ per tris mėnesius nuo paskutinės ataskaitinės datos, suma nurodoma pozicijų klasėje, kuriai įsipareigojantysis asmuo priklausė iš pradžių.</w:t>
            </w:r>
          </w:p>
        </w:tc>
      </w:tr>
      <w:tr w:rsidR="009D6580" w:rsidRPr="002A677E" w14:paraId="59173FA8" w14:textId="77777777" w:rsidTr="00822842">
        <w:tc>
          <w:tcPr>
            <w:tcW w:w="1188" w:type="dxa"/>
          </w:tcPr>
          <w:p w14:paraId="7368E5E9"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1A491AA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Bendrosios kredito rizikos koregavimai</w:t>
            </w:r>
          </w:p>
          <w:p w14:paraId="019027A7" w14:textId="77777777" w:rsidR="009D6580" w:rsidRPr="002A677E" w:rsidRDefault="009D6580" w:rsidP="00822842">
            <w:pPr>
              <w:rPr>
                <w:rFonts w:ascii="Times New Roman" w:hAnsi="Times New Roman"/>
                <w:sz w:val="24"/>
              </w:rPr>
            </w:pPr>
            <w:r>
              <w:rPr>
                <w:rFonts w:ascii="Times New Roman" w:hAnsi="Times New Roman"/>
                <w:sz w:val="24"/>
              </w:rPr>
              <w:t xml:space="preserve">Kredito rizikos koregavimai, kaip nurodyta Reglamento (ES) Nr. 575/2013 110 straipsnyje ir Reglamente (ES) 183/2014. </w:t>
            </w:r>
          </w:p>
          <w:p w14:paraId="124DE0E0" w14:textId="77777777" w:rsidR="009D6580" w:rsidRPr="002A677E" w:rsidRDefault="009D6580" w:rsidP="00822842">
            <w:pPr>
              <w:rPr>
                <w:rFonts w:ascii="Times New Roman" w:hAnsi="Times New Roman"/>
                <w:sz w:val="24"/>
              </w:rPr>
            </w:pPr>
            <w:r>
              <w:rPr>
                <w:rFonts w:ascii="Times New Roman" w:hAnsi="Times New Roman"/>
                <w:sz w:val="24"/>
              </w:rPr>
              <w:t>Į šį straipsnį įtraukiami bendrosios kredito rizikos koregavimai, kuriuos galima įtraukti į T2 kapitalą, prieš taikant Reglamento (ES) Nr. 575/2013 62 straipsnio c punkte nurodytą apribojimą.</w:t>
            </w:r>
          </w:p>
          <w:p w14:paraId="50B8B57C" w14:textId="77777777" w:rsidR="009D6580" w:rsidRPr="002A677E" w:rsidRDefault="009D6580" w:rsidP="00822842">
            <w:pPr>
              <w:rPr>
                <w:rFonts w:ascii="Times New Roman" w:hAnsi="Times New Roman"/>
                <w:b/>
                <w:sz w:val="24"/>
                <w:u w:val="single"/>
              </w:rPr>
            </w:pPr>
            <w:r>
              <w:rPr>
                <w:rFonts w:ascii="Times New Roman" w:hAnsi="Times New Roman"/>
                <w:sz w:val="24"/>
              </w:rPr>
              <w:t>Suma nurodoma neatskaičius mokesčių.</w:t>
            </w:r>
          </w:p>
        </w:tc>
      </w:tr>
      <w:tr w:rsidR="009D6580" w:rsidRPr="002A677E" w14:paraId="18048AF8" w14:textId="77777777" w:rsidTr="00822842">
        <w:tc>
          <w:tcPr>
            <w:tcW w:w="1188" w:type="dxa"/>
          </w:tcPr>
          <w:p w14:paraId="6BF1FDE0"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640" w:type="dxa"/>
          </w:tcPr>
          <w:p w14:paraId="3DA55F2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Specifinės kredito rizikos koregavimai</w:t>
            </w:r>
          </w:p>
          <w:p w14:paraId="0C4040D9" w14:textId="77777777" w:rsidR="009D6580" w:rsidRPr="002A677E" w:rsidRDefault="009D6580" w:rsidP="00822842">
            <w:pPr>
              <w:rPr>
                <w:rFonts w:ascii="Times New Roman" w:hAnsi="Times New Roman"/>
                <w:b/>
                <w:sz w:val="24"/>
                <w:u w:val="single"/>
              </w:rPr>
            </w:pPr>
            <w:r>
              <w:rPr>
                <w:rFonts w:ascii="Times New Roman" w:hAnsi="Times New Roman"/>
                <w:sz w:val="24"/>
              </w:rPr>
              <w:t>Kredito rizikos koregavimai, kaip nurodyta Reglamento (ES) Nr. 575/2013 110 straipsnyje ir Reglamente (ES) 183/2014.</w:t>
            </w:r>
          </w:p>
        </w:tc>
      </w:tr>
      <w:tr w:rsidR="009D6580" w:rsidRPr="002A677E" w14:paraId="1433D694" w14:textId="77777777" w:rsidTr="00822842">
        <w:tc>
          <w:tcPr>
            <w:tcW w:w="1188" w:type="dxa"/>
          </w:tcPr>
          <w:p w14:paraId="0154002C"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E9754A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Nurašymai</w:t>
            </w:r>
          </w:p>
          <w:p w14:paraId="5E984FA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Nurašymai, kaip nurodyta 9-ojo TFAS 5.4.4 ir B5.4.9 straipsniuose.</w:t>
            </w:r>
          </w:p>
        </w:tc>
      </w:tr>
      <w:tr w:rsidR="009D6580" w:rsidRPr="002A677E" w14:paraId="1CFA94CF" w14:textId="77777777" w:rsidTr="00822842">
        <w:tc>
          <w:tcPr>
            <w:tcW w:w="1188" w:type="dxa"/>
          </w:tcPr>
          <w:p w14:paraId="23BBA9F5" w14:textId="77777777" w:rsidR="009D6580" w:rsidRPr="002A677E" w:rsidRDefault="009D6580" w:rsidP="00822842">
            <w:pPr>
              <w:rPr>
                <w:rFonts w:ascii="Times New Roman" w:hAnsi="Times New Roman"/>
                <w:sz w:val="24"/>
              </w:rPr>
            </w:pPr>
            <w:r>
              <w:rPr>
                <w:rFonts w:ascii="Times New Roman" w:hAnsi="Times New Roman"/>
                <w:sz w:val="24"/>
              </w:rPr>
              <w:t>0061</w:t>
            </w:r>
          </w:p>
        </w:tc>
        <w:tc>
          <w:tcPr>
            <w:tcW w:w="8640" w:type="dxa"/>
          </w:tcPr>
          <w:p w14:paraId="7173ECB3"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Papildomi vertės koregavimai ir kiti nuosavų lėšų sumažinimai</w:t>
            </w:r>
          </w:p>
          <w:p w14:paraId="074C80EC" w14:textId="77777777" w:rsidR="009D6580" w:rsidRPr="002A677E" w:rsidRDefault="009D6580" w:rsidP="00822842">
            <w:pPr>
              <w:rPr>
                <w:rFonts w:ascii="Times New Roman" w:hAnsi="Times New Roman"/>
                <w:b/>
                <w:sz w:val="24"/>
                <w:u w:val="single"/>
              </w:rPr>
            </w:pPr>
            <w:r>
              <w:rPr>
                <w:rFonts w:ascii="Times New Roman" w:hAnsi="Times New Roman"/>
                <w:sz w:val="24"/>
              </w:rPr>
              <w:t>Pagal Reglamento (ES) Nr. 575/2013 111 straipsnį.</w:t>
            </w:r>
          </w:p>
        </w:tc>
      </w:tr>
      <w:tr w:rsidR="009D6580" w:rsidRPr="002A677E" w14:paraId="2939F77F" w14:textId="77777777" w:rsidTr="00822842">
        <w:tc>
          <w:tcPr>
            <w:tcW w:w="1188" w:type="dxa"/>
          </w:tcPr>
          <w:p w14:paraId="542B9015"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2643490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Kredito rizikos koregavimai / nurašymai pastebėtais naujais įsipareigojimų neįvykdymo atvejais</w:t>
            </w:r>
          </w:p>
          <w:p w14:paraId="7E554B6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Kredito rizikos koregavimų ir nurašymų suma, apimanti pozicijas, priskirtas prie pozicijų klasės „pozicijos esant įsipareigojimų neįvykdymui“ per 3 mėnesius nuo paskutinio duomenų pateikimo.</w:t>
            </w:r>
          </w:p>
        </w:tc>
      </w:tr>
      <w:tr w:rsidR="009D6580" w:rsidRPr="002A677E" w14:paraId="2CA30DE3" w14:textId="77777777" w:rsidTr="00822842">
        <w:tc>
          <w:tcPr>
            <w:tcW w:w="1188" w:type="dxa"/>
          </w:tcPr>
          <w:p w14:paraId="2FD89795"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640" w:type="dxa"/>
          </w:tcPr>
          <w:p w14:paraId="233BFDC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Pozicijos vertė</w:t>
            </w:r>
          </w:p>
          <w:p w14:paraId="4F849709"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Ta pati apibrėžtis kaip CR SA formos 0200 skiltyje.</w:t>
            </w:r>
          </w:p>
        </w:tc>
      </w:tr>
      <w:tr w:rsidR="009D6580" w:rsidRPr="002A677E" w14:paraId="09BD9174" w14:textId="77777777" w:rsidTr="00822842">
        <w:tc>
          <w:tcPr>
            <w:tcW w:w="1188" w:type="dxa"/>
          </w:tcPr>
          <w:p w14:paraId="06587A3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0B560F31" w14:textId="46CDE534" w:rsidR="009D6580" w:rsidRPr="002A677E" w:rsidRDefault="009D6580" w:rsidP="00822842">
            <w:pPr>
              <w:rPr>
                <w:rFonts w:ascii="Times New Roman" w:hAnsi="Times New Roman"/>
                <w:b/>
                <w:sz w:val="24"/>
                <w:u w:val="single"/>
              </w:rPr>
            </w:pPr>
            <w:r>
              <w:rPr>
                <w:rFonts w:ascii="Times New Roman" w:hAnsi="Times New Roman"/>
                <w:b/>
                <w:sz w:val="24"/>
                <w:u w:val="single"/>
              </w:rPr>
              <w:t>PAGAL RIZIKĄ ĮVERTINTŲ POZICIJŲ SUMA IKI RĖMIMO KOEFICIENTŲ TAIKYMO IR UŽSIENIO VALIUTOS KURSO NEATITIKIMO</w:t>
            </w:r>
          </w:p>
          <w:p w14:paraId="7F917189" w14:textId="77777777" w:rsidR="009D6580" w:rsidRPr="002A677E" w:rsidRDefault="009D6580" w:rsidP="00822842">
            <w:pPr>
              <w:rPr>
                <w:rFonts w:ascii="Times New Roman" w:hAnsi="Times New Roman"/>
                <w:b/>
                <w:sz w:val="24"/>
                <w:u w:val="single"/>
              </w:rPr>
            </w:pPr>
            <w:r>
              <w:rPr>
                <w:rFonts w:ascii="Times New Roman" w:hAnsi="Times New Roman"/>
                <w:sz w:val="24"/>
              </w:rPr>
              <w:t>Ta pati apibrėžtis kaip CR SA formos 0215 skiltyje.</w:t>
            </w:r>
          </w:p>
        </w:tc>
      </w:tr>
      <w:tr w:rsidR="009D6580" w:rsidRPr="002A677E" w14:paraId="172392A5" w14:textId="77777777" w:rsidTr="00822842">
        <w:tc>
          <w:tcPr>
            <w:tcW w:w="1188" w:type="dxa"/>
          </w:tcPr>
          <w:p w14:paraId="4881CC35" w14:textId="77777777" w:rsidR="009D6580" w:rsidRPr="002A677E" w:rsidRDefault="009D6580" w:rsidP="00822842">
            <w:pPr>
              <w:rPr>
                <w:rFonts w:ascii="Times New Roman" w:hAnsi="Times New Roman"/>
                <w:sz w:val="24"/>
              </w:rPr>
            </w:pPr>
            <w:r>
              <w:rPr>
                <w:rFonts w:ascii="Times New Roman" w:hAnsi="Times New Roman"/>
                <w:sz w:val="24"/>
              </w:rPr>
              <w:t>0081</w:t>
            </w:r>
          </w:p>
        </w:tc>
        <w:tc>
          <w:tcPr>
            <w:tcW w:w="8640" w:type="dxa"/>
          </w:tcPr>
          <w:p w14:paraId="3683E884"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 PAGAL RIZIKĄ ĮVERTINTŲ POZICIJŲ SUMOS KOREGAVIMAS DĖL MVĮ RĖMIMO KOEFICIENTO</w:t>
            </w:r>
          </w:p>
          <w:p w14:paraId="7D7BF2EE" w14:textId="77777777" w:rsidR="009D6580" w:rsidRPr="002A677E" w:rsidRDefault="009D6580" w:rsidP="00822842">
            <w:pPr>
              <w:rPr>
                <w:rFonts w:ascii="Times New Roman" w:hAnsi="Times New Roman"/>
                <w:b/>
                <w:sz w:val="24"/>
                <w:u w:val="single"/>
              </w:rPr>
            </w:pPr>
            <w:r>
              <w:rPr>
                <w:rFonts w:ascii="Times New Roman" w:hAnsi="Times New Roman"/>
                <w:sz w:val="24"/>
              </w:rPr>
              <w:t>Ta pati apibrėžtis kaip CR SA formos 0216 skiltyje.</w:t>
            </w:r>
          </w:p>
        </w:tc>
      </w:tr>
      <w:tr w:rsidR="009D6580" w:rsidRPr="002A677E" w14:paraId="7C7A5C85" w14:textId="77777777" w:rsidTr="00822842">
        <w:tc>
          <w:tcPr>
            <w:tcW w:w="1188" w:type="dxa"/>
          </w:tcPr>
          <w:p w14:paraId="4ABD72EC" w14:textId="77777777" w:rsidR="009D6580" w:rsidRPr="002A677E" w:rsidRDefault="009D6580" w:rsidP="00822842">
            <w:pPr>
              <w:rPr>
                <w:rFonts w:ascii="Times New Roman" w:hAnsi="Times New Roman"/>
                <w:sz w:val="24"/>
              </w:rPr>
            </w:pPr>
            <w:r>
              <w:rPr>
                <w:rFonts w:ascii="Times New Roman" w:hAnsi="Times New Roman"/>
                <w:sz w:val="24"/>
              </w:rPr>
              <w:t>0082</w:t>
            </w:r>
          </w:p>
        </w:tc>
        <w:tc>
          <w:tcPr>
            <w:tcW w:w="8640" w:type="dxa"/>
          </w:tcPr>
          <w:p w14:paraId="60EE9D4D"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 PAGAL RIZIKĄ ĮVERTINTŲ POZICIJŲ SUMOS KOREGAVIMAS DĖL INFRASTRUKTŪROS RĖMIMO KOEFICIENTO</w:t>
            </w:r>
          </w:p>
          <w:p w14:paraId="3D157D72" w14:textId="77777777" w:rsidR="009D6580" w:rsidRPr="002A677E" w:rsidRDefault="009D6580" w:rsidP="00822842">
            <w:pPr>
              <w:rPr>
                <w:rFonts w:ascii="Times New Roman" w:hAnsi="Times New Roman"/>
                <w:b/>
                <w:sz w:val="24"/>
                <w:u w:val="single"/>
              </w:rPr>
            </w:pPr>
            <w:r>
              <w:rPr>
                <w:rFonts w:ascii="Times New Roman" w:hAnsi="Times New Roman"/>
                <w:sz w:val="24"/>
              </w:rPr>
              <w:t>Ta pati apibrėžtis kaip CR SA formos 0217 skiltyje.</w:t>
            </w:r>
          </w:p>
        </w:tc>
      </w:tr>
      <w:tr w:rsidR="009D6580" w:rsidRPr="002A677E" w14:paraId="2271C08F" w14:textId="77777777" w:rsidTr="00822842">
        <w:tc>
          <w:tcPr>
            <w:tcW w:w="1188" w:type="dxa"/>
          </w:tcPr>
          <w:p w14:paraId="7D3C5FE9"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tcPr>
          <w:p w14:paraId="784080AC" w14:textId="77777777" w:rsidR="00AF2BE6" w:rsidRDefault="009D6580" w:rsidP="00AF2BE6">
            <w:pPr>
              <w:rPr>
                <w:rFonts w:ascii="Times New Roman" w:hAnsi="Times New Roman"/>
                <w:b/>
                <w:sz w:val="24"/>
                <w:u w:val="single"/>
              </w:rPr>
            </w:pPr>
            <w:r>
              <w:rPr>
                <w:rFonts w:ascii="Times New Roman" w:hAnsi="Times New Roman"/>
                <w:b/>
                <w:sz w:val="24"/>
                <w:u w:val="single"/>
              </w:rPr>
              <w:t>PAGAL RIZIKĄ ĮVERTINTŲ POZICIJŲ SUMA PO RĖMIMO KOEFICIENTŲ TAIKYMO IR UŽSIENIO VALIUTOS KURSO NEATITIKIMO</w:t>
            </w:r>
          </w:p>
          <w:p w14:paraId="5F17785F" w14:textId="6397E6C0" w:rsidR="009D6580" w:rsidRPr="002A677E" w:rsidRDefault="009D6580" w:rsidP="00AF2BE6">
            <w:pPr>
              <w:rPr>
                <w:rFonts w:ascii="Times New Roman" w:hAnsi="Times New Roman"/>
                <w:b/>
                <w:sz w:val="24"/>
                <w:u w:val="single"/>
              </w:rPr>
            </w:pPr>
            <w:r>
              <w:rPr>
                <w:rFonts w:ascii="Times New Roman" w:hAnsi="Times New Roman"/>
                <w:sz w:val="24"/>
              </w:rPr>
              <w:t>Ta pati apibrėžtis kaip CR SA formos 0220 skiltyje.</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lastRenderedPageBreak/>
              <w:t>Eilutės</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Centrinės valdžios arba centrinių bankų pozicijos</w:t>
            </w:r>
          </w:p>
          <w:p w14:paraId="701FDDD6"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Reglamento (ES) Nr. 575/2013 112 straipsnio a punktas.</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Regioninės arba vietos valdžios institucijų pozicijos</w:t>
            </w:r>
          </w:p>
          <w:p w14:paraId="06578FE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Reglamento (ES) Nr. 575/2013 112 straipsnio b punktas.</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Viešojo sektoriaus subjektų pozicijos</w:t>
            </w:r>
          </w:p>
          <w:p w14:paraId="451BD94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Reglamento (ES) Nr. 575/2013 112 straipsnio c punktas.</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Daugiašalių plėtros bankų pozicijos</w:t>
            </w:r>
          </w:p>
          <w:p w14:paraId="59A0267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Reglamento (ES) Nr. 575/2013 112 straipsnio d punktas.</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Tarptautinių organizacijų pozicijos</w:t>
            </w:r>
          </w:p>
          <w:p w14:paraId="17C7FCF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Reglamento (ES) Nr. 575/2013 112 straipsnio e punktas.</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Įstaigų pozicijos</w:t>
            </w:r>
          </w:p>
          <w:p w14:paraId="153928C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Reglamento (ES) Nr. 575/2013 112 straipsnio f punktas.</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Įmonių pozicijos</w:t>
            </w:r>
          </w:p>
          <w:p w14:paraId="2131631A"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Reglamento (ES) Nr. 575/2013 112 straipsnio g punktas.</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299BAF86" w14:textId="1D0D90FF" w:rsidR="009D6580" w:rsidRPr="002A677E" w:rsidRDefault="003529BB" w:rsidP="00822842">
            <w:pPr>
              <w:ind w:left="72"/>
              <w:rPr>
                <w:rStyle w:val="InstructionsTabelleberschrift"/>
                <w:rFonts w:ascii="Times New Roman" w:hAnsi="Times New Roman"/>
                <w:sz w:val="24"/>
              </w:rPr>
            </w:pPr>
            <w:r>
              <w:rPr>
                <w:rStyle w:val="InstructionsTabelleberschrift"/>
                <w:rFonts w:ascii="Times New Roman" w:hAnsi="Times New Roman"/>
                <w:sz w:val="24"/>
              </w:rPr>
              <w:t>D</w:t>
            </w:r>
            <w:r w:rsidR="009D6580">
              <w:rPr>
                <w:rStyle w:val="InstructionsTabelleberschrift"/>
                <w:rFonts w:ascii="Times New Roman" w:hAnsi="Times New Roman"/>
                <w:sz w:val="24"/>
              </w:rPr>
              <w:t>alis, kurią atitinka: MVĮ pozicijos</w:t>
            </w:r>
          </w:p>
          <w:p w14:paraId="54A9735B"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pati apibrėžtis kaip CR SA formos 0020 eilutėje.</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rFonts w:ascii="Times New Roman" w:hAnsi="Times New Roman"/>
                <w:sz w:val="24"/>
              </w:rPr>
            </w:pPr>
            <w:r>
              <w:rPr>
                <w:rFonts w:ascii="Times New Roman" w:hAnsi="Times New Roman"/>
                <w:sz w:val="24"/>
              </w:rPr>
              <w:t>0076</w:t>
            </w:r>
          </w:p>
        </w:tc>
        <w:tc>
          <w:tcPr>
            <w:tcW w:w="8701" w:type="dxa"/>
            <w:gridSpan w:val="2"/>
            <w:shd w:val="clear" w:color="auto" w:fill="FFFFFF"/>
          </w:tcPr>
          <w:p w14:paraId="77F474DF"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Dalis, kurią atitinka: specializuoto skolinimo pozicijos</w:t>
            </w:r>
          </w:p>
          <w:p w14:paraId="78348E89" w14:textId="77777777" w:rsidR="009D6580" w:rsidRPr="000059B8"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 xml:space="preserve">Reglamento (ES) Nr. 575/2013 </w:t>
            </w:r>
            <w:r>
              <w:rPr>
                <w:rStyle w:val="InstructionsTabelleberschrift"/>
                <w:rFonts w:ascii="Times New Roman" w:hAnsi="Times New Roman"/>
                <w:b w:val="0"/>
                <w:sz w:val="24"/>
                <w:u w:val="none"/>
              </w:rPr>
              <w:t>122a straipsnis</w:t>
            </w:r>
            <w:r>
              <w:rPr>
                <w:rFonts w:ascii="Times New Roman" w:hAnsi="Times New Roman"/>
                <w:sz w:val="24"/>
              </w:rPr>
              <w:t>.</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Mažmeninės pozicijos</w:t>
            </w:r>
          </w:p>
          <w:p w14:paraId="4C73D39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Reglamento (ES) Nr. 575/2013 112 straipsnio h punktas.</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73F494D2" w14:textId="4D90043A" w:rsidR="009D6580" w:rsidRPr="002A677E" w:rsidRDefault="003529BB" w:rsidP="00822842">
            <w:pPr>
              <w:ind w:left="72"/>
              <w:rPr>
                <w:rStyle w:val="InstructionsTabelleberschrift"/>
                <w:rFonts w:ascii="Times New Roman" w:hAnsi="Times New Roman"/>
                <w:sz w:val="24"/>
              </w:rPr>
            </w:pPr>
            <w:r>
              <w:rPr>
                <w:rStyle w:val="InstructionsTabelleberschrift"/>
                <w:rFonts w:ascii="Times New Roman" w:hAnsi="Times New Roman"/>
                <w:sz w:val="24"/>
              </w:rPr>
              <w:t>D</w:t>
            </w:r>
            <w:r w:rsidR="009D6580">
              <w:rPr>
                <w:rStyle w:val="InstructionsTabelleberschrift"/>
                <w:rFonts w:ascii="Times New Roman" w:hAnsi="Times New Roman"/>
                <w:sz w:val="24"/>
              </w:rPr>
              <w:t>alis, kurią atitinka: MVĮ pozicijos</w:t>
            </w:r>
          </w:p>
          <w:p w14:paraId="08FE43D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pati apibrėžtis kaip CR SA formos 0020 eilutėje.</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17BDF7D3"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Nekilnojamojo turto hipoteka užtikrintos pozicijos ir ADC pozicijos</w:t>
            </w:r>
          </w:p>
          <w:p w14:paraId="6DD925ED"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Reglamento (ES) Nr. 575/2013 112 straipsnio i punktas.</w:t>
            </w:r>
          </w:p>
        </w:tc>
      </w:tr>
      <w:tr w:rsidR="0020657D" w:rsidRPr="002A677E"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Gyvenamosios paskirties nekilnojamojo turto hipoteka užtikrintos pozicijos: ne IPRE pozicijos (užtikrintos)</w:t>
            </w:r>
          </w:p>
          <w:p w14:paraId="5BC0E4C6" w14:textId="5F815813"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Žr. CR SA formą.</w:t>
            </w:r>
          </w:p>
        </w:tc>
      </w:tr>
      <w:tr w:rsidR="0020657D" w:rsidRPr="002A677E"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Gyvenamosios paskirties nekilnojamojo turto hipoteka užtikrintos pozicijos: ne IPRE pozicijos (neužtikrintos)</w:t>
            </w:r>
          </w:p>
          <w:p w14:paraId="607C903E" w14:textId="583159E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Žr. CR SA formą.</w:t>
            </w:r>
          </w:p>
        </w:tc>
      </w:tr>
      <w:tr w:rsidR="0020657D" w:rsidRPr="002A677E"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Gyvenamosios paskirties nekilnojamojo turto hipoteka užtikrintos pozicijos: kitos pozicijos, ne IPRE pozicijos</w:t>
            </w:r>
          </w:p>
          <w:p w14:paraId="311E3CF5" w14:textId="5245D766"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Žr. CR SA formą.</w:t>
            </w:r>
          </w:p>
        </w:tc>
      </w:tr>
      <w:tr w:rsidR="0020657D" w:rsidRPr="002A677E"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Gyvenamosios paskirties nekilnojamojo turto hipoteka užtikrintos pozicijos: IPRE pozicijos</w:t>
            </w:r>
          </w:p>
          <w:p w14:paraId="2090782C" w14:textId="64D92CBC"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Žr. CR SA formą.</w:t>
            </w:r>
          </w:p>
        </w:tc>
      </w:tr>
      <w:tr w:rsidR="0020657D" w:rsidRPr="002A677E"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Gyvenamosios paskirties nekilnojamojo turto hipoteka užtikrintos pozicijos: kitos pozicijos, IPRE pozicijos</w:t>
            </w:r>
          </w:p>
          <w:p w14:paraId="18E3F7B1" w14:textId="00D9A105"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Žr. CR SA formą.</w:t>
            </w:r>
          </w:p>
        </w:tc>
      </w:tr>
      <w:tr w:rsidR="0020657D" w:rsidRPr="002A677E"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Komercinės paskirties nekilnojamojo turto hipoteka užtikrintos pozicijos: ne IPRE pozicijos (užtikrintos)</w:t>
            </w:r>
          </w:p>
          <w:p w14:paraId="1DD8A6CF" w14:textId="2D56F96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Žr. CR SA formą.</w:t>
            </w:r>
          </w:p>
        </w:tc>
      </w:tr>
      <w:tr w:rsidR="0020657D" w:rsidRPr="002A677E"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Komercinės paskirties nekilnojamojo turto hipoteka užtikrintos pozicijos: ne IPRE pozicijos (neužtikrintos)</w:t>
            </w:r>
          </w:p>
          <w:p w14:paraId="37DA45D4" w14:textId="1AC5F0E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Žr. CR SA formą.</w:t>
            </w:r>
          </w:p>
        </w:tc>
      </w:tr>
      <w:tr w:rsidR="0020657D" w:rsidRPr="002A677E"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Komercinės paskirties nekilnojamojo turto hipoteka užtikrintos pozicijos: kitos pozicijos, ne IPRE pozicijos</w:t>
            </w:r>
          </w:p>
          <w:p w14:paraId="653F8A23" w14:textId="727D9E5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Žr. CR SA formą.</w:t>
            </w:r>
          </w:p>
        </w:tc>
      </w:tr>
      <w:tr w:rsidR="0020657D" w:rsidRPr="002A677E"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Komercinės paskirties nekilnojamojo turto hipoteka užtikrintos pozicijos: IPRE pozicijos</w:t>
            </w:r>
          </w:p>
          <w:p w14:paraId="5C23C6C1" w14:textId="64A934F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Žr. CR SA formą.</w:t>
            </w:r>
          </w:p>
        </w:tc>
      </w:tr>
      <w:tr w:rsidR="0020657D" w:rsidRPr="002A677E"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Komercinės paskirties nekilnojamojo turto hipoteka užtikrintos pozicijos: kitos pozicijos, IPRE pozicijos</w:t>
            </w:r>
          </w:p>
          <w:p w14:paraId="4CFFBC8C" w14:textId="16697C60"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Žr. CR SA formą.</w:t>
            </w:r>
          </w:p>
        </w:tc>
      </w:tr>
      <w:tr w:rsidR="0020657D" w:rsidRPr="002A677E"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Įsigijimo, vystymo ir statybos pozicijos (ADC pozicijos)</w:t>
            </w:r>
          </w:p>
          <w:p w14:paraId="0CFE246E" w14:textId="00399E0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Žr. CR SA formą.</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DFFD2E6" w14:textId="57809998" w:rsidR="009D6580" w:rsidRPr="002A677E" w:rsidRDefault="003529BB" w:rsidP="00822842">
            <w:pPr>
              <w:ind w:left="72"/>
              <w:rPr>
                <w:rStyle w:val="InstructionsTabelleberschrift"/>
                <w:rFonts w:ascii="Times New Roman" w:hAnsi="Times New Roman"/>
                <w:sz w:val="24"/>
              </w:rPr>
            </w:pPr>
            <w:r>
              <w:rPr>
                <w:rStyle w:val="InstructionsTabelleberschrift"/>
                <w:rFonts w:ascii="Times New Roman" w:hAnsi="Times New Roman"/>
                <w:sz w:val="24"/>
              </w:rPr>
              <w:t>D</w:t>
            </w:r>
            <w:r w:rsidR="009D6580">
              <w:rPr>
                <w:rStyle w:val="InstructionsTabelleberschrift"/>
                <w:rFonts w:ascii="Times New Roman" w:hAnsi="Times New Roman"/>
                <w:sz w:val="24"/>
              </w:rPr>
              <w:t>alis, kurią atitinka: MVĮ pozicijos</w:t>
            </w:r>
          </w:p>
          <w:p w14:paraId="6A4AA475"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pati apibrėžtis kaip CR SA formos 0020 eilutėje.</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Pozicijos esant įsipareigojimų neįvykdymui</w:t>
            </w:r>
          </w:p>
          <w:p w14:paraId="24E89ACE"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Reglamento (ES) Nr. 575/2013 112 straipsnio j punktas.</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rFonts w:ascii="Times New Roman" w:hAnsi="Times New Roman"/>
                <w:sz w:val="24"/>
              </w:rPr>
            </w:pPr>
            <w:r>
              <w:rPr>
                <w:rFonts w:ascii="Times New Roman" w:hAnsi="Times New Roman"/>
                <w:sz w:val="24"/>
              </w:rPr>
              <w:t>0115</w:t>
            </w:r>
          </w:p>
        </w:tc>
        <w:tc>
          <w:tcPr>
            <w:tcW w:w="8701" w:type="dxa"/>
            <w:gridSpan w:val="2"/>
            <w:shd w:val="clear" w:color="auto" w:fill="FFFFFF"/>
          </w:tcPr>
          <w:p w14:paraId="71EBD362"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Subordinuotosios skolos pozicijos</w:t>
            </w:r>
          </w:p>
          <w:p w14:paraId="7F19547A" w14:textId="77777777" w:rsidR="009D6580" w:rsidRPr="000059B8"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Reglamento (ES) Nr. 575/2013 112 straipsnio k punktas.</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rFonts w:ascii="Times New Roman" w:hAnsi="Times New Roman"/>
                <w:sz w:val="24"/>
              </w:rPr>
            </w:pPr>
            <w:r>
              <w:rPr>
                <w:rFonts w:ascii="Times New Roman" w:hAnsi="Times New Roman"/>
                <w:sz w:val="24"/>
              </w:rPr>
              <w:lastRenderedPageBreak/>
              <w:t>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Padengtųjų obligacijų pozicijos</w:t>
            </w:r>
          </w:p>
          <w:p w14:paraId="68F7689A" w14:textId="77777777" w:rsidR="009D6580" w:rsidRPr="002A677E"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Reglamento (ES) Nr. 575/2013 112 straipsnio l punktas.</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rFonts w:ascii="Times New Roman" w:hAnsi="Times New Roman"/>
                <w:sz w:val="24"/>
              </w:rPr>
            </w:pPr>
            <w:r>
              <w:rPr>
                <w:rFonts w:ascii="Times New Roman" w:hAnsi="Times New Roman"/>
                <w:sz w:val="24"/>
              </w:rPr>
              <w:t>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rFonts w:ascii="Times New Roman" w:hAnsi="Times New Roman"/>
                <w:bCs w:val="0"/>
                <w:sz w:val="24"/>
              </w:rPr>
            </w:pPr>
            <w:r>
              <w:rPr>
                <w:rStyle w:val="InstructionsTabelleberschrift"/>
                <w:rFonts w:ascii="Times New Roman" w:hAnsi="Times New Roman"/>
                <w:sz w:val="24"/>
              </w:rPr>
              <w:t>Trumpalaikį kredito vertinimą turinčių įstaigų ir įmonių pozicijos</w:t>
            </w:r>
          </w:p>
          <w:p w14:paraId="53F92677" w14:textId="77777777" w:rsidR="009D6580" w:rsidRPr="002A677E" w:rsidRDefault="009D6580" w:rsidP="00822842">
            <w:pPr>
              <w:ind w:left="72"/>
              <w:rPr>
                <w:rFonts w:ascii="Times New Roman" w:hAnsi="Times New Roman"/>
                <w:sz w:val="24"/>
              </w:rPr>
            </w:pPr>
            <w:r>
              <w:rPr>
                <w:rFonts w:ascii="Times New Roman" w:hAnsi="Times New Roman"/>
                <w:sz w:val="24"/>
              </w:rPr>
              <w:t>Reglamento (ES) Nr. 575/2013 112 straipsnio n punktas.</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Kolektyvinio investavimo subjektų (KIS) pozicijos</w:t>
            </w:r>
          </w:p>
          <w:p w14:paraId="6BE6CAC2" w14:textId="77777777" w:rsidR="009D6580" w:rsidRPr="002A677E" w:rsidRDefault="009D6580" w:rsidP="00822842">
            <w:pPr>
              <w:ind w:left="72"/>
              <w:rPr>
                <w:rFonts w:ascii="Times New Roman" w:hAnsi="Times New Roman"/>
                <w:bCs/>
                <w:sz w:val="24"/>
              </w:rPr>
            </w:pPr>
            <w:r>
              <w:rPr>
                <w:rFonts w:ascii="Times New Roman" w:hAnsi="Times New Roman"/>
                <w:sz w:val="24"/>
              </w:rPr>
              <w:t>Reglamento (ES) Nr. 575/2013 112 straipsnio o punktas.</w:t>
            </w:r>
          </w:p>
          <w:p w14:paraId="0FFD53A4" w14:textId="77777777" w:rsidR="009D6580" w:rsidRPr="002A677E"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0141–0143 eilučių suma.</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Skaidrumo metodas</w:t>
            </w:r>
          </w:p>
          <w:p w14:paraId="00783183"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pati apibrėžtis kaip CR SA formos 0281 eilutėje.</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Įgaliojimais grindžiamas metodas</w:t>
            </w:r>
          </w:p>
          <w:p w14:paraId="1FD3865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pati apibrėžtis kaip CR SA formos 0282 eilutėje.</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Alternatyvus metodas</w:t>
            </w:r>
          </w:p>
          <w:p w14:paraId="2EA9AADD"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pati apibrėžtis kaip CR SA formos 0283 eilutėje.</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Nuosavybės vertybinių popierių pozicijos</w:t>
            </w:r>
          </w:p>
          <w:p w14:paraId="3170DAFB"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Reglamento (ES) Nr. 575/2013 112 straipsnio p punktas.</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Kitos pozicijos</w:t>
            </w:r>
          </w:p>
          <w:p w14:paraId="5D708342"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Reglamento (ES) Nr. 575/2013 112 straipsnio q punktas.</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Bendra pozicijų suma</w:t>
            </w:r>
          </w:p>
        </w:tc>
      </w:tr>
    </w:tbl>
    <w:p w14:paraId="2EB3E5B0" w14:textId="77777777" w:rsidR="009D6580" w:rsidRPr="002A677E" w:rsidRDefault="009D6580" w:rsidP="009D6580">
      <w:pPr>
        <w:spacing w:before="0" w:after="200" w:line="312" w:lineRule="auto"/>
        <w:jc w:val="left"/>
        <w:rPr>
          <w:rFonts w:ascii="Times New Roman" w:hAnsi="Times New Roman"/>
          <w:sz w:val="24"/>
        </w:rPr>
      </w:pPr>
      <w:bookmarkStart w:id="3" w:name="_Toc292456210"/>
    </w:p>
    <w:p w14:paraId="467F6DC6"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4" w:name="_Toc360188364"/>
      <w:bookmarkStart w:id="5" w:name="_Toc473560915"/>
      <w:bookmarkStart w:id="6" w:name="_Toc151714419"/>
      <w:r>
        <w:rPr>
          <w:rFonts w:ascii="Times New Roman" w:hAnsi="Times New Roman"/>
          <w:sz w:val="24"/>
          <w:u w:val="none"/>
        </w:rPr>
        <w:t>3.4.2.</w:t>
      </w:r>
      <w:r w:rsidRPr="00BC5027">
        <w:rPr>
          <w:u w:val="none"/>
        </w:rPr>
        <w:tab/>
      </w:r>
      <w:r>
        <w:rPr>
          <w:rFonts w:ascii="Times New Roman" w:hAnsi="Times New Roman"/>
          <w:sz w:val="24"/>
        </w:rPr>
        <w:t>C 09.02. Geografinis pozicijų suskirstymas pagal įsipareigojančiojo asmens įsisteigimo vietą. Pozicijos, kurioms taikomas IRB metodas</w:t>
      </w:r>
      <w:bookmarkEnd w:id="4"/>
      <w:r>
        <w:rPr>
          <w:rFonts w:ascii="Times New Roman" w:hAnsi="Times New Roman"/>
          <w:sz w:val="24"/>
        </w:rPr>
        <w:t xml:space="preserve"> (CR GB 2)</w:t>
      </w:r>
      <w:bookmarkEnd w:id="5"/>
      <w:bookmarkEnd w:id="6"/>
    </w:p>
    <w:p w14:paraId="21A320CB"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7" w:name="_Toc360188365"/>
      <w:bookmarkStart w:id="8" w:name="_Toc473560916"/>
      <w:bookmarkStart w:id="9" w:name="_Toc151714420"/>
      <w:r>
        <w:rPr>
          <w:rFonts w:ascii="Times New Roman" w:hAnsi="Times New Roman"/>
          <w:sz w:val="24"/>
          <w:u w:val="none"/>
        </w:rPr>
        <w:t>3.4.2.1.</w:t>
      </w:r>
      <w:r w:rsidRPr="00BC5027">
        <w:rPr>
          <w:u w:val="none"/>
        </w:rPr>
        <w:tab/>
      </w:r>
      <w:r>
        <w:rPr>
          <w:rFonts w:ascii="Times New Roman" w:hAnsi="Times New Roman"/>
          <w:sz w:val="24"/>
        </w:rPr>
        <w:t>Nurodymai dėl konkrečių pozicijų</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rFonts w:ascii="Times New Roman" w:hAnsi="Times New Roman"/>
                <w:b/>
                <w:sz w:val="24"/>
              </w:rPr>
            </w:pPr>
            <w:r>
              <w:rPr>
                <w:rFonts w:ascii="Times New Roman" w:hAnsi="Times New Roman"/>
                <w:b/>
                <w:sz w:val="24"/>
              </w:rPr>
              <w:t>Skiltys</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DA72BDB"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PRADINĖ POZICIJA IKI PERSKAIČIAVIMO KOEFICIENTŲ TAIKYMO</w:t>
            </w:r>
          </w:p>
          <w:p w14:paraId="714A5DA7" w14:textId="77777777" w:rsidR="009D6580" w:rsidRPr="002A677E" w:rsidRDefault="009D6580" w:rsidP="00822842">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Ta pati apibrėžtis kaip CR IRB formos 0020 skiltyje.</w:t>
            </w:r>
          </w:p>
        </w:tc>
      </w:tr>
      <w:tr w:rsidR="009D6580" w:rsidRPr="002A677E" w14:paraId="770F3897" w14:textId="77777777" w:rsidTr="00822842">
        <w:tc>
          <w:tcPr>
            <w:tcW w:w="1188" w:type="dxa"/>
          </w:tcPr>
          <w:p w14:paraId="56E092E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0071C394"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Dalis, kurią atitinka: pozicijos esant įsipareigojimų neįvykdymui</w:t>
            </w:r>
          </w:p>
          <w:p w14:paraId="2768B5B2"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Pozicijų, kurios pagal Reglamento (ES) Nr. 575/2013 178 straipsnį buvo priskirtos prie pozicijų esant įsipareigojimų neįvykdymui, pradinės pozicijos vertė.</w:t>
            </w:r>
          </w:p>
        </w:tc>
      </w:tr>
      <w:tr w:rsidR="009D6580" w:rsidRPr="002A677E" w14:paraId="7AD6E18B" w14:textId="77777777" w:rsidTr="00822842">
        <w:tc>
          <w:tcPr>
            <w:tcW w:w="1188" w:type="dxa"/>
          </w:tcPr>
          <w:p w14:paraId="1DFAF6C6"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640" w:type="dxa"/>
          </w:tcPr>
          <w:p w14:paraId="3FD9DA2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Per laikotarpį pastebėti nauji įsipareigojimų neįvykdymo atvejai</w:t>
            </w:r>
          </w:p>
          <w:p w14:paraId="2393DECB"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lastRenderedPageBreak/>
              <w:t xml:space="preserve">Pradinių pozicijų, klasifikuotų kaip „pozicijos esant įsipareigojimų neįvykdymui“ per tris mėnesius nuo paskutinės ataskaitinės datos, suma nurodoma pozicijų klasėje, kuriai įsipareigojantysis asmuo priklausė iš pradžių. </w:t>
            </w:r>
          </w:p>
        </w:tc>
      </w:tr>
      <w:tr w:rsidR="009D6580" w:rsidRPr="002A677E" w14:paraId="382342DD" w14:textId="77777777" w:rsidTr="00822842">
        <w:tc>
          <w:tcPr>
            <w:tcW w:w="1188" w:type="dxa"/>
          </w:tcPr>
          <w:p w14:paraId="20977C7F"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6E8FD64C"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Bendrosios kredito rizikos koregavimai</w:t>
            </w:r>
          </w:p>
          <w:p w14:paraId="1F1D0A5D" w14:textId="77777777" w:rsidR="009D6580" w:rsidRPr="002A677E" w:rsidRDefault="009D6580" w:rsidP="00822842">
            <w:pPr>
              <w:rPr>
                <w:rFonts w:ascii="Times New Roman" w:hAnsi="Times New Roman"/>
                <w:b/>
                <w:sz w:val="24"/>
                <w:u w:val="single"/>
              </w:rPr>
            </w:pPr>
            <w:r>
              <w:rPr>
                <w:rFonts w:ascii="Times New Roman" w:hAnsi="Times New Roman"/>
                <w:sz w:val="24"/>
              </w:rPr>
              <w:t>Kredito rizikos koregavimai, kaip nurodyta Reglamento (ES) Nr. 575/2013 110 straipsnyje ir Reglamente (ES) 183/2014.</w:t>
            </w:r>
          </w:p>
        </w:tc>
      </w:tr>
      <w:tr w:rsidR="009D6580" w:rsidRPr="002A677E" w14:paraId="63C2E396" w14:textId="77777777" w:rsidTr="00822842">
        <w:tc>
          <w:tcPr>
            <w:tcW w:w="1188" w:type="dxa"/>
          </w:tcPr>
          <w:p w14:paraId="3BC8F127"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640" w:type="dxa"/>
          </w:tcPr>
          <w:p w14:paraId="26D828F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Specifinės kredito rizikos koregavimai</w:t>
            </w:r>
          </w:p>
          <w:p w14:paraId="4DA8E76B" w14:textId="77777777" w:rsidR="009D6580" w:rsidRPr="002A677E" w:rsidRDefault="009D6580" w:rsidP="00822842">
            <w:pPr>
              <w:rPr>
                <w:rFonts w:ascii="Times New Roman" w:hAnsi="Times New Roman"/>
                <w:b/>
                <w:sz w:val="24"/>
                <w:u w:val="single"/>
              </w:rPr>
            </w:pPr>
            <w:r>
              <w:rPr>
                <w:rFonts w:ascii="Times New Roman" w:hAnsi="Times New Roman"/>
                <w:sz w:val="24"/>
              </w:rPr>
              <w:t>Kredito rizikos koregavimai, kaip nurodyta Reglamento (ES) Nr. 575/2013 110 straipsnyje ir Reglamente (ES) 183/2014.</w:t>
            </w:r>
          </w:p>
        </w:tc>
      </w:tr>
      <w:tr w:rsidR="009D6580" w:rsidRPr="002A677E" w14:paraId="24582208" w14:textId="77777777" w:rsidTr="00822842">
        <w:tc>
          <w:tcPr>
            <w:tcW w:w="1188" w:type="dxa"/>
          </w:tcPr>
          <w:p w14:paraId="46A1EB07"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4CC236D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Nurašymai</w:t>
            </w:r>
          </w:p>
          <w:p w14:paraId="51BEEB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Nurašymai, kaip nurodyta 9-ojo TFAS 5.4.4 ir B5.4.9 straipsniuose.</w:t>
            </w:r>
          </w:p>
        </w:tc>
      </w:tr>
      <w:tr w:rsidR="009D6580" w:rsidRPr="002A677E" w14:paraId="615BD0D9" w14:textId="77777777" w:rsidTr="00822842">
        <w:tc>
          <w:tcPr>
            <w:tcW w:w="1188" w:type="dxa"/>
          </w:tcPr>
          <w:p w14:paraId="641E5F2D"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7C362C1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Kredito rizikos koregavimai / nurašymai pastebėtais naujais įsipareigojimų neįvykdymo atvejais</w:t>
            </w:r>
          </w:p>
          <w:p w14:paraId="454774E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Kredito rizikos koregavimų ir nurašymų suma, apimanti pozicijas, priskirtas prie pozicijų klasės „pozicijos esant įsipareigojimų neįvykdymui“ per 3 mėnesius nuo paskutinio duomenų pateikimo.</w:t>
            </w:r>
          </w:p>
        </w:tc>
      </w:tr>
      <w:tr w:rsidR="009D6580" w:rsidRPr="002A677E" w14:paraId="4B7452D7" w14:textId="77777777" w:rsidTr="00822842">
        <w:tc>
          <w:tcPr>
            <w:tcW w:w="1188" w:type="dxa"/>
          </w:tcPr>
          <w:p w14:paraId="1A68115E"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256EF248" w14:textId="77777777" w:rsidR="009D6580" w:rsidRPr="002A677E" w:rsidRDefault="009D6580" w:rsidP="00822842">
            <w:pPr>
              <w:rPr>
                <w:rStyle w:val="InstructionsTabelleberschrift"/>
                <w:rFonts w:ascii="Times New Roman" w:hAnsi="Times New Roman"/>
                <w:bCs w:val="0"/>
                <w:sz w:val="24"/>
              </w:rPr>
            </w:pPr>
            <w:r>
              <w:rPr>
                <w:rStyle w:val="InstructionsTabelleberschrift"/>
                <w:rFonts w:ascii="Times New Roman" w:hAnsi="Times New Roman"/>
                <w:sz w:val="24"/>
              </w:rPr>
              <w:t>VIDAUS REITINGŲ SKALĖ / PD, PRISKIRTA ĮSIPAREIGOJANČIOJO ASMENS RANGUI ARBA GRUPEI (%)</w:t>
            </w:r>
          </w:p>
          <w:p w14:paraId="2C51714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Ta pati apibrėžtis kaip CR IRB formos 0010 skiltyje.</w:t>
            </w:r>
          </w:p>
        </w:tc>
      </w:tr>
      <w:tr w:rsidR="009D6580" w:rsidRPr="002A677E" w14:paraId="18989AFE" w14:textId="77777777" w:rsidTr="00822842">
        <w:tc>
          <w:tcPr>
            <w:tcW w:w="1188" w:type="dxa"/>
          </w:tcPr>
          <w:p w14:paraId="489AE0F7"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tcPr>
          <w:p w14:paraId="78B53B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POZICIJŲ SVERTINIS LGD VIDURKIS (%)</w:t>
            </w:r>
          </w:p>
          <w:p w14:paraId="5BC89E8E"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Ta pati apibrėžtis kaip CR IRB formos 0230 ir 0240 skiltyse: pozicijų svertinis LGD vidurkis (%) apima visas pozicijas, įskaitant stambių finansų sektoriaus subjektų ir nereguliuojamųjų finansų subjektų pozicijas. Taikomas Reglamento (ES) Nr. 575/2013 181 straipsnio 1 dalies h punktas.</w:t>
            </w:r>
          </w:p>
          <w:p w14:paraId="3A7794EA" w14:textId="77777777" w:rsidR="009D6580" w:rsidRPr="002A677E" w:rsidRDefault="009D6580" w:rsidP="00822842">
            <w:pPr>
              <w:rPr>
                <w:rFonts w:ascii="Times New Roman" w:hAnsi="Times New Roman"/>
                <w:b/>
                <w:sz w:val="24"/>
                <w:u w:val="single"/>
              </w:rPr>
            </w:pPr>
            <w:r>
              <w:rPr>
                <w:rFonts w:ascii="Times New Roman" w:hAnsi="Times New Roman"/>
                <w:sz w:val="24"/>
              </w:rPr>
              <w:t>Specializuoto skolinimo pozicijų, kurių PD yra įvertinta, atveju nurodoma vertė turėtų būti arba įvertintas, arba reguliavimo LGD. Reglamento (ES) Nr. 575/2013 153 straipsnio 5 dalyje nurodytų specializuoto skolinimo pozicijų duomenų pateikti negalima, nes jų nėra.</w:t>
            </w:r>
          </w:p>
        </w:tc>
      </w:tr>
      <w:tr w:rsidR="009D6580" w:rsidRPr="002A677E" w14:paraId="66756C12" w14:textId="77777777" w:rsidTr="00822842">
        <w:tc>
          <w:tcPr>
            <w:tcW w:w="1188" w:type="dxa"/>
          </w:tcPr>
          <w:p w14:paraId="317ECEC7"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68CF6D3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Dalis, kurią atitinka: pozicijos esant įsipareigojimų neįvykdymui</w:t>
            </w:r>
          </w:p>
          <w:p w14:paraId="789E281A"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Pozicijų, kurios pagal Reglamento (ES) Nr. 575/2013 178 straipsnį buvo priskirtos prie pozicijų esant įsipareigojimų neįvykdymui, svertinis LGD vidurkis.</w:t>
            </w:r>
          </w:p>
        </w:tc>
      </w:tr>
      <w:tr w:rsidR="009D6580" w:rsidRPr="002A677E" w14:paraId="187792F5" w14:textId="77777777" w:rsidTr="00822842">
        <w:tc>
          <w:tcPr>
            <w:tcW w:w="1188" w:type="dxa"/>
          </w:tcPr>
          <w:p w14:paraId="41BFEDD8"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7B14423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Pozicijos vertė</w:t>
            </w:r>
          </w:p>
          <w:p w14:paraId="533E4F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Ta pati apibrėžtis kaip CR IRB formos 0110 skiltyje.</w:t>
            </w:r>
          </w:p>
        </w:tc>
      </w:tr>
      <w:tr w:rsidR="009D6580" w:rsidRPr="002A677E" w14:paraId="48402149" w14:textId="77777777" w:rsidTr="00822842">
        <w:tc>
          <w:tcPr>
            <w:tcW w:w="1188" w:type="dxa"/>
          </w:tcPr>
          <w:p w14:paraId="3E4D7142"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640" w:type="dxa"/>
          </w:tcPr>
          <w:p w14:paraId="3BFEC9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PAGAL RIZIKĄ ĮVERTINTŲ POZICIJŲ SUMA IKI RĖMIMO KOEFICIENTŲ TAIKYMO</w:t>
            </w:r>
          </w:p>
          <w:p w14:paraId="38950726"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Ta pati apibrėžtis kaip CR IRB formos 0255 skiltyje.</w:t>
            </w:r>
          </w:p>
        </w:tc>
      </w:tr>
      <w:tr w:rsidR="009D6580" w:rsidRPr="002A677E" w14:paraId="321AA4CE" w14:textId="77777777" w:rsidTr="00822842">
        <w:tc>
          <w:tcPr>
            <w:tcW w:w="1188" w:type="dxa"/>
          </w:tcPr>
          <w:p w14:paraId="5F49B73F" w14:textId="77777777" w:rsidR="009D6580" w:rsidRPr="002A677E" w:rsidRDefault="009D6580" w:rsidP="00822842">
            <w:pPr>
              <w:rPr>
                <w:rFonts w:ascii="Times New Roman" w:hAnsi="Times New Roman"/>
                <w:sz w:val="24"/>
              </w:rPr>
            </w:pPr>
            <w:r>
              <w:rPr>
                <w:rFonts w:ascii="Times New Roman" w:hAnsi="Times New Roman"/>
                <w:sz w:val="24"/>
              </w:rPr>
              <w:lastRenderedPageBreak/>
              <w:t>0120</w:t>
            </w:r>
          </w:p>
        </w:tc>
        <w:tc>
          <w:tcPr>
            <w:tcW w:w="8640" w:type="dxa"/>
          </w:tcPr>
          <w:p w14:paraId="2A07E1E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Dalis, kurią atitinka: pozicijos esant įsipareigojimų neįvykdymui</w:t>
            </w:r>
          </w:p>
          <w:p w14:paraId="0B72119F"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Pozicijų, kurios pagal Reglamento (ES) Nr. 575/2013 178 straipsnio 1 dalį buvo priskirtos prie pozicijų esant įsipareigojimų neįvykdymui, pagal riziką įvertintų pozicijų suma.</w:t>
            </w:r>
          </w:p>
        </w:tc>
      </w:tr>
      <w:tr w:rsidR="009D6580" w:rsidRPr="002A677E" w14:paraId="4F58B17C" w14:textId="77777777" w:rsidTr="00822842">
        <w:tc>
          <w:tcPr>
            <w:tcW w:w="1188" w:type="dxa"/>
          </w:tcPr>
          <w:p w14:paraId="43313479" w14:textId="77777777" w:rsidR="009D6580" w:rsidRPr="002A677E" w:rsidRDefault="009D6580" w:rsidP="00822842">
            <w:pPr>
              <w:rPr>
                <w:rFonts w:ascii="Times New Roman" w:hAnsi="Times New Roman"/>
                <w:sz w:val="24"/>
              </w:rPr>
            </w:pPr>
            <w:r>
              <w:rPr>
                <w:rFonts w:ascii="Times New Roman" w:hAnsi="Times New Roman"/>
                <w:sz w:val="24"/>
              </w:rPr>
              <w:t>0121</w:t>
            </w:r>
          </w:p>
        </w:tc>
        <w:tc>
          <w:tcPr>
            <w:tcW w:w="8640" w:type="dxa"/>
          </w:tcPr>
          <w:p w14:paraId="51B6E44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PAGAL RIZIKĄ ĮVERTINTŲ POZICIJŲ SUMOS KOREGAVIMAS DĖL MVĮ RĖMIMO KOEFICIENTO</w:t>
            </w:r>
          </w:p>
          <w:p w14:paraId="7060DF0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Ta pati apibrėžtis kaip CR IRB formos 0256 skiltyje.</w:t>
            </w:r>
          </w:p>
        </w:tc>
      </w:tr>
      <w:tr w:rsidR="009D6580" w:rsidRPr="002A677E" w14:paraId="6DA9FCB6" w14:textId="77777777" w:rsidTr="00822842">
        <w:tc>
          <w:tcPr>
            <w:tcW w:w="1188" w:type="dxa"/>
          </w:tcPr>
          <w:p w14:paraId="189DC6D4" w14:textId="77777777" w:rsidR="009D6580" w:rsidRPr="002A677E" w:rsidRDefault="009D6580" w:rsidP="00822842">
            <w:pPr>
              <w:rPr>
                <w:rFonts w:ascii="Times New Roman" w:hAnsi="Times New Roman"/>
                <w:sz w:val="24"/>
              </w:rPr>
            </w:pPr>
            <w:r>
              <w:rPr>
                <w:rFonts w:ascii="Times New Roman" w:hAnsi="Times New Roman"/>
                <w:sz w:val="24"/>
              </w:rPr>
              <w:t>0122</w:t>
            </w:r>
          </w:p>
        </w:tc>
        <w:tc>
          <w:tcPr>
            <w:tcW w:w="8640" w:type="dxa"/>
          </w:tcPr>
          <w:p w14:paraId="77E17241"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PAGAL RIZIKĄ ĮVERTINTŲ POZICIJŲ SUMOS KOREGAVIMAS DĖL INFRASTRUKTŪROS RĖMIMO KOEFICIENTO</w:t>
            </w:r>
          </w:p>
          <w:p w14:paraId="1EE90D2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Ta pati apibrėžtis kaip CR IRB formos 0257 skiltyje.</w:t>
            </w:r>
          </w:p>
        </w:tc>
      </w:tr>
      <w:tr w:rsidR="009D6580" w:rsidRPr="002A677E" w14:paraId="0A79EDF4" w14:textId="77777777" w:rsidTr="00822842">
        <w:tc>
          <w:tcPr>
            <w:tcW w:w="1188" w:type="dxa"/>
          </w:tcPr>
          <w:p w14:paraId="2D50BBC4" w14:textId="77777777" w:rsidR="009D6580" w:rsidRPr="002A677E" w:rsidRDefault="009D6580" w:rsidP="00822842">
            <w:pPr>
              <w:rPr>
                <w:rFonts w:ascii="Times New Roman" w:hAnsi="Times New Roman"/>
                <w:sz w:val="24"/>
              </w:rPr>
            </w:pPr>
            <w:r>
              <w:rPr>
                <w:rFonts w:ascii="Times New Roman" w:hAnsi="Times New Roman"/>
                <w:sz w:val="24"/>
              </w:rPr>
              <w:t>0125</w:t>
            </w:r>
          </w:p>
        </w:tc>
        <w:tc>
          <w:tcPr>
            <w:tcW w:w="8640" w:type="dxa"/>
          </w:tcPr>
          <w:p w14:paraId="0D402C8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PAGAL RIZIKĄ ĮVERTINTŲ POZICIJŲ SUMA PRITAIKIUS RĖMIMO KOEFICIENTUS</w:t>
            </w:r>
          </w:p>
          <w:p w14:paraId="71F977E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Ta pati apibrėžtis kaip CR IRB formos 0260 skiltyje.</w:t>
            </w:r>
          </w:p>
        </w:tc>
      </w:tr>
      <w:tr w:rsidR="009D6580" w:rsidRPr="002A677E" w14:paraId="058051CC" w14:textId="77777777" w:rsidTr="00822842">
        <w:tc>
          <w:tcPr>
            <w:tcW w:w="1188" w:type="dxa"/>
          </w:tcPr>
          <w:p w14:paraId="02AA680F"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5E66C6B0"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TIKĖTINO NUOSTOLIO SUMA</w:t>
            </w:r>
          </w:p>
          <w:p w14:paraId="27E1337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Ta pati apibrėžtis kaip CR IRB formos 0280 skiltyje.</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rFonts w:ascii="Times New Roman" w:hAnsi="Times New Roman"/>
                <w:b/>
                <w:sz w:val="24"/>
              </w:rPr>
            </w:pPr>
            <w:r>
              <w:rPr>
                <w:rFonts w:ascii="Times New Roman" w:hAnsi="Times New Roman"/>
                <w:b/>
                <w:sz w:val="24"/>
              </w:rPr>
              <w:t>Eilutės</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640" w:type="dxa"/>
          </w:tcPr>
          <w:p w14:paraId="349EA92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xml:space="preserve">Centrinių bankų ir centrinės valdžios pozicijos </w:t>
            </w:r>
          </w:p>
          <w:p w14:paraId="45CC186E" w14:textId="77777777" w:rsidR="009D6580" w:rsidRPr="002A677E" w:rsidRDefault="009D6580" w:rsidP="00822842">
            <w:pPr>
              <w:rPr>
                <w:rFonts w:ascii="Times New Roman" w:hAnsi="Times New Roman"/>
                <w:sz w:val="24"/>
              </w:rPr>
            </w:pPr>
            <w:r>
              <w:rPr>
                <w:rFonts w:ascii="Times New Roman" w:hAnsi="Times New Roman"/>
                <w:sz w:val="24"/>
              </w:rPr>
              <w:t>Reglamento (ES) Nr. 575/2013 147 straipsnio 2 dalies a punktas.</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rFonts w:ascii="Times New Roman" w:hAnsi="Times New Roman"/>
                <w:sz w:val="24"/>
              </w:rPr>
            </w:pPr>
            <w:r>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Default="009D6580" w:rsidP="00822842">
            <w:pPr>
              <w:rPr>
                <w:rFonts w:ascii="Times New Roman" w:hAnsi="Times New Roman"/>
                <w:b/>
                <w:sz w:val="24"/>
                <w:u w:val="single"/>
              </w:rPr>
            </w:pPr>
            <w:r>
              <w:rPr>
                <w:rFonts w:ascii="Times New Roman" w:hAnsi="Times New Roman"/>
                <w:b/>
                <w:sz w:val="24"/>
                <w:u w:val="single"/>
              </w:rPr>
              <w:t>Dalis, kurią atitinka: Regioninės arba vietos valdžios institucijų pozicijos</w:t>
            </w:r>
          </w:p>
          <w:p w14:paraId="4864E157" w14:textId="77777777" w:rsidR="009D6580" w:rsidRPr="002A677E" w:rsidRDefault="009D6580" w:rsidP="00822842">
            <w:pPr>
              <w:rPr>
                <w:rFonts w:ascii="Times New Roman" w:hAnsi="Times New Roman"/>
                <w:b/>
                <w:sz w:val="24"/>
                <w:u w:val="single"/>
              </w:rPr>
            </w:pPr>
            <w:r>
              <w:rPr>
                <w:rFonts w:ascii="Times New Roman" w:hAnsi="Times New Roman"/>
                <w:sz w:val="24"/>
              </w:rPr>
              <w:t>Reglamento (ES) Nr. 575/2013 147 straipsnio 3a dalis.</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rFonts w:ascii="Times New Roman" w:hAnsi="Times New Roman"/>
                <w:sz w:val="24"/>
              </w:rPr>
            </w:pPr>
            <w:r>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rFonts w:ascii="Times New Roman" w:hAnsi="Times New Roman"/>
                <w:b/>
                <w:sz w:val="24"/>
                <w:u w:val="single"/>
              </w:rPr>
            </w:pPr>
            <w:r>
              <w:rPr>
                <w:rFonts w:ascii="Times New Roman" w:hAnsi="Times New Roman"/>
                <w:b/>
                <w:sz w:val="24"/>
                <w:u w:val="single"/>
              </w:rPr>
              <w:t>Regioninės arba vietos valdžios institucijų pozicijos</w:t>
            </w:r>
          </w:p>
          <w:p w14:paraId="19FE9B53" w14:textId="77777777" w:rsidR="009D6580" w:rsidRPr="002A677E" w:rsidRDefault="009D6580" w:rsidP="00822842">
            <w:pPr>
              <w:rPr>
                <w:rFonts w:ascii="Times New Roman" w:hAnsi="Times New Roman"/>
                <w:b/>
                <w:sz w:val="24"/>
                <w:u w:val="single"/>
              </w:rPr>
            </w:pPr>
            <w:r>
              <w:rPr>
                <w:rFonts w:ascii="Times New Roman" w:hAnsi="Times New Roman"/>
                <w:sz w:val="24"/>
              </w:rPr>
              <w:t>Reglamento (ES) Nr. 575/2013 147 straipsnio 2 dalies a1 punkto i papunktis.</w:t>
            </w: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rFonts w:ascii="Times New Roman" w:hAnsi="Times New Roman"/>
                <w:sz w:val="24"/>
              </w:rPr>
            </w:pPr>
            <w:r>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Default="009D6580" w:rsidP="00822842">
            <w:pPr>
              <w:rPr>
                <w:rFonts w:ascii="Times New Roman" w:hAnsi="Times New Roman"/>
                <w:b/>
                <w:sz w:val="24"/>
                <w:u w:val="single"/>
              </w:rPr>
            </w:pPr>
            <w:r>
              <w:rPr>
                <w:rFonts w:ascii="Times New Roman" w:hAnsi="Times New Roman"/>
                <w:b/>
                <w:sz w:val="24"/>
                <w:u w:val="single"/>
              </w:rPr>
              <w:t xml:space="preserve">Viešojo sektoriaus subjektų pozicijos </w:t>
            </w:r>
          </w:p>
          <w:p w14:paraId="1DE1AAE7" w14:textId="77777777" w:rsidR="009D6580" w:rsidRPr="002A677E" w:rsidRDefault="009D6580" w:rsidP="00822842">
            <w:pPr>
              <w:rPr>
                <w:rFonts w:ascii="Times New Roman" w:hAnsi="Times New Roman"/>
                <w:b/>
                <w:sz w:val="24"/>
                <w:u w:val="single"/>
              </w:rPr>
            </w:pPr>
            <w:r>
              <w:rPr>
                <w:rFonts w:ascii="Times New Roman" w:hAnsi="Times New Roman"/>
                <w:sz w:val="24"/>
              </w:rPr>
              <w:t>Reglamento (ES) Nr. 575/2013 147 straipsnio 2 dalies a1 punkto ii papunktis.</w:t>
            </w:r>
          </w:p>
        </w:tc>
      </w:tr>
      <w:tr w:rsidR="009D6580" w:rsidRPr="002A677E" w14:paraId="0C55C95D" w14:textId="77777777" w:rsidTr="00822842">
        <w:tc>
          <w:tcPr>
            <w:tcW w:w="1188" w:type="dxa"/>
          </w:tcPr>
          <w:p w14:paraId="6C8F06FC"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460BDDF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Įstaigų pozicijos</w:t>
            </w:r>
          </w:p>
          <w:p w14:paraId="504F46A3" w14:textId="77777777" w:rsidR="009D6580" w:rsidRPr="002A677E" w:rsidRDefault="009D6580" w:rsidP="00822842">
            <w:pPr>
              <w:rPr>
                <w:rFonts w:ascii="Times New Roman" w:hAnsi="Times New Roman"/>
                <w:sz w:val="24"/>
              </w:rPr>
            </w:pPr>
            <w:r>
              <w:rPr>
                <w:rFonts w:ascii="Times New Roman" w:hAnsi="Times New Roman"/>
                <w:sz w:val="24"/>
              </w:rPr>
              <w:t>Reglamento (ES) Nr. 575/2013 147 straipsnio 2 dalies b punktas.</w:t>
            </w:r>
          </w:p>
        </w:tc>
      </w:tr>
      <w:tr w:rsidR="009D6580" w:rsidRPr="002A677E" w14:paraId="2B29BE20" w14:textId="77777777" w:rsidTr="00822842">
        <w:tc>
          <w:tcPr>
            <w:tcW w:w="1188" w:type="dxa"/>
          </w:tcPr>
          <w:p w14:paraId="521AA8B6"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63C7233C"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xml:space="preserve">Įmonių pozicijos </w:t>
            </w:r>
          </w:p>
          <w:p w14:paraId="699F9BD2"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Visos įmonių pozicijos, nurodytos Reglamento (ES) Nr. 575/2013 147 straipsnio 2 dalies c punkte.</w:t>
            </w:r>
          </w:p>
        </w:tc>
      </w:tr>
      <w:tr w:rsidR="009D6580" w:rsidRPr="002A677E" w14:paraId="55C3FE5A" w14:textId="77777777" w:rsidTr="00822842">
        <w:tc>
          <w:tcPr>
            <w:tcW w:w="1188" w:type="dxa"/>
          </w:tcPr>
          <w:p w14:paraId="198D8F58"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640" w:type="dxa"/>
          </w:tcPr>
          <w:p w14:paraId="66C0F4F0"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Dalis, kurią atitinka: MVĮ pozicijos</w:t>
            </w:r>
          </w:p>
          <w:p w14:paraId="13819074"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Reglamento (ES) Nr. 575/2013 147 straipsnio 2 dalies c punktas.</w:t>
            </w:r>
          </w:p>
          <w:p w14:paraId="6C8F6FE1" w14:textId="408BCC75" w:rsidR="009D6580" w:rsidRPr="002A677E" w:rsidRDefault="009D6580"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Pozicijų priskyrimo prie šio pozicijų poklasio tikslais informaciją teikiantys subjektai naudoja MVĮ apibrėžtį, pateiktą Reglamento (ES) Nr. 575/2013 5 straipsnio 8 dalyje. </w:t>
            </w:r>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rFonts w:ascii="Times New Roman" w:hAnsi="Times New Roman"/>
                <w:sz w:val="24"/>
              </w:rPr>
            </w:pPr>
            <w:r>
              <w:rPr>
                <w:rFonts w:ascii="Times New Roman" w:hAnsi="Times New Roman"/>
                <w:sz w:val="24"/>
              </w:rPr>
              <w:lastRenderedPageBreak/>
              <w:t>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Default="00B56773" w:rsidP="007400C4">
            <w:pPr>
              <w:rPr>
                <w:rFonts w:ascii="Times New Roman" w:hAnsi="Times New Roman"/>
                <w:b/>
                <w:sz w:val="24"/>
                <w:u w:val="single"/>
              </w:rPr>
            </w:pPr>
            <w:r>
              <w:rPr>
                <w:rFonts w:ascii="Times New Roman" w:hAnsi="Times New Roman"/>
                <w:b/>
                <w:sz w:val="24"/>
                <w:u w:val="single"/>
              </w:rPr>
              <w:t>Dalis, kurią atitinka: didelių įmonių pozicijos</w:t>
            </w:r>
          </w:p>
          <w:p w14:paraId="503F359E" w14:textId="77777777" w:rsidR="00B56773" w:rsidRPr="00B56773" w:rsidRDefault="00B56773" w:rsidP="00B56773">
            <w:pPr>
              <w:rPr>
                <w:rFonts w:ascii="Times New Roman" w:hAnsi="Times New Roman"/>
                <w:bCs/>
                <w:sz w:val="24"/>
              </w:rPr>
            </w:pPr>
            <w:r>
              <w:rPr>
                <w:rFonts w:ascii="Times New Roman" w:hAnsi="Times New Roman"/>
                <w:sz w:val="24"/>
              </w:rPr>
              <w:t>Reglamento (ES) Nr. 575/2013 147 straipsnio 2 dalies c punktas.</w:t>
            </w:r>
          </w:p>
          <w:p w14:paraId="23F8CBD6" w14:textId="77777777" w:rsidR="00B56773" w:rsidRPr="00E47484" w:rsidRDefault="00B56773" w:rsidP="007400C4">
            <w:pPr>
              <w:rPr>
                <w:rFonts w:ascii="Times New Roman" w:hAnsi="Times New Roman"/>
                <w:b/>
                <w:sz w:val="24"/>
                <w:u w:val="single"/>
              </w:rPr>
            </w:pPr>
            <w:r>
              <w:rPr>
                <w:rFonts w:ascii="Times New Roman" w:hAnsi="Times New Roman"/>
                <w:sz w:val="24"/>
              </w:rPr>
              <w:t>Pozicijų priskyrimo prie šio pozicijų poklasio tikslais informaciją teikiantys subjektai naudoja didelių įmonių apibrėžtį, pateiktą Reglamento (ES) Nr. 575/2013 142 straipsnio 1 dalies 5a punkte.</w:t>
            </w:r>
            <w:r>
              <w:rPr>
                <w:rFonts w:ascii="Times New Roman" w:hAnsi="Times New Roman"/>
                <w:b/>
                <w:sz w:val="24"/>
                <w:u w:val="single"/>
              </w:rPr>
              <w:t xml:space="preserve"> </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rFonts w:ascii="Times New Roman" w:hAnsi="Times New Roman"/>
                <w:sz w:val="24"/>
              </w:rPr>
            </w:pPr>
            <w:r>
              <w:rPr>
                <w:rFonts w:ascii="Times New Roman" w:hAnsi="Times New Roman"/>
                <w:sz w:val="24"/>
              </w:rPr>
              <w:t>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rFonts w:ascii="Times New Roman" w:hAnsi="Times New Roman"/>
                <w:b/>
                <w:sz w:val="24"/>
                <w:u w:val="single"/>
              </w:rPr>
            </w:pPr>
            <w:r>
              <w:rPr>
                <w:rFonts w:ascii="Times New Roman" w:hAnsi="Times New Roman"/>
                <w:b/>
                <w:sz w:val="24"/>
                <w:u w:val="single"/>
              </w:rPr>
              <w:t>Specializuoto skolinimo pozicijos</w:t>
            </w:r>
          </w:p>
          <w:p w14:paraId="510C1D3E" w14:textId="683EFC86" w:rsidR="00B56773" w:rsidRPr="00B56773" w:rsidDel="000306F2" w:rsidRDefault="00B56773" w:rsidP="007400C4">
            <w:pPr>
              <w:rPr>
                <w:rFonts w:ascii="Times New Roman" w:hAnsi="Times New Roman"/>
                <w:bCs/>
                <w:sz w:val="24"/>
              </w:rPr>
            </w:pPr>
            <w:r>
              <w:rPr>
                <w:rFonts w:ascii="Times New Roman" w:hAnsi="Times New Roman"/>
                <w:sz w:val="24"/>
              </w:rPr>
              <w:t>Reglamento (ES) Nr. 575/2013 147 straipsnio 2 dalies c punkto ii papunktis. 1.</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rFonts w:ascii="Times New Roman" w:hAnsi="Times New Roman"/>
                <w:sz w:val="24"/>
              </w:rPr>
            </w:pPr>
            <w:r>
              <w:rPr>
                <w:rFonts w:ascii="Times New Roman" w:hAnsi="Times New Roman"/>
                <w:sz w:val="24"/>
              </w:rPr>
              <w:t>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rFonts w:ascii="Times New Roman" w:hAnsi="Times New Roman"/>
                <w:b/>
                <w:sz w:val="24"/>
              </w:rPr>
            </w:pPr>
            <w:r>
              <w:rPr>
                <w:rFonts w:ascii="Times New Roman" w:hAnsi="Times New Roman"/>
                <w:b/>
                <w:sz w:val="24"/>
                <w:u w:val="single"/>
              </w:rPr>
              <w:t>Specializuoto skolinimo pozicijos</w:t>
            </w:r>
            <w:r>
              <w:rPr>
                <w:rFonts w:ascii="Times New Roman" w:hAnsi="Times New Roman"/>
                <w:b/>
                <w:sz w:val="24"/>
              </w:rPr>
              <w:t xml:space="preserve"> – specializuoto skolinimo pozicijų rūšys</w:t>
            </w:r>
          </w:p>
          <w:p w14:paraId="1E4AC942" w14:textId="49F536D6" w:rsidR="00B56773" w:rsidRPr="00F16E4D" w:rsidRDefault="00B56773" w:rsidP="00822842">
            <w:pPr>
              <w:rPr>
                <w:rFonts w:ascii="Times New Roman" w:hAnsi="Times New Roman"/>
                <w:bCs/>
                <w:sz w:val="24"/>
              </w:rPr>
            </w:pPr>
            <w:r>
              <w:rPr>
                <w:rFonts w:ascii="Times New Roman" w:hAnsi="Times New Roman"/>
                <w:sz w:val="24"/>
              </w:rPr>
              <w:t>Įstaigos teikia informaciją apie 147 straipsnio 8 pastraipoje nurodytas specializuoto skolinimo pozicijų rūšis. 2 atitinkamoje eilutėje: Specializuoto skolinimo pozicijos „projektų finansavimas“, „objektų finansavimas“, „biržos prekių finansavimas“ ir „pajamingas nekilnojamasis turtas“ (IPRE pozicijos).</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rFonts w:ascii="Times New Roman" w:hAnsi="Times New Roman"/>
                <w:sz w:val="24"/>
              </w:rPr>
            </w:pPr>
            <w:r>
              <w:rPr>
                <w:rFonts w:ascii="Times New Roman" w:hAnsi="Times New Roman"/>
                <w:sz w:val="24"/>
              </w:rPr>
              <w:t>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rFonts w:ascii="Times New Roman" w:hAnsi="Times New Roman"/>
                <w:b/>
                <w:sz w:val="24"/>
                <w:u w:val="single"/>
              </w:rPr>
            </w:pPr>
            <w:r>
              <w:rPr>
                <w:rFonts w:ascii="Times New Roman" w:hAnsi="Times New Roman"/>
                <w:b/>
                <w:sz w:val="24"/>
                <w:u w:val="single"/>
              </w:rPr>
              <w:t>Įsigytos gautinos sumos</w:t>
            </w:r>
          </w:p>
          <w:p w14:paraId="40628222" w14:textId="77777777" w:rsidR="009D6580" w:rsidRPr="00E47484" w:rsidRDefault="009D6580" w:rsidP="00822842">
            <w:pPr>
              <w:rPr>
                <w:rFonts w:ascii="Times New Roman" w:hAnsi="Times New Roman"/>
                <w:b/>
                <w:sz w:val="24"/>
                <w:u w:val="single"/>
              </w:rPr>
            </w:pPr>
            <w:r>
              <w:rPr>
                <w:rFonts w:ascii="Times New Roman" w:hAnsi="Times New Roman"/>
                <w:sz w:val="24"/>
              </w:rPr>
              <w:t>Reglamento (ES) Nr. 575/2013 147 straipsnio 2 dalies c punkto iii papunktis.</w:t>
            </w:r>
          </w:p>
        </w:tc>
      </w:tr>
      <w:tr w:rsidR="00F16E4D" w:rsidRPr="002A677E" w14:paraId="27B47EEA" w14:textId="77777777" w:rsidTr="00822842">
        <w:tc>
          <w:tcPr>
            <w:tcW w:w="1188" w:type="dxa"/>
          </w:tcPr>
          <w:p w14:paraId="329ABF25" w14:textId="3906F1E5" w:rsidR="00F16E4D" w:rsidRPr="002A677E" w:rsidRDefault="00F16E4D" w:rsidP="00822842">
            <w:pPr>
              <w:rPr>
                <w:rFonts w:ascii="Times New Roman" w:hAnsi="Times New Roman"/>
                <w:sz w:val="24"/>
              </w:rPr>
            </w:pPr>
            <w:r>
              <w:rPr>
                <w:rFonts w:ascii="Times New Roman" w:hAnsi="Times New Roman"/>
                <w:sz w:val="24"/>
              </w:rPr>
              <w:t>0058</w:t>
            </w:r>
          </w:p>
        </w:tc>
        <w:tc>
          <w:tcPr>
            <w:tcW w:w="8640" w:type="dxa"/>
          </w:tcPr>
          <w:p w14:paraId="27CFAA09" w14:textId="513D8D7F" w:rsidR="00F16E4D" w:rsidRDefault="00F16E4D" w:rsidP="00822842">
            <w:pPr>
              <w:rPr>
                <w:rFonts w:ascii="Times New Roman" w:hAnsi="Times New Roman"/>
                <w:b/>
                <w:sz w:val="24"/>
                <w:u w:val="single"/>
              </w:rPr>
            </w:pPr>
            <w:r>
              <w:rPr>
                <w:rFonts w:ascii="Times New Roman" w:hAnsi="Times New Roman"/>
                <w:b/>
                <w:sz w:val="24"/>
                <w:u w:val="single"/>
              </w:rPr>
              <w:t>Kitos pozicijos</w:t>
            </w:r>
          </w:p>
          <w:p w14:paraId="75A3CB20" w14:textId="69737D7D" w:rsidR="00F16E4D" w:rsidRPr="002A677E" w:rsidRDefault="00F16E4D" w:rsidP="00822842">
            <w:pPr>
              <w:rPr>
                <w:rFonts w:ascii="Times New Roman" w:hAnsi="Times New Roman"/>
                <w:b/>
                <w:sz w:val="24"/>
                <w:u w:val="single"/>
              </w:rPr>
            </w:pPr>
            <w:r>
              <w:rPr>
                <w:rFonts w:ascii="Times New Roman" w:hAnsi="Times New Roman"/>
                <w:sz w:val="24"/>
              </w:rPr>
              <w:t>Reglamento (ES) Nr. 575/2013 147 straipsnio 2 dalies l punkto i papunktis.</w:t>
            </w:r>
          </w:p>
        </w:tc>
      </w:tr>
      <w:tr w:rsidR="009D6580" w:rsidRPr="002A677E" w14:paraId="3CAC5C4A" w14:textId="77777777" w:rsidTr="00822842">
        <w:tc>
          <w:tcPr>
            <w:tcW w:w="1188" w:type="dxa"/>
          </w:tcPr>
          <w:p w14:paraId="50AFEE21"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84F36E4"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Mažmeninės pozicijos</w:t>
            </w:r>
          </w:p>
          <w:p w14:paraId="61F98691" w14:textId="77777777" w:rsidR="009D6580" w:rsidRPr="002A677E" w:rsidRDefault="009D6580" w:rsidP="00822842">
            <w:pPr>
              <w:rPr>
                <w:rFonts w:ascii="Times New Roman" w:hAnsi="Times New Roman"/>
                <w:sz w:val="24"/>
              </w:rPr>
            </w:pPr>
            <w:r>
              <w:rPr>
                <w:rFonts w:ascii="Times New Roman" w:hAnsi="Times New Roman"/>
                <w:sz w:val="24"/>
              </w:rPr>
              <w:t>Visos mažmeninės pozicijos, nurodytos Reglamento (ES) Nr. 575/2013 147 straipsnio 2 dalies d punkte.</w:t>
            </w:r>
          </w:p>
        </w:tc>
      </w:tr>
      <w:tr w:rsidR="009D6580" w:rsidRPr="002A677E" w14:paraId="3126FC45" w14:textId="77777777" w:rsidTr="00822842">
        <w:tc>
          <w:tcPr>
            <w:tcW w:w="1188" w:type="dxa"/>
          </w:tcPr>
          <w:p w14:paraId="3B5D6723"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094A84E8" w14:textId="1D426AD8" w:rsidR="009D6580" w:rsidRPr="002A677E" w:rsidRDefault="005B37F0" w:rsidP="00822842">
            <w:pPr>
              <w:rPr>
                <w:rFonts w:ascii="Times New Roman" w:hAnsi="Times New Roman"/>
                <w:b/>
                <w:sz w:val="24"/>
                <w:u w:val="single"/>
              </w:rPr>
            </w:pPr>
            <w:r>
              <w:rPr>
                <w:rFonts w:ascii="Times New Roman" w:hAnsi="Times New Roman"/>
                <w:b/>
                <w:sz w:val="24"/>
                <w:u w:val="single"/>
              </w:rPr>
              <w:t>Dalis, kurią atitinka: mažmeninės pozicijos: nekilnojamuoju turtu užtikrintos pozicijos</w:t>
            </w:r>
          </w:p>
          <w:p w14:paraId="35B1F6E7" w14:textId="4962CAD8" w:rsidR="00FD0F61" w:rsidRDefault="00FD0F61" w:rsidP="00822842">
            <w:pPr>
              <w:pStyle w:val="ListParagraph"/>
              <w:ind w:left="0"/>
              <w:rPr>
                <w:rFonts w:ascii="Times New Roman" w:hAnsi="Times New Roman"/>
                <w:sz w:val="24"/>
              </w:rPr>
            </w:pPr>
            <w:r>
              <w:rPr>
                <w:rFonts w:ascii="Times New Roman" w:hAnsi="Times New Roman"/>
                <w:sz w:val="24"/>
              </w:rPr>
              <w:t>Mažmeninės pozicijos, nurodytos Reglamento (ES) Nr. 575/2013 147 straipsnio 2 dalies d punkte, užtikrintos nekilnojamuoju turtu, kaip apibrėžta Reglamento (ES) 575/2013 4 straipsnio 1 dalies 75f punkto d papunktyje.</w:t>
            </w:r>
          </w:p>
          <w:p w14:paraId="0CD06107" w14:textId="22291817" w:rsidR="009D6580" w:rsidRPr="002A677E" w:rsidRDefault="00FD0F61" w:rsidP="00822842">
            <w:pPr>
              <w:pStyle w:val="ListParagraph"/>
              <w:ind w:left="0"/>
              <w:rPr>
                <w:rFonts w:ascii="Times New Roman" w:hAnsi="Times New Roman"/>
                <w:sz w:val="24"/>
              </w:rPr>
            </w:pPr>
            <w:r>
              <w:rPr>
                <w:rFonts w:ascii="Times New Roman" w:hAnsi="Times New Roman"/>
                <w:sz w:val="24"/>
              </w:rPr>
              <w:t>.</w:t>
            </w:r>
          </w:p>
        </w:tc>
      </w:tr>
      <w:tr w:rsidR="009D6580" w:rsidRPr="002A677E" w14:paraId="49CD7917" w14:textId="77777777" w:rsidTr="00822842">
        <w:tc>
          <w:tcPr>
            <w:tcW w:w="1188" w:type="dxa"/>
          </w:tcPr>
          <w:p w14:paraId="3FA8BBC8"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4738C3E5" w14:textId="186F9DD4" w:rsidR="009D6580" w:rsidRPr="002A677E" w:rsidRDefault="00FD0F61" w:rsidP="00822842">
            <w:pPr>
              <w:rPr>
                <w:rFonts w:ascii="Times New Roman" w:hAnsi="Times New Roman"/>
                <w:b/>
                <w:sz w:val="24"/>
                <w:u w:val="single"/>
              </w:rPr>
            </w:pPr>
            <w:r>
              <w:rPr>
                <w:rFonts w:ascii="Times New Roman" w:hAnsi="Times New Roman"/>
                <w:b/>
                <w:sz w:val="24"/>
                <w:u w:val="single"/>
              </w:rPr>
              <w:t>Dalis, kurią atitinka: MVĮ pozicijos</w:t>
            </w:r>
          </w:p>
          <w:p w14:paraId="67BFF2AB" w14:textId="02FB7D89" w:rsidR="009D6580" w:rsidRPr="002A677E" w:rsidRDefault="00FD0F61" w:rsidP="00822842">
            <w:pPr>
              <w:pStyle w:val="ListParagraph"/>
              <w:ind w:left="0"/>
              <w:rPr>
                <w:rFonts w:ascii="Times New Roman" w:hAnsi="Times New Roman"/>
                <w:sz w:val="24"/>
              </w:rPr>
            </w:pPr>
            <w:r>
              <w:rPr>
                <w:rFonts w:ascii="Times New Roman" w:hAnsi="Times New Roman"/>
                <w:sz w:val="24"/>
              </w:rPr>
              <w:t xml:space="preserve">Mažmeninės pozicijos, apibrėžtos Reglamento (ES) Nr. 575/2013 147 straipsnio 2 dalies d punkte, nurodytos B.6.1–B.6.4 punktuose, kurios yra užtikrintos nekilnojamuoju turtu, kaip apibrėžta Reglamento (ES) 575/2013 4 straipsnio 1 dalies 75f punkto d papunktyje kartu su to reglamento 5 straipsnio 8 dalimi. </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shd w:val="clear" w:color="auto" w:fill="auto"/>
          </w:tcPr>
          <w:p w14:paraId="05695520" w14:textId="39C15E5F" w:rsidR="009D6580" w:rsidRPr="00E47484" w:rsidRDefault="00837F98" w:rsidP="00822842">
            <w:pPr>
              <w:rPr>
                <w:rFonts w:ascii="Times New Roman" w:hAnsi="Times New Roman"/>
                <w:b/>
                <w:sz w:val="24"/>
                <w:u w:val="single"/>
              </w:rPr>
            </w:pPr>
            <w:r>
              <w:rPr>
                <w:rFonts w:ascii="Times New Roman" w:hAnsi="Times New Roman"/>
                <w:b/>
                <w:sz w:val="24"/>
                <w:u w:val="single"/>
              </w:rPr>
              <w:t>Dalis, kurią atitinka: ne MVĮ pozicijos</w:t>
            </w:r>
          </w:p>
          <w:p w14:paraId="68647661" w14:textId="272EAD03" w:rsidR="00837F98" w:rsidRDefault="00837F98" w:rsidP="00234FB5">
            <w:pPr>
              <w:pStyle w:val="ListParagraph"/>
              <w:autoSpaceDE w:val="0"/>
              <w:autoSpaceDN w:val="0"/>
              <w:adjustRightInd w:val="0"/>
              <w:spacing w:before="0" w:after="0"/>
              <w:ind w:left="0"/>
              <w:jc w:val="left"/>
              <w:rPr>
                <w:rFonts w:ascii="Times New Roman" w:hAnsi="Times New Roman"/>
                <w:sz w:val="24"/>
              </w:rPr>
            </w:pPr>
            <w:r>
              <w:rPr>
                <w:rFonts w:ascii="Times New Roman" w:hAnsi="Times New Roman"/>
                <w:sz w:val="24"/>
              </w:rPr>
              <w:t>Mažmeninės pozicijos, apibrėžtos Reglamento (ES) Nr. 575/2013 147 straipsnio 2 dalies d punkte, nurodytos B.6.1–B.6.4 punktuose, kurios yra užtikrintos nekilnojamuoju turtu, kaip apibrėžta Reglamento (ES) 575/2013 4 straipsnio 1 dalies 75f punkto d papunktyje, neskaitoma kartu su to reglamento 5 straipsnio 8 dalimi.</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rFonts w:ascii="Times New Roman" w:hAnsi="Times New Roman"/>
                <w:sz w:val="24"/>
              </w:rPr>
            </w:pPr>
            <w:r>
              <w:rPr>
                <w:rFonts w:ascii="Times New Roman" w:hAnsi="Times New Roman"/>
                <w:sz w:val="24"/>
              </w:rPr>
              <w:lastRenderedPageBreak/>
              <w:t>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rFonts w:ascii="Times New Roman" w:hAnsi="Times New Roman"/>
                <w:b/>
                <w:sz w:val="24"/>
                <w:u w:val="single"/>
              </w:rPr>
            </w:pPr>
            <w:r>
              <w:rPr>
                <w:rFonts w:ascii="Times New Roman" w:hAnsi="Times New Roman"/>
                <w:b/>
                <w:sz w:val="24"/>
                <w:u w:val="single"/>
              </w:rPr>
              <w:t>Užtikrintos gyvenamosios paskirties nekilnojamuoju turtu pozicijos</w:t>
            </w:r>
          </w:p>
          <w:p w14:paraId="3B8B837D" w14:textId="77777777" w:rsidR="00910F63" w:rsidRPr="00910F63" w:rsidRDefault="00910F63" w:rsidP="00910F63">
            <w:pPr>
              <w:rPr>
                <w:rFonts w:ascii="Times New Roman" w:hAnsi="Times New Roman"/>
                <w:bCs/>
                <w:sz w:val="24"/>
              </w:rPr>
            </w:pPr>
            <w:r>
              <w:rPr>
                <w:rFonts w:ascii="Times New Roman" w:hAnsi="Times New Roman"/>
                <w:sz w:val="24"/>
              </w:rPr>
              <w:t>Mažmeninės pozicijos, nurodytos Reglamento (ES) Nr. 575/2013 147 straipsnio 2 dalies d punkto ii papunktyje.</w:t>
            </w:r>
          </w:p>
          <w:p w14:paraId="7240267A" w14:textId="77777777" w:rsidR="00910F63" w:rsidRPr="002A677E" w:rsidRDefault="00910F63" w:rsidP="007400C4">
            <w:pPr>
              <w:rPr>
                <w:rFonts w:ascii="Times New Roman" w:hAnsi="Times New Roman"/>
                <w:b/>
                <w:sz w:val="24"/>
                <w:u w:val="single"/>
              </w:rPr>
            </w:pPr>
            <w:r>
              <w:rPr>
                <w:rFonts w:ascii="Times New Roman" w:hAnsi="Times New Roman"/>
                <w:sz w:val="24"/>
              </w:rPr>
              <w:t>Gyvenamosios paskirties nekilnojamuoju turtu pozicijos užtikrintomis mažmeninėmis pozicijomis bus laikomos bet kokios gyvenamosios paskirties nekilnojamuoju turtu, kuris pripažįstamas kaip užtikrinimo priemonė, užtikrintos mažmeninės pozicijos, neatsižvelgiant į užtikrinimo priemonės vertės ir pozicijos arba paskolos paskirties santykį.</w:t>
            </w:r>
          </w:p>
        </w:tc>
      </w:tr>
      <w:tr w:rsidR="009D6580" w:rsidRPr="002A677E" w14:paraId="38AD5BBA" w14:textId="77777777" w:rsidTr="00822842">
        <w:tc>
          <w:tcPr>
            <w:tcW w:w="1188" w:type="dxa"/>
          </w:tcPr>
          <w:p w14:paraId="48A5C8D2"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1B160106" w14:textId="7C65E11F" w:rsidR="009D6580" w:rsidRPr="002A677E" w:rsidRDefault="009D6580" w:rsidP="00822842">
            <w:pPr>
              <w:rPr>
                <w:rFonts w:ascii="Times New Roman" w:hAnsi="Times New Roman"/>
                <w:b/>
                <w:sz w:val="24"/>
                <w:u w:val="single"/>
              </w:rPr>
            </w:pPr>
            <w:r>
              <w:rPr>
                <w:rFonts w:ascii="Times New Roman" w:hAnsi="Times New Roman"/>
                <w:b/>
                <w:sz w:val="24"/>
                <w:u w:val="single"/>
              </w:rPr>
              <w:t>Reikalavimus atitinkančios atnaujinamosios pozicijos</w:t>
            </w:r>
          </w:p>
          <w:p w14:paraId="363209C3"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Mažmeninės pozicijos, nurodytos Reglamento (ES) Nr. 575/2013 147 straipsnio 2 dalies d punkto i papunktyje kartu su to reglamento 154 straipsnio 4 dalimi.</w:t>
            </w:r>
          </w:p>
        </w:tc>
      </w:tr>
      <w:tr w:rsidR="009D6580" w:rsidRPr="002A677E" w14:paraId="26D0338D" w14:textId="77777777" w:rsidTr="00822842">
        <w:tc>
          <w:tcPr>
            <w:tcW w:w="1188" w:type="dxa"/>
          </w:tcPr>
          <w:p w14:paraId="6DA4B8E6"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63563096" w14:textId="485ECEE6" w:rsidR="009D6580" w:rsidRDefault="009D6580" w:rsidP="00822842">
            <w:pPr>
              <w:rPr>
                <w:rFonts w:ascii="Times New Roman" w:hAnsi="Times New Roman"/>
                <w:b/>
                <w:sz w:val="24"/>
                <w:u w:val="single"/>
              </w:rPr>
            </w:pPr>
            <w:r>
              <w:rPr>
                <w:rFonts w:ascii="Times New Roman" w:hAnsi="Times New Roman"/>
                <w:b/>
                <w:sz w:val="24"/>
                <w:u w:val="single"/>
              </w:rPr>
              <w:t>Įsigytos gautinos sumos</w:t>
            </w:r>
          </w:p>
          <w:p w14:paraId="7C92CD05" w14:textId="77777777" w:rsidR="009D6580" w:rsidRPr="00B7761D" w:rsidRDefault="009D6580" w:rsidP="00822842">
            <w:pPr>
              <w:rPr>
                <w:rFonts w:cs="Calibri"/>
                <w:sz w:val="18"/>
                <w:szCs w:val="18"/>
              </w:rPr>
            </w:pPr>
            <w:r>
              <w:rPr>
                <w:rFonts w:ascii="Times New Roman" w:hAnsi="Times New Roman"/>
                <w:sz w:val="24"/>
              </w:rPr>
              <w:t>Mažmeninės pozicijos, nurodytos Reglamento (ES) Nr. 575/2013 147 straipsnio 2 dalies d punkto iii papunktyje.</w:t>
            </w:r>
          </w:p>
        </w:tc>
      </w:tr>
      <w:tr w:rsidR="009D6580" w:rsidRPr="002A677E" w14:paraId="551F153F" w14:textId="77777777" w:rsidTr="00822842">
        <w:tc>
          <w:tcPr>
            <w:tcW w:w="1188" w:type="dxa"/>
          </w:tcPr>
          <w:p w14:paraId="1C567015"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640" w:type="dxa"/>
          </w:tcPr>
          <w:p w14:paraId="3B169086" w14:textId="5BA51B78" w:rsidR="009D6580" w:rsidRPr="002A677E" w:rsidRDefault="009D6580" w:rsidP="00822842">
            <w:pPr>
              <w:rPr>
                <w:rFonts w:ascii="Times New Roman" w:hAnsi="Times New Roman"/>
                <w:b/>
                <w:sz w:val="24"/>
                <w:u w:val="single"/>
              </w:rPr>
            </w:pPr>
            <w:r>
              <w:rPr>
                <w:rFonts w:ascii="Times New Roman" w:hAnsi="Times New Roman"/>
                <w:b/>
                <w:sz w:val="24"/>
                <w:u w:val="single"/>
              </w:rPr>
              <w:t>Kitos mažmeninės pozicijos</w:t>
            </w:r>
          </w:p>
          <w:p w14:paraId="6BB335AD" w14:textId="5184DC86" w:rsidR="009D6580" w:rsidRPr="002A677E" w:rsidRDefault="009D6580" w:rsidP="00822842">
            <w:pPr>
              <w:pStyle w:val="ListParagraph"/>
              <w:ind w:left="0"/>
              <w:rPr>
                <w:rFonts w:ascii="Times New Roman" w:hAnsi="Times New Roman"/>
                <w:sz w:val="24"/>
              </w:rPr>
            </w:pPr>
            <w:r>
              <w:rPr>
                <w:rFonts w:ascii="Times New Roman" w:hAnsi="Times New Roman"/>
                <w:sz w:val="24"/>
              </w:rPr>
              <w:t>Kitos mažmeninės pozicijos, nurodytos Reglamento (ES) Nr. 575/2013 147 straipsnio 2 dalies d punkto iv papunktyje.</w:t>
            </w:r>
          </w:p>
        </w:tc>
      </w:tr>
      <w:tr w:rsidR="009D6580" w:rsidRPr="002A677E" w14:paraId="1879AB2D" w14:textId="77777777" w:rsidTr="00822842">
        <w:tc>
          <w:tcPr>
            <w:tcW w:w="1188" w:type="dxa"/>
          </w:tcPr>
          <w:p w14:paraId="247F0534"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640" w:type="dxa"/>
          </w:tcPr>
          <w:p w14:paraId="37F76446" w14:textId="0C2F5C96" w:rsidR="009D6580" w:rsidRPr="002A677E" w:rsidRDefault="00837F98" w:rsidP="00822842">
            <w:pPr>
              <w:rPr>
                <w:rFonts w:ascii="Times New Roman" w:hAnsi="Times New Roman"/>
                <w:b/>
                <w:sz w:val="24"/>
                <w:u w:val="single"/>
              </w:rPr>
            </w:pPr>
            <w:r>
              <w:rPr>
                <w:rFonts w:ascii="Times New Roman" w:hAnsi="Times New Roman"/>
                <w:b/>
                <w:sz w:val="24"/>
                <w:u w:val="single"/>
              </w:rPr>
              <w:t>Dalis, kurią atitinka: MVĮ pozicijos</w:t>
            </w:r>
          </w:p>
          <w:p w14:paraId="28CE96BD" w14:textId="7A3420F8" w:rsidR="009D6580" w:rsidRPr="002A677E" w:rsidRDefault="009D6580" w:rsidP="00822842">
            <w:pPr>
              <w:pStyle w:val="ListParagraph"/>
              <w:ind w:left="0"/>
              <w:rPr>
                <w:rFonts w:ascii="Times New Roman" w:hAnsi="Times New Roman"/>
                <w:sz w:val="24"/>
              </w:rPr>
            </w:pPr>
            <w:r>
              <w:rPr>
                <w:rFonts w:ascii="Times New Roman" w:hAnsi="Times New Roman"/>
                <w:sz w:val="24"/>
              </w:rPr>
              <w:t xml:space="preserve">Kitos mažmeninės pozicijos, nurodytos Reglamento (ES) Nr. 575/2013 147 straipsnio 2 dalies d punkto iv papunktyje kartu su to reglamento 5 straipsnio 8 dalimi. </w:t>
            </w:r>
          </w:p>
        </w:tc>
      </w:tr>
      <w:tr w:rsidR="009D6580" w:rsidRPr="002A677E" w14:paraId="6140E6E8" w14:textId="77777777" w:rsidTr="00822842">
        <w:tc>
          <w:tcPr>
            <w:tcW w:w="1188" w:type="dxa"/>
          </w:tcPr>
          <w:p w14:paraId="4DD00789"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40BDF108" w14:textId="2B96A314" w:rsidR="009D6580" w:rsidRPr="002A677E" w:rsidRDefault="00837F98" w:rsidP="00822842">
            <w:pPr>
              <w:rPr>
                <w:rFonts w:ascii="Times New Roman" w:hAnsi="Times New Roman"/>
                <w:b/>
                <w:sz w:val="24"/>
                <w:u w:val="single"/>
              </w:rPr>
            </w:pPr>
            <w:r>
              <w:rPr>
                <w:rFonts w:ascii="Times New Roman" w:hAnsi="Times New Roman"/>
                <w:b/>
                <w:sz w:val="24"/>
                <w:u w:val="single"/>
              </w:rPr>
              <w:t>Dalis, kurią atitinka: ne MVĮ pozicijos</w:t>
            </w:r>
          </w:p>
          <w:p w14:paraId="51D486B6" w14:textId="251D2008" w:rsidR="009D6580" w:rsidRPr="002A677E" w:rsidRDefault="00837F98" w:rsidP="00822842">
            <w:pPr>
              <w:rPr>
                <w:rFonts w:ascii="Times New Roman" w:hAnsi="Times New Roman"/>
                <w:sz w:val="24"/>
              </w:rPr>
            </w:pPr>
            <w:r>
              <w:rPr>
                <w:rFonts w:ascii="Times New Roman" w:hAnsi="Times New Roman"/>
                <w:sz w:val="24"/>
              </w:rPr>
              <w:t>Kitos mažmeninės pozicijos, nurodytos Reglamento (ES) Nr. 575/2013 147 straipsnio 2 dalies d punkto iv papunktyje, neskaitoma kartu su to reglamento 5 straipsnio 8 dalimi.</w:t>
            </w:r>
          </w:p>
        </w:tc>
      </w:tr>
      <w:tr w:rsidR="009D6580" w:rsidRPr="002A677E" w14:paraId="70A29A85" w14:textId="77777777" w:rsidTr="00822842">
        <w:tc>
          <w:tcPr>
            <w:tcW w:w="1188" w:type="dxa"/>
          </w:tcPr>
          <w:p w14:paraId="5C287489" w14:textId="77777777" w:rsidR="009D6580" w:rsidRPr="002A677E" w:rsidRDefault="009D6580" w:rsidP="00822842">
            <w:pPr>
              <w:rPr>
                <w:rFonts w:ascii="Times New Roman" w:hAnsi="Times New Roman"/>
                <w:sz w:val="24"/>
              </w:rPr>
            </w:pPr>
            <w:r>
              <w:rPr>
                <w:rFonts w:ascii="Times New Roman" w:hAnsi="Times New Roman"/>
                <w:sz w:val="24"/>
              </w:rPr>
              <w:t>0132</w:t>
            </w:r>
          </w:p>
        </w:tc>
        <w:tc>
          <w:tcPr>
            <w:tcW w:w="8640" w:type="dxa"/>
          </w:tcPr>
          <w:p w14:paraId="170B9280"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Kolektyvinio investavimo subjektų (KIS) pozicijos</w:t>
            </w:r>
          </w:p>
          <w:p w14:paraId="4237C58D" w14:textId="4E266C1C" w:rsidR="009D6580" w:rsidRDefault="009D6580" w:rsidP="00822842">
            <w:pPr>
              <w:rPr>
                <w:rFonts w:ascii="Times New Roman" w:hAnsi="Times New Roman"/>
                <w:b/>
                <w:sz w:val="24"/>
                <w:u w:val="single"/>
              </w:rPr>
            </w:pPr>
            <w:r>
              <w:rPr>
                <w:rFonts w:ascii="Times New Roman" w:hAnsi="Times New Roman"/>
                <w:sz w:val="24"/>
              </w:rPr>
              <w:t>Reglamento (ES) Nr. 575/2013</w:t>
            </w:r>
            <w:r>
              <w:t xml:space="preserve"> </w:t>
            </w:r>
            <w:r>
              <w:rPr>
                <w:rFonts w:ascii="Times New Roman" w:hAnsi="Times New Roman"/>
                <w:sz w:val="24"/>
              </w:rPr>
              <w:t>147 straipsnio 2 dalies e1 punktas.</w:t>
            </w:r>
          </w:p>
        </w:tc>
      </w:tr>
      <w:tr w:rsidR="009D6580" w:rsidRPr="002A677E" w14:paraId="72EBDFDD" w14:textId="77777777" w:rsidTr="00822842">
        <w:tc>
          <w:tcPr>
            <w:tcW w:w="1188" w:type="dxa"/>
          </w:tcPr>
          <w:p w14:paraId="290EDA87" w14:textId="77777777" w:rsidR="009D6580" w:rsidRPr="002A677E" w:rsidRDefault="009D6580" w:rsidP="00822842">
            <w:pPr>
              <w:rPr>
                <w:rFonts w:ascii="Times New Roman" w:hAnsi="Times New Roman"/>
                <w:sz w:val="24"/>
              </w:rPr>
            </w:pPr>
            <w:r>
              <w:rPr>
                <w:rFonts w:ascii="Times New Roman" w:hAnsi="Times New Roman"/>
                <w:sz w:val="24"/>
              </w:rPr>
              <w:t>0133</w:t>
            </w:r>
          </w:p>
        </w:tc>
        <w:tc>
          <w:tcPr>
            <w:tcW w:w="8640" w:type="dxa"/>
          </w:tcPr>
          <w:p w14:paraId="39E22A69"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Skaidrumo metodas</w:t>
            </w:r>
          </w:p>
          <w:p w14:paraId="3481CEEB"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Ta pati apibrėžtis kaip CR IRB formos 0190 eilutėje.</w:t>
            </w:r>
          </w:p>
        </w:tc>
      </w:tr>
      <w:tr w:rsidR="009D6580" w:rsidRPr="002A677E" w14:paraId="6520599F" w14:textId="77777777" w:rsidTr="00822842">
        <w:tc>
          <w:tcPr>
            <w:tcW w:w="1188" w:type="dxa"/>
          </w:tcPr>
          <w:p w14:paraId="5DF820F6" w14:textId="77777777" w:rsidR="009D6580" w:rsidRPr="002A677E" w:rsidRDefault="009D6580" w:rsidP="00822842">
            <w:pPr>
              <w:rPr>
                <w:rFonts w:ascii="Times New Roman" w:hAnsi="Times New Roman"/>
                <w:sz w:val="24"/>
              </w:rPr>
            </w:pPr>
            <w:r>
              <w:rPr>
                <w:rFonts w:ascii="Times New Roman" w:hAnsi="Times New Roman"/>
                <w:sz w:val="24"/>
              </w:rPr>
              <w:t>0134</w:t>
            </w:r>
          </w:p>
        </w:tc>
        <w:tc>
          <w:tcPr>
            <w:tcW w:w="8640" w:type="dxa"/>
          </w:tcPr>
          <w:p w14:paraId="13156AFE"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Įgaliojimais grindžiamas metodas</w:t>
            </w:r>
          </w:p>
          <w:p w14:paraId="37B63BC9"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Ta pati apibrėžtis kaip CR IRB formos 0200 eilutėje.</w:t>
            </w:r>
          </w:p>
        </w:tc>
      </w:tr>
      <w:tr w:rsidR="009D6580" w:rsidRPr="002A677E" w14:paraId="57B2C532" w14:textId="77777777" w:rsidTr="00822842">
        <w:tc>
          <w:tcPr>
            <w:tcW w:w="1188" w:type="dxa"/>
          </w:tcPr>
          <w:p w14:paraId="251B0D2B" w14:textId="77777777" w:rsidR="009D6580" w:rsidRPr="002A677E" w:rsidRDefault="009D6580" w:rsidP="00822842">
            <w:pPr>
              <w:rPr>
                <w:rFonts w:ascii="Times New Roman" w:hAnsi="Times New Roman"/>
                <w:sz w:val="24"/>
              </w:rPr>
            </w:pPr>
            <w:r>
              <w:rPr>
                <w:rFonts w:ascii="Times New Roman" w:hAnsi="Times New Roman"/>
                <w:sz w:val="24"/>
              </w:rPr>
              <w:t>0135</w:t>
            </w:r>
          </w:p>
        </w:tc>
        <w:tc>
          <w:tcPr>
            <w:tcW w:w="8640" w:type="dxa"/>
          </w:tcPr>
          <w:p w14:paraId="19D4ED63"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Alternatyvus metodas</w:t>
            </w:r>
          </w:p>
          <w:p w14:paraId="18A39C60"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Ta pati apibrėžtis kaip CR IRB formos 0210 eilutėje.</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Nuosavybės vertybinių popierių pozicijos</w:t>
            </w:r>
          </w:p>
          <w:p w14:paraId="1A033F11" w14:textId="77777777" w:rsidR="009D6580" w:rsidRPr="002A677E" w:rsidRDefault="009D6580" w:rsidP="00822842">
            <w:pPr>
              <w:rPr>
                <w:rFonts w:ascii="Times New Roman" w:hAnsi="Times New Roman"/>
                <w:b/>
                <w:sz w:val="24"/>
                <w:u w:val="single"/>
              </w:rPr>
            </w:pPr>
            <w:r>
              <w:rPr>
                <w:rFonts w:ascii="Times New Roman" w:hAnsi="Times New Roman"/>
                <w:sz w:val="24"/>
              </w:rPr>
              <w:lastRenderedPageBreak/>
              <w:t>Nuosavybės vertybinių popierių pozicijos, nurodytos Reglamento (ES) Nr. 575/2013 147 straipsnio 2 dalies e punkte.</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rFonts w:ascii="Times New Roman" w:hAnsi="Times New Roman"/>
                <w:sz w:val="24"/>
              </w:rPr>
            </w:pPr>
            <w:r>
              <w:rPr>
                <w:rFonts w:ascii="Times New Roman" w:hAnsi="Times New Roman"/>
                <w:sz w:val="24"/>
              </w:rPr>
              <w:lastRenderedPageBreak/>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Bendra pozicijų suma</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0" w:name="_Toc360188366"/>
      <w:bookmarkStart w:id="11" w:name="_Toc473560917"/>
      <w:bookmarkStart w:id="12" w:name="_Toc151714421"/>
      <w:r>
        <w:rPr>
          <w:rFonts w:ascii="Times New Roman" w:hAnsi="Times New Roman"/>
          <w:sz w:val="24"/>
          <w:u w:val="none"/>
        </w:rPr>
        <w:t>3.4.3.</w:t>
      </w:r>
      <w:r w:rsidRPr="003529BB">
        <w:rPr>
          <w:u w:val="none"/>
        </w:rPr>
        <w:tab/>
      </w:r>
      <w:r>
        <w:rPr>
          <w:rFonts w:ascii="Times New Roman" w:hAnsi="Times New Roman"/>
          <w:sz w:val="24"/>
        </w:rPr>
        <w:t>C 09.04. Kredito pozicijų, kurios svarbios apskaičiuojant anticiklinį kapitalo rezervą, suskirstymas pagal šalis ir įstaigos specialaus anticiklinio kapitalo rezervo norma</w:t>
      </w:r>
      <w:bookmarkEnd w:id="10"/>
      <w:r>
        <w:t xml:space="preserve"> </w:t>
      </w:r>
      <w:r>
        <w:rPr>
          <w:rFonts w:ascii="Times New Roman" w:hAnsi="Times New Roman"/>
          <w:sz w:val="24"/>
        </w:rPr>
        <w:t>(CCB)</w:t>
      </w:r>
      <w:bookmarkEnd w:id="11"/>
      <w:bookmarkEnd w:id="12"/>
    </w:p>
    <w:p w14:paraId="600FC3A3"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3" w:name="_Toc360188367"/>
      <w:bookmarkStart w:id="14" w:name="_Toc473560918"/>
      <w:bookmarkStart w:id="15" w:name="_Toc151714422"/>
      <w:r>
        <w:rPr>
          <w:rFonts w:ascii="Times New Roman" w:hAnsi="Times New Roman"/>
          <w:sz w:val="24"/>
          <w:u w:val="none"/>
        </w:rPr>
        <w:t>3.4.3.1.</w:t>
      </w:r>
      <w:r w:rsidRPr="003529BB">
        <w:rPr>
          <w:u w:val="none"/>
        </w:rPr>
        <w:tab/>
      </w:r>
      <w:r>
        <w:rPr>
          <w:rFonts w:ascii="Times New Roman" w:hAnsi="Times New Roman"/>
          <w:sz w:val="24"/>
        </w:rPr>
        <w:t>Bendrosios pastabos</w:t>
      </w:r>
      <w:bookmarkEnd w:id="13"/>
      <w:bookmarkEnd w:id="14"/>
      <w:bookmarkEnd w:id="15"/>
    </w:p>
    <w:p w14:paraId="57D13BA6"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88</w:t>
      </w:r>
      <w:r>
        <w:fldChar w:fldCharType="end"/>
      </w:r>
      <w:r>
        <w:t>.</w:t>
      </w:r>
      <w:r>
        <w:tab/>
        <w:t xml:space="preserve">Šia forma siekiama surinkti daugiau informacijos apie įstaigos specialaus anticiklinio kapitalo rezervo elementus. Privaloma pateikti informacija yra susijusi su nuosavų lėšų reikalavimais, nustatytais pagal Reglamento (ES) Nr. 575/2013 trečios dalies II ir IV antraštines dalis kredito pozicijoms, pakeitimo vertybiniais popieriais pozicijoms ir prekybos knygos pozicijoms, kurios yra svarbios apskaičiuojant įstaigos specialų anticiklinį kapitalo rezervą (CCB) pagal Direktyvos 2013/36/ES 140 straipsnį, ir tų pozicijų (atitinkamų kredito pozicijų) geografine vieta. </w:t>
      </w:r>
    </w:p>
    <w:p w14:paraId="10EA3DAD"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89</w:t>
      </w:r>
      <w:r>
        <w:fldChar w:fldCharType="end"/>
      </w:r>
      <w:r>
        <w:t>.</w:t>
      </w:r>
      <w:r>
        <w:tab/>
        <w:t xml:space="preserve">C 09.04 formoje pateikiama informacija apie visas atitinkamas kredito pozicijas visose tam tikrą jurisdikciją turinčiose teritorijose, kuriose tos pozicijos yra, taip pat atskirai pagal kiekvieną jurisdikciją turinčią teritoriją, kurioje yra atitinkamos kredito pozicijos. Bendros sumos ir informacija apie kiekvieną jurisdikciją turinčią teritoriją yra nurodomos skirtingu aspektu. </w:t>
      </w:r>
    </w:p>
    <w:p w14:paraId="054CDEAF"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90</w:t>
      </w:r>
      <w:r>
        <w:fldChar w:fldCharType="end"/>
      </w:r>
      <w:r>
        <w:t>.</w:t>
      </w:r>
      <w:r>
        <w:tab/>
        <w:t>Informaciją pateikiant pagal šį suskirstymą šio įgyvendinimo reglamento 5 straipsnio 5 dalyje nustatyta riba netaikoma.</w:t>
      </w:r>
    </w:p>
    <w:bookmarkStart w:id="16" w:name="_Hlk151650982"/>
    <w:p w14:paraId="710781F7"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91</w:t>
      </w:r>
      <w:r>
        <w:fldChar w:fldCharType="end"/>
      </w:r>
      <w:r>
        <w:t>.</w:t>
      </w:r>
      <w:r>
        <w:tab/>
        <w:t>Siekiant nustatyti geografinę vietą, pozicijos paskirstomos tiesioginio įsipareigojančiojo asmens pagrindu, kaip numatyta Komisijos deleguotajame reglamente (ES) Nr. 1152/2014</w:t>
      </w:r>
      <w:r>
        <w:footnoteReference w:id="1"/>
      </w:r>
      <w:r>
        <w:t>. Todėl teikiant šioje formoje nurodytą informaciją pozicijos priskyrimas geografinei vietai dėl KRM metodų nesikeičia.</w:t>
      </w:r>
    </w:p>
    <w:p w14:paraId="4811C8E1"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7" w:name="_Toc360188368"/>
      <w:bookmarkStart w:id="18" w:name="_Toc473560919"/>
      <w:bookmarkStart w:id="19" w:name="_Toc151714423"/>
      <w:bookmarkEnd w:id="16"/>
      <w:r>
        <w:rPr>
          <w:rFonts w:ascii="Times New Roman" w:hAnsi="Times New Roman"/>
          <w:sz w:val="24"/>
          <w:u w:val="none"/>
        </w:rPr>
        <w:t>3.4.3.2.</w:t>
      </w:r>
      <w:r w:rsidRPr="003529BB">
        <w:rPr>
          <w:u w:val="none"/>
        </w:rPr>
        <w:tab/>
      </w:r>
      <w:r>
        <w:rPr>
          <w:rFonts w:ascii="Times New Roman" w:hAnsi="Times New Roman"/>
          <w:sz w:val="24"/>
        </w:rPr>
        <w:t>Nurodymai dėl konkrečių pozicijų</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rFonts w:ascii="Times New Roman" w:hAnsi="Times New Roman"/>
                <w:b/>
                <w:sz w:val="24"/>
              </w:rPr>
            </w:pPr>
            <w:r>
              <w:rPr>
                <w:rFonts w:ascii="Times New Roman" w:hAnsi="Times New Roman"/>
                <w:b/>
                <w:sz w:val="24"/>
              </w:rPr>
              <w:t>Skiltys</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w:t>
            </w:r>
          </w:p>
        </w:tc>
        <w:tc>
          <w:tcPr>
            <w:tcW w:w="8131" w:type="dxa"/>
          </w:tcPr>
          <w:p w14:paraId="6A1F53D1"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Suma</w:t>
            </w:r>
          </w:p>
          <w:p w14:paraId="4EDF6439" w14:textId="77777777" w:rsidR="009D6580" w:rsidRPr="002A677E" w:rsidRDefault="009D6580" w:rsidP="00822842">
            <w:pPr>
              <w:rPr>
                <w:rFonts w:ascii="Times New Roman" w:hAnsi="Times New Roman"/>
                <w:b/>
                <w:sz w:val="24"/>
                <w:u w:val="single"/>
              </w:rPr>
            </w:pPr>
            <w:r>
              <w:rPr>
                <w:rFonts w:ascii="Times New Roman" w:hAnsi="Times New Roman"/>
                <w:sz w:val="24"/>
              </w:rPr>
              <w:t>Atitinkamų kredito pozicijų vertė ir su jomis siejami nuosavų lėšų reikalavimai, nustatyti pagal atitinkamai eilutei skirtus nurodymus.</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Pr>
                <w:rFonts w:ascii="Times New Roman" w:hAnsi="Times New Roman"/>
                <w:sz w:val="24"/>
              </w:rPr>
              <w:t>0020</w:t>
            </w:r>
          </w:p>
        </w:tc>
        <w:tc>
          <w:tcPr>
            <w:tcW w:w="8131" w:type="dxa"/>
          </w:tcPr>
          <w:p w14:paraId="4133F8D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Procentinė dalis</w:t>
            </w:r>
          </w:p>
          <w:p w14:paraId="01DD816F" w14:textId="77777777" w:rsidR="009D6580" w:rsidRPr="002A677E"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rFonts w:ascii="Times New Roman" w:hAnsi="Times New Roman"/>
                <w:sz w:val="24"/>
              </w:rPr>
            </w:pPr>
            <w:r>
              <w:rPr>
                <w:rFonts w:ascii="Times New Roman" w:hAnsi="Times New Roman"/>
                <w:sz w:val="24"/>
              </w:rPr>
              <w:lastRenderedPageBreak/>
              <w:t>0030</w:t>
            </w:r>
          </w:p>
        </w:tc>
        <w:tc>
          <w:tcPr>
            <w:tcW w:w="8131" w:type="dxa"/>
          </w:tcPr>
          <w:p w14:paraId="61529C4E"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b/>
                <w:sz w:val="24"/>
                <w:u w:val="single"/>
              </w:rPr>
              <w:t>Kokybinė informacija</w:t>
            </w:r>
          </w:p>
          <w:p w14:paraId="394356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Ši informacija teikiama tik apie įstaigos įsisteigimo šalį (buveinės valstybę narę atitinkančią jurisdikciją turinčią teritoriją) ir nurodoma kaip visų šalių „Bendra suma“. </w:t>
            </w:r>
          </w:p>
          <w:p w14:paraId="6761B5E4"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Įstaigos nurodo {y} arba {n} pagal atitinkamai eilutei skirtus nurodymus.</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rFonts w:ascii="Times New Roman" w:hAnsi="Times New Roman"/>
                <w:b/>
                <w:sz w:val="24"/>
              </w:rPr>
            </w:pPr>
            <w:r>
              <w:rPr>
                <w:rFonts w:ascii="Times New Roman" w:hAnsi="Times New Roman"/>
                <w:b/>
                <w:sz w:val="24"/>
              </w:rPr>
              <w:t>Eilutės</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0010–0020</w:t>
            </w:r>
          </w:p>
        </w:tc>
        <w:tc>
          <w:tcPr>
            <w:tcW w:w="8131" w:type="dxa"/>
          </w:tcPr>
          <w:p w14:paraId="3D2862F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Atitinkamos kredito pozicijos. Kredito rizika</w:t>
            </w:r>
          </w:p>
          <w:p w14:paraId="516A26FA" w14:textId="77777777" w:rsidR="009D6580" w:rsidRPr="002A677E" w:rsidRDefault="009D6580" w:rsidP="00822842">
            <w:pPr>
              <w:rPr>
                <w:rFonts w:ascii="Times New Roman" w:hAnsi="Times New Roman"/>
                <w:b/>
                <w:sz w:val="24"/>
                <w:u w:val="single"/>
              </w:rPr>
            </w:pPr>
            <w:r>
              <w:rPr>
                <w:rFonts w:ascii="Times New Roman" w:hAnsi="Times New Roman"/>
                <w:sz w:val="24"/>
              </w:rPr>
              <w:t>Atitinkamos kredito pozicijos, nurodytos Direktyvos 2013/36/ES 140 straipsnio 4 dalies a punkte.</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Pr>
                <w:rFonts w:ascii="Times New Roman" w:hAnsi="Times New Roman"/>
                <w:sz w:val="24"/>
              </w:rPr>
              <w:t>0010</w:t>
            </w:r>
          </w:p>
        </w:tc>
        <w:tc>
          <w:tcPr>
            <w:tcW w:w="8131" w:type="dxa"/>
          </w:tcPr>
          <w:p w14:paraId="60D60C47"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Pozicijos vertė pagal standartizuotą metodą</w:t>
            </w:r>
          </w:p>
          <w:p w14:paraId="0EA1DD75"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Atitinkamų kredito pozicijų, nurodytų Direktyvos 2013/36/ES 140 straipsnio 4 dalies a punkte, pozicijos vertė, apskaičiuota pagal Reglamento (ES) Nr. 575/2013 111 straipsnį. </w:t>
            </w:r>
          </w:p>
          <w:p w14:paraId="72B986ED"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Pakeitimo vertybiniais popieriais pozicijų bankinėje knygoje vertė į šią eilutę neįtraukiama, bet nurodoma 0055 eilutėje.</w:t>
            </w:r>
          </w:p>
        </w:tc>
      </w:tr>
      <w:tr w:rsidR="009D6580" w:rsidRPr="002A677E" w14:paraId="367F78C6" w14:textId="77777777" w:rsidTr="00822842">
        <w:tc>
          <w:tcPr>
            <w:tcW w:w="1697" w:type="dxa"/>
          </w:tcPr>
          <w:p w14:paraId="3217061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131" w:type="dxa"/>
          </w:tcPr>
          <w:p w14:paraId="385211C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Pozicijos vertė pagal IRB metodą</w:t>
            </w:r>
          </w:p>
          <w:p w14:paraId="3F80BC36"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Atitinkamų kredito pozicijų, nurodytų Direktyvos 2013/36/ES 140 straipsnio 4 dalies a punkte, pozicijos vertė, apskaičiuota pagal Reglamento (ES) Nr. 575/2013 166 straipsnį. </w:t>
            </w:r>
          </w:p>
          <w:p w14:paraId="48C130F1" w14:textId="77777777" w:rsidR="009D6580" w:rsidRPr="002A677E" w:rsidRDefault="009D6580" w:rsidP="00822842">
            <w:pPr>
              <w:rPr>
                <w:rFonts w:ascii="Times New Roman" w:hAnsi="Times New Roman"/>
                <w:b/>
                <w:bCs/>
                <w:sz w:val="24"/>
                <w:u w:val="single"/>
              </w:rPr>
            </w:pPr>
            <w:r>
              <w:rPr>
                <w:rFonts w:ascii="Times New Roman" w:hAnsi="Times New Roman"/>
                <w:sz w:val="24"/>
              </w:rPr>
              <w:t>Pakeitimo vertybiniais popieriais pozicijų bankinėje knygoje vertė į šią eilutę neįtraukiama, bet nurodoma 0055 eilutėje.</w:t>
            </w:r>
          </w:p>
        </w:tc>
      </w:tr>
      <w:tr w:rsidR="009D6580" w:rsidRPr="002A677E" w14:paraId="613420F2" w14:textId="77777777" w:rsidTr="00822842">
        <w:tc>
          <w:tcPr>
            <w:tcW w:w="1697" w:type="dxa"/>
          </w:tcPr>
          <w:p w14:paraId="53491AFF" w14:textId="77777777" w:rsidR="009D6580" w:rsidRPr="002A677E" w:rsidRDefault="009D6580" w:rsidP="00822842">
            <w:pPr>
              <w:rPr>
                <w:rFonts w:ascii="Times New Roman" w:hAnsi="Times New Roman"/>
                <w:sz w:val="24"/>
              </w:rPr>
            </w:pPr>
            <w:r>
              <w:rPr>
                <w:rFonts w:ascii="Times New Roman" w:hAnsi="Times New Roman"/>
                <w:sz w:val="24"/>
              </w:rPr>
              <w:t>0030–0040</w:t>
            </w:r>
          </w:p>
        </w:tc>
        <w:tc>
          <w:tcPr>
            <w:tcW w:w="8131" w:type="dxa"/>
          </w:tcPr>
          <w:p w14:paraId="369D850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Atitinkamos kredito pozicijos. Rinkos rizika</w:t>
            </w:r>
          </w:p>
          <w:p w14:paraId="54050F98" w14:textId="77777777" w:rsidR="009D6580" w:rsidRPr="002A677E" w:rsidRDefault="009D6580" w:rsidP="00822842">
            <w:pPr>
              <w:rPr>
                <w:rFonts w:ascii="Times New Roman" w:hAnsi="Times New Roman"/>
                <w:b/>
                <w:bCs/>
                <w:sz w:val="24"/>
                <w:u w:val="single"/>
              </w:rPr>
            </w:pPr>
            <w:r>
              <w:rPr>
                <w:rFonts w:ascii="Times New Roman" w:hAnsi="Times New Roman"/>
                <w:sz w:val="24"/>
              </w:rPr>
              <w:t>Atitinkamos kredito pozicijos, nurodytos Direktyvos 2013/36/ES 140 straipsnio 4 dalies b punkte.</w:t>
            </w:r>
          </w:p>
        </w:tc>
      </w:tr>
      <w:tr w:rsidR="009D6580" w:rsidRPr="002A677E" w14:paraId="670769C5" w14:textId="77777777" w:rsidTr="00822842">
        <w:tc>
          <w:tcPr>
            <w:tcW w:w="1697" w:type="dxa"/>
          </w:tcPr>
          <w:p w14:paraId="27E0BEE1"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131" w:type="dxa"/>
          </w:tcPr>
          <w:p w14:paraId="740784D8"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Prekybos knygos ilgųjų ir trumpųjų pozicijų suma standartizuotam metodui</w:t>
            </w:r>
          </w:p>
          <w:p w14:paraId="5F803AC4"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Atitinkamų kredito pozicijų, nurodytų Direktyvos 2013/36/ES 140 straipsnio 4 dalies b punkte, kurioms taikomi nuosavų lėšų reikalavimai pagal Reglamento (ES) Nr. 575/2013 trečios dalies IV antraštinės dalies 2 skyrių, grynųjų ilgųjų ir grynųjų trumpųjų pozicijų suma pagal Reglamento (ES) Nr. 575/2013 327 straipsnį: </w:t>
            </w:r>
          </w:p>
          <w:p w14:paraId="555B6B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skolos priemonių pozicijų, kurios nėra pakeitimo vertybiniais popieriais pozicijos;</w:t>
            </w:r>
          </w:p>
          <w:p w14:paraId="2F347ECD"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pakeitimo vertybiniais popieriais pozicijų prekybos knygoje;</w:t>
            </w:r>
          </w:p>
          <w:p w14:paraId="0BF14848"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koreliacinės prekybos portfelių pozicijų;</w:t>
            </w:r>
          </w:p>
          <w:p w14:paraId="426EA2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nuosavybės vertybinių popierių pozicijų;</w:t>
            </w:r>
          </w:p>
          <w:p w14:paraId="29596F16"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KIS pozicijų, jeigu kapitalo reikalavimai yra apskaičiuojami pagal Reglamento (ES) Nr. 575/2013 348 straipsnį.</w:t>
            </w:r>
          </w:p>
        </w:tc>
      </w:tr>
      <w:tr w:rsidR="009D6580" w:rsidRPr="002A677E" w14:paraId="1B5F6FE5" w14:textId="77777777" w:rsidTr="00822842">
        <w:tc>
          <w:tcPr>
            <w:tcW w:w="1697" w:type="dxa"/>
          </w:tcPr>
          <w:p w14:paraId="22718F0C"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131" w:type="dxa"/>
          </w:tcPr>
          <w:p w14:paraId="7989891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Prekybos knygos pozicijų vertė pagal vidaus modelius</w:t>
            </w:r>
          </w:p>
          <w:p w14:paraId="2C5D070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lastRenderedPageBreak/>
              <w:t>Atitinkamoms kredito pozicijoms, nurodytoms Direktyvos 2013/36/ES 140 straipsnio 4 dalies b punkte, kurioms taikomi nuosavų lėšų reikalavimai pagal Reglamento (ES) Nr. 575/2013 trečios dalies IV antraštinės dalies 2 ir 5 skyrius, nurodoma šių elementų suma:</w:t>
            </w:r>
          </w:p>
          <w:p w14:paraId="07E28E81"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neišvestinių finansinių priemonių pozicijų, kurios yra atitinkamos kredito pozicijos, nurodytos Direktyvos 2013/36/ES 140 straipsnio 4 dalies b punkte, nustatytos pagal Reglamento (ES) Nr. 575/2013 104 straipsnį, tikrosios vertės;</w:t>
            </w:r>
          </w:p>
          <w:p w14:paraId="198195E0"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išvestinių finansinių priemonių, kurios yra atitinkamos kredito pozicijos, nurodytos Direktyvos 2013/36/ES 140 straipsnio 4 dalies b punkte, tariamosios vertės.</w:t>
            </w:r>
          </w:p>
        </w:tc>
      </w:tr>
      <w:tr w:rsidR="009D6580" w:rsidRPr="002A677E" w14:paraId="6BA1E71E" w14:textId="77777777" w:rsidTr="00822842">
        <w:tc>
          <w:tcPr>
            <w:tcW w:w="1697" w:type="dxa"/>
          </w:tcPr>
          <w:p w14:paraId="37545C8A" w14:textId="77777777" w:rsidR="009D6580" w:rsidRPr="002A677E" w:rsidRDefault="009D6580" w:rsidP="00822842">
            <w:pPr>
              <w:rPr>
                <w:rFonts w:ascii="Times New Roman" w:hAnsi="Times New Roman"/>
                <w:sz w:val="24"/>
              </w:rPr>
            </w:pPr>
            <w:r>
              <w:rPr>
                <w:rFonts w:ascii="Times New Roman" w:hAnsi="Times New Roman"/>
                <w:sz w:val="24"/>
              </w:rPr>
              <w:lastRenderedPageBreak/>
              <w:t>0055</w:t>
            </w:r>
          </w:p>
        </w:tc>
        <w:tc>
          <w:tcPr>
            <w:tcW w:w="8131" w:type="dxa"/>
          </w:tcPr>
          <w:p w14:paraId="3A6EE46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Atitinkamos kredito pozicijos. Pakeitimo vertybiniais popieriais pozicijos bankinėje knygoje</w:t>
            </w:r>
          </w:p>
          <w:p w14:paraId="4B3C8407" w14:textId="77777777" w:rsidR="009D6580" w:rsidRPr="002A677E" w:rsidRDefault="009D6580" w:rsidP="00822842">
            <w:pPr>
              <w:rPr>
                <w:rFonts w:ascii="Times New Roman" w:hAnsi="Times New Roman"/>
                <w:sz w:val="24"/>
              </w:rPr>
            </w:pPr>
            <w:r>
              <w:rPr>
                <w:rFonts w:ascii="Times New Roman" w:hAnsi="Times New Roman"/>
                <w:sz w:val="24"/>
              </w:rPr>
              <w:t>Atitinkamų kredito pozicijų, nurodytų Direktyvos 2013/36/ES 140 straipsnio 4 dalies c punkte, pozicijos vertė, apskaičiuota pagal Reglamento (ES) Nr. 575/2013 248 straipsnį.</w:t>
            </w:r>
          </w:p>
        </w:tc>
      </w:tr>
      <w:tr w:rsidR="009D6580" w:rsidRPr="002A677E" w14:paraId="2A6651FC" w14:textId="77777777" w:rsidTr="00822842">
        <w:tc>
          <w:tcPr>
            <w:tcW w:w="1697" w:type="dxa"/>
          </w:tcPr>
          <w:p w14:paraId="3D2C5D4A" w14:textId="77777777" w:rsidR="009D6580" w:rsidRPr="002A677E" w:rsidRDefault="009D6580" w:rsidP="00822842">
            <w:pPr>
              <w:rPr>
                <w:rFonts w:ascii="Times New Roman" w:hAnsi="Times New Roman"/>
                <w:sz w:val="24"/>
              </w:rPr>
            </w:pPr>
            <w:r>
              <w:rPr>
                <w:rFonts w:ascii="Times New Roman" w:hAnsi="Times New Roman"/>
                <w:sz w:val="24"/>
              </w:rPr>
              <w:t>0070–0110</w:t>
            </w:r>
          </w:p>
        </w:tc>
        <w:tc>
          <w:tcPr>
            <w:tcW w:w="8131" w:type="dxa"/>
          </w:tcPr>
          <w:p w14:paraId="6A03AF3B"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Nuosavų lėšų reikalavimai ir koeficientai</w:t>
            </w:r>
          </w:p>
        </w:tc>
      </w:tr>
      <w:tr w:rsidR="009D6580" w:rsidRPr="002A677E" w14:paraId="5C042A5F" w14:textId="77777777" w:rsidTr="00822842">
        <w:tc>
          <w:tcPr>
            <w:tcW w:w="1697" w:type="dxa"/>
          </w:tcPr>
          <w:p w14:paraId="32640B70"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131" w:type="dxa"/>
          </w:tcPr>
          <w:p w14:paraId="431787D4"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Bendra nuosavų lėšų reikalavimų suma CCB</w:t>
            </w:r>
          </w:p>
          <w:p w14:paraId="78C29612" w14:textId="77777777" w:rsidR="009D6580" w:rsidRPr="002A677E" w:rsidRDefault="009D6580" w:rsidP="00822842">
            <w:pPr>
              <w:rPr>
                <w:rFonts w:ascii="Times New Roman" w:hAnsi="Times New Roman"/>
                <w:b/>
                <w:bCs/>
                <w:sz w:val="24"/>
                <w:u w:val="single"/>
              </w:rPr>
            </w:pPr>
            <w:r>
              <w:rPr>
                <w:rFonts w:ascii="Times New Roman" w:hAnsi="Times New Roman"/>
                <w:sz w:val="24"/>
              </w:rPr>
              <w:t>Nurodoma 0080, 0090 ir 0100 eilučių suma.</w:t>
            </w:r>
          </w:p>
        </w:tc>
      </w:tr>
      <w:tr w:rsidR="009D6580" w:rsidRPr="002A677E" w14:paraId="7D74E37B" w14:textId="77777777" w:rsidTr="00822842">
        <w:tc>
          <w:tcPr>
            <w:tcW w:w="1697" w:type="dxa"/>
          </w:tcPr>
          <w:p w14:paraId="26DA65D7"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131" w:type="dxa"/>
          </w:tcPr>
          <w:p w14:paraId="2381AF17"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Nuosavų lėšų reikalavimai atitinkamoms kredito pozicijoms. Kredito rizika </w:t>
            </w:r>
          </w:p>
          <w:p w14:paraId="4126D1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Nuosavų lėšų reikalavimai, apskaičiuoti pagal Reglamento (ES) Nr. 575/2013 trečios dalies II antraštinės dalies 1–4 ir 6 skyrius, atitinkamoms kredito pozicijoms, nurodytoms Direktyvos 2013/36/ES 140 straipsnio 4 dalies a punkte, atitinkamoje šalyje.</w:t>
            </w:r>
          </w:p>
          <w:p w14:paraId="094DA9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Nuosavų lėšų reikalavimai pakeitimo vertybiniais popieriais pozicijoms bankinėje knygoje į šią eilutę neįtraukiami, bet nurodomi 0100 eilutėje.</w:t>
            </w:r>
          </w:p>
          <w:p w14:paraId="037A1499" w14:textId="77777777" w:rsidR="009D6580" w:rsidRPr="002A677E" w:rsidRDefault="009D6580" w:rsidP="00822842">
            <w:pPr>
              <w:rPr>
                <w:rFonts w:ascii="Times New Roman" w:hAnsi="Times New Roman"/>
                <w:b/>
                <w:bCs/>
                <w:sz w:val="24"/>
                <w:u w:val="single"/>
              </w:rPr>
            </w:pPr>
            <w:r>
              <w:rPr>
                <w:rFonts w:ascii="Times New Roman" w:hAnsi="Times New Roman"/>
                <w:sz w:val="24"/>
              </w:rPr>
              <w:t>Nuosavų lėšų reikalavimai sudaro 8 % pagal riziką įvertintų pozicijų sumos, nustatytos pagal Reglamento (ES) Nr. 575/2013 trečios dalies II antraštinės dalies 1–4 ir 6 skyrius.</w:t>
            </w:r>
          </w:p>
        </w:tc>
      </w:tr>
      <w:tr w:rsidR="009D6580" w:rsidRPr="002A677E" w14:paraId="6CE5DB0E" w14:textId="77777777" w:rsidTr="00822842">
        <w:tc>
          <w:tcPr>
            <w:tcW w:w="1697" w:type="dxa"/>
          </w:tcPr>
          <w:p w14:paraId="0847E4D7"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131" w:type="dxa"/>
          </w:tcPr>
          <w:p w14:paraId="4922C90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Nuosavų lėšų reikalavimai atitinkamoms kredito pozicijoms. Rinkos rizika </w:t>
            </w:r>
          </w:p>
          <w:p w14:paraId="5686B88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Nuosavų lėšų reikalavimai, apskaičiuoti specifinei rizikai pagal Reglamento (ES) Nr. 575/2013 trečios dalies IV antraštinės dalies 2 skyrių arba papildomai įsipareigojimų neįvykdymo ir pokyčių rizikai pagal Reglamento (ES) Nr. 575/2013 trečios dalies IV antraštinės dalies 5 skyrių, atitinkamoms kredito pozicijoms, nurodytoms Direktyvos 2013/36/ES 140 straipsnio 4 dalies b punkte, atitinkamoje šalyje. </w:t>
            </w:r>
          </w:p>
          <w:p w14:paraId="09611817"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Nuosavų lėšų reikalavimai atitinkamoms kredito pozicijoms pagal rinkos rizikos sistemą, be kita ko, apima nuosavų lėšų reikalavimus pakeitimo vertybiniais popieriais pozicijoms, apskaičiuotus pagal Reglamento (ES) Nr. 575/2013 trečios dalies IV antraštinės dalies 2 skyrių, ir nuosavų lėšų reikalavimus kolektyvinio investavimo subjektų pozicijoms, nustatytus pagal to reglamento 348 straipsnį.</w:t>
            </w:r>
          </w:p>
        </w:tc>
      </w:tr>
      <w:tr w:rsidR="009D6580" w:rsidRPr="002A677E" w14:paraId="655D63DC" w14:textId="77777777" w:rsidTr="00822842">
        <w:tc>
          <w:tcPr>
            <w:tcW w:w="1697" w:type="dxa"/>
          </w:tcPr>
          <w:p w14:paraId="4911AAD6" w14:textId="77777777" w:rsidR="009D6580" w:rsidRPr="002A677E" w:rsidRDefault="009D6580" w:rsidP="00822842">
            <w:pPr>
              <w:rPr>
                <w:rFonts w:ascii="Times New Roman" w:hAnsi="Times New Roman"/>
                <w:sz w:val="24"/>
              </w:rPr>
            </w:pPr>
            <w:r>
              <w:rPr>
                <w:rFonts w:ascii="Times New Roman" w:hAnsi="Times New Roman"/>
                <w:sz w:val="24"/>
              </w:rPr>
              <w:lastRenderedPageBreak/>
              <w:t>0100</w:t>
            </w:r>
          </w:p>
        </w:tc>
        <w:tc>
          <w:tcPr>
            <w:tcW w:w="8131" w:type="dxa"/>
          </w:tcPr>
          <w:p w14:paraId="45D3AC3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Nuosavų lėšų reikalavimai atitinkamoms kredito pozicijoms. Pakeitimo vertybiniais popieriais pozicijos bankinėje knygoje</w:t>
            </w:r>
          </w:p>
          <w:p w14:paraId="6483412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Nuosavų lėšų reikalavimai, apskaičiuoti pagal Reglamento (ES) Nr. 575/2013 trečios dalies II antraštinės dalies 5 skyrių, atitinkamoms kredito pozicijoms, nurodytoms Direktyvos 2013/36/ES 140 straipsnio 4 dalies c punkte, atitinkamoje šalyje.</w:t>
            </w:r>
          </w:p>
          <w:p w14:paraId="1A6665D5" w14:textId="77777777" w:rsidR="009D6580" w:rsidRPr="002A677E" w:rsidRDefault="009D6580" w:rsidP="00822842">
            <w:pPr>
              <w:rPr>
                <w:rFonts w:ascii="Times New Roman" w:hAnsi="Times New Roman"/>
                <w:b/>
                <w:bCs/>
                <w:sz w:val="24"/>
                <w:u w:val="single"/>
              </w:rPr>
            </w:pPr>
            <w:r>
              <w:rPr>
                <w:rFonts w:ascii="Times New Roman" w:hAnsi="Times New Roman"/>
                <w:sz w:val="24"/>
              </w:rPr>
              <w:t>Nuosavų lėšų reikalavimai sudaro 8 % pagal riziką įvertintų pozicijų sumos, apskaičiuotos pagal Reglamento (ES) Nr. 575/2013 trečios dalies II antraštinės dalies 5 skyrių.</w:t>
            </w:r>
          </w:p>
        </w:tc>
      </w:tr>
      <w:tr w:rsidR="009D6580" w:rsidRPr="002A677E" w14:paraId="4015A9D7" w14:textId="77777777" w:rsidTr="00822842">
        <w:tc>
          <w:tcPr>
            <w:tcW w:w="1697" w:type="dxa"/>
          </w:tcPr>
          <w:p w14:paraId="4ACCD3B3"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131" w:type="dxa"/>
          </w:tcPr>
          <w:p w14:paraId="2EE25FA2"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Nuosavų lėšų reikalavimams taikomi koeficientai</w:t>
            </w:r>
          </w:p>
          <w:p w14:paraId="3D7B8904" w14:textId="77777777" w:rsidR="009D6580" w:rsidRPr="002A677E" w:rsidRDefault="009D6580" w:rsidP="00822842">
            <w:pPr>
              <w:rPr>
                <w:rFonts w:ascii="Times New Roman" w:hAnsi="Times New Roman"/>
                <w:sz w:val="24"/>
              </w:rPr>
            </w:pPr>
            <w:r>
              <w:rPr>
                <w:rFonts w:ascii="Times New Roman" w:hAnsi="Times New Roman"/>
                <w:sz w:val="24"/>
              </w:rPr>
              <w:t>Anticiklinio kapitalo rezervo normai kiekvienoje šalyje taikomas koeficientas yra apskaičiuojamas kaip nuosavų lėšų reikalavimų santykis, nustatomas taip:</w:t>
            </w:r>
          </w:p>
          <w:p w14:paraId="47443D03" w14:textId="77777777" w:rsidR="009D6580" w:rsidRPr="002A677E" w:rsidRDefault="009D6580" w:rsidP="00822842">
            <w:pPr>
              <w:rPr>
                <w:rFonts w:ascii="Times New Roman" w:hAnsi="Times New Roman"/>
                <w:sz w:val="24"/>
              </w:rPr>
            </w:pPr>
            <w:r>
              <w:rPr>
                <w:rFonts w:ascii="Times New Roman" w:hAnsi="Times New Roman"/>
                <w:sz w:val="24"/>
              </w:rPr>
              <w:t>1.</w:t>
            </w:r>
            <w:r>
              <w:tab/>
            </w:r>
            <w:r>
              <w:rPr>
                <w:rFonts w:ascii="Times New Roman" w:hAnsi="Times New Roman"/>
                <w:sz w:val="24"/>
              </w:rPr>
              <w:t xml:space="preserve">skaitiklis: bendra nuosavų lėšų reikalavimų suma, susijusi su atitinkamomis kredito pozicijomis atitinkamoje šalyje [r0070; c0010; šalių duomenys], </w:t>
            </w:r>
          </w:p>
          <w:p w14:paraId="1FE57EC6" w14:textId="77777777" w:rsidR="009D6580" w:rsidRPr="002A677E" w:rsidRDefault="009D6580" w:rsidP="00822842">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vardiklis: bendra nuosavų lėšų reikalavimų suma, susijusi su visomis kredito pozicijomis, kurios yra svarbios apskaičiuojant anticiklinio kapitalo rezervo normą, kaip nurodyta Direktyvos 2013/36/ES 140 straipsnio 4 dalyje [r0070; c0010; „Bendra suma“].</w:t>
            </w:r>
          </w:p>
          <w:p w14:paraId="423D2DDF" w14:textId="77777777" w:rsidR="009D6580" w:rsidRPr="002A677E" w:rsidRDefault="009D6580" w:rsidP="00822842">
            <w:pPr>
              <w:rPr>
                <w:rFonts w:ascii="Times New Roman" w:hAnsi="Times New Roman"/>
                <w:b/>
                <w:bCs/>
                <w:sz w:val="24"/>
                <w:u w:val="single"/>
              </w:rPr>
            </w:pPr>
            <w:r>
              <w:rPr>
                <w:rFonts w:ascii="Times New Roman" w:hAnsi="Times New Roman"/>
                <w:sz w:val="24"/>
              </w:rPr>
              <w:t>Informacija apie nuosavų lėšų reikalavimų koeficientus nenurodoma kaip visų šalių „Bendra suma“.</w:t>
            </w:r>
          </w:p>
        </w:tc>
      </w:tr>
      <w:tr w:rsidR="009D6580" w:rsidRPr="002A677E" w14:paraId="5C4BC14D" w14:textId="77777777" w:rsidTr="00822842">
        <w:tc>
          <w:tcPr>
            <w:tcW w:w="1697" w:type="dxa"/>
          </w:tcPr>
          <w:p w14:paraId="1A21712D" w14:textId="77777777" w:rsidR="009D6580" w:rsidRPr="002A677E" w:rsidRDefault="009D6580" w:rsidP="00822842">
            <w:pPr>
              <w:rPr>
                <w:rFonts w:ascii="Times New Roman" w:hAnsi="Times New Roman"/>
                <w:sz w:val="24"/>
              </w:rPr>
            </w:pPr>
            <w:r>
              <w:rPr>
                <w:rFonts w:ascii="Times New Roman" w:hAnsi="Times New Roman"/>
                <w:sz w:val="24"/>
              </w:rPr>
              <w:t>0120–0140</w:t>
            </w:r>
          </w:p>
        </w:tc>
        <w:tc>
          <w:tcPr>
            <w:tcW w:w="8131" w:type="dxa"/>
          </w:tcPr>
          <w:p w14:paraId="0FFF9D8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Anticiklinio kapitalo rezervo normos</w:t>
            </w:r>
          </w:p>
        </w:tc>
      </w:tr>
      <w:tr w:rsidR="009D6580" w:rsidRPr="002A677E" w14:paraId="3D2AE883" w14:textId="77777777" w:rsidTr="00822842">
        <w:tc>
          <w:tcPr>
            <w:tcW w:w="1697" w:type="dxa"/>
          </w:tcPr>
          <w:p w14:paraId="61437EB6"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131" w:type="dxa"/>
          </w:tcPr>
          <w:p w14:paraId="756100DA"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Paskirtosios institucijos nustatyta anticiklinio kapitalo rezervo norma</w:t>
            </w:r>
          </w:p>
          <w:p w14:paraId="256AAB4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Anticiklinio kapitalo rezervo norma, nustatyta atitinkamai šaliai tos šalies paskirtosios institucijos pagal Direktyvos 2013/36/ES 136, 137, 139 straipsnius, 140 straipsnio 2 dalies a ir c punktus ir 3 dalies b punktą.</w:t>
            </w:r>
          </w:p>
          <w:p w14:paraId="08387A1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Ši eilutė nepildoma, jeigu anticiklinio kapitalo rezervo normos atitinkamai šaliai tos šalies paskirtoji institucija nėra nustačiusi.</w:t>
            </w:r>
          </w:p>
          <w:p w14:paraId="79AF7A0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Paskirtosios institucijos nustatytos anticiklinio kapitalo rezervo normos, kurios ataskaitinę datą atitinkamoje šalyje dar nėra taikomos, nenurodomos.</w:t>
            </w:r>
          </w:p>
          <w:p w14:paraId="5BEA0E13" w14:textId="77777777" w:rsidR="009D6580" w:rsidRPr="002A677E" w:rsidRDefault="009D6580" w:rsidP="00822842">
            <w:pPr>
              <w:rPr>
                <w:rFonts w:ascii="Times New Roman" w:hAnsi="Times New Roman"/>
                <w:b/>
                <w:bCs/>
                <w:sz w:val="24"/>
                <w:u w:val="single"/>
              </w:rPr>
            </w:pPr>
            <w:r>
              <w:rPr>
                <w:rFonts w:ascii="Times New Roman" w:hAnsi="Times New Roman"/>
                <w:sz w:val="24"/>
              </w:rPr>
              <w:t xml:space="preserve">Informacija apie paskirtosios institucijos nustatytą anticiklinio kapitalo rezervo normą nenurodoma kaip visų šalių „Bendra suma“. </w:t>
            </w:r>
          </w:p>
        </w:tc>
      </w:tr>
      <w:tr w:rsidR="009D6580" w:rsidRPr="002A677E" w14:paraId="01E6253D" w14:textId="77777777" w:rsidTr="00822842">
        <w:tc>
          <w:tcPr>
            <w:tcW w:w="1697" w:type="dxa"/>
          </w:tcPr>
          <w:p w14:paraId="3226BBDD"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131" w:type="dxa"/>
          </w:tcPr>
          <w:p w14:paraId="1301D1B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Įstaigos šalyje taikoma anticiklinio kapitalo rezervo norma</w:t>
            </w:r>
          </w:p>
          <w:p w14:paraId="47D66D49"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Atitinkamai šaliai taikoma anticiklinio kapitalo rezervo norma, nustatyta įstaigos įsisteigimo šalies paskirtosios institucijos pagal Direktyvos 2013/36/ES 137, 138, 139 straipsnius ir 140 straipsnio 2 dalies b punktą ir 3 dalies a punktą. Anticiklinio kapitalo rezervo normos, kurios ataskaitinę datą dar nėra taikomos, nenurodomos.</w:t>
            </w:r>
          </w:p>
          <w:p w14:paraId="082B5846" w14:textId="77777777" w:rsidR="009D6580" w:rsidRPr="002A677E" w:rsidRDefault="009D6580" w:rsidP="00822842">
            <w:pPr>
              <w:rPr>
                <w:rFonts w:ascii="Times New Roman" w:hAnsi="Times New Roman"/>
                <w:b/>
                <w:bCs/>
                <w:sz w:val="24"/>
                <w:u w:val="single"/>
              </w:rPr>
            </w:pPr>
            <w:r>
              <w:rPr>
                <w:rFonts w:ascii="Times New Roman" w:hAnsi="Times New Roman"/>
                <w:sz w:val="24"/>
              </w:rPr>
              <w:t>Informacija apie įstaigos šalyje taikomą anticiklinio kapitalo rezervo normą nenurodoma kaip visų šalių „Bendra suma“.</w:t>
            </w:r>
          </w:p>
        </w:tc>
      </w:tr>
      <w:tr w:rsidR="009D6580" w:rsidRPr="002A677E" w14:paraId="3FF424DB" w14:textId="77777777" w:rsidTr="00822842">
        <w:tc>
          <w:tcPr>
            <w:tcW w:w="1697" w:type="dxa"/>
          </w:tcPr>
          <w:p w14:paraId="752F444A"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131" w:type="dxa"/>
          </w:tcPr>
          <w:p w14:paraId="315BAE64"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Įstaigos specialaus anticiklinio kapitalo rezervo norma </w:t>
            </w:r>
          </w:p>
          <w:p w14:paraId="253E0547"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lastRenderedPageBreak/>
              <w:t xml:space="preserve">Įstaigos specialaus anticiklinio kapitalo rezervo norma, apskaičiuota pagal Direktyvos 2013/36/ES 140 straipsnio 1 dalį. </w:t>
            </w:r>
          </w:p>
          <w:p w14:paraId="575D2B3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Įstaigos specialaus anticiklinio kapitalo rezervo norma apskaičiuojama kaip anticiklinio kapitalo rezervo normų, taikomų jurisdikciją turinčiose teritorijose, kuriose yra įstaigos atitinkamos kredito pozicijos, arba taikomų taikant Direktyvos 2013/36/ES 140 straipsnį pagal jos 139 straipsnio 2 arba 3 dalį, svertinis vidurkis. Atitinkama anticiklinio kapitalo rezervo norma nurodoma [r0120; c0020; šalių duomenys] arba [r0130; c0020; šalių duomenys], nelygu, koks atvejis.</w:t>
            </w:r>
          </w:p>
          <w:p w14:paraId="2C4ECBB2" w14:textId="77777777" w:rsidR="009D6580" w:rsidRPr="002A677E" w:rsidRDefault="009D6580" w:rsidP="00822842">
            <w:pPr>
              <w:autoSpaceDE w:val="0"/>
              <w:autoSpaceDN w:val="0"/>
              <w:adjustRightInd w:val="0"/>
              <w:rPr>
                <w:rFonts w:ascii="Times New Roman" w:hAnsi="Times New Roman"/>
                <w:b/>
                <w:strike/>
                <w:sz w:val="24"/>
              </w:rPr>
            </w:pPr>
            <w:r>
              <w:rPr>
                <w:rFonts w:ascii="Times New Roman" w:hAnsi="Times New Roman"/>
                <w:sz w:val="24"/>
              </w:rPr>
              <w:t xml:space="preserve">Kiekvienoje šalyje anticiklinio kapitalo rezervo normai taikomas koeficientas yra nuosavų lėšų reikalavimų dalis bendroje nuosavų lėšų reikalavimų sumoje ir yra nurodomas [r0110; c0020; šalių duomenys]. </w:t>
            </w:r>
          </w:p>
          <w:p w14:paraId="65E93DC9" w14:textId="77777777" w:rsidR="009D6580" w:rsidRPr="002A677E" w:rsidRDefault="009D6580" w:rsidP="00822842">
            <w:pPr>
              <w:rPr>
                <w:rFonts w:ascii="Times New Roman" w:hAnsi="Times New Roman"/>
                <w:b/>
                <w:bCs/>
                <w:sz w:val="24"/>
                <w:u w:val="single"/>
              </w:rPr>
            </w:pPr>
            <w:r>
              <w:rPr>
                <w:rFonts w:ascii="Times New Roman" w:hAnsi="Times New Roman"/>
                <w:sz w:val="24"/>
              </w:rPr>
              <w:t>Informacija apie įstaigos specialaus anticiklinio kapitalo rezervo normą nurodoma tik kaip visų šalių „Bendra suma“, o ne atskirai pagal kiekvieną šalį.</w:t>
            </w:r>
          </w:p>
        </w:tc>
      </w:tr>
      <w:tr w:rsidR="009D6580" w:rsidRPr="002A677E" w14:paraId="0CA64D03" w14:textId="77777777" w:rsidTr="00822842">
        <w:tc>
          <w:tcPr>
            <w:tcW w:w="1697" w:type="dxa"/>
          </w:tcPr>
          <w:p w14:paraId="1436C16C" w14:textId="77777777" w:rsidR="009D6580" w:rsidRPr="002A677E" w:rsidRDefault="009D6580" w:rsidP="00822842">
            <w:pPr>
              <w:rPr>
                <w:rFonts w:ascii="Times New Roman" w:hAnsi="Times New Roman"/>
                <w:sz w:val="24"/>
              </w:rPr>
            </w:pPr>
            <w:r>
              <w:rPr>
                <w:rFonts w:ascii="Times New Roman" w:hAnsi="Times New Roman"/>
                <w:sz w:val="24"/>
              </w:rPr>
              <w:lastRenderedPageBreak/>
              <w:t>0150–0160</w:t>
            </w:r>
          </w:p>
        </w:tc>
        <w:tc>
          <w:tcPr>
            <w:tcW w:w="8131" w:type="dxa"/>
          </w:tcPr>
          <w:p w14:paraId="13A71A3D"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2 % ribos naudojimas</w:t>
            </w:r>
          </w:p>
        </w:tc>
      </w:tr>
      <w:tr w:rsidR="009D6580" w:rsidRPr="002A677E" w14:paraId="4C39701D" w14:textId="77777777" w:rsidTr="00822842">
        <w:tc>
          <w:tcPr>
            <w:tcW w:w="1697" w:type="dxa"/>
          </w:tcPr>
          <w:p w14:paraId="62E51E11"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131" w:type="dxa"/>
          </w:tcPr>
          <w:p w14:paraId="0ABF51F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2 % ribos naudojimas bendrajai kredito pozicijai</w:t>
            </w:r>
            <w:r>
              <w:rPr>
                <w:rFonts w:ascii="Times New Roman" w:hAnsi="Times New Roman"/>
                <w:sz w:val="24"/>
              </w:rPr>
              <w:t xml:space="preserve"> </w:t>
            </w:r>
          </w:p>
          <w:p w14:paraId="68B71CE8"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Pagal Komisijos deleguotojo reglamento (ES) Nr. 1152/2014 2 straipsnio 5 dalies b punktą užsienio bendrąsias kredito rizikos pozicijas, kurių bendra suma neviršija 2 % tos įstaigos bendrųjų kredito, prekybos knygos ir pakeitimo vertybiniais popieriais pozicijų bendros sumos, galima priskirti įstaigos buveinės valstybei narei. Bendrųjų kredito, prekybos knygos ir pakeitimo vertybiniais popieriais pozicijų bendra suma apskaičiuojama neįtraukiant bendrųjų kredito pozicijų, kurių vieta nustatyta pagal Komisijos deleguotojo reglamento (ES) Nr. 1152/2014 2 straipsnio 5 dalies a punktą ir 2 straipsnio 4 dalį.</w:t>
            </w:r>
          </w:p>
          <w:p w14:paraId="53DCDD6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Jeigu įstaiga pasinaudoja šia nukrypti leidžiančia nuostata, ji formoje, skirtoje jurisdikciją turinčiai teritorijai, atitinkančiai jos buveinės valstybę narę, taip pat visų šalių punkte „Bendra suma“, pažymi „y“.</w:t>
            </w:r>
          </w:p>
          <w:p w14:paraId="5B2597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Jeigu įstaiga nepasinaudoja šia nukrypti leidžiančia nuostata, atitinkamame laukelyje ji pažymi „n“.</w:t>
            </w:r>
          </w:p>
        </w:tc>
      </w:tr>
      <w:tr w:rsidR="009D6580" w:rsidRPr="002A677E" w14:paraId="7179BBF6" w14:textId="77777777" w:rsidTr="00822842">
        <w:tc>
          <w:tcPr>
            <w:tcW w:w="1697" w:type="dxa"/>
          </w:tcPr>
          <w:p w14:paraId="528EEA51" w14:textId="77777777" w:rsidR="009D6580" w:rsidRPr="002A677E" w:rsidRDefault="009D6580" w:rsidP="00822842">
            <w:pPr>
              <w:rPr>
                <w:rFonts w:ascii="Times New Roman" w:hAnsi="Times New Roman"/>
                <w:sz w:val="24"/>
              </w:rPr>
            </w:pPr>
            <w:r>
              <w:rPr>
                <w:rFonts w:ascii="Times New Roman" w:hAnsi="Times New Roman"/>
                <w:sz w:val="24"/>
              </w:rPr>
              <w:t>0160</w:t>
            </w:r>
          </w:p>
        </w:tc>
        <w:tc>
          <w:tcPr>
            <w:tcW w:w="8131" w:type="dxa"/>
          </w:tcPr>
          <w:p w14:paraId="4FC000D6"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2 % ribos naudojimas prekybos knygos pozicijai</w:t>
            </w:r>
          </w:p>
          <w:p w14:paraId="13ED02AA"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Pagal Komisijos deleguotojo reglamento (ES) Nr. 1152/2014 3 straipsnio 3 dalį įstaigos gali priskirti prekybos knygos pozicijas savo buveinės valstybei narei, jeigu bendra prekybos knygos pozicijų suma neviršija 2 % jų visų bendrųjų kredito, prekybos knygos ir pakeitimo vertybiniais popieriais pozicijų.</w:t>
            </w:r>
          </w:p>
          <w:p w14:paraId="068BDCF9" w14:textId="77777777" w:rsidR="009D6580" w:rsidRPr="002A677E" w:rsidRDefault="009D6580" w:rsidP="00822842">
            <w:pPr>
              <w:rPr>
                <w:rFonts w:ascii="Times New Roman" w:hAnsi="Times New Roman"/>
                <w:sz w:val="24"/>
              </w:rPr>
            </w:pPr>
            <w:r>
              <w:rPr>
                <w:rFonts w:ascii="Times New Roman" w:hAnsi="Times New Roman"/>
                <w:sz w:val="24"/>
              </w:rPr>
              <w:t>Jeigu įstaiga pasinaudoja šia nukrypti leidžiančia nuostata, ji formoje, skirtoje jurisdikciją turinčiai teritorijai, atitinkančiai jos buveinės valstybę narę, taip pat visų šalių punkte „Bendra suma“, pažymi „y“.</w:t>
            </w:r>
          </w:p>
          <w:p w14:paraId="3EA8EC30" w14:textId="77777777" w:rsidR="009D6580" w:rsidRPr="002A677E" w:rsidRDefault="009D6580" w:rsidP="00822842">
            <w:pPr>
              <w:rPr>
                <w:rFonts w:ascii="Times New Roman" w:hAnsi="Times New Roman"/>
                <w:b/>
                <w:bCs/>
                <w:sz w:val="24"/>
                <w:u w:val="single"/>
              </w:rPr>
            </w:pPr>
            <w:r>
              <w:rPr>
                <w:rFonts w:ascii="Times New Roman" w:hAnsi="Times New Roman"/>
                <w:sz w:val="24"/>
              </w:rPr>
              <w:t>Jeigu įstaiga nepasinaudoja šia nukrypti leidžiančia nuostata, atitinkamame laukelyje ji pažymi „n“.</w:t>
            </w:r>
          </w:p>
        </w:tc>
      </w:tr>
    </w:tbl>
    <w:p w14:paraId="41871259" w14:textId="77777777" w:rsidR="009D6580" w:rsidRDefault="009D6580"/>
    <w:p w14:paraId="6D451BBA" w14:textId="77777777" w:rsidR="009D6580" w:rsidRDefault="009D6580"/>
    <w:sectPr w:rsidR="009D658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F0789" w14:textId="77777777" w:rsidR="00654BC0" w:rsidRDefault="00654BC0" w:rsidP="00E26A90">
      <w:pPr>
        <w:spacing w:after="0"/>
      </w:pPr>
      <w:r>
        <w:separator/>
      </w:r>
    </w:p>
  </w:endnote>
  <w:endnote w:type="continuationSeparator" w:id="0">
    <w:p w14:paraId="61217E44" w14:textId="77777777" w:rsidR="00654BC0" w:rsidRDefault="00654BC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FC8CC" w14:textId="77777777" w:rsidR="00654BC0" w:rsidRDefault="00654BC0" w:rsidP="00E26A90">
      <w:pPr>
        <w:spacing w:after="0"/>
      </w:pPr>
      <w:r>
        <w:separator/>
      </w:r>
    </w:p>
  </w:footnote>
  <w:footnote w:type="continuationSeparator" w:id="0">
    <w:p w14:paraId="3C44ED0A" w14:textId="77777777" w:rsidR="00654BC0" w:rsidRDefault="00654BC0"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2014 m. birželio 4 d. Komisijos deleguotasis reglamentas (ES) Nr. 1152/2014, kuriuo papildomos Europos Parlamento ir Tarybos direktyvos 2013/36/ES nuostatos dėl techninių reguliavimo standartų, susijusių su atitinkamų kredito pozicijų geografinės vietos nustatymu siekiant apskaičiuoti įstaigos specialaus anticiklinio rezervo normas, (OL L 309, 2014 10 30, p.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657D"/>
    <w:rsid w:val="00234FB5"/>
    <w:rsid w:val="003529BB"/>
    <w:rsid w:val="0035336C"/>
    <w:rsid w:val="00381D02"/>
    <w:rsid w:val="003C36D5"/>
    <w:rsid w:val="003D18F9"/>
    <w:rsid w:val="005644CB"/>
    <w:rsid w:val="005B37F0"/>
    <w:rsid w:val="005E7811"/>
    <w:rsid w:val="00631623"/>
    <w:rsid w:val="0064771D"/>
    <w:rsid w:val="00654BC0"/>
    <w:rsid w:val="00681B25"/>
    <w:rsid w:val="006943C8"/>
    <w:rsid w:val="006D3385"/>
    <w:rsid w:val="007F4E89"/>
    <w:rsid w:val="00837F98"/>
    <w:rsid w:val="00910F63"/>
    <w:rsid w:val="009860C5"/>
    <w:rsid w:val="009D6580"/>
    <w:rsid w:val="00A6002C"/>
    <w:rsid w:val="00A931D0"/>
    <w:rsid w:val="00AF2BE6"/>
    <w:rsid w:val="00B3003C"/>
    <w:rsid w:val="00B56773"/>
    <w:rsid w:val="00B71F25"/>
    <w:rsid w:val="00BA13AD"/>
    <w:rsid w:val="00BC5027"/>
    <w:rsid w:val="00C04862"/>
    <w:rsid w:val="00C95127"/>
    <w:rsid w:val="00D25C41"/>
    <w:rsid w:val="00DD798A"/>
    <w:rsid w:val="00E26A90"/>
    <w:rsid w:val="00E50DD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lt-LT"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lt-LT"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lt-LT"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lt-LT"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lt-LT"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lt-LT"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lt-L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lt-LT"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lt-LT"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lt-LT"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lt-LT"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lt-LT"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lt-LT"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lt-LT"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lt-LT"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lt-LT"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lt-LT"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D6580"/>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lt-LT"/>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lt-LT"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A8014EDB-45D0-4CC6-B58A-1B23A78C24D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4294</Words>
  <Characters>23623</Characters>
  <Application>Microsoft Office Word</Application>
  <DocSecurity>0</DocSecurity>
  <Lines>638</Lines>
  <Paragraphs>507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2025-01-26T17:34:00Z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2025-01-26T17:34:55Z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916e6857-1fc5-48c7-8236-5c091e2f7e9d</vt:lpwstr>
  </property>
  <property fmtid="{D5CDD505-2E9C-101B-9397-08002B2CF9AE}" pid="9" name="MSIP_Label_6bd9ddd1-4d20-43f6-abfa-fc3c07406f94_ContentBits">
    <vt:lpwstr>0</vt:lpwstr>
  </property>
</Properties>
</file>