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CS</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PŘÍLOHA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„PŘÍLOHA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POKYNY PRO PODÁVÁNÍ ZPRÁV O KAPITÁLU A KAPITÁLOVÝCH POŽADAVCÍCH</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ČÁST II: POKYNY PRO VYPLNĚNÍ ŠABLONY</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SKUPINOVÁ SOLVENTNOST: ÚDAJE O PŘIDRUŽENÝCH SUBJEKTECH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tab/>
      </w:r>
      <w:r>
        <w:rPr>
          <w:rFonts w:ascii="Times New Roman" w:hAnsi="Times New Roman"/>
          <w:sz w:val="24"/>
        </w:rPr>
        <w:t>Obecné poznámky</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Šablony C 06.01 a C 06.02 se vykazují, pokud se kapitálové požadavky vypočítávají na konsolidovaném základě. Šablona C 06.02 sestává ze čtyř částí a jejím účelem je shromáždit různé údaje týkající se všech jednotlivých subjektů (včetně vykazující instituce) zahrnutých do konsolidace.</w:t>
      </w:r>
    </w:p>
    <w:p w14:paraId="427E4E34" w14:textId="77777777" w:rsidR="00173F08" w:rsidRPr="002A677E" w:rsidRDefault="00173F08" w:rsidP="00173F08">
      <w:pPr>
        <w:pStyle w:val="InstructionsText2"/>
        <w:numPr>
          <w:ilvl w:val="0"/>
          <w:numId w:val="0"/>
        </w:numPr>
        <w:ind w:left="993"/>
      </w:pPr>
      <w:r>
        <w:t>a)</w:t>
      </w:r>
      <w:r>
        <w:tab/>
        <w:t>subjekty, které jsou zahrnuty do konsolidace;</w:t>
      </w:r>
    </w:p>
    <w:p w14:paraId="028B029B" w14:textId="77777777" w:rsidR="00173F08" w:rsidRPr="002A677E" w:rsidRDefault="00173F08" w:rsidP="00173F08">
      <w:pPr>
        <w:pStyle w:val="InstructionsText2"/>
        <w:numPr>
          <w:ilvl w:val="0"/>
          <w:numId w:val="0"/>
        </w:numPr>
        <w:ind w:left="993"/>
      </w:pPr>
      <w:r>
        <w:t>b)</w:t>
      </w:r>
      <w:r>
        <w:tab/>
        <w:t>podrobné údaje týkající se skupinové solventnosti;</w:t>
      </w:r>
    </w:p>
    <w:p w14:paraId="29EF9308" w14:textId="77777777" w:rsidR="00173F08" w:rsidRPr="002A677E" w:rsidRDefault="00173F08" w:rsidP="00173F08">
      <w:pPr>
        <w:pStyle w:val="InstructionsText2"/>
        <w:numPr>
          <w:ilvl w:val="0"/>
          <w:numId w:val="0"/>
        </w:numPr>
        <w:ind w:left="993"/>
      </w:pPr>
      <w:r>
        <w:t>c)</w:t>
      </w:r>
      <w:r>
        <w:tab/>
        <w:t>údaje týkající se příspěvku jednotlivých subjektů ke skupinové solventnosti;</w:t>
      </w:r>
    </w:p>
    <w:p w14:paraId="66E85F84" w14:textId="77777777" w:rsidR="00173F08" w:rsidRPr="002A677E" w:rsidRDefault="00173F08" w:rsidP="00173F08">
      <w:pPr>
        <w:pStyle w:val="InstructionsText2"/>
        <w:numPr>
          <w:ilvl w:val="0"/>
          <w:numId w:val="0"/>
        </w:numPr>
        <w:ind w:left="993"/>
      </w:pPr>
      <w:r>
        <w:t>d)</w:t>
      </w:r>
      <w:r>
        <w:tab/>
        <w:t>údaje týkající se kapitálových rezerv;</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Instituce, jež obdržely výjimky podle článku 7 nařízení (EU) č. 575/2013, vyplňují pouze sloupce 0010 až 0065 a 0250 až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Vykázané hodnoty zohledňují veškerá platná přechodná ustanovení nařízení (EU) č. 575/2013, která jsou použitelná k příslušnému dni vykazování.</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tab/>
      </w:r>
      <w:r>
        <w:rPr>
          <w:rFonts w:ascii="Times New Roman" w:hAnsi="Times New Roman"/>
          <w:sz w:val="24"/>
        </w:rPr>
        <w:t>Podrobné údaje týkající se skupinové solventnosti</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Druhá část šablony C 06.02 (podrobné údaje týkající se skupinové solventnosti) vymezená sloupci 0070 až 0240 je koncipována tak, aby v ní byly shromážděny údaje o úvěrových a jiných regulovaných finančních institucích, které jednotlivě skutečně podléhají zvláštním solventnostním požadavkům. Tato část šablony stanoví pro každý z těchto subjektů v rámci vykazování kapitálové požadavky u každé kategorie rizika a výše kapitálu pro účely solventnosti.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Číselné údaje související s kapitálovými požadavky a kapitálem vyjadřují v případě poměrné konsolidace účastí příslušné poměrné částky.</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tab/>
      </w:r>
      <w:r>
        <w:rPr>
          <w:rFonts w:ascii="Times New Roman" w:hAnsi="Times New Roman"/>
          <w:sz w:val="24"/>
        </w:rPr>
        <w:t>Údaje týkající se příspěvku jednotlivých subjektů ke skupinové solventnosti</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Cílem třetí části šablony C 06.02 a šablony C 06.01 (údaje týkající se příspěvků všech subjektů v rámci konsolidace podle nařízení (EU) č. 575/2013 ke skupinové solventnosti, včetně subjektů, které jednotlivě nepodléhají zvláštním solventnostním požadavkům) vymezené sloupci 0250 až 0400 je zjistit, které subjekty ve skupině generují rizika a tržně zvyšují kapitál, a to na základě údajů, které jsou snadno k dispozici nebo mohou být bez obtíží znovu zpracovány, aniž by bylo nutno přepočítávat kapitálový poměr na individuálním nebo </w:t>
      </w:r>
      <w:proofErr w:type="spellStart"/>
      <w:r>
        <w:t>subkonsolidovaném</w:t>
      </w:r>
      <w:proofErr w:type="spellEnd"/>
      <w:r>
        <w:t xml:space="preserve"> základě. Na úrovni subjektu představují číselné údaje o riziku i kapitálu příspěvky k údajům skupiny, a nikoli prvky </w:t>
      </w:r>
      <w:proofErr w:type="spellStart"/>
      <w:r>
        <w:t>solventnostního</w:t>
      </w:r>
      <w:proofErr w:type="spellEnd"/>
      <w:r>
        <w:t xml:space="preserve"> poměru na individuálním základě, a proto je nelze vzájemně porovnávat.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Třetí část šablony zahrnuje rovněž částky menšinových podílů, kvalifikovaného vedlejšího kapitálu tier 1 a kvalifikovaného kapitálu tier 2, které lze zahrnout do konsolidovaného kapitálu.</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Vzhledem k tomu, že tato třetí část šablony odkazuje na „příspěvky“, číselné údaje, které se v ní vykazují, se v příslušných případech mohou odlišovat od údajů vykázaných ve sloupcích, které odkazují na podrobné údaje o skupinové solventnosti.</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Princip spočívá v tom, že je nutné homogenním způsobem vypustit křížící se expozice v rámci téže skupiny jak z hlediska rizik, tak kapitálu, aby bylo možno dosáhnout částky vykázané v konsolidované šabloně CA skupiny, a to součtem částek za každý subjekt vykázaných v šabloně „skupinová solventnost“. V případech, kdy není překročena 1% prahová hodnota, není možná přímá vazba na šablonu CA.</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Instituce definují nejvhodnější metodu rozdělení mezi jednotlivé subjekty, aby bylo možno zohlednit případné diverzifikační efekty, pokud jde o tržní riziko a operační riziko.</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Je možné, aby jedna konsolidovaná skupina byla začleněna do jiné konsolidované skupiny. Znamená to, že se do šablony GS pro celou skupinu jednotlivě vykazují subjekty patřící do podskupiny, i když se vykazovací povinnost vztahuje i na samotnou podskupinu. Podskupina, na kterou se vztahuje vykazovací povinnost, rovněž vyplní šablonu GS pro jednotlivé subjekty, i když jsou tyto údaje zahrnuty v šabloně GS konsolidované skupiny vyšší úrovně.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Instituce vykazuje údaje o příspěvku subjektu, jestliže jeho příspěvek k celkovému objemu rizikové expozice přesahuje 1 % celkového objemu rizikové expozice skupiny nebo jeho příspěvek k celkovému kapitálu přesahuje 1 % celkového kapitálu skupiny. Tato prahová hodnota se nevztahuje na dceřiné podniky či podskupiny, které skupině poskytují kapitál (ve formě menšinových podílů nebo kvalifikovaných nástrojů v rámci vedlejšího kapitálu tier 1 nebo kapitálu tier 2 zahrnovaných do kapitálu).</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tab/>
      </w:r>
      <w:r>
        <w:rPr>
          <w:rFonts w:ascii="Times New Roman" w:hAnsi="Times New Roman"/>
          <w:sz w:val="24"/>
        </w:rPr>
        <w:t>C 06.01 – SKUPINOVÁ SOLVENTNOST: ÚDAJE O PŘIDRUŽENÝCH SUBJEKTECH – celkem (GS Celkem)</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Sloupce</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Pokyny</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SUBJEKTY, KTERÉ JSOU ZAHRNOVÁNY DO KONSOLIDACE</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Viz pokyny k šabloně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KAPITÁLOVÉ REZERVY</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Viz pokyny k šabloně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Řádky</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Pokyny</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CELKEM</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Celková hodnota představuje součet hodnot vykázaných ve všech řádcích šablony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tab/>
      </w:r>
      <w:r>
        <w:rPr>
          <w:rFonts w:ascii="Times New Roman" w:hAnsi="Times New Roman"/>
          <w:sz w:val="24"/>
        </w:rPr>
        <w:t>C 06.02 – SKUPINOVÁ SOLVENTNOST: ÚDAJE O PŘIDRUŽENÝCH SUBJEKTECH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Sloupce</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Pokyny</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SUBJEKTY, KTERÉ JSOU ZAHRNOVÁNY DO KONSOLIDACE</w:t>
            </w:r>
          </w:p>
          <w:p w14:paraId="6B6FD15E"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 xml:space="preserve">Prostřednictvím této šablony se za každý subjekt jednotlivě shromažďují údaje o všech subjektech, které jsou zahrnuty do konsolidace podle </w:t>
            </w:r>
            <w:r>
              <w:rPr>
                <w:rFonts w:ascii="Times New Roman" w:hAnsi="Times New Roman"/>
                <w:sz w:val="24"/>
              </w:rPr>
              <w:t>kapitoly 2 hlavy II části první nařízení (EU) č. 575/2013</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NÁZEV</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Název subjektu zahrnutého do konsolidace.</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KÓD</w:t>
            </w:r>
          </w:p>
          <w:p w14:paraId="099B8601" w14:textId="77777777" w:rsidR="00173F08" w:rsidRPr="002A677E" w:rsidRDefault="00173F08" w:rsidP="00822842">
            <w:pPr>
              <w:pStyle w:val="InstructionsText"/>
              <w:rPr>
                <w:rStyle w:val="InstructionsTabelleText"/>
              </w:rPr>
            </w:pPr>
            <w:r>
              <w:rPr>
                <w:rStyle w:val="InstructionsTabelleText"/>
              </w:rPr>
              <w:t>Tento kód je součástí identifikátoru řádku a musí být pro každý vykazovaný subjekt jedinečný. V případě institucí a pojišťoven je tímto kódem kód LEI. U ostatních subjektů je jím kód LEI; není-li kód LEI k dispozici, vykáže se vnitrostátní kód. Kód je jedinečný a v šablonách se v průběhu času používá konzistentně. Pole kód musí být vždy vyplněno.</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TYP KÓDU</w:t>
            </w:r>
          </w:p>
          <w:p w14:paraId="094070A5"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Instituce </w:t>
            </w:r>
            <w:proofErr w:type="gramStart"/>
            <w:r>
              <w:rPr>
                <w:rStyle w:val="InstructionsTabelleText"/>
                <w:rFonts w:ascii="Times New Roman" w:hAnsi="Times New Roman"/>
                <w:sz w:val="24"/>
              </w:rPr>
              <w:t>označí</w:t>
            </w:r>
            <w:proofErr w:type="gramEnd"/>
            <w:r>
              <w:rPr>
                <w:rStyle w:val="InstructionsTabelleText"/>
                <w:rFonts w:ascii="Times New Roman" w:hAnsi="Times New Roman"/>
                <w:sz w:val="24"/>
              </w:rPr>
              <w:t xml:space="preserve"> typ kódu vykázaného ve</w:t>
            </w:r>
            <w:r>
              <w:rPr>
                <w:rStyle w:val="FormatvorlageInstructionsTabelleText"/>
                <w:rFonts w:ascii="Times New Roman" w:hAnsi="Times New Roman"/>
                <w:sz w:val="24"/>
              </w:rPr>
              <w:t xml:space="preserve"> sloupci 0021 jako „kód LEI“ nebo „jiný než kód LEI“. Typ kódu musí být vždy uveden.</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VNITROSTÁTNÍ KÓD</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Instituce, které ve sloupci „Kód“ vykázaly jako identifikátor kód LEI, mohou vykázat i vnitrostátní kód.</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INSTITUCE NEBO EKVIVALENT (ANO/NE)</w:t>
            </w:r>
          </w:p>
          <w:p w14:paraId="592DC0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„ANO“ se uvede v případě, že se na subjekt vztahují kapitálové požadavky podle </w:t>
            </w:r>
            <w:r>
              <w:rPr>
                <w:rFonts w:ascii="Times New Roman" w:hAnsi="Times New Roman"/>
                <w:sz w:val="24"/>
              </w:rPr>
              <w:t xml:space="preserve">nařízení (EU) č. 575/2013 </w:t>
            </w:r>
            <w:r>
              <w:rPr>
                <w:rStyle w:val="InstructionsTabelleText"/>
                <w:rFonts w:ascii="Times New Roman" w:hAnsi="Times New Roman"/>
                <w:sz w:val="24"/>
              </w:rPr>
              <w:t>a</w:t>
            </w:r>
            <w:r>
              <w:rPr>
                <w:rFonts w:ascii="Times New Roman" w:hAnsi="Times New Roman"/>
                <w:sz w:val="24"/>
              </w:rPr>
              <w:t xml:space="preserve"> směrnice 2013/36/EU</w:t>
            </w:r>
            <w:r>
              <w:rPr>
                <w:rStyle w:val="InstructionsTabelleText"/>
                <w:rFonts w:ascii="Times New Roman" w:hAnsi="Times New Roman"/>
                <w:sz w:val="24"/>
              </w:rPr>
              <w:t xml:space="preserve"> nebo ustanovení, která jsou přinejmenším rovnocenná basilejským ustanovením</w:t>
            </w:r>
            <w:r>
              <w:rPr>
                <w:rFonts w:ascii="Times New Roman" w:hAnsi="Times New Roman"/>
                <w:sz w:val="24"/>
              </w:rPr>
              <w:t>.</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V opačném případě se uvede „NE“.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lastRenderedPageBreak/>
              <w:t></w:t>
            </w:r>
            <w:r>
              <w:tab/>
            </w:r>
            <w:r>
              <w:rPr>
                <w:rStyle w:val="InstructionsTabelleText"/>
                <w:rFonts w:ascii="Times New Roman" w:hAnsi="Times New Roman"/>
                <w:sz w:val="24"/>
              </w:rPr>
              <w:t>Menšinové podíly:</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Ustanovení čl. 81 odst. 1 písm. a) bodu </w:t>
            </w:r>
            <w:proofErr w:type="spellStart"/>
            <w:r>
              <w:rPr>
                <w:rFonts w:ascii="Times New Roman" w:hAnsi="Times New Roman"/>
                <w:sz w:val="24"/>
              </w:rPr>
              <w:t>ii</w:t>
            </w:r>
            <w:proofErr w:type="spellEnd"/>
            <w:r>
              <w:rPr>
                <w:rFonts w:ascii="Times New Roman" w:hAnsi="Times New Roman"/>
                <w:sz w:val="24"/>
              </w:rPr>
              <w:t>) a čl. 82 odst. 1 písm. a) bodu </w:t>
            </w:r>
            <w:proofErr w:type="spellStart"/>
            <w:r>
              <w:rPr>
                <w:rFonts w:ascii="Times New Roman" w:hAnsi="Times New Roman"/>
                <w:sz w:val="24"/>
              </w:rPr>
              <w:t>ii</w:t>
            </w:r>
            <w:proofErr w:type="spellEnd"/>
            <w:r>
              <w:rPr>
                <w:rFonts w:ascii="Times New Roman" w:hAnsi="Times New Roman"/>
                <w:sz w:val="24"/>
              </w:rPr>
              <w:t>) nařízení (EU) č.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Pro účely menšinových podílů a nástrojů zahrnovaných do vedlejšího kapitálu tier 1 a kapitálu tier 2 vydaných dceřinými podniky se dceřinými podniky, jejichž nástroje mohou být způsobilé, rozumí instituce nebo podniky, které na základě použitelného vnitrostátního práva podléhají požadavkům nařízení (EU) č. 575/2013.</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TYP SUBJEKTU</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Typ subjektu se vykazuje podle těchto kategorií:</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úvěrová instituce,</w:t>
            </w:r>
          </w:p>
          <w:p w14:paraId="665499B6" w14:textId="77777777" w:rsidR="00173F08" w:rsidRPr="002A677E" w:rsidRDefault="00173F08" w:rsidP="00822842">
            <w:pPr>
              <w:tabs>
                <w:tab w:val="left" w:pos="372"/>
              </w:tabs>
              <w:rPr>
                <w:rStyle w:val="InstructionsTabelleText"/>
                <w:rFonts w:ascii="Times New Roman" w:hAnsi="Times New Roman"/>
                <w:sz w:val="24"/>
              </w:rPr>
            </w:pPr>
            <w:r>
              <w:tab/>
            </w:r>
            <w:r>
              <w:rPr>
                <w:rStyle w:val="InstructionsTabelleText"/>
                <w:rFonts w:ascii="Times New Roman" w:hAnsi="Times New Roman"/>
                <w:sz w:val="24"/>
              </w:rPr>
              <w:t xml:space="preserve">ustanovení čl. 4 odst. 1 bodu 1 </w:t>
            </w:r>
            <w:r>
              <w:rPr>
                <w:rFonts w:ascii="Times New Roman" w:hAnsi="Times New Roman"/>
                <w:sz w:val="24"/>
              </w:rPr>
              <w:t>nařízení (EU) č. 575/2013</w:t>
            </w:r>
            <w:r>
              <w:rPr>
                <w:rStyle w:val="InstructionsTabelleText"/>
                <w:rFonts w:ascii="Times New Roman" w:hAnsi="Times New Roman"/>
                <w:sz w:val="24"/>
              </w:rPr>
              <w:t>;</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investiční podnik,</w:t>
            </w:r>
          </w:p>
          <w:p w14:paraId="63975777"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bodu 2 </w:t>
            </w:r>
            <w:r>
              <w:rPr>
                <w:rFonts w:ascii="Times New Roman" w:hAnsi="Times New Roman"/>
                <w:sz w:val="24"/>
              </w:rPr>
              <w:t>nařízení (EU) č. 575/2013</w:t>
            </w:r>
            <w:r>
              <w:rPr>
                <w:rStyle w:val="InstructionsTabelleText"/>
                <w:rFonts w:ascii="Times New Roman" w:hAnsi="Times New Roman"/>
                <w:sz w:val="24"/>
              </w:rPr>
              <w:t>;</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finanční instituce (ostatní),</w:t>
            </w:r>
          </w:p>
          <w:p w14:paraId="5B5F8DA3"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bodů 20, 21 a 26 </w:t>
            </w:r>
            <w:r>
              <w:rPr>
                <w:rFonts w:ascii="Times New Roman" w:hAnsi="Times New Roman"/>
                <w:sz w:val="24"/>
              </w:rPr>
              <w:t>nařízení (EU) č.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finanční instituce ve smyslu čl. 4 odst. 1 bodu 26 </w:t>
            </w:r>
            <w:r>
              <w:rPr>
                <w:rFonts w:ascii="Times New Roman" w:hAnsi="Times New Roman"/>
                <w:sz w:val="24"/>
              </w:rPr>
              <w:t>nařízení (EU) č. 575/2013</w:t>
            </w:r>
            <w:r>
              <w:rPr>
                <w:rStyle w:val="InstructionsTabelleText"/>
                <w:rFonts w:ascii="Times New Roman" w:hAnsi="Times New Roman"/>
                <w:sz w:val="24"/>
              </w:rPr>
              <w:t>, které nejsou zahrnuty do žádné z kategorií uvedených v písmenech d), e) nebo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(smíšená) finanční holdingová společnost,</w:t>
            </w:r>
          </w:p>
          <w:p w14:paraId="1C70DDA8"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bodů 20 a 21 </w:t>
            </w:r>
            <w:r>
              <w:rPr>
                <w:rFonts w:ascii="Times New Roman" w:hAnsi="Times New Roman"/>
                <w:sz w:val="24"/>
              </w:rPr>
              <w:t>nařízení (EU) č. 575/2013</w:t>
            </w:r>
            <w:r>
              <w:rPr>
                <w:rStyle w:val="InstructionsTabelleText"/>
                <w:rFonts w:ascii="Times New Roman" w:hAnsi="Times New Roman"/>
                <w:sz w:val="24"/>
              </w:rPr>
              <w:t>;</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podniky pomocných služeb,</w:t>
            </w:r>
          </w:p>
          <w:p w14:paraId="21A43501"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bodu 18 </w:t>
            </w:r>
            <w:r>
              <w:rPr>
                <w:rFonts w:ascii="Times New Roman" w:hAnsi="Times New Roman"/>
                <w:sz w:val="24"/>
              </w:rPr>
              <w:t>nařízení (EU) č. 575/2013</w:t>
            </w:r>
            <w:r>
              <w:rPr>
                <w:rStyle w:val="InstructionsTabelleText"/>
                <w:rFonts w:ascii="Times New Roman" w:hAnsi="Times New Roman"/>
                <w:sz w:val="24"/>
              </w:rPr>
              <w:t>;</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sekuritizační jednotka pro speciální účel (SSPE),</w:t>
            </w:r>
          </w:p>
          <w:p w14:paraId="0A5E1647"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ustanovení čl. 4 odst. 1 bodu 66 </w:t>
            </w:r>
            <w:r>
              <w:rPr>
                <w:rFonts w:ascii="Times New Roman" w:hAnsi="Times New Roman"/>
                <w:sz w:val="24"/>
              </w:rPr>
              <w:t>nařízení (EU) č. 575/2013</w:t>
            </w:r>
            <w:r>
              <w:rPr>
                <w:rStyle w:val="InstructionsTabelleText"/>
                <w:rFonts w:ascii="Times New Roman" w:hAnsi="Times New Roman"/>
                <w:sz w:val="24"/>
              </w:rPr>
              <w:t>;</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společnost krytých dluhopisů,</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 zřízený pro vydávání krytých dluhopisů nebo pro držení kolaterálu zajišťujícího krytý dluhopis, není-li zahrnuto v některé z výše uvedených kategorií a), b) nebo d) až f);</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jiný typ subjektu,</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jiný subjekt než subjekty uvedené v písmenech a) až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Pokud se na subjekt nevztahuje</w:t>
            </w:r>
            <w:r>
              <w:rPr>
                <w:rFonts w:ascii="Times New Roman" w:hAnsi="Times New Roman"/>
                <w:sz w:val="24"/>
              </w:rPr>
              <w:t xml:space="preserve"> nařízení (EU) č. 575/2013 </w:t>
            </w:r>
            <w:r>
              <w:rPr>
                <w:rStyle w:val="InstructionsTabelleberschrift"/>
                <w:rFonts w:ascii="Times New Roman" w:hAnsi="Times New Roman"/>
                <w:sz w:val="24"/>
              </w:rPr>
              <w:t>a</w:t>
            </w:r>
            <w:r>
              <w:rPr>
                <w:rFonts w:ascii="Times New Roman" w:hAnsi="Times New Roman"/>
                <w:sz w:val="24"/>
              </w:rPr>
              <w:t xml:space="preserve"> směrnice 2013/36/EU</w:t>
            </w:r>
            <w:r>
              <w:rPr>
                <w:rStyle w:val="InstructionsTabelleberschrift"/>
                <w:rFonts w:ascii="Times New Roman" w:hAnsi="Times New Roman"/>
                <w:sz w:val="24"/>
              </w:rPr>
              <w:t>, ale vztahují se na něj ustanovení, která jsou přinejmenším rovnocenná basilejským ustanovením, stanoví se relevantní kategorie s vynaložením maximálního úsilí.</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ROZSAH ÚDAJŮ: </w:t>
            </w:r>
            <w:r>
              <w:rPr>
                <w:rFonts w:ascii="Times New Roman" w:hAnsi="Times New Roman"/>
                <w:b/>
                <w:caps/>
                <w:sz w:val="24"/>
                <w:u w:val="single"/>
              </w:rPr>
              <w:t>INDIVIDUÁLNÍ PLNĚ KONSOLIDOVANÉ (SF) NEBO INDIVIDUÁLNÍ ČÁSTEČNĚ KONSOLIDOVANÉ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 xml:space="preserve">„SF“ </w:t>
            </w:r>
            <w:r>
              <w:rPr>
                <w:rFonts w:ascii="Times New Roman" w:hAnsi="Times New Roman"/>
                <w:sz w:val="24"/>
              </w:rPr>
              <w:t>se uvede u jednotlivých dceřiných podniků, které jsou plně konsolidovány.</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se uvede u jednotlivých dceřiných podniků, které jsou částečně konsolidovány.</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KÓD ZEMĚ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 xml:space="preserve">Instituce uvedou dvoupísmenný kód země uvedený v normě ISO 3166-1 alpha-2.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PODÍL ÚČASTI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Tímto procentním podílem se rozumí skutečný podíl kapitálu, který mateřský podnik </w:t>
            </w:r>
            <w:proofErr w:type="gramStart"/>
            <w:r>
              <w:rPr>
                <w:rStyle w:val="InstructionsTabelleText"/>
                <w:rFonts w:ascii="Times New Roman" w:hAnsi="Times New Roman"/>
                <w:sz w:val="24"/>
              </w:rPr>
              <w:t>drží</w:t>
            </w:r>
            <w:proofErr w:type="gramEnd"/>
            <w:r>
              <w:rPr>
                <w:rStyle w:val="InstructionsTabelleText"/>
                <w:rFonts w:ascii="Times New Roman" w:hAnsi="Times New Roman"/>
                <w:sz w:val="24"/>
              </w:rPr>
              <w:t xml:space="preserve"> v dceřiných podnicích. V případě plné konsolidace přímého dceřiného podniku je skutečný podíl např. 70 %. V souladu s čl. 4 odst. 1 bodem 16 </w:t>
            </w:r>
            <w:r>
              <w:rPr>
                <w:rFonts w:ascii="Times New Roman" w:hAnsi="Times New Roman"/>
                <w:sz w:val="24"/>
              </w:rPr>
              <w:t>nařízení (EU) č. 575/2013</w:t>
            </w:r>
            <w:r>
              <w:rPr>
                <w:rStyle w:val="InstructionsTabelleText"/>
                <w:rFonts w:ascii="Times New Roman" w:hAnsi="Times New Roman"/>
                <w:sz w:val="24"/>
              </w:rPr>
              <w:t xml:space="preserve"> se podíl účasti na dceřiném podniku, který má být vykázán, získá vynásobením podílů mezi dotčenými dceřinými podniky.</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KOMPENZAČNÍ SKUPINA</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„Kompenzační skupinou“ se rozumí kterákoli z těchto skupin:</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skupina subjektů, pro kterou příslušný orgán udělil svolení používat pozice v jedné instituci nebo podniku dané skupiny ke kompenzaci pozic v jiné instituci nebo podniku této skupiny v souladu s článkem 325b nařízení (EU) č. 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každý jednotlivý subjekt, jehož pozicemi nelze kompenzovat pozice jakéhokoli jiného subjektu ze stejné skupiny, která podléhá dohledu na konsolidovaném základě v souladu se směrnicí 2013/36/EU, protože příslušný orgán neudělil svolení v souladu s článkem 325b uvedeného nařízení.</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Instituce uvedou kompenzační skupinu, do níž každý subjekt uvedený v šabloně </w:t>
            </w:r>
            <w:proofErr w:type="gramStart"/>
            <w:r>
              <w:rPr>
                <w:rStyle w:val="InstructionsTabelleText"/>
                <w:rFonts w:ascii="Times New Roman" w:hAnsi="Times New Roman"/>
                <w:sz w:val="24"/>
              </w:rPr>
              <w:t>patří</w:t>
            </w:r>
            <w:proofErr w:type="gramEnd"/>
            <w:r>
              <w:rPr>
                <w:rStyle w:val="InstructionsTabelleText"/>
                <w:rFonts w:ascii="Times New Roman" w:hAnsi="Times New Roman"/>
                <w:sz w:val="24"/>
              </w:rPr>
              <w:t>, pokud splňují tyto dvě podmínky:</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vypočítávají kapitálové požadavky pro svou činnost podléhající tržnímu riziku v souladu s částí třetí hlavou IV kapitolou 1a nebo kapitolou 1b nebo obojím nařízení (EU) č. 575/2013 nebo podléhají povinnosti podávat informace o těchto kapitálových požadavcích v souladu s čl. 430 odst. 2a nebo 2b uvedeného nařízení;</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skupina, která podléhá dohledu na konsolidovaném základě v souladu se směrnicí 2013/36/EU, zahrnuje alespoň dvě kompenzační skupiny.</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V tomto sloupci se vykazují hodnoty „Kompenzační skupina 1“, „Kompenzační skupina 2“ apod. Přiřazení mezi právními subjekty a kompenzačními skupinami je konsistentní v průběhu času, napříč výkazy téže skupiny podléhající dohledu na konsolidovaném základě a v souladu s identifikací kompenzačních skupin v šablonách zahrnutých do </w:t>
            </w:r>
            <w:r>
              <w:rPr>
                <w:rStyle w:val="InstructionsTabelleText"/>
                <w:rFonts w:ascii="Times New Roman" w:hAnsi="Times New Roman"/>
                <w:sz w:val="24"/>
                <w:highlight w:val="yellow"/>
              </w:rPr>
              <w:t>[přílohy I nařízení (EU)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Pokud instituce splňuje výše uvedenou podmínku a), avšak skupina podléhající dohledu na konsolidovaném základě v souladu se směrnicí 2013/36/EU zahrnuje pouze jednu kompenzační skupinu, uvede taková instituce v řádku, který odpovídá mateřskému podniku skupiny vykázanému v této šabloně, „Jedna kompenzační skupina“.</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ÚDAJE O SUBJEKTECH, KTERÉ PODLÉHAJÍ KAPITÁLOVÝM POŽADAVKŮM</w:t>
            </w:r>
          </w:p>
          <w:p w14:paraId="5193F4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V oddíle týkajícím se podrobných údajů (tj. sloupce 0070 až 0240) se shromažďují pouze údaje o subjektech a podskupinách, které vzhledem k tomu, že jsou zahrnovány do konsolidace (</w:t>
            </w:r>
            <w:r>
              <w:rPr>
                <w:rFonts w:ascii="Times New Roman" w:hAnsi="Times New Roman"/>
                <w:sz w:val="24"/>
              </w:rPr>
              <w:t>kapitola 2 hlava II část první nařízení (EU) č. 575/2013</w:t>
            </w:r>
            <w:r>
              <w:rPr>
                <w:rStyle w:val="InstructionsTabelleText"/>
                <w:rFonts w:ascii="Times New Roman" w:hAnsi="Times New Roman"/>
                <w:sz w:val="24"/>
              </w:rPr>
              <w:t xml:space="preserve">), skutečně podléhají solventnostním požadavkům stanoveným v </w:t>
            </w:r>
            <w:r>
              <w:rPr>
                <w:rFonts w:ascii="Times New Roman" w:hAnsi="Times New Roman"/>
                <w:sz w:val="24"/>
              </w:rPr>
              <w:t>nařízení (EU) č. 575/2013</w:t>
            </w:r>
            <w:r>
              <w:rPr>
                <w:rStyle w:val="InstructionsTabelleText"/>
                <w:rFonts w:ascii="Times New Roman" w:hAnsi="Times New Roman"/>
                <w:sz w:val="24"/>
              </w:rPr>
              <w:t xml:space="preserve"> nebo ustanovením, jež jsou přinejmenším rovnocenná basilejským ustanovením (tj. ve sloupci 0030 je uvedeno „ano“). </w:t>
            </w:r>
          </w:p>
          <w:p w14:paraId="341FD737" w14:textId="77777777" w:rsidR="00173F08" w:rsidRPr="002A677E" w:rsidRDefault="00173F08" w:rsidP="00822842">
            <w:pPr>
              <w:rPr>
                <w:rFonts w:ascii="Times New Roman" w:hAnsi="Times New Roman"/>
                <w:sz w:val="24"/>
              </w:rPr>
            </w:pPr>
            <w:r>
              <w:rPr>
                <w:rFonts w:ascii="Times New Roman" w:hAnsi="Times New Roman"/>
                <w:sz w:val="24"/>
              </w:rPr>
              <w:lastRenderedPageBreak/>
              <w:t xml:space="preserve">Uvádějí se údaje o všech jednotlivých institucích v rámci konsolidované skupiny, které podléhají kapitálovým požadavkům, a to bez ohledu na to, kde se nacházejí. </w:t>
            </w:r>
          </w:p>
          <w:p w14:paraId="44903571" w14:textId="77777777" w:rsidR="00173F08" w:rsidRPr="002A677E" w:rsidRDefault="00173F08" w:rsidP="00822842">
            <w:pPr>
              <w:rPr>
                <w:rFonts w:ascii="Times New Roman" w:hAnsi="Times New Roman"/>
                <w:sz w:val="24"/>
              </w:rPr>
            </w:pPr>
            <w:r>
              <w:rPr>
                <w:rFonts w:ascii="Times New Roman" w:hAnsi="Times New Roman"/>
                <w:sz w:val="24"/>
              </w:rPr>
              <w:t>Údaje se v této části vykazují v souladu s místními solventnostními pravidly dané jurisdikce, v níž instituce působí (u této šablony tedy není nutné provádět dvojí výpočet na individuálním základě v souladu s pravidly mateřské instituce). Jestliže se místní solventnostní pravidla odlišují od pravidel podle nařízení (EU) č. 575/2013 a není poskytnut srovnatelný přehled, údaje budou doplněny, podle toho, jak jsou k dispozici. Tato část je tedy faktickou šablonou, která shrnuje výpočty prováděné jednotlivými institucemi ve skupině, přičemž je zohledněna skutečnost, že některé z uvedených institucí mohou podléhat odlišným solventnostním pravidlům.</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Vykazování fixních režijních nákladů investičních podniků:</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Investiční podniky zahrnou do výpočtu svého kapitálového poměru kapitálové požadavky související s fixními režijními náklady podle článků 95, 96, 97 a 98 </w:t>
            </w:r>
            <w:r>
              <w:rPr>
                <w:rFonts w:ascii="Times New Roman" w:hAnsi="Times New Roman"/>
                <w:sz w:val="24"/>
              </w:rPr>
              <w:t>nařízení (EU) č. 575/2013</w:t>
            </w:r>
            <w:r>
              <w:rPr>
                <w:rStyle w:val="InstructionsTabelleText"/>
                <w:rFonts w:ascii="Times New Roman" w:hAnsi="Times New Roman"/>
                <w:sz w:val="24"/>
              </w:rPr>
              <w:t>.</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Část celkového objemu rizikové expozice související s fixními režijními náklady se vykazuje ve sloupci 0100 této šablony.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CELKOVÝ OBJEM RIZIKOVÉ EXPOZICE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Vykáže se součet hodnot uvedených ve sloupcích 0080 až 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 TOHO: ÚPRAVA S OHLEDEM NA PRÁH (TREA PODLÉHAJÍCÍ MINIMÁLNÍMU VÝSTUPNÍMU PRAHU)</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Subjekty vykazují minimální úpravu s ohledem na práh vypočítanou na individuálním základě.</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ÚVĚROVÉ RIZIKO; ÚVĚROVÉ RIZIKO PROTISTRANY; RIZIKO ROZMĚLNĚNÍ, VOLNÝCH DODÁVEK A RIZIKO VYPOŘÁDÁNÍ/DODÁNÍ</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součtu objemů rizikově vážených expozic, které jsou stejné nebo rovnocenné ve vztahu k expozicím vykázaným v řádku 0040 „</w:t>
            </w:r>
            <w:r>
              <w:rPr>
                <w:rStyle w:val="InstructionsTabelleberschrift"/>
                <w:rFonts w:ascii="Times New Roman" w:hAnsi="Times New Roman"/>
                <w:sz w:val="24"/>
              </w:rPr>
              <w:t>OBJEMY RIZIKOVĚ VÁŽENÝCH EXPOZIC</w:t>
            </w:r>
            <w:r>
              <w:rPr>
                <w:rStyle w:val="InstructionsTabelleText"/>
                <w:rFonts w:ascii="Times New Roman" w:hAnsi="Times New Roman"/>
                <w:sz w:val="24"/>
              </w:rPr>
              <w:t xml:space="preserve"> PRO ÚVĚROVÉ RIZIKO, ÚVĚROVÉ RIZIKO PROTISTRANY A RIZIKO ROZMĚLNĚNÍ A VOLNÉ DODÁVKY“, a objemů kapitálových požadavků, které jsou stejné nebo rovnocenné ve vztahu k těm, jež musí být vykázány v řádku 0490 „CELKOVÝ OBJEM RIZIKOVÉ EXPOZICE U VYPOŘÁDACÍHO RIZIKA A RIZIKA DODÁNÍ“ šablony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TRŽNÍ RIZIKA</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kapitálových požadavků, které jsou stejné nebo rovnocenné ve vztahu k požadavkům, jež musí být vykázány v řádku 0520 „CELKOVÝ OBJEM RIZIKOVÉ EXPOZICE U POLOŽEK VYSTAVENÝCH TRŽNÍMU RIZIKU“ šablony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OPERAČNÍ RIZIKO</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rizikových expozic, které jsou stejné nebo rovnocenné ve vztahu k expozicím vykazovaným v řádku 0590 „CELKOVÝ OBJEM RIZIKOVÉ EXPOZICE U OPERAČNÍHO RIZIKA“ šablony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Do tohoto sloupce se započítávají fixní režijní náklady, včetně řádku 0630 „DODATEČNÝ OBJEM RIZIKOVÉ EXPOZICE V DŮSLEDKU FIXNÍCH REŽIJNÍCH NÁKLADŮ“ šablony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OSTATNÍ OBJEMY RIZIKOVÉ EXPOZICE</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rizikových expozic, které nejsou konkrétně uvedeny výše. Jedná se o součet hodnot v řádcích 0640, 0680 a 0690 šablony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PODROBNÉ ÚDAJE O KAPITÁLU V SOUVISLOSTI SE SKUPINOVOU SOLVENTNOSTÍ</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Údaje vykazované v následujících sloupcích odrážejí místní pravidla solventnosti členského státu, v němž subjekt či podskupina působí.</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KAPITÁL</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Částka, která má být vykázána v tomto sloupci, odpovídá částce kapitálu, který je stejný nebo rovnocenný ve vztahu ke kapitálu, jehož výše musí být vykázána v řádku 0010 „KAPITÁL“ šablony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Z TOHO: KVALIFIKOVANÝ KAPITÁL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82 </w:t>
            </w:r>
            <w:r>
              <w:rPr>
                <w:rFonts w:ascii="Times New Roman" w:hAnsi="Times New Roman"/>
                <w:sz w:val="24"/>
              </w:rPr>
              <w:t xml:space="preserve">nařízení (EU) č.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Tento sloupec se vyplňuje pouze za dceřiné podniky, v jejichž případě se údaje vykazují na individuálním základě a které jsou plně konsolidovány a jsou institucemi. </w:t>
            </w:r>
          </w:p>
          <w:p w14:paraId="1DFAED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Kvalifikovanými účastmi se v případě výše specifikovaných dceřiných podniků rozumí nástroje (plus související nerozdělený zisk, emisní ážio a ostatní fondy) vlastněné jinými osobami než podniky a zahrnuté do konsolidace podle </w:t>
            </w:r>
            <w:r>
              <w:rPr>
                <w:rFonts w:ascii="Times New Roman" w:hAnsi="Times New Roman"/>
                <w:sz w:val="24"/>
              </w:rPr>
              <w:t>nařízení (EU) č. 575/2013</w:t>
            </w:r>
            <w:r>
              <w:rPr>
                <w:rStyle w:val="InstructionsTabelleText"/>
                <w:rFonts w:ascii="Times New Roman" w:hAnsi="Times New Roman"/>
                <w:sz w:val="24"/>
              </w:rPr>
              <w:t>.</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SOUVISEJÍCÍ NEROZDĚLENÝ ZISK, EMISNÍ ÁŽIO A OSTATNÍ FONDY</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Ustanovení čl. 87 odst. 1 písm. b) </w:t>
            </w:r>
            <w:r>
              <w:rPr>
                <w:rFonts w:ascii="Times New Roman" w:hAnsi="Times New Roman"/>
                <w:sz w:val="24"/>
              </w:rPr>
              <w:t>nařízení (EU) č.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KAPITÁL TIER 1 CELKEM</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Článek 25 </w:t>
            </w:r>
            <w:r>
              <w:rPr>
                <w:rFonts w:ascii="Times New Roman" w:hAnsi="Times New Roman"/>
                <w:sz w:val="24"/>
              </w:rPr>
              <w:t>nařízení (EU) č.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 TOHO: KVALIFIKOVANÝ KAPITÁL TIER 1</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82 </w:t>
            </w:r>
            <w:r>
              <w:rPr>
                <w:rFonts w:ascii="Times New Roman" w:hAnsi="Times New Roman"/>
                <w:sz w:val="24"/>
              </w:rPr>
              <w:t>nařízení (EU) č.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Tento sloupec se vyplňuje pouze za dceřiné podniky, v jejichž případě se údaje vykazují na individuálním základě a které jsou plně konsolidovány a jsou institucemi.</w:t>
            </w:r>
          </w:p>
          <w:p w14:paraId="0AF355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Kvalifikovanými účastmi se v případě výše specifikovaných dceřiných podniků rozumí nástroje (plus související nerozdělený zisk a emisní ážio) vlastněné jinými osobami než podniky zahrnutými do konsolidace podle </w:t>
            </w:r>
            <w:r>
              <w:rPr>
                <w:rFonts w:ascii="Times New Roman" w:hAnsi="Times New Roman"/>
                <w:sz w:val="24"/>
              </w:rPr>
              <w:t>nařízení (EU) č. 575/2013</w:t>
            </w:r>
            <w:r>
              <w:rPr>
                <w:rStyle w:val="InstructionsTabelleText"/>
                <w:rFonts w:ascii="Times New Roman" w:hAnsi="Times New Roman"/>
                <w:sz w:val="24"/>
              </w:rPr>
              <w:t>.</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KAPITÁLU TIER 1, SOUVISEJÍCÍ NEROZDĚLENÝ ZISK A EMISNÍ ÁŽIO</w:t>
            </w:r>
          </w:p>
          <w:p w14:paraId="0C52407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Ustanovení čl. 85 odst. 1 písm. b) </w:t>
            </w:r>
            <w:r>
              <w:rPr>
                <w:rFonts w:ascii="Times New Roman" w:hAnsi="Times New Roman"/>
                <w:sz w:val="24"/>
              </w:rPr>
              <w:t xml:space="preserve">nařízení (EU) č. 575/2013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KMENOVÝ KAPITÁL TIER 1</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Článek 50 </w:t>
            </w:r>
            <w:r>
              <w:rPr>
                <w:rFonts w:ascii="Times New Roman" w:hAnsi="Times New Roman"/>
                <w:sz w:val="24"/>
              </w:rPr>
              <w:t>nařízení (EU) č.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 TOHO: MENŠINOVÉ PODÍLY</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81 </w:t>
            </w:r>
            <w:r>
              <w:rPr>
                <w:rFonts w:ascii="Times New Roman" w:hAnsi="Times New Roman"/>
                <w:sz w:val="24"/>
              </w:rPr>
              <w:t>nařízení (EU) č. 575/2013</w:t>
            </w:r>
          </w:p>
          <w:p w14:paraId="2D5B8BC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Tento sloupec se vyplňuje pouze v případě dceřiných podniků, které jsou v plném rozsahu konsolidovány a které jsou institucemi, s výjimkou dceřiných podniků uvedených v čl. 84 odst. 3 </w:t>
            </w:r>
            <w:r>
              <w:rPr>
                <w:rFonts w:ascii="Times New Roman" w:hAnsi="Times New Roman"/>
                <w:sz w:val="24"/>
              </w:rPr>
              <w:t>nařízení (EU) č. 575/2013</w:t>
            </w:r>
            <w:r>
              <w:rPr>
                <w:rStyle w:val="InstructionsTabelleText"/>
                <w:rFonts w:ascii="Times New Roman" w:hAnsi="Times New Roman"/>
                <w:sz w:val="24"/>
              </w:rPr>
              <w:t xml:space="preserve">. U všech výpočtů vyžadovaných podle článku 84 </w:t>
            </w:r>
            <w:r>
              <w:rPr>
                <w:rFonts w:ascii="Times New Roman" w:hAnsi="Times New Roman"/>
                <w:sz w:val="24"/>
              </w:rPr>
              <w:t>nařízení (EU) č. 575/2013</w:t>
            </w:r>
            <w:r>
              <w:rPr>
                <w:rStyle w:val="InstructionsTabelleText"/>
                <w:rFonts w:ascii="Times New Roman" w:hAnsi="Times New Roman"/>
                <w:sz w:val="24"/>
              </w:rPr>
              <w:t xml:space="preserve"> se každý dceřiný podnik, je-li to vhodné, zohledňuje na </w:t>
            </w:r>
            <w:proofErr w:type="spellStart"/>
            <w:r>
              <w:rPr>
                <w:rStyle w:val="InstructionsTabelleText"/>
                <w:rFonts w:ascii="Times New Roman" w:hAnsi="Times New Roman"/>
                <w:sz w:val="24"/>
              </w:rPr>
              <w:t>subkonsolidovaném</w:t>
            </w:r>
            <w:proofErr w:type="spellEnd"/>
            <w:r>
              <w:rPr>
                <w:rStyle w:val="InstructionsTabelleText"/>
                <w:rFonts w:ascii="Times New Roman" w:hAnsi="Times New Roman"/>
                <w:sz w:val="24"/>
              </w:rPr>
              <w:t xml:space="preserve"> základě v souladu s čl. 84 odst. 2; v jiných případech se zohledňuje na individuálním základě.</w:t>
            </w:r>
          </w:p>
          <w:p w14:paraId="2C0D816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Menšinovými podíly se v případě výše specifikovaných dceřiných podniků rozumí nástroje zahrnované do kmenového kapitálu tier 1 (plus související nerozdělený zisk a emisní ážio) vlastněné jinými osobami než podniky zahrnutými do konsolidace podle </w:t>
            </w:r>
            <w:r>
              <w:rPr>
                <w:rFonts w:ascii="Times New Roman" w:hAnsi="Times New Roman"/>
                <w:sz w:val="24"/>
              </w:rPr>
              <w:t>nařízení (EU) č. 575/2013</w:t>
            </w:r>
            <w:r>
              <w:rPr>
                <w:rStyle w:val="InstructionsTabelleText"/>
                <w:rFonts w:ascii="Times New Roman" w:hAnsi="Times New Roman"/>
                <w:sz w:val="24"/>
              </w:rPr>
              <w:t>.</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SOUVISEJÍCÍ NEROZDĚLENÝ ZISK, EMISNÍ ÁŽIO A OSTATNÍ FONDY</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Ustanovení čl. 84 odst. 1 písm. b) </w:t>
            </w:r>
            <w:r>
              <w:rPr>
                <w:rFonts w:ascii="Times New Roman" w:hAnsi="Times New Roman"/>
                <w:sz w:val="24"/>
              </w:rPr>
              <w:t>nařízení (EU) č.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VEDLEJŠÍ KAPITÁL TIER 1</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Článek 61 </w:t>
            </w:r>
            <w:r>
              <w:rPr>
                <w:rFonts w:ascii="Times New Roman" w:hAnsi="Times New Roman"/>
                <w:sz w:val="24"/>
              </w:rPr>
              <w:t>nařízení (EU) č.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 TOHO: KVALIFIKOVANÝ VEDLEJŠÍ KAPITÁL TIER 1</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Články 82 a 83 </w:t>
            </w:r>
            <w:r>
              <w:rPr>
                <w:rFonts w:ascii="Times New Roman" w:hAnsi="Times New Roman"/>
                <w:sz w:val="24"/>
              </w:rPr>
              <w:t>nařízení (EU) č. 575/2013</w:t>
            </w:r>
          </w:p>
          <w:p w14:paraId="55F852A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Tento sloupec se vykazuje pouze v případě plně dceřiných podniků, které jsou v plném rozsahu konsolidovány a které jsou institucemi, s výjimkou dceřiných podniků uvedených v čl. 85 odst. 2 </w:t>
            </w:r>
            <w:r>
              <w:rPr>
                <w:rFonts w:ascii="Times New Roman" w:hAnsi="Times New Roman"/>
                <w:sz w:val="24"/>
              </w:rPr>
              <w:t>nařízení (EU) č. 575/2013</w:t>
            </w:r>
            <w:r>
              <w:rPr>
                <w:rStyle w:val="InstructionsTabelleText"/>
                <w:rFonts w:ascii="Times New Roman" w:hAnsi="Times New Roman"/>
                <w:sz w:val="24"/>
              </w:rPr>
              <w:t xml:space="preserve">. U všech výpočtů vyžadovaných v článku 85 </w:t>
            </w:r>
            <w:r>
              <w:rPr>
                <w:rFonts w:ascii="Times New Roman" w:hAnsi="Times New Roman"/>
                <w:sz w:val="24"/>
              </w:rPr>
              <w:t>nařízení (EU) č. 575/2013</w:t>
            </w:r>
            <w:r>
              <w:rPr>
                <w:rStyle w:val="InstructionsTabelleText"/>
                <w:rFonts w:ascii="Times New Roman" w:hAnsi="Times New Roman"/>
                <w:sz w:val="24"/>
              </w:rPr>
              <w:t xml:space="preserve"> se každý dceřiný podnik, je-li to vhodné, zohledňuje na </w:t>
            </w:r>
            <w:proofErr w:type="spellStart"/>
            <w:r>
              <w:rPr>
                <w:rStyle w:val="InstructionsTabelleText"/>
                <w:rFonts w:ascii="Times New Roman" w:hAnsi="Times New Roman"/>
                <w:sz w:val="24"/>
              </w:rPr>
              <w:t>subkonsolidovaném</w:t>
            </w:r>
            <w:proofErr w:type="spellEnd"/>
            <w:r>
              <w:rPr>
                <w:rStyle w:val="InstructionsTabelleText"/>
                <w:rFonts w:ascii="Times New Roman" w:hAnsi="Times New Roman"/>
                <w:sz w:val="24"/>
              </w:rPr>
              <w:t xml:space="preserve"> základě v souladu s čl. 85 odst. 2; v jiných případech se zohledňuje na individuálním základě.</w:t>
            </w:r>
          </w:p>
          <w:p w14:paraId="32886E9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Menšinovými podíly se v případě výše specifikovaných dceřiných podniků rozumí nástroje zahrnované do vedlejšího kapitálu tier 1 (plus související nerozdělený zisk a emisní ážio) vlastněné jinými osobami než podniky zahrnutými do konsolidace podle </w:t>
            </w:r>
            <w:r>
              <w:rPr>
                <w:rFonts w:ascii="Times New Roman" w:hAnsi="Times New Roman"/>
                <w:sz w:val="24"/>
              </w:rPr>
              <w:t>nařízení (EU) č. 575/2013</w:t>
            </w:r>
            <w:r>
              <w:rPr>
                <w:rStyle w:val="InstructionsTabelleText"/>
                <w:rFonts w:ascii="Times New Roman" w:hAnsi="Times New Roman"/>
                <w:sz w:val="24"/>
              </w:rPr>
              <w:t>.</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KAPITÁL TIER 2</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Článek 71 </w:t>
            </w:r>
            <w:r>
              <w:rPr>
                <w:rFonts w:ascii="Times New Roman" w:hAnsi="Times New Roman"/>
                <w:sz w:val="24"/>
              </w:rPr>
              <w:t>nařízení (EU) č.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 TOHO: KVALIFIKOVANÝ KAPITÁL TIER 2</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Články 82 a 83 </w:t>
            </w:r>
            <w:r>
              <w:rPr>
                <w:rFonts w:ascii="Times New Roman" w:hAnsi="Times New Roman"/>
                <w:sz w:val="24"/>
              </w:rPr>
              <w:t>nařízení (EU) č. 575/2013</w:t>
            </w:r>
          </w:p>
          <w:p w14:paraId="4ADB58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Tento sloupec se vykazuje pouze v případě dceřiných podniků, které jsou v plném rozsahu konsolidovány a které jsou institucemi, s výjimkou dceřiných podniků uvedených v čl. 87 odst. 2 </w:t>
            </w:r>
            <w:r>
              <w:rPr>
                <w:rFonts w:ascii="Times New Roman" w:hAnsi="Times New Roman"/>
                <w:sz w:val="24"/>
              </w:rPr>
              <w:t>nařízení (EU) č. 575/2013</w:t>
            </w:r>
            <w:r>
              <w:rPr>
                <w:rStyle w:val="InstructionsTabelleText"/>
                <w:rFonts w:ascii="Times New Roman" w:hAnsi="Times New Roman"/>
                <w:sz w:val="24"/>
              </w:rPr>
              <w:t xml:space="preserve">. Pro účely všech výpočtů vyžadovaných podle článku 87 </w:t>
            </w:r>
            <w:r>
              <w:rPr>
                <w:rFonts w:ascii="Times New Roman" w:hAnsi="Times New Roman"/>
                <w:sz w:val="24"/>
              </w:rPr>
              <w:t>nařízení (EU) č. 575/2013</w:t>
            </w:r>
            <w:r>
              <w:rPr>
                <w:rStyle w:val="InstructionsTabelleText"/>
                <w:rFonts w:ascii="Times New Roman" w:hAnsi="Times New Roman"/>
                <w:sz w:val="24"/>
              </w:rPr>
              <w:t xml:space="preserve"> se každý dceřiný podnik, je-li to vhodné, zohledňuje na </w:t>
            </w:r>
            <w:proofErr w:type="spellStart"/>
            <w:r>
              <w:rPr>
                <w:rStyle w:val="InstructionsTabelleText"/>
                <w:rFonts w:ascii="Times New Roman" w:hAnsi="Times New Roman"/>
                <w:sz w:val="24"/>
              </w:rPr>
              <w:t>subkonsolidovaném</w:t>
            </w:r>
            <w:proofErr w:type="spellEnd"/>
            <w:r>
              <w:rPr>
                <w:rStyle w:val="InstructionsTabelleText"/>
                <w:rFonts w:ascii="Times New Roman" w:hAnsi="Times New Roman"/>
                <w:sz w:val="24"/>
              </w:rPr>
              <w:t xml:space="preserve"> základě v souladu s čl. 87 odst. 2 </w:t>
            </w:r>
            <w:r>
              <w:rPr>
                <w:rFonts w:ascii="Times New Roman" w:hAnsi="Times New Roman"/>
                <w:sz w:val="24"/>
              </w:rPr>
              <w:t>uvedeného nařízení</w:t>
            </w:r>
            <w:r>
              <w:rPr>
                <w:rStyle w:val="InstructionsTabelleText"/>
                <w:rFonts w:ascii="Times New Roman" w:hAnsi="Times New Roman"/>
                <w:sz w:val="24"/>
              </w:rPr>
              <w:t xml:space="preserve">; v jiných případech se zohledňuje na individuálním základě. </w:t>
            </w:r>
          </w:p>
          <w:p w14:paraId="5BE2C85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Menšinovými podíly se v případě výše specifikovaných dceřiných podniků rozumí nástroje zahrnované do kapitálu tier 2 (plus související nerozdělený zisk a emisní ážio) vlastněné jinými osobami než podniky zahrnutými do konsolidace podle </w:t>
            </w:r>
            <w:r>
              <w:rPr>
                <w:rFonts w:ascii="Times New Roman" w:hAnsi="Times New Roman"/>
                <w:sz w:val="24"/>
              </w:rPr>
              <w:t>nařízení (EU) č. 575/2013</w:t>
            </w:r>
            <w:r>
              <w:rPr>
                <w:rStyle w:val="InstructionsTabelleText"/>
                <w:rFonts w:ascii="Times New Roman" w:hAnsi="Times New Roman"/>
                <w:sz w:val="24"/>
              </w:rPr>
              <w:t>.</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 referenčnímu datu vykazování.</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ÚDAJE TÝKAJÍCÍ SE PŘÍSPĚVKU SUBJEKTŮ KE SKUPINOVÉ SOLVENTNOSTI</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PŘÍSPĚVEK K RIZIKŮM</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Údaje uvedené v následujících sloupcích se vykazují v souladu se solventnostními pravidly, která se vztahují na vykazující instituci.</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CELKOVÝ OBJEM RIZIKOVÉ EXPOZICE</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Vykáže se součet hodnot uvedených ve sloupcích 0260 až 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ÚVĚROVÉ RIZIKO; ÚVĚROVÉ RIZIKO PROTISTRANY; RIZIKO ROZMĚLNĚNÍ, VOLNÝCH DODÁVEK A RIZIKO VYPOŘÁDÁNÍ/DODÁNÍ</w:t>
            </w:r>
          </w:p>
          <w:p w14:paraId="6F46A7C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objemy rizikově vážených expozic u úvěrového rizika a kapitálových požadavků na vypořádací riziko a riziko dodání podle </w:t>
            </w:r>
            <w:r>
              <w:rPr>
                <w:rFonts w:ascii="Times New Roman" w:hAnsi="Times New Roman"/>
                <w:sz w:val="24"/>
              </w:rPr>
              <w:t>nařízení (EU) č. 575/2013</w:t>
            </w:r>
            <w:r>
              <w:rPr>
                <w:rStyle w:val="InstructionsTabelleText"/>
                <w:rFonts w:ascii="Times New Roman" w:hAnsi="Times New Roman"/>
                <w:sz w:val="24"/>
              </w:rPr>
              <w:t xml:space="preserve"> s výjimkou jakékoli částky související s transakcemi s jinými subjekty zahrnutými do výpočtu konsolidovaného </w:t>
            </w:r>
            <w:proofErr w:type="spellStart"/>
            <w:r>
              <w:rPr>
                <w:rStyle w:val="InstructionsTabelleText"/>
                <w:rFonts w:ascii="Times New Roman" w:hAnsi="Times New Roman"/>
                <w:sz w:val="24"/>
              </w:rPr>
              <w:t>solventnostního</w:t>
            </w:r>
            <w:proofErr w:type="spellEnd"/>
            <w:r>
              <w:rPr>
                <w:rStyle w:val="InstructionsTabelleText"/>
                <w:rFonts w:ascii="Times New Roman" w:hAnsi="Times New Roman"/>
                <w:sz w:val="24"/>
              </w:rPr>
              <w:t xml:space="preserve"> poměru skupiny.</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TRŽNÍ RIZIKA</w:t>
            </w:r>
          </w:p>
          <w:p w14:paraId="49127EF1" w14:textId="157C9035"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Objemy rizikových expozic u tržních rizik se počítají na úrovni každého subjektu v souladu s </w:t>
            </w:r>
            <w:r>
              <w:rPr>
                <w:rFonts w:ascii="Times New Roman" w:hAnsi="Times New Roman"/>
                <w:sz w:val="24"/>
              </w:rPr>
              <w:t>nařízením (EU) č. 575/2013</w:t>
            </w:r>
            <w:r>
              <w:rPr>
                <w:rStyle w:val="InstructionsTabelleText"/>
                <w:rFonts w:ascii="Times New Roman" w:hAnsi="Times New Roman"/>
                <w:sz w:val="24"/>
              </w:rPr>
              <w:t xml:space="preserve">. Subjekty vykazují příspěvek k celkovým objemům rizikových expozic v případě tržního rizika skupiny. Součet zde vykázaných částek odpovídá částce vykázané v řádku 0520 „CELKOVÝ OBJEM RIZIKOVÉ EXPOZICE U POLOŽEK VYSTAVENÝCH TRŽNÍMU RIZIKU“ v </w:t>
            </w:r>
            <w:r>
              <w:t>konsolidované</w:t>
            </w:r>
            <w:r>
              <w:rPr>
                <w:rStyle w:val="InstructionsTabelleText"/>
                <w:rFonts w:ascii="Times New Roman" w:hAnsi="Times New Roman"/>
                <w:sz w:val="24"/>
              </w:rPr>
              <w:t xml:space="preserve"> zprávě.</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OPERAČNÍ RIZIKO</w:t>
            </w:r>
          </w:p>
          <w:p w14:paraId="58C1AE53" w14:textId="2055313A" w:rsidR="00702B2E" w:rsidRPr="00702B2E" w:rsidRDefault="00702B2E" w:rsidP="00822842">
            <w:pPr>
              <w:rPr>
                <w:rFonts w:ascii="Times New Roman" w:hAnsi="Times New Roman"/>
                <w:sz w:val="24"/>
              </w:rPr>
            </w:pPr>
            <w:r>
              <w:rPr>
                <w:rFonts w:ascii="Times New Roman" w:hAnsi="Times New Roman"/>
                <w:sz w:val="24"/>
              </w:rPr>
              <w:lastRenderedPageBreak/>
              <w:t>Hodnota, která má být vykázána v tomto sloupci, odpovídá objemu rizikových expozic pro operační riziko.</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caps/>
                <w:sz w:val="24"/>
              </w:rPr>
              <w:t>V</w:t>
            </w:r>
            <w:r>
              <w:rPr>
                <w:rFonts w:ascii="Times New Roman" w:hAnsi="Times New Roman"/>
                <w:sz w:val="24"/>
              </w:rPr>
              <w:t xml:space="preserve"> tomto sloupci se uvedou fixní režijní náklady.</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OSTATNÍ OBJEMY RIZIKOVÉ EXPOZICE</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Hodnota, která má být vykázána v tomto sloupci, odpovídá objemu rizikových expozic vůči rizikům, která nejsou uvedena výše.</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PŘÍSPĚVEK KE KAPITÁLU</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Účelem této části šablony není ukládat institucím úplný výpočet celkového kapitálového poměru na úrovni každého subjektu.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Sloupce 0300 až 0350 se vyplňují u konsolidovaných subjektů, které přispívají ke kapitálu prostřednictvím menšinových podílů,</w:t>
            </w:r>
            <w:r>
              <w:t xml:space="preserve"> </w:t>
            </w:r>
            <w:r>
              <w:rPr>
                <w:rFonts w:ascii="Times New Roman" w:hAnsi="Times New Roman"/>
                <w:sz w:val="24"/>
              </w:rPr>
              <w:t xml:space="preserve">kvalifikovaného kapitálu tier 1 nebo kvalifikovaného kapitálu. S výhradou prahové hodnoty uvedené v posledním odstavci části II kapitoly 2.3 </w:t>
            </w:r>
            <w:proofErr w:type="gramStart"/>
            <w:r>
              <w:rPr>
                <w:rFonts w:ascii="Times New Roman" w:hAnsi="Times New Roman"/>
                <w:sz w:val="24"/>
              </w:rPr>
              <w:t>se</w:t>
            </w:r>
            <w:proofErr w:type="gramEnd"/>
            <w:r>
              <w:rPr>
                <w:rFonts w:ascii="Times New Roman" w:hAnsi="Times New Roman"/>
                <w:sz w:val="24"/>
              </w:rPr>
              <w:t xml:space="preserve"> sloupce 0360 až 0400 vyplňují u všech konsolidovaných subjektů, které přispívají ke konsolidovanému kapitálu.</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Kapitál, který do subjektu přinesou ostatní subjekty v rámci vykazujícího subjektu, se nezohledňuje; v tomto sloupci se vykazuje pouze čistý příspěvek ke kapitálu skupiny (zejména zvýšení kapitálu prostřednictvím třetích stran a kumulovaných rezerv).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Údaje uvedené v následujících sloupcích se vykazují v souladu se solventnostními pravidly, která se vztahují na vykazující instituci.</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KVALIFIKOVANÝ KAPITÁL ZAHRNOVANÝ DO KONSOLIDOVANÉHO KAPITÁLU</w:t>
            </w:r>
          </w:p>
          <w:p w14:paraId="7830B88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Částka, která má být vykázána jako „KVALIFIKOVANÝ KAPITÁL ZAHRNOVANÝ DO KONSOLIDOVANÉHO KAPITÁLU“, je částkou odvozenou podle hlavy II části druhé </w:t>
            </w:r>
            <w:r>
              <w:rPr>
                <w:rFonts w:ascii="Times New Roman" w:hAnsi="Times New Roman"/>
                <w:sz w:val="24"/>
              </w:rPr>
              <w:t>nařízení (EU) č. 575/2013</w:t>
            </w:r>
            <w:r>
              <w:rPr>
                <w:rStyle w:val="InstructionsTabelleText"/>
                <w:rFonts w:ascii="Times New Roman" w:hAnsi="Times New Roman"/>
                <w:sz w:val="24"/>
              </w:rPr>
              <w:t xml:space="preserve"> vyjma kapitálu, který zajistily jiné subjekty ve skupině.</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KVALIFIKOVANÝ KAPITÁL ZAHRNOVANÝ DO KONSOLIDOVANÉHO KAPITÁLU</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87 </w:t>
            </w:r>
            <w:r>
              <w:rPr>
                <w:rFonts w:ascii="Times New Roman" w:hAnsi="Times New Roman"/>
                <w:sz w:val="24"/>
              </w:rPr>
              <w:t>nařízení (EU) č.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KVALIFIKOVANÉ NÁSTROJE TIER 1 ZAHRNUTÉ DO KONSOLIDOVANÉHO KAPITÁLU TIER 1</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85 </w:t>
            </w:r>
            <w:r>
              <w:rPr>
                <w:rFonts w:ascii="Times New Roman" w:hAnsi="Times New Roman"/>
                <w:sz w:val="24"/>
              </w:rPr>
              <w:t>nařízení (EU) č.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MENŠINOVÉ PODÍLY ZAHRNUTÉ DO KONSOLIDOVANÉHO KMENOVÉHO</w:t>
            </w:r>
            <w:r>
              <w:t xml:space="preserve"> </w:t>
            </w:r>
            <w:r>
              <w:br/>
            </w:r>
            <w:r>
              <w:rPr>
                <w:rStyle w:val="InstructionsTabelleberschrift"/>
                <w:rFonts w:ascii="Times New Roman" w:hAnsi="Times New Roman"/>
                <w:sz w:val="24"/>
              </w:rPr>
              <w:t>KAPITÁLU TIER 1</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84 </w:t>
            </w:r>
            <w:r>
              <w:rPr>
                <w:rFonts w:ascii="Times New Roman" w:hAnsi="Times New Roman"/>
                <w:sz w:val="24"/>
              </w:rPr>
              <w:t>nařízení (EU) č. 575/2013</w:t>
            </w:r>
          </w:p>
          <w:p w14:paraId="01FA0CD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menšinových podílů dceřiného podniku zahrnutou do konsolidovaného kmenového kapitálu tier 1 podle </w:t>
            </w:r>
            <w:r>
              <w:rPr>
                <w:rFonts w:ascii="Times New Roman" w:hAnsi="Times New Roman"/>
                <w:sz w:val="24"/>
              </w:rPr>
              <w:t>nařízení (EU) č.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KVALIFIKOVANÉ NÁSTROJE TIER 1 ZAHRNUTÉ DO KONSOLIDOVANÉHO VEDLEJŠÍHO KAPITÁLU TIER 1</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86 </w:t>
            </w:r>
            <w:r>
              <w:rPr>
                <w:rFonts w:ascii="Times New Roman" w:hAnsi="Times New Roman"/>
                <w:sz w:val="24"/>
              </w:rPr>
              <w:t>nařízení (EU) č. 575/2013</w:t>
            </w:r>
          </w:p>
          <w:p w14:paraId="14D60AC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kvalifikovaného kapitálu tier 1 dceřiného podniku zahrnutou do konsolidovaného vedlejšího kapitálu tier 1 podle </w:t>
            </w:r>
            <w:r>
              <w:rPr>
                <w:rFonts w:ascii="Times New Roman" w:hAnsi="Times New Roman"/>
                <w:sz w:val="24"/>
              </w:rPr>
              <w:t>nařízení (EU) č.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KVALIFIKOVANÉ KAPITÁLOVÉ NÁSTROJE ZAHRNUTÉ DO</w:t>
            </w:r>
            <w:r>
              <w:t xml:space="preserve"> </w:t>
            </w:r>
            <w:r>
              <w:br/>
            </w:r>
            <w:r>
              <w:rPr>
                <w:rStyle w:val="InstructionsTabelleberschrift"/>
                <w:rFonts w:ascii="Times New Roman" w:hAnsi="Times New Roman"/>
                <w:sz w:val="24"/>
              </w:rPr>
              <w:t>KONSOLIDOVANÉHO KAPITÁLU TIER 2</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88 </w:t>
            </w:r>
            <w:r>
              <w:rPr>
                <w:rFonts w:ascii="Times New Roman" w:hAnsi="Times New Roman"/>
                <w:sz w:val="24"/>
              </w:rPr>
              <w:t>nařízení (EU) č. 575/2013</w:t>
            </w:r>
          </w:p>
          <w:p w14:paraId="257F78A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kvalifikovaného kapitálu dceřiného podniku zahrnutou do konsolidovaného kapitálu tier 2 podle </w:t>
            </w:r>
            <w:r>
              <w:rPr>
                <w:rFonts w:ascii="Times New Roman" w:hAnsi="Times New Roman"/>
                <w:sz w:val="24"/>
              </w:rPr>
              <w:t>nařízení (EU) č.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DOPLŇKOVÁ POLOŽKA: GOODWILL (−)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 NEGATIVNÍ GOODWILL</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KONSOLIDOVANÝ KAPITÁL</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Článek 18 </w:t>
            </w:r>
            <w:r>
              <w:rPr>
                <w:rFonts w:ascii="Times New Roman" w:hAnsi="Times New Roman"/>
                <w:sz w:val="24"/>
              </w:rPr>
              <w:t>nařízení (EU) č.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Částka, která má být vykázána jako „KONSOLIDOVANÝ KAPITÁL“, je částkou získanou z rozvahy s vyloučením kapitálu, který zajistily jiné subjekty ve skupině.</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KONSOLIDOVANÝ KAPITÁL</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 TOHO: KMENOVÝ KAPITÁL TIER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 TOHO: VEDLEJŠÍ KAPITÁL TIER 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Z TOHO: PŘÍSPĚVKY KE KONSOLIDOVANÉMU VÝSLEDKU</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Vykazují se příspěvky každého subjektu ke konsolidovanému výsledku (zisk nebo ztráta (−)). Započítávají se sem výsledky, jež lze přičíst menšinovým podílům.</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Z TOHO: (−) GOODWILL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 NEGATIVNÍ GOODWILL</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Vykazuje se zde goodwill nebo negativní goodwill vykazujícího subjektu vůči dceřinému podniku.</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KAPITÁLOVÉ REZERVY</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Struktura vykazování kapitálových rezerv v šabloně GS se řídí obecnou strukturou šablony CA4 a využívá identickou koncepci vykazování. Při vykazování kapitálových rezerv v rámci šablony GS se příslušné částky vykazují v souladu s ustanoveními platnými pro stanovení požadavku na rezervu pro konsolidovanou situaci skupiny. Vykazované částky kapitálových rezerv tudíž představují příspěvky každého subjektu ke kapitálovým rezervám skupiny. Vykazované částky jsou založeny na vnitrostátních prováděcích opatřeních ke </w:t>
            </w:r>
            <w:r>
              <w:rPr>
                <w:rFonts w:ascii="Times New Roman" w:hAnsi="Times New Roman"/>
                <w:sz w:val="24"/>
              </w:rPr>
              <w:t xml:space="preserve">směrnici 2013/36/EU </w:t>
            </w:r>
            <w:r>
              <w:rPr>
                <w:rStyle w:val="InstructionsTabelleberschrift"/>
                <w:rFonts w:ascii="Times New Roman" w:hAnsi="Times New Roman"/>
                <w:sz w:val="24"/>
              </w:rPr>
              <w:t>a na</w:t>
            </w:r>
            <w:r>
              <w:rPr>
                <w:rFonts w:ascii="Times New Roman" w:hAnsi="Times New Roman"/>
                <w:sz w:val="24"/>
              </w:rPr>
              <w:t xml:space="preserve"> nařízení (EU) č. 575/2013</w:t>
            </w:r>
            <w:r>
              <w:rPr>
                <w:rStyle w:val="InstructionsTabelleberschrift"/>
                <w:rFonts w:ascii="Times New Roman" w:hAnsi="Times New Roman"/>
                <w:sz w:val="24"/>
              </w:rPr>
              <w:t>, včetně přechodných ustanovení stanovených v uvedených předpisech.</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POŽADAVEK KOMBINOVANÝCH KAPITÁLOVÝCH REZERV</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Style w:val="InstructionsTabelleText"/>
                <w:rFonts w:ascii="Times New Roman" w:hAnsi="Times New Roman"/>
                <w:sz w:val="24"/>
              </w:rPr>
              <w:lastRenderedPageBreak/>
              <w:t xml:space="preserve">Ustanovení čl. 128 bodu 6 </w:t>
            </w:r>
            <w:r>
              <w:rPr>
                <w:rFonts w:ascii="Times New Roman" w:hAnsi="Times New Roman"/>
                <w:sz w:val="24"/>
              </w:rPr>
              <w:t>směrnice 2013/36/EU</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BEZPEČNOSTNÍ KAPITÁLOVÁ REZERVA</w:t>
            </w:r>
          </w:p>
          <w:p w14:paraId="5DD283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Ustanovení čl. 128 bodu 1 a článku 129 </w:t>
            </w:r>
            <w:r>
              <w:rPr>
                <w:rFonts w:ascii="Times New Roman" w:hAnsi="Times New Roman"/>
                <w:sz w:val="24"/>
              </w:rPr>
              <w:t>směrnice 2013/36/EU</w:t>
            </w:r>
          </w:p>
          <w:p w14:paraId="7013CF4E" w14:textId="77777777" w:rsidR="00173F08" w:rsidRPr="002A677E" w:rsidRDefault="00173F08" w:rsidP="00822842">
            <w:pPr>
              <w:pStyle w:val="InstructionsText"/>
              <w:rPr>
                <w:rStyle w:val="InstructionsTabelleText"/>
              </w:rPr>
            </w:pPr>
            <w:r>
              <w:t>Bezpečnostní kapitálová rezerva představuje podle čl. 129 odst. 1 směrnice 2013/36/EU dodatečný objem kmenového kapitálu tier 1. Vzhledem k tomu, že 2,5 % sazba bezpečnostní kapitálové rezervy je stabilní, výše rezervy se vykazuje v této buňce.</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PROTICYKLICKÁ KAPITÁLOVÁ REZERVA SPECIFICKÁ PRO DANOU INSTITUCI</w:t>
            </w:r>
          </w:p>
          <w:p w14:paraId="38A1148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Ustanovení čl. 128 bodu 2, článku 130 a článků 135 až 140 </w:t>
            </w:r>
            <w:r>
              <w:rPr>
                <w:rFonts w:ascii="Times New Roman" w:hAnsi="Times New Roman"/>
                <w:sz w:val="24"/>
              </w:rPr>
              <w:t>směrnice 2013/36/EU</w:t>
            </w:r>
          </w:p>
          <w:p w14:paraId="169D829F" w14:textId="77777777" w:rsidR="00173F08" w:rsidRPr="002A677E" w:rsidRDefault="00173F08" w:rsidP="00822842">
            <w:pPr>
              <w:pStyle w:val="InstructionsText"/>
              <w:rPr>
                <w:rStyle w:val="InstructionsTabelleText"/>
              </w:rPr>
            </w:pPr>
            <w:r>
              <w:t>V této buňce se vykazuje konkrétní částka proticyklické rezervy.</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BEZPEČNOSTNÍ KAPITÁLOVÁ REZERVA, JE-LI NA ÚROVNI ČLENSKÉHO STÁTU ZJIŠTĚNO MAKROOBEZŘETNOSTNÍ NEBO SYSTÉMOVÉ RIZIKO</w:t>
            </w:r>
          </w:p>
          <w:p w14:paraId="0EC165D1"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Ustanovení čl. 458 odst. 2 písm. d) bodu iv) </w:t>
            </w:r>
            <w:r>
              <w:rPr>
                <w:rFonts w:ascii="Times New Roman" w:hAnsi="Times New Roman"/>
                <w:sz w:val="24"/>
              </w:rPr>
              <w:t>nařízení (EU) č. 575/2013</w:t>
            </w:r>
          </w:p>
          <w:p w14:paraId="2C6BA8FE" w14:textId="77777777" w:rsidR="00173F08" w:rsidRPr="002A677E" w:rsidRDefault="00173F08" w:rsidP="00822842">
            <w:pPr>
              <w:pStyle w:val="InstructionsText"/>
              <w:rPr>
                <w:rStyle w:val="InstructionsTabelleberschrift"/>
              </w:rPr>
            </w:pPr>
            <w:r>
              <w:t>V této buňce se vykazuje výše bezpečnostní rezervy, je-li na úrovni členského státu zjištěno makroobezřetnostní nebo systémové riziko, která může být v souladu s článkem 458 nařízení (EU) č. 575/2013 vyžadována jako doplněk k bezpečnostní kapitálové rezervě.</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KAPITÁLOVÁ REZERVA PRO KRYTÍ SYSTÉMOVÉHO RIZIKA</w:t>
            </w:r>
          </w:p>
          <w:p w14:paraId="409112BD" w14:textId="77777777" w:rsidR="00173F08" w:rsidRPr="002A677E" w:rsidRDefault="00173F08" w:rsidP="00822842">
            <w:pPr>
              <w:pStyle w:val="InstructionsText"/>
            </w:pPr>
            <w:r>
              <w:t xml:space="preserve">Ustanovení čl. 128 bodu 5 a článků 133 a 134 směrnice 2013/36/EU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V této buňce se vykazuje částka kapitálové rezervy pro krytí systémového rizika.</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KAPITÁLOVÁ REZERVA PRO GLOBÁLNÍ SYSTÉMOVĚ VÝZNAMNÉ INSTITUCE</w:t>
            </w:r>
            <w:r>
              <w:tab/>
            </w:r>
          </w:p>
          <w:p w14:paraId="530093DF" w14:textId="77777777" w:rsidR="00173F08" w:rsidRPr="002A677E" w:rsidRDefault="00173F08" w:rsidP="00822842">
            <w:pPr>
              <w:pStyle w:val="InstructionsText"/>
              <w:rPr>
                <w:rStyle w:val="InstructionsTabelleberschrift"/>
                <w:b w:val="0"/>
              </w:rPr>
            </w:pPr>
            <w:r>
              <w:rPr>
                <w:rStyle w:val="InstructionsTabelleberschrift"/>
              </w:rPr>
              <w:t xml:space="preserve">Ustanovení čl. 128 bodu 3 a článku 131 </w:t>
            </w:r>
            <w:r>
              <w:t>směrnice 2013/36/EU</w:t>
            </w:r>
          </w:p>
          <w:p w14:paraId="5835A3FB" w14:textId="77777777" w:rsidR="00173F08" w:rsidRPr="002A677E" w:rsidRDefault="00173F08" w:rsidP="00822842">
            <w:pPr>
              <w:pStyle w:val="InstructionsText"/>
              <w:rPr>
                <w:rStyle w:val="InstructionsTabelleberschrift"/>
              </w:rPr>
            </w:pPr>
            <w:r>
              <w:t>V této buňce se vykazuje částka kapitálové rezervy pro globální systémově významné instituce.</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KAPITÁLOVÁ REZERVA PRO JINÉ SYSTÉMOVĚ VÝZNAMNÉ INSTITUCE</w:t>
            </w:r>
            <w:r>
              <w:tab/>
            </w:r>
          </w:p>
          <w:p w14:paraId="5C91FC01" w14:textId="77777777" w:rsidR="00173F08" w:rsidRPr="002A677E" w:rsidRDefault="00173F08" w:rsidP="00822842">
            <w:pPr>
              <w:pStyle w:val="InstructionsText"/>
            </w:pPr>
            <w:r>
              <w:t>Ustanovení čl. 128 bodu 4 a článku 131 směrnice 2013/36/EU</w:t>
            </w:r>
          </w:p>
          <w:p w14:paraId="677D9498" w14:textId="77777777" w:rsidR="00173F08" w:rsidRPr="002A677E" w:rsidRDefault="00173F08" w:rsidP="00822842">
            <w:pPr>
              <w:pStyle w:val="InstructionsText"/>
              <w:rPr>
                <w:rStyle w:val="InstructionsTabelleberschrift"/>
              </w:rPr>
            </w:pPr>
            <w:r>
              <w:t>V této buňce se vykazuje částka kapitálové rezervy pro jiné systémově významné instituce.</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9871DF"/>
    <w:rsid w:val="009B28B2"/>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B4D2725C-AD1B-4769-B33F-9F41F7F816B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3819</Words>
  <Characters>22615</Characters>
  <Application>Microsoft Office Word</Application>
  <DocSecurity>0</DocSecurity>
  <Lines>538</Lines>
  <Paragraphs>334</Paragraphs>
  <ScaleCrop>false</ScaleCrop>
  <Company/>
  <LinksUpToDate>false</LinksUpToDate>
  <CharactersWithSpaces>26100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2024-12-11T14:54:00Z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2024-12-11T14:54:37Z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68dbbd8d-58b6-4cb9-9ccf-d8fa781dcc26</vt:lpwstr>
  </property>
  <property fmtid="{D5CDD505-2E9C-101B-9397-08002B2CF9AE}" pid="10" name="MSIP_Label_6bd9ddd1-4d20-43f6-abfa-fc3c07406f94_ContentBits">
    <vt:lpwstr>0</vt:lpwstr>
  </property>
</Properties>
</file>