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RO</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ANEXA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„ANEXA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sidRPr="008416EF">
        <w:rPr>
          <w:rFonts w:ascii="Times New Roman" w:hAnsi="Times New Roman"/>
          <w:sz w:val="24"/>
          <w:u w:val="none"/>
        </w:rPr>
        <w:t>8</w:t>
      </w:r>
      <w:r>
        <w:rPr>
          <w:rFonts w:ascii="Times New Roman" w:hAnsi="Times New Roman"/>
          <w:sz w:val="24"/>
          <w:u w:val="none"/>
        </w:rPr>
        <w:t>. Acoperirea pierderilor din expunerile neperformante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8416EF">
        <w:rPr>
          <w:rFonts w:ascii="Times New Roman" w:hAnsi="Times New Roman"/>
          <w:sz w:val="24"/>
          <w:u w:val="none"/>
        </w:rPr>
        <w:t>8</w:t>
      </w:r>
      <w:r>
        <w:rPr>
          <w:rFonts w:ascii="Times New Roman" w:hAnsi="Times New Roman"/>
          <w:sz w:val="24"/>
          <w:u w:val="none"/>
        </w:rPr>
        <w:t>.</w:t>
      </w:r>
      <w:r w:rsidRPr="008416EF">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t>Observații generale</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rsidRPr="008416EF">
        <w:t>202</w:t>
      </w:r>
      <w:r w:rsidRPr="005B57EC">
        <w:fldChar w:fldCharType="end"/>
      </w:r>
      <w:r>
        <w:t xml:space="preserve">. Formularele referitoare la acoperirea pierderilor din expuneri neperformante conțin informații cu privire la expunerile neperformante în scopul calculării cerinței de acoperire minimă a pierderilor pentru expunerile neperformante menționate la articolele </w:t>
      </w:r>
      <w:r w:rsidRPr="008416EF">
        <w:t>47</w:t>
      </w:r>
      <w:r>
        <w:t xml:space="preserve">a, </w:t>
      </w:r>
      <w:r w:rsidRPr="008416EF">
        <w:t>47</w:t>
      </w:r>
      <w:r>
        <w:t xml:space="preserve">b și </w:t>
      </w:r>
      <w:r w:rsidRPr="008416EF">
        <w:t>47</w:t>
      </w:r>
      <w:r>
        <w:t>c din Regulamentul (UE) nr. </w:t>
      </w:r>
      <w:r w:rsidRPr="008416EF">
        <w:t>575</w:t>
      </w:r>
      <w:r>
        <w:t>/</w:t>
      </w:r>
      <w:r w:rsidRPr="008416EF">
        <w:t>2013</w:t>
      </w:r>
      <w:r>
        <w:t>.</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8416EF">
        <w:t>203</w:t>
      </w:r>
      <w:r w:rsidRPr="005B57EC">
        <w:fldChar w:fldCharType="end"/>
      </w:r>
      <w:r>
        <w:t>. Blocul de formulare este format dintr-un set de trei formulare:</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 xml:space="preserve">Calculul deducerilor pentru expunerile neperformante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01</w:t>
      </w:r>
      <w:r>
        <w:rPr>
          <w:rFonts w:ascii="Times New Roman" w:hAnsi="Times New Roman"/>
          <w:sz w:val="24"/>
        </w:rPr>
        <w:t>): un formular de ansamblu care precizează cuantumul aplicabil al acoperirii insuficiente, calculat ca diferența dintre cerințele de acoperire minimă totale pentru expunerile neperformante și totalul provizioanelor și al ajustărilor sau deducerilor deja efectuate. Formularul acoperă atât expunerile neperformante în cazul cărora nu s-a acordat nicio măsură de restructurare datorată dificultăților financiare, cât și expunerile neperformante restructurate în urma dificultăților financiare.</w:t>
      </w:r>
    </w:p>
    <w:p w14:paraId="614FD05F" w14:textId="72B7791D"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 xml:space="preserve">Cerințele de acoperire minimă și valorile expunerilor pentru expunerile neperformante, cu excepția expunerilor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w:t>
      </w:r>
      <w:r w:rsidR="00B07C9C">
        <w:rPr>
          <w:rFonts w:ascii="Times New Roman" w:hAnsi="Times New Roman"/>
          <w:sz w:val="24"/>
        </w:rPr>
        <w:t> </w:t>
      </w:r>
      <w:r>
        <w:rPr>
          <w:rFonts w:ascii="Times New Roman" w:hAnsi="Times New Roman"/>
          <w:sz w:val="24"/>
        </w:rPr>
        <w:t xml:space="preserve">(UE)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02</w:t>
      </w:r>
      <w:r>
        <w:rPr>
          <w:rFonts w:ascii="Times New Roman" w:hAnsi="Times New Roman"/>
          <w:sz w:val="24"/>
        </w:rPr>
        <w:t xml:space="preserve">): formularul calculează cerințele de acoperire minimă totale pentru expunerile neperformante care nu sunt expuneri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indicând factorii care trebuie aplicați în ceea ce privește valorile expunerilor în scopul acestui calcul, în funcție de natura garantată sau negarantată a expunerii și de momentul în care expunerea a devenit neperformantă.</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Cerințele de acoperire minimă și valorile expunerilor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03</w:t>
      </w:r>
      <w:r>
        <w:rPr>
          <w:rFonts w:ascii="Times New Roman" w:hAnsi="Times New Roman"/>
          <w:sz w:val="24"/>
        </w:rPr>
        <w:t xml:space="preserve">): formularul calculează cerințele de acoperire minimă totale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indicând factorii care trebuie aplicați în ceea ce privește valorile expunerilor în scopul acestui calcul, </w:t>
      </w:r>
      <w:r>
        <w:rPr>
          <w:rFonts w:ascii="Times New Roman" w:hAnsi="Times New Roman"/>
          <w:sz w:val="24"/>
        </w:rPr>
        <w:lastRenderedPageBreak/>
        <w:t xml:space="preserve">în funcție de natura garantată sau negarantată a expunerii și de momentul în care expunerea a devenit neperformantă. </w:t>
      </w:r>
    </w:p>
    <w:p w14:paraId="00581AE0" w14:textId="569A8238"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8416EF">
        <w:t>204</w:t>
      </w:r>
      <w:r w:rsidRPr="005B57EC">
        <w:fldChar w:fldCharType="end"/>
      </w:r>
      <w:r>
        <w:t xml:space="preserve">. Cerința privind acoperirea minimă a pierderilor pentru expunerile neperformante se aplică (i) expunerilor inițiate la </w:t>
      </w:r>
      <w:r w:rsidRPr="008416EF">
        <w:t>26</w:t>
      </w:r>
      <w:r>
        <w:t xml:space="preserve"> aprilie </w:t>
      </w:r>
      <w:r w:rsidRPr="008416EF">
        <w:t>2019</w:t>
      </w:r>
      <w:r>
        <w:t xml:space="preserve"> și după această dată care devin neperformante și (ii) expunerilor inițiate înainte de </w:t>
      </w:r>
      <w:r w:rsidRPr="008416EF">
        <w:t>26</w:t>
      </w:r>
      <w:r>
        <w:t xml:space="preserve"> aprilie </w:t>
      </w:r>
      <w:r w:rsidRPr="008416EF">
        <w:t>2019</w:t>
      </w:r>
      <w:r>
        <w:t xml:space="preserve">, atunci când sunt modificate după această dată în așa fel încât crește valoarea expunerii față de debitor [articolul </w:t>
      </w:r>
      <w:r w:rsidRPr="008416EF">
        <w:t>469</w:t>
      </w:r>
      <w:r>
        <w:t>a din Regulamentul (UE) nr. </w:t>
      </w:r>
      <w:r w:rsidRPr="008416EF">
        <w:t>575</w:t>
      </w:r>
      <w:r>
        <w:t>/</w:t>
      </w:r>
      <w:r w:rsidRPr="008416EF">
        <w:t>2013</w:t>
      </w:r>
      <w:r>
        <w:t xml:space="preserve">], care devin neperformante. În conformitate cu articolul </w:t>
      </w:r>
      <w:r w:rsidRPr="008416EF">
        <w:t>47</w:t>
      </w:r>
      <w:r>
        <w:t>c alineatul (</w:t>
      </w:r>
      <w:r w:rsidRPr="008416EF">
        <w:t>4</w:t>
      </w:r>
      <w:r>
        <w:t>a) din Regulamentul</w:t>
      </w:r>
      <w:r w:rsidR="00D62A1E">
        <w:t> </w:t>
      </w:r>
      <w:r>
        <w:t xml:space="preserve">(UE) nr. </w:t>
      </w:r>
      <w:r w:rsidRPr="008416EF">
        <w:t>575</w:t>
      </w:r>
      <w:r>
        <w:t>/</w:t>
      </w:r>
      <w:r w:rsidRPr="008416EF">
        <w:t>2013</w:t>
      </w:r>
      <w:r>
        <w:t>, cerința privind acoperirea minimă a pierderilor nu se aplică părții din expunerile neperformante care este garantată sau asigurată de o agenție oficială de creditare a exportului.</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8416EF">
        <w:t>205</w:t>
      </w:r>
      <w:r w:rsidRPr="005B57EC">
        <w:fldChar w:fldCharType="end"/>
      </w:r>
      <w:r>
        <w:t xml:space="preserve">. Instituțiile calculează deducerile pentru expunerile neperformante în conformitate cu articolul </w:t>
      </w:r>
      <w:r w:rsidRPr="008416EF">
        <w:t>47</w:t>
      </w:r>
      <w:r>
        <w:t>c alineatul (</w:t>
      </w:r>
      <w:r w:rsidRPr="008416EF">
        <w:t>1</w:t>
      </w:r>
      <w:r>
        <w:t>) literele (a) și (b) din Regulamentul (UE) nr. </w:t>
      </w:r>
      <w:r w:rsidRPr="008416EF">
        <w:t>575</w:t>
      </w:r>
      <w:r>
        <w:t>/</w:t>
      </w:r>
      <w:r w:rsidRPr="008416EF">
        <w:t>2013</w:t>
      </w:r>
      <w:r>
        <w:t>, precum și cerințele de acoperire minimă și totalul provizioanelor și al ajustărilor sau deducerilor la nivel de expunere individuală («pe baza tranzacției»), și nu la nivel de debitor sau de portofoliu.</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rsidRPr="008416EF">
        <w:t>206</w:t>
      </w:r>
      <w:r w:rsidRPr="005B57EC">
        <w:fldChar w:fldCharType="end"/>
      </w:r>
      <w:r>
        <w:t xml:space="preserve">. În scopul calculării deducerilor pentru expunerile neperformante, instituțiile fac distincție între partea negarantată și partea garantată a expunerilor neperformante în conformitate cu articolul </w:t>
      </w:r>
      <w:r w:rsidRPr="008416EF">
        <w:t>47</w:t>
      </w:r>
      <w:r>
        <w:t>c alineatul (</w:t>
      </w:r>
      <w:r w:rsidRPr="008416EF">
        <w:t>1</w:t>
      </w:r>
      <w:r>
        <w:t xml:space="preserve">) din Regulamentul (UE) nr. </w:t>
      </w:r>
      <w:r w:rsidRPr="008416EF">
        <w:t>575</w:t>
      </w:r>
      <w:r>
        <w:t>/</w:t>
      </w:r>
      <w:r w:rsidRPr="008416EF">
        <w:t>2013</w:t>
      </w:r>
      <w:r>
        <w:t>. În acest scop, instituțiile raportează valorile expunerilor și cerințele de acoperire minimă separat pentru partea negarantată a expunerilor neperformante și pentru partea garantată a acestora.</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rsidRPr="008416EF">
        <w:t>207</w:t>
      </w:r>
      <w:r w:rsidRPr="005B57EC">
        <w:fldChar w:fldCharType="end"/>
      </w:r>
      <w:r>
        <w:t xml:space="preserve">. În scopul punerii în corespondență a factorilor aplicabili relevanți și al calculării cerințelor de acoperire minimă, instituțiile clasifică partea garantată a expunerilor neperformante în funcție de tipul de protecție a creditului, în conformitate cu articolul </w:t>
      </w:r>
      <w:r w:rsidRPr="008416EF">
        <w:t>47</w:t>
      </w:r>
      <w:r>
        <w:t>c alineatul (</w:t>
      </w:r>
      <w:r w:rsidRPr="008416EF">
        <w:t>3</w:t>
      </w:r>
      <w:r>
        <w:t xml:space="preserve">) din Regulamentul (UE) nr. </w:t>
      </w:r>
      <w:r w:rsidRPr="008416EF">
        <w:t>575</w:t>
      </w:r>
      <w:r>
        <w:t>/</w:t>
      </w:r>
      <w:r w:rsidRPr="008416EF">
        <w:t>2013</w:t>
      </w:r>
      <w:r>
        <w:t xml:space="preserve">, după cum urmează: (i) «garantate cu bunuri imobile sau constând dintr-un împrumut locativ garantat de către un furnizor de protecție eligibil astfel cum se menționează la articolul </w:t>
      </w:r>
      <w:r w:rsidRPr="008416EF">
        <w:t>201</w:t>
      </w:r>
      <w:r>
        <w:t>», (ii) «garantate printr-o altă protecție finanțată sau nefinanțată a creditului» sau (iii) «garantate sau contragarantate de către un furnizor de protecție eligibil». Atunci când o expunere neperformantă este garantată cu ajutorul mai multor tipuri de protecție a creditului, valoarea expunerii se alocă în funcție de calitatea protecției creditului, începând cu protecția de cea mai bună calitate.</w:t>
      </w:r>
    </w:p>
    <w:p w14:paraId="2778C954" w14:textId="28B98FB4" w:rsidR="00C6168C" w:rsidRPr="00C6168C" w:rsidRDefault="00C6168C" w:rsidP="00C6168C">
      <w:pPr>
        <w:pStyle w:val="InstructionsText2"/>
        <w:numPr>
          <w:ilvl w:val="0"/>
          <w:numId w:val="0"/>
        </w:numPr>
        <w:ind w:left="993"/>
        <w:rPr>
          <w:noProof/>
        </w:rPr>
      </w:pPr>
      <w:r w:rsidRPr="008416EF">
        <w:t>207</w:t>
      </w:r>
      <w:r>
        <w:t>a.</w:t>
      </w:r>
      <w:r w:rsidR="00B07C9C">
        <w:t xml:space="preserve"> </w:t>
      </w:r>
      <w:r>
        <w:t xml:space="preserve">În conformitate cu articolul </w:t>
      </w:r>
      <w:r w:rsidRPr="008416EF">
        <w:t>36</w:t>
      </w:r>
      <w:r>
        <w:t xml:space="preserve"> alineatul (</w:t>
      </w:r>
      <w:r w:rsidRPr="008416EF">
        <w:t>5</w:t>
      </w:r>
      <w:r>
        <w:t>) din Regulamentul (UE) nr.</w:t>
      </w:r>
      <w:r w:rsidR="00D62A1E">
        <w:t> </w:t>
      </w:r>
      <w:r w:rsidRPr="008416EF">
        <w:t>575</w:t>
      </w:r>
      <w:r>
        <w:t>/</w:t>
      </w:r>
      <w:r w:rsidRPr="008416EF">
        <w:t>2013</w:t>
      </w:r>
      <w:r>
        <w:t>, entitățile specializate de restructurare a datoriei raportează toate expunerile relevante, inclusiv expunerile neperformante pe care le-au achiziționat, în formularele C </w:t>
      </w:r>
      <w:r w:rsidRPr="008416EF">
        <w:t>35</w:t>
      </w:r>
      <w:r>
        <w:t>.</w:t>
      </w:r>
      <w:r w:rsidRPr="008416EF">
        <w:t>01</w:t>
      </w:r>
      <w:r>
        <w:t>-C </w:t>
      </w:r>
      <w:r w:rsidRPr="008416EF">
        <w:t>35</w:t>
      </w:r>
      <w:r>
        <w:t>.</w:t>
      </w:r>
      <w:r w:rsidRPr="008416EF">
        <w:t>03</w:t>
      </w:r>
      <w:r>
        <w:t xml:space="preserve"> și stabilesc la zero cuantumul aplicabil al acoperirii insuficiente a părții achiziționate pe rândul </w:t>
      </w:r>
      <w:r w:rsidRPr="008416EF">
        <w:t>0010</w:t>
      </w:r>
      <w:r>
        <w:t xml:space="preserve"> din C </w:t>
      </w:r>
      <w:r w:rsidRPr="008416EF">
        <w:t>35</w:t>
      </w:r>
      <w:r>
        <w:t>.</w:t>
      </w:r>
      <w:r w:rsidRPr="008416EF">
        <w:t>01</w:t>
      </w:r>
      <w:r>
        <w:t xml:space="preserve">.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sidRPr="008416EF">
        <w:rPr>
          <w:rFonts w:ascii="Times New Roman" w:hAnsi="Times New Roman"/>
          <w:sz w:val="24"/>
          <w:u w:val="none"/>
        </w:rPr>
        <w:lastRenderedPageBreak/>
        <w:t>8</w:t>
      </w:r>
      <w:r>
        <w:rPr>
          <w:rFonts w:ascii="Times New Roman" w:hAnsi="Times New Roman"/>
          <w:sz w:val="24"/>
          <w:u w:val="none"/>
        </w:rPr>
        <w:t>.</w:t>
      </w:r>
      <w:r w:rsidRPr="008416EF">
        <w:rPr>
          <w:rFonts w:ascii="Times New Roman" w:hAnsi="Times New Roman"/>
          <w:sz w:val="24"/>
          <w:u w:val="none"/>
        </w:rPr>
        <w:t>2</w:t>
      </w:r>
      <w:r>
        <w:rPr>
          <w:rFonts w:ascii="Times New Roman" w:hAnsi="Times New Roman"/>
          <w:sz w:val="24"/>
          <w:u w:val="none"/>
        </w:rPr>
        <w:t xml:space="preserve">. C </w:t>
      </w:r>
      <w:r w:rsidRPr="008416EF">
        <w:rPr>
          <w:rFonts w:ascii="Times New Roman" w:hAnsi="Times New Roman"/>
          <w:sz w:val="24"/>
          <w:u w:val="none"/>
        </w:rPr>
        <w:t>35</w:t>
      </w:r>
      <w:r>
        <w:rPr>
          <w:rFonts w:ascii="Times New Roman" w:hAnsi="Times New Roman"/>
          <w:sz w:val="24"/>
          <w:u w:val="none"/>
        </w:rPr>
        <w:t>.</w:t>
      </w:r>
      <w:r w:rsidRPr="008416EF">
        <w:rPr>
          <w:rFonts w:ascii="Times New Roman" w:hAnsi="Times New Roman"/>
          <w:sz w:val="24"/>
          <w:u w:val="none"/>
        </w:rPr>
        <w:t>01</w:t>
      </w:r>
      <w:r>
        <w:rPr>
          <w:rFonts w:ascii="Times New Roman" w:hAnsi="Times New Roman"/>
          <w:sz w:val="24"/>
          <w:u w:val="none"/>
        </w:rPr>
        <w:t xml:space="preserve"> – </w:t>
      </w:r>
      <w:bookmarkEnd w:id="2"/>
      <w:r>
        <w:rPr>
          <w:rFonts w:ascii="Times New Roman" w:hAnsi="Times New Roman"/>
          <w:sz w:val="24"/>
          <w:u w:val="none"/>
        </w:rPr>
        <w:t>CALCULAREA DEDUCERILOR PENTRU EXPUNERILE NEPERFORMANTE (NPE LC</w:t>
      </w:r>
      <w:r w:rsidRPr="008416EF">
        <w:rPr>
          <w:rFonts w:ascii="Times New Roman" w:hAnsi="Times New Roman"/>
          <w:sz w:val="24"/>
          <w:u w:val="none"/>
        </w:rPr>
        <w:t>1</w:t>
      </w:r>
      <w:r>
        <w:rPr>
          <w:rFonts w:ascii="Times New Roman" w:hAnsi="Times New Roman"/>
          <w:sz w:val="24"/>
          <w:u w:val="none"/>
        </w:rPr>
        <w:t>)</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Instrucțiuni privind anumite poziții</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sidRPr="008416EF">
              <w:rPr>
                <w:rFonts w:ascii="Times New Roman" w:hAnsi="Times New Roman"/>
                <w:sz w:val="24"/>
              </w:rPr>
              <w:t>0010</w:t>
            </w:r>
            <w:r>
              <w:rPr>
                <w:rFonts w:ascii="Times New Roman" w:hAnsi="Times New Roman"/>
                <w:sz w:val="24"/>
              </w:rPr>
              <w:t xml:space="preserve"> – </w:t>
            </w:r>
            <w:r w:rsidRPr="008416EF">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«Timpul scurs de la clasificarea expunerilor drept neperformante» înseamnă timpul scurs exprimat în anii, la data de referință, de când expunerea a fost clasificată drept neperformantă. În cazul expunerilor neperformante achiziționate, timpul în ani începe să curgă de la data la care expunerile au fost inițial clasificate drept performante și nu de la data achiziționării lor. </w:t>
            </w:r>
          </w:p>
          <w:p w14:paraId="4D6DCF87" w14:textId="77777777" w:rsidR="00E7212E" w:rsidRPr="002A677E" w:rsidRDefault="00E7212E" w:rsidP="00BF7D57">
            <w:pPr>
              <w:rPr>
                <w:rFonts w:ascii="Times New Roman" w:hAnsi="Times New Roman"/>
                <w:sz w:val="24"/>
              </w:rPr>
            </w:pPr>
            <w:r>
              <w:rPr>
                <w:rFonts w:ascii="Times New Roman" w:hAnsi="Times New Roman"/>
                <w:sz w:val="24"/>
              </w:rPr>
              <w:t>Instituțiile raportează date privind expunerile pentru care data de referință se încadrează în intervalul de timp corespunzător, indicând perioada în anii de după clasificarea expunerii drept neperformantă, indiferent de aplicarea unor eventuale măsuri de restructurare datorată dificultăților financiare.</w:t>
            </w:r>
          </w:p>
          <w:p w14:paraId="08BF43EA" w14:textId="77777777" w:rsidR="00E7212E" w:rsidRPr="002A677E" w:rsidRDefault="00E7212E" w:rsidP="00BF7D57">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Pr>
                <w:rFonts w:ascii="Times New Roman" w:hAnsi="Times New Roman"/>
                <w:sz w:val="24"/>
              </w:rPr>
              <w:t xml:space="preserve">Instituțiile raportează suma coloanelor </w:t>
            </w:r>
            <w:r w:rsidRPr="008416EF">
              <w:rPr>
                <w:rFonts w:ascii="Times New Roman" w:hAnsi="Times New Roman"/>
                <w:sz w:val="24"/>
              </w:rPr>
              <w:t>0010</w:t>
            </w:r>
            <w:r>
              <w:rPr>
                <w:rFonts w:ascii="Times New Roman" w:hAnsi="Times New Roman"/>
                <w:sz w:val="24"/>
              </w:rPr>
              <w:t>-</w:t>
            </w:r>
            <w:r w:rsidRPr="008416EF">
              <w:rPr>
                <w:rFonts w:ascii="Times New Roman" w:hAnsi="Times New Roman"/>
                <w:sz w:val="24"/>
              </w:rPr>
              <w:t>0100</w:t>
            </w:r>
            <w:r>
              <w:rPr>
                <w:rFonts w:ascii="Times New Roman" w:hAnsi="Times New Roman"/>
                <w:sz w:val="24"/>
              </w:rPr>
              <w:t>.</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sidRPr="008416EF">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Cuantumul aplicabil al acoperirii insuficiente</w:t>
            </w:r>
          </w:p>
          <w:p w14:paraId="07CA6C51"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 xml:space="preserve">Pentru calcularea cuantumului aplicabil al acoperirii insuficiente, instituțiile deduc totalul provizioanelor și al ajustărilor sau deducerilor (plafonat) (rândul </w:t>
            </w:r>
            <w:r w:rsidRPr="008416EF">
              <w:rPr>
                <w:rFonts w:ascii="Times New Roman" w:hAnsi="Times New Roman"/>
                <w:sz w:val="24"/>
              </w:rPr>
              <w:t>0080</w:t>
            </w:r>
            <w:r>
              <w:rPr>
                <w:rFonts w:ascii="Times New Roman" w:hAnsi="Times New Roman"/>
                <w:sz w:val="24"/>
              </w:rPr>
              <w:t xml:space="preserve">) din cerința de acoperire minimă totală pentru expunerile neperformante (rândul </w:t>
            </w:r>
            <w:r w:rsidRPr="008416EF">
              <w:rPr>
                <w:rFonts w:ascii="Times New Roman" w:hAnsi="Times New Roman"/>
                <w:sz w:val="24"/>
              </w:rPr>
              <w:t>0020</w:t>
            </w:r>
            <w:r>
              <w:rPr>
                <w:rFonts w:ascii="Times New Roman" w:hAnsi="Times New Roman"/>
                <w:sz w:val="24"/>
              </w:rPr>
              <w:t>).</w:t>
            </w:r>
          </w:p>
          <w:p w14:paraId="4864656A" w14:textId="5DE2BE38" w:rsidR="006124F8" w:rsidRPr="002A677E" w:rsidRDefault="00E7212E" w:rsidP="00BF7D57">
            <w:pPr>
              <w:rPr>
                <w:rFonts w:ascii="Times New Roman" w:hAnsi="Times New Roman"/>
                <w:sz w:val="24"/>
              </w:rPr>
            </w:pPr>
            <w:r>
              <w:rPr>
                <w:rFonts w:ascii="Times New Roman" w:hAnsi="Times New Roman"/>
                <w:sz w:val="24"/>
              </w:rPr>
              <w:t>Cuantumul aplicabil al acoperirii insuficiente (adică deficitul cerinței de acoperire minimă totale pentru expunerile neperformante) trebuie să fie mai mare sau egal cu zero.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sidRPr="008416EF">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Cerința de acoperire minimă totală pentru expunerile neperformante</w:t>
            </w:r>
          </w:p>
          <w:p w14:paraId="649C7EAB"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(a)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Pentru calcularea cerinței de acoperire minimă totale pentru expunerile neperformante, instituțiile însumează cerința de acoperire minimă pentru partea negarantată a expunerilor neperformante (rândul </w:t>
            </w:r>
            <w:r w:rsidRPr="008416EF">
              <w:rPr>
                <w:rFonts w:ascii="Times New Roman" w:hAnsi="Times New Roman"/>
                <w:sz w:val="24"/>
              </w:rPr>
              <w:t>0030</w:t>
            </w:r>
            <w:r>
              <w:rPr>
                <w:rFonts w:ascii="Times New Roman" w:hAnsi="Times New Roman"/>
                <w:sz w:val="24"/>
              </w:rPr>
              <w:t xml:space="preserve">) și pentru partea garantată a expunerilor neperformante (rândul </w:t>
            </w:r>
            <w:r w:rsidRPr="008416EF">
              <w:rPr>
                <w:rFonts w:ascii="Times New Roman" w:hAnsi="Times New Roman"/>
                <w:sz w:val="24"/>
              </w:rPr>
              <w:t>0040</w:t>
            </w:r>
            <w:r>
              <w:rPr>
                <w:rFonts w:ascii="Times New Roman" w:hAnsi="Times New Roman"/>
                <w:sz w:val="24"/>
              </w:rPr>
              <w:t xml:space="preserve">).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D62A1E">
            <w:pPr>
              <w:keepNext/>
              <w:rPr>
                <w:rFonts w:ascii="Times New Roman" w:hAnsi="Times New Roman"/>
                <w:sz w:val="24"/>
              </w:rPr>
            </w:pPr>
            <w:r w:rsidRPr="008416EF">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D62A1E">
            <w:pPr>
              <w:keepNext/>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14:paraId="73825922" w14:textId="77777777" w:rsidR="00E7212E" w:rsidRPr="002A677E" w:rsidRDefault="00E7212E" w:rsidP="00D62A1E">
            <w:pPr>
              <w:keepNex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(a) punctul (i), articolul </w:t>
            </w:r>
            <w:r w:rsidRPr="008416EF">
              <w:rPr>
                <w:rFonts w:ascii="Times New Roman" w:hAnsi="Times New Roman"/>
                <w:sz w:val="24"/>
              </w:rPr>
              <w:t>47</w:t>
            </w:r>
            <w:r>
              <w:rPr>
                <w:rFonts w:ascii="Times New Roman" w:hAnsi="Times New Roman"/>
                <w:sz w:val="24"/>
              </w:rPr>
              <w:t>c alineatele (</w:t>
            </w:r>
            <w:r w:rsidRPr="008416EF">
              <w:rPr>
                <w:rFonts w:ascii="Times New Roman" w:hAnsi="Times New Roman"/>
                <w:sz w:val="24"/>
              </w:rPr>
              <w:t>2</w:t>
            </w:r>
            <w:r>
              <w:rPr>
                <w:rFonts w:ascii="Times New Roman" w:hAnsi="Times New Roman"/>
                <w:sz w:val="24"/>
              </w:rPr>
              <w:t>) și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6AA26A2E" w14:textId="77777777" w:rsidR="00E7212E" w:rsidRPr="002A677E" w:rsidRDefault="00E7212E" w:rsidP="00D62A1E">
            <w:pPr>
              <w:keepNext/>
              <w:rPr>
                <w:rFonts w:ascii="Times New Roman" w:hAnsi="Times New Roman"/>
                <w:sz w:val="24"/>
              </w:rPr>
            </w:pPr>
            <w:r>
              <w:rPr>
                <w:rFonts w:ascii="Times New Roman" w:hAnsi="Times New Roman"/>
                <w:sz w:val="24"/>
              </w:rPr>
              <w:t xml:space="preserve">Instituția raportează cerința de acoperire minimă totală pentru partea negarantată a expunerilor neperformante, și anume calculele agregate la nivel de expunere. </w:t>
            </w:r>
          </w:p>
          <w:p w14:paraId="73D05839" w14:textId="0F16180A" w:rsidR="00E7212E" w:rsidRPr="002A677E" w:rsidRDefault="00E7212E" w:rsidP="00D62A1E">
            <w:pPr>
              <w:keepNext/>
              <w:rPr>
                <w:rFonts w:ascii="Times New Roman" w:hAnsi="Times New Roman"/>
                <w:sz w:val="24"/>
              </w:rPr>
            </w:pPr>
            <w:r>
              <w:rPr>
                <w:rFonts w:ascii="Times New Roman" w:hAnsi="Times New Roman"/>
                <w:sz w:val="24"/>
              </w:rPr>
              <w:t>Cuantumul raportat în fiecare coloană este egal cu suma cuantumurilor raportate pe rândul</w:t>
            </w:r>
            <w:r w:rsidR="00D62A1E">
              <w:rPr>
                <w:rFonts w:ascii="Times New Roman" w:hAnsi="Times New Roman"/>
                <w:sz w:val="24"/>
              </w:rPr>
              <w:t> </w:t>
            </w:r>
            <w:r w:rsidRPr="008416EF">
              <w:rPr>
                <w:rFonts w:ascii="Times New Roman" w:hAnsi="Times New Roman"/>
                <w:sz w:val="24"/>
              </w:rPr>
              <w:t>0020</w:t>
            </w:r>
            <w:r>
              <w:rPr>
                <w:rFonts w:ascii="Times New Roman" w:hAnsi="Times New Roman"/>
                <w:sz w:val="24"/>
              </w:rPr>
              <w:t xml:space="preserve"> din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02</w:t>
            </w:r>
            <w:r>
              <w:rPr>
                <w:rFonts w:ascii="Times New Roman" w:hAnsi="Times New Roman"/>
                <w:sz w:val="24"/>
              </w:rPr>
              <w:t xml:space="preserve"> și pe rândul </w:t>
            </w:r>
            <w:r w:rsidRPr="008416EF">
              <w:rPr>
                <w:rFonts w:ascii="Times New Roman" w:hAnsi="Times New Roman"/>
                <w:sz w:val="24"/>
              </w:rPr>
              <w:t>0020</w:t>
            </w:r>
            <w:r>
              <w:rPr>
                <w:rFonts w:ascii="Times New Roman" w:hAnsi="Times New Roman"/>
                <w:sz w:val="24"/>
              </w:rPr>
              <w:t xml:space="preserve"> din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03</w:t>
            </w:r>
            <w:r>
              <w:rPr>
                <w:rFonts w:ascii="Times New Roman" w:hAnsi="Times New Roman"/>
                <w:sz w:val="24"/>
              </w:rPr>
              <w:t xml:space="preserve"> (dacă este cazul) din coloanele respective.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sidRPr="008416EF">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garantată a expunerilor neperformante</w:t>
            </w:r>
          </w:p>
          <w:p w14:paraId="12886933"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(ii), articolul </w:t>
            </w:r>
            <w:r w:rsidRPr="008416EF">
              <w:rPr>
                <w:rFonts w:ascii="Times New Roman" w:hAnsi="Times New Roman"/>
                <w:sz w:val="24"/>
              </w:rPr>
              <w:t>47</w:t>
            </w:r>
            <w:r>
              <w:rPr>
                <w:rFonts w:ascii="Times New Roman" w:hAnsi="Times New Roman"/>
                <w:sz w:val="24"/>
              </w:rPr>
              <w:t>c alineatele (</w:t>
            </w:r>
            <w:r w:rsidRPr="008416EF">
              <w:rPr>
                <w:rFonts w:ascii="Times New Roman" w:hAnsi="Times New Roman"/>
                <w:sz w:val="24"/>
              </w:rPr>
              <w:t>3</w:t>
            </w:r>
            <w:r>
              <w:rPr>
                <w:rFonts w:ascii="Times New Roman" w:hAnsi="Times New Roman"/>
                <w:sz w:val="24"/>
              </w:rPr>
              <w:t>), (</w:t>
            </w:r>
            <w:r w:rsidRPr="008416EF">
              <w:rPr>
                <w:rFonts w:ascii="Times New Roman" w:hAnsi="Times New Roman"/>
                <w:sz w:val="24"/>
              </w:rPr>
              <w:t>4</w:t>
            </w:r>
            <w:r>
              <w:rPr>
                <w:rFonts w:ascii="Times New Roman" w:hAnsi="Times New Roman"/>
                <w:sz w:val="24"/>
              </w:rPr>
              <w:t>) și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w:t>
            </w:r>
          </w:p>
          <w:p w14:paraId="16387A62" w14:textId="77777777" w:rsidR="00E7212E" w:rsidRPr="002A677E" w:rsidRDefault="00E7212E" w:rsidP="00BF7D57">
            <w:pPr>
              <w:rPr>
                <w:rFonts w:ascii="Times New Roman" w:hAnsi="Times New Roman"/>
                <w:sz w:val="24"/>
              </w:rPr>
            </w:pPr>
            <w:r>
              <w:rPr>
                <w:rFonts w:ascii="Times New Roman" w:hAnsi="Times New Roman"/>
                <w:sz w:val="24"/>
              </w:rPr>
              <w:t>Instituțiile raportează cerința de acoperire minimă totală pentru partea garantată a expunerilor neperformante, și anume calculele agregate la nivel de expunere.</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 xml:space="preserve">Cuantumul raportat în fiecare coloană este egal cu suma cuantumurilor raportate pe rândurile </w:t>
            </w:r>
            <w:r w:rsidRPr="008416EF">
              <w:rPr>
                <w:rFonts w:ascii="Times New Roman" w:hAnsi="Times New Roman"/>
                <w:sz w:val="24"/>
              </w:rPr>
              <w:t>0030</w:t>
            </w:r>
            <w:r>
              <w:rPr>
                <w:rFonts w:ascii="Times New Roman" w:hAnsi="Times New Roman"/>
                <w:sz w:val="24"/>
              </w:rPr>
              <w:t>-</w:t>
            </w:r>
            <w:r w:rsidRPr="008416EF">
              <w:rPr>
                <w:rFonts w:ascii="Times New Roman" w:hAnsi="Times New Roman"/>
                <w:sz w:val="24"/>
              </w:rPr>
              <w:t>0045</w:t>
            </w:r>
            <w:r>
              <w:rPr>
                <w:rFonts w:ascii="Times New Roman" w:hAnsi="Times New Roman"/>
                <w:sz w:val="24"/>
              </w:rPr>
              <w:t xml:space="preserve"> din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02</w:t>
            </w:r>
            <w:r>
              <w:rPr>
                <w:rFonts w:ascii="Times New Roman" w:hAnsi="Times New Roman"/>
                <w:sz w:val="24"/>
              </w:rPr>
              <w:t xml:space="preserve"> și pe rândurile </w:t>
            </w:r>
            <w:r w:rsidRPr="008416EF">
              <w:rPr>
                <w:rFonts w:ascii="Times New Roman" w:hAnsi="Times New Roman"/>
                <w:sz w:val="24"/>
              </w:rPr>
              <w:t>0030</w:t>
            </w:r>
            <w:r>
              <w:rPr>
                <w:rFonts w:ascii="Times New Roman" w:hAnsi="Times New Roman"/>
                <w:sz w:val="24"/>
              </w:rPr>
              <w:t>-</w:t>
            </w:r>
            <w:r w:rsidRPr="008416EF">
              <w:rPr>
                <w:rFonts w:ascii="Times New Roman" w:hAnsi="Times New Roman"/>
                <w:sz w:val="24"/>
              </w:rPr>
              <w:t>0040</w:t>
            </w:r>
            <w:r>
              <w:rPr>
                <w:rFonts w:ascii="Times New Roman" w:hAnsi="Times New Roman"/>
                <w:sz w:val="24"/>
              </w:rPr>
              <w:t xml:space="preserve"> din 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03</w:t>
            </w:r>
            <w:r>
              <w:rPr>
                <w:rFonts w:ascii="Times New Roman" w:hAnsi="Times New Roman"/>
                <w:sz w:val="24"/>
              </w:rPr>
              <w:t xml:space="preserve"> (dacă este cazul) din coloanele respective.</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sidRPr="008416EF">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Valoarea expunerii</w:t>
            </w:r>
          </w:p>
          <w:p w14:paraId="3D274535"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Instituțiile raportează valoarea totală a expunerii pentru expunerile neperformante, incluzând atât expunerile negarantate, cât și expunerile garantate. Aceasta corespunde sumei rândurilor </w:t>
            </w:r>
            <w:r w:rsidRPr="008416EF">
              <w:rPr>
                <w:rFonts w:ascii="Times New Roman" w:hAnsi="Times New Roman"/>
                <w:sz w:val="24"/>
              </w:rPr>
              <w:t>0060</w:t>
            </w:r>
            <w:r>
              <w:rPr>
                <w:rFonts w:ascii="Times New Roman" w:hAnsi="Times New Roman"/>
                <w:sz w:val="24"/>
              </w:rPr>
              <w:t xml:space="preserve"> și </w:t>
            </w:r>
            <w:r w:rsidRPr="008416EF">
              <w:rPr>
                <w:rFonts w:ascii="Times New Roman" w:hAnsi="Times New Roman"/>
                <w:sz w:val="24"/>
              </w:rPr>
              <w:t>0070</w:t>
            </w:r>
            <w:r>
              <w:rPr>
                <w:rFonts w:ascii="Times New Roman" w:hAnsi="Times New Roman"/>
                <w:sz w:val="24"/>
              </w:rPr>
              <w:t xml:space="preserve">.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sidRPr="008416EF">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sidRPr="008416EF">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garantată a expunerilor neperformante</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sidRPr="008416EF">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Totalul provizioanelor și al ajustărilor sau deducerilor (plafonat)</w:t>
            </w:r>
          </w:p>
          <w:p w14:paraId="1063BD06" w14:textId="7268B80C" w:rsidR="00E7212E" w:rsidRPr="002A677E" w:rsidRDefault="00E7212E" w:rsidP="00BF7D57">
            <w:pPr>
              <w:rPr>
                <w:rFonts w:ascii="Times New Roman" w:hAnsi="Times New Roman"/>
                <w:sz w:val="24"/>
              </w:rPr>
            </w:pPr>
            <w:r>
              <w:rPr>
                <w:rFonts w:ascii="Times New Roman" w:hAnsi="Times New Roman"/>
                <w:sz w:val="24"/>
              </w:rPr>
              <w:t>Instituțiile raportează cuantumul plafonat aferent sumei elementelor de pe rândurile</w:t>
            </w:r>
            <w:r w:rsidR="00D62A1E">
              <w:rPr>
                <w:rFonts w:ascii="Times New Roman" w:hAnsi="Times New Roman"/>
                <w:sz w:val="24"/>
              </w:rPr>
              <w:t> </w:t>
            </w:r>
            <w:r w:rsidRPr="008416EF">
              <w:rPr>
                <w:rFonts w:ascii="Times New Roman" w:hAnsi="Times New Roman"/>
                <w:sz w:val="24"/>
              </w:rPr>
              <w:t>0100</w:t>
            </w:r>
            <w:r w:rsidR="00D62A1E">
              <w:rPr>
                <w:rFonts w:ascii="Times New Roman" w:hAnsi="Times New Roman"/>
                <w:sz w:val="24"/>
              </w:rPr>
              <w:t>­</w:t>
            </w:r>
            <w:r w:rsidRPr="008416EF">
              <w:rPr>
                <w:rFonts w:ascii="Times New Roman" w:hAnsi="Times New Roman"/>
                <w:sz w:val="24"/>
              </w:rPr>
              <w:t>0150</w:t>
            </w:r>
            <w:r>
              <w:rPr>
                <w:rFonts w:ascii="Times New Roman" w:hAnsi="Times New Roman"/>
                <w:sz w:val="24"/>
              </w:rPr>
              <w:t xml:space="preserve"> în conformitate cu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Limita maximă a provizioanelor și a ajustărilor sau deducerilor plafonate este cuantumul cerinței de acoperire minimă la nivel de expunere.</w:t>
            </w:r>
          </w:p>
          <w:p w14:paraId="5D5758AF" w14:textId="77777777" w:rsidR="00E7212E" w:rsidRPr="002A677E" w:rsidRDefault="00E7212E" w:rsidP="00BF7D57">
            <w:pPr>
              <w:rPr>
                <w:rFonts w:ascii="Times New Roman" w:hAnsi="Times New Roman"/>
                <w:sz w:val="24"/>
              </w:rPr>
            </w:pPr>
            <w:r>
              <w:rPr>
                <w:rFonts w:ascii="Times New Roman" w:hAnsi="Times New Roman"/>
                <w:sz w:val="24"/>
              </w:rPr>
              <w:t>Cuantumul plafonat se calculează separat pentru fiecare expunere și este cuantumul cel mai redus dintre cerința de acoperire minimă pentru expunerea respectivă și totalul provizioanelor și al ajustărilor sau deducerilor pentru aceeași expunere.</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sidRPr="008416EF">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Totalul provizioanelor și al ajustărilor sau deducerilor (neplafonat)</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Instituțiile raportează cuantumul neplafonat al elementelor de pe rândurile </w:t>
            </w:r>
            <w:r w:rsidRPr="008416EF">
              <w:rPr>
                <w:rFonts w:ascii="Times New Roman" w:hAnsi="Times New Roman"/>
                <w:sz w:val="24"/>
              </w:rPr>
              <w:t>0100</w:t>
            </w:r>
            <w:r>
              <w:rPr>
                <w:rFonts w:ascii="Times New Roman" w:hAnsi="Times New Roman"/>
                <w:sz w:val="24"/>
              </w:rPr>
              <w:t>-</w:t>
            </w:r>
            <w:r w:rsidRPr="008416EF">
              <w:rPr>
                <w:rFonts w:ascii="Times New Roman" w:hAnsi="Times New Roman"/>
                <w:sz w:val="24"/>
              </w:rPr>
              <w:t>0150</w:t>
            </w:r>
            <w:r>
              <w:rPr>
                <w:rFonts w:ascii="Times New Roman" w:hAnsi="Times New Roman"/>
                <w:sz w:val="24"/>
              </w:rPr>
              <w:t xml:space="preserve"> în conformitate cu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Provizioanele și ajustările sau deducerile (neplafonate) nu se limitează la cuantumul cerinței de acoperire minime la nivel de expunere.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sidRPr="008416EF">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Ajustări specifice pentru riscul de credit</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Ajustări de valoare suplimentare</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sidRPr="008416EF">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Alte reduceri ale fondurilor proprii</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(iii)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sidRPr="008416EF">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Deficitul în cadrul abordării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(iv)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sidRPr="008416EF">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Diferența dintre prețul de cumpărare și cuantumul datorat de debitor</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(v)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sidRPr="008416EF">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Sumele scoase în afara bilanțului de către instituție după ce expunerea a fost clasificată drept neperformantă</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(b) punctul (vi)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 xml:space="preserve">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02</w:t>
      </w:r>
      <w:r>
        <w:rPr>
          <w:rFonts w:ascii="Times New Roman" w:hAnsi="Times New Roman"/>
          <w:sz w:val="24"/>
        </w:rPr>
        <w:t xml:space="preserve"> – CERINȚELE DE ACOPERIRE MINIMĂ ȘI VALORILE EXPUNERILOR PENTRU EXPUNERILE NEPERFORMANTE, CU EXCEPȚIA EXPUNERILOR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(NPE LC</w:t>
      </w:r>
      <w:r w:rsidRPr="008416EF">
        <w:rPr>
          <w:rFonts w:ascii="Times New Roman" w:hAnsi="Times New Roman"/>
          <w:sz w:val="24"/>
        </w:rPr>
        <w:t>2</w:t>
      </w:r>
      <w:r>
        <w:rPr>
          <w:rFonts w:ascii="Times New Roman" w:hAnsi="Times New Roman"/>
          <w:sz w:val="24"/>
        </w:rPr>
        <w:t>)</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Instrucțiuni privind anumite poziții</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sidRPr="008416EF">
              <w:rPr>
                <w:rFonts w:ascii="Times New Roman" w:hAnsi="Times New Roman"/>
                <w:sz w:val="24"/>
              </w:rPr>
              <w:t>0010</w:t>
            </w:r>
            <w:r>
              <w:rPr>
                <w:rFonts w:ascii="Times New Roman" w:hAnsi="Times New Roman"/>
                <w:sz w:val="24"/>
              </w:rPr>
              <w:t xml:space="preserve"> – </w:t>
            </w:r>
            <w:r w:rsidRPr="008416EF">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27559F86" w14:textId="77777777" w:rsidR="00E7212E" w:rsidRPr="002A677E" w:rsidRDefault="00E7212E" w:rsidP="00BF7D57">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după clasificarea expunerii drept neperformantă, indiferent de aplicarea unor eventuale măsuri de restructurare datorată dificultăților financiare.</w:t>
            </w:r>
          </w:p>
          <w:p w14:paraId="1AD59E7D" w14:textId="77777777" w:rsidR="00E7212E" w:rsidRPr="002A677E" w:rsidRDefault="00E7212E" w:rsidP="00BF7D57">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 xml:space="preserve">Instituțiile raportează suma coloanelor </w:t>
            </w:r>
            <w:r w:rsidRPr="008416EF">
              <w:rPr>
                <w:rFonts w:ascii="Times New Roman" w:hAnsi="Times New Roman"/>
                <w:sz w:val="24"/>
              </w:rPr>
              <w:t>0010</w:t>
            </w:r>
            <w:r>
              <w:rPr>
                <w:rFonts w:ascii="Times New Roman" w:hAnsi="Times New Roman"/>
                <w:sz w:val="24"/>
              </w:rPr>
              <w:t xml:space="preserve"> - </w:t>
            </w:r>
            <w:r w:rsidRPr="008416EF">
              <w:rPr>
                <w:rFonts w:ascii="Times New Roman" w:hAnsi="Times New Roman"/>
                <w:sz w:val="24"/>
              </w:rPr>
              <w:t>0100</w:t>
            </w:r>
            <w:r>
              <w:rPr>
                <w:rFonts w:ascii="Times New Roman" w:hAnsi="Times New Roman"/>
                <w:sz w:val="24"/>
              </w:rPr>
              <w:t>.</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lastRenderedPageBreak/>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sidRPr="008416EF">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Cerința de acoperire minimă totală</w:t>
            </w:r>
          </w:p>
          <w:p w14:paraId="182F35CE"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litera (a)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662FCE5D" w14:textId="0D737EB8" w:rsidR="00E7212E" w:rsidRPr="002A677E" w:rsidRDefault="00E7212E" w:rsidP="00BF7D57">
            <w:pPr>
              <w:rPr>
                <w:rFonts w:ascii="Times New Roman" w:hAnsi="Times New Roman"/>
                <w:sz w:val="24"/>
              </w:rPr>
            </w:pPr>
            <w:r>
              <w:rPr>
                <w:rFonts w:ascii="Times New Roman" w:hAnsi="Times New Roman"/>
                <w:sz w:val="24"/>
              </w:rPr>
              <w:t xml:space="preserve">Pentru calcularea cerinței de acoperire minimă totale pentru expunerile neperformante, cu excepția expunerilor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instituțiile însumează cerința de acoperire minimă pentru partea negarantată a expunerilor neperformante (rândul</w:t>
            </w:r>
            <w:r w:rsidR="00D62A1E">
              <w:rPr>
                <w:rFonts w:ascii="Times New Roman" w:hAnsi="Times New Roman"/>
                <w:sz w:val="24"/>
              </w:rPr>
              <w:t> </w:t>
            </w:r>
            <w:r w:rsidRPr="008416EF">
              <w:rPr>
                <w:rFonts w:ascii="Times New Roman" w:hAnsi="Times New Roman"/>
                <w:sz w:val="24"/>
              </w:rPr>
              <w:t>0020</w:t>
            </w:r>
            <w:r>
              <w:rPr>
                <w:rFonts w:ascii="Times New Roman" w:hAnsi="Times New Roman"/>
                <w:sz w:val="24"/>
              </w:rPr>
              <w:t xml:space="preserve">) și cerința de acoperire minimă pentru partea garantată a expunerilor neperformante (rândurile </w:t>
            </w:r>
            <w:r w:rsidRPr="008416EF">
              <w:rPr>
                <w:rFonts w:ascii="Times New Roman" w:hAnsi="Times New Roman"/>
                <w:sz w:val="24"/>
              </w:rPr>
              <w:t>0030</w:t>
            </w:r>
            <w:r>
              <w:rPr>
                <w:rFonts w:ascii="Times New Roman" w:hAnsi="Times New Roman"/>
                <w:sz w:val="24"/>
              </w:rPr>
              <w:t>-</w:t>
            </w:r>
            <w:r w:rsidRPr="008416EF">
              <w:rPr>
                <w:rFonts w:ascii="Times New Roman" w:hAnsi="Times New Roman"/>
                <w:sz w:val="24"/>
              </w:rPr>
              <w:t>0045</w:t>
            </w:r>
            <w:r>
              <w:rPr>
                <w:rFonts w:ascii="Times New Roman" w:hAnsi="Times New Roman"/>
                <w:sz w:val="24"/>
              </w:rPr>
              <w:t>).</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sidRPr="008416EF">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negarantată a expunerilor neperformante</w:t>
            </w:r>
          </w:p>
          <w:p w14:paraId="27ED7CA9"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2</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 xml:space="preserve">Cerința de acoperire minimă se calculează înmulțind valorile agregate ale expunerii de pe rândul </w:t>
            </w:r>
            <w:r w:rsidRPr="008416EF">
              <w:rPr>
                <w:rFonts w:ascii="Times New Roman" w:hAnsi="Times New Roman"/>
                <w:sz w:val="24"/>
              </w:rPr>
              <w:t>0070</w:t>
            </w:r>
            <w:r>
              <w:rPr>
                <w:rFonts w:ascii="Times New Roman" w:hAnsi="Times New Roman"/>
                <w:sz w:val="24"/>
              </w:rPr>
              <w:t xml:space="preserve"> cu factorul corespunzător pentru fiecare coloană.</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sidRPr="008416EF">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Partea din expunerile neperformante garantată cu bunuri imobile sau constând dintr-un împrumut locativ garantat de către un furnizor de protecție eligibil </w:t>
            </w:r>
          </w:p>
          <w:p w14:paraId="1AB54B5D"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(ii)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literele (a), (b), (c), (d), (f), (h) și (i)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Cerința de acoperire minimă se calculează înmulțind valorile agregate ale expunerii de pe rândul </w:t>
            </w:r>
            <w:r w:rsidRPr="008416EF">
              <w:rPr>
                <w:rFonts w:ascii="Times New Roman" w:hAnsi="Times New Roman"/>
                <w:sz w:val="24"/>
              </w:rPr>
              <w:t>0080</w:t>
            </w:r>
            <w:r>
              <w:rPr>
                <w:rFonts w:ascii="Times New Roman" w:hAnsi="Times New Roman"/>
                <w:sz w:val="24"/>
              </w:rPr>
              <w:t xml:space="preserve"> cu factorul corespunzător pentru fiecare coloană.</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sidRPr="008416EF">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5857E4F4"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(ii)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literele (a), (b), (c), (e) și (g)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Cerința de acoperire minimă se calculează înmulțind valorile agregate ale expunerii de pe rândul </w:t>
            </w:r>
            <w:r w:rsidRPr="008416EF">
              <w:rPr>
                <w:rFonts w:ascii="Times New Roman" w:hAnsi="Times New Roman"/>
                <w:sz w:val="24"/>
              </w:rPr>
              <w:t>0090</w:t>
            </w:r>
            <w:r>
              <w:rPr>
                <w:rFonts w:ascii="Times New Roman" w:hAnsi="Times New Roman"/>
                <w:sz w:val="24"/>
              </w:rPr>
              <w:t xml:space="preserve"> cu factorul corespunzător pentru fiecare coloană.</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sidRPr="008416EF">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Partea din expunerile neperformante garantată sau contragarantată de către un furnizor de protecție eligibil</w:t>
            </w:r>
          </w:p>
          <w:p w14:paraId="4C97CF34" w14:textId="77777777" w:rsidR="00920721" w:rsidRDefault="00EB1058"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4</w:t>
            </w:r>
            <w:r>
              <w:rPr>
                <w:rFonts w:ascii="Times New Roman" w:hAnsi="Times New Roman"/>
                <w:sz w:val="24"/>
              </w:rPr>
              <w:t xml:space="preserve">) litera (b)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 xml:space="preserve">Cerința de acoperire minimă se calculează înmulțind valorile agregate ale expunerii de pe rândurile </w:t>
            </w:r>
            <w:r w:rsidRPr="008416EF">
              <w:rPr>
                <w:rStyle w:val="cf01"/>
                <w:rFonts w:ascii="Times New Roman" w:hAnsi="Times New Roman"/>
                <w:sz w:val="24"/>
              </w:rPr>
              <w:t>0110</w:t>
            </w:r>
            <w:r>
              <w:rPr>
                <w:rStyle w:val="cf01"/>
                <w:rFonts w:ascii="Times New Roman" w:hAnsi="Times New Roman"/>
                <w:sz w:val="24"/>
              </w:rPr>
              <w:t xml:space="preserve"> și </w:t>
            </w:r>
            <w:r w:rsidRPr="008416EF">
              <w:rPr>
                <w:rStyle w:val="cf01"/>
                <w:rFonts w:ascii="Times New Roman" w:hAnsi="Times New Roman"/>
                <w:sz w:val="24"/>
              </w:rPr>
              <w:t>0120</w:t>
            </w:r>
            <w:r>
              <w:rPr>
                <w:rStyle w:val="cf01"/>
                <w:rFonts w:ascii="Times New Roman" w:hAnsi="Times New Roman"/>
                <w:sz w:val="24"/>
              </w:rPr>
              <w:t xml:space="preserve"> cu factorii corespunzători pentru fiecare coloană.</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sidRPr="008416EF">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Valoarea expunerii</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 xml:space="preserve">Pentru calcularea rândului </w:t>
            </w:r>
            <w:r w:rsidRPr="008416EF">
              <w:rPr>
                <w:rFonts w:ascii="Times New Roman" w:hAnsi="Times New Roman"/>
                <w:sz w:val="24"/>
              </w:rPr>
              <w:t>0060</w:t>
            </w:r>
            <w:r>
              <w:rPr>
                <w:rFonts w:ascii="Times New Roman" w:hAnsi="Times New Roman"/>
                <w:sz w:val="24"/>
              </w:rPr>
              <w:t xml:space="preserve">, instituțiile însumează valorile expunerilor raportate pentru partea negarantată a expunerilor neperformante (rândul </w:t>
            </w:r>
            <w:r w:rsidRPr="008416EF">
              <w:rPr>
                <w:rFonts w:ascii="Times New Roman" w:hAnsi="Times New Roman"/>
                <w:sz w:val="24"/>
              </w:rPr>
              <w:t>0070</w:t>
            </w:r>
            <w:r>
              <w:rPr>
                <w:rFonts w:ascii="Times New Roman" w:hAnsi="Times New Roman"/>
                <w:sz w:val="24"/>
              </w:rPr>
              <w:t xml:space="preserve">), partea din expunerile neperformante garantată cu bunuri imobile sau constând într-un împrumut locativ garantat de către un furnizor de protecție eligibil (rândul </w:t>
            </w:r>
            <w:r w:rsidRPr="008416EF">
              <w:rPr>
                <w:rFonts w:ascii="Times New Roman" w:hAnsi="Times New Roman"/>
                <w:sz w:val="24"/>
              </w:rPr>
              <w:t>0080</w:t>
            </w:r>
            <w:r>
              <w:rPr>
                <w:rFonts w:ascii="Times New Roman" w:hAnsi="Times New Roman"/>
                <w:sz w:val="24"/>
              </w:rPr>
              <w:t xml:space="preserve">), partea din expunerile neperformante garantată printr-o altă protecție finanțată sau nefinanțată a </w:t>
            </w:r>
            <w:r>
              <w:rPr>
                <w:rFonts w:ascii="Times New Roman" w:hAnsi="Times New Roman"/>
                <w:sz w:val="24"/>
              </w:rPr>
              <w:lastRenderedPageBreak/>
              <w:t xml:space="preserve">creditului (rândul </w:t>
            </w:r>
            <w:r w:rsidRPr="008416EF">
              <w:rPr>
                <w:rFonts w:ascii="Times New Roman" w:hAnsi="Times New Roman"/>
                <w:sz w:val="24"/>
              </w:rPr>
              <w:t>0090</w:t>
            </w:r>
            <w:r>
              <w:rPr>
                <w:rFonts w:ascii="Times New Roman" w:hAnsi="Times New Roman"/>
                <w:sz w:val="24"/>
              </w:rPr>
              <w:t xml:space="preserve">) și partea din expunerile neperformante garantată sau contragarantată de către un furnizor de protecție eligibil (rândurile </w:t>
            </w:r>
            <w:r w:rsidRPr="008416EF">
              <w:rPr>
                <w:rFonts w:ascii="Times New Roman" w:hAnsi="Times New Roman"/>
                <w:sz w:val="24"/>
              </w:rPr>
              <w:t>0110</w:t>
            </w:r>
            <w:r>
              <w:rPr>
                <w:rFonts w:ascii="Times New Roman" w:hAnsi="Times New Roman"/>
                <w:sz w:val="24"/>
              </w:rPr>
              <w:t xml:space="preserve"> și </w:t>
            </w:r>
            <w:r w:rsidRPr="008416EF">
              <w:rPr>
                <w:rFonts w:ascii="Times New Roman" w:hAnsi="Times New Roman"/>
                <w:sz w:val="24"/>
              </w:rPr>
              <w:t>0120</w:t>
            </w:r>
            <w:r>
              <w:rPr>
                <w:rFonts w:ascii="Times New Roman" w:hAnsi="Times New Roman"/>
                <w:sz w:val="24"/>
              </w:rPr>
              <w:t>).</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sidRPr="008416EF">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negarantată a expunerilor neperformante</w:t>
            </w:r>
          </w:p>
          <w:p w14:paraId="7BA082E2" w14:textId="6EB032C4"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și alineatul (</w:t>
            </w:r>
            <w:r w:rsidRPr="008416EF">
              <w:rPr>
                <w:rFonts w:ascii="Times New Roman" w:hAnsi="Times New Roman"/>
                <w:sz w:val="24"/>
              </w:rPr>
              <w:t>2</w:t>
            </w:r>
            <w:r>
              <w:rPr>
                <w:rFonts w:ascii="Times New Roman" w:hAnsi="Times New Roman"/>
                <w:sz w:val="24"/>
              </w:rPr>
              <w:t>) din Regulamentul</w:t>
            </w:r>
            <w:r w:rsidR="009549C9">
              <w:rPr>
                <w:rFonts w:ascii="Times New Roman" w:hAnsi="Times New Roman"/>
                <w:sz w:val="24"/>
              </w:rPr>
              <w:t> </w:t>
            </w:r>
            <w:r>
              <w:rPr>
                <w:rFonts w:ascii="Times New Roman" w:hAnsi="Times New Roman"/>
                <w:sz w:val="24"/>
              </w:rPr>
              <w:t xml:space="preserve">(UE)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Instituțiile raportează valoarea totală a expunerii pentru partea negarantată a creditelor neperformante, defalcată în funcție de timpul scurs de la clasificarea expunerilor drept neperformante.</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sidRPr="008416EF">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353C8B9D" w14:textId="0D246065"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literele</w:t>
            </w:r>
            <w:r w:rsidR="009549C9">
              <w:rPr>
                <w:rFonts w:ascii="Times New Roman" w:hAnsi="Times New Roman"/>
                <w:sz w:val="24"/>
              </w:rPr>
              <w:t> </w:t>
            </w:r>
            <w:r>
              <w:rPr>
                <w:rFonts w:ascii="Times New Roman" w:hAnsi="Times New Roman"/>
                <w:sz w:val="24"/>
              </w:rPr>
              <w:t>(a), (b), (c), (d), (f), (h) și (i)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care sunt garantate cu bunuri imobile în conformitate cu partea a treia titlul 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sau care constau într-un împrumut locativ garantat de un furnizor de protecție eligibil, astfel cum se menționează la articolul </w:t>
            </w:r>
            <w:r w:rsidRPr="008416EF">
              <w:rPr>
                <w:rFonts w:ascii="Times New Roman" w:hAnsi="Times New Roman"/>
                <w:sz w:val="24"/>
              </w:rPr>
              <w:t>201</w:t>
            </w:r>
            <w:r>
              <w:rPr>
                <w:rFonts w:ascii="Times New Roman" w:hAnsi="Times New Roman"/>
                <w:sz w:val="24"/>
              </w:rPr>
              <w:t xml:space="preserve"> din regulamentul respectiv.</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sidRPr="008416EF">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3F457A1D" w14:textId="612CEF42"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literele</w:t>
            </w:r>
            <w:r w:rsidR="009549C9">
              <w:rPr>
                <w:rFonts w:ascii="Times New Roman" w:hAnsi="Times New Roman"/>
                <w:sz w:val="24"/>
              </w:rPr>
              <w:t> </w:t>
            </w:r>
            <w:r>
              <w:rPr>
                <w:rFonts w:ascii="Times New Roman" w:hAnsi="Times New Roman"/>
                <w:sz w:val="24"/>
              </w:rPr>
              <w:t>(a), (b), (c), (e) și (g)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Instituțiile raportează valoarea totală a expunerii pentru părțile din expunerile neperformante garantate printr-o altă protecție finanțată sau nefinanțată a creditului în conformitate cu partea a treia titlul 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 xml:space="preserve">Partea din expunerile neperformante garantată sau contragarantată de către un furnizor de protecție eligibil (factorul </w:t>
            </w:r>
            <w:r w:rsidRPr="008416EF">
              <w:rPr>
                <w:rFonts w:ascii="Times New Roman" w:hAnsi="Times New Roman"/>
                <w:b/>
                <w:sz w:val="24"/>
                <w:u w:val="single"/>
              </w:rPr>
              <w:t>1</w:t>
            </w:r>
            <w:r>
              <w:rPr>
                <w:rFonts w:ascii="Times New Roman" w:hAnsi="Times New Roman"/>
                <w:b/>
                <w:sz w:val="24"/>
                <w:u w:val="single"/>
              </w:rPr>
              <w:t>)</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4</w:t>
            </w:r>
            <w:r>
              <w:rPr>
                <w:rFonts w:ascii="Times New Roman" w:hAnsi="Times New Roman"/>
                <w:sz w:val="24"/>
              </w:rPr>
              <w:t>) litera (b)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(factorul </w:t>
            </w:r>
            <w:r w:rsidRPr="008416EF">
              <w:rPr>
                <w:rFonts w:ascii="Times New Roman" w:hAnsi="Times New Roman"/>
                <w:sz w:val="24"/>
              </w:rPr>
              <w:t>1</w:t>
            </w:r>
            <w:r>
              <w:rPr>
                <w:rFonts w:ascii="Times New Roman" w:hAnsi="Times New Roman"/>
                <w:sz w:val="24"/>
              </w:rPr>
              <w:t>)</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sidRPr="008416EF">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 xml:space="preserve">Partea din expunerile neperformante garantată sau contragarantată de către un furnizor de protecție eligibil (factorul </w:t>
            </w:r>
            <w:r w:rsidRPr="008416EF">
              <w:rPr>
                <w:rFonts w:ascii="Times New Roman" w:hAnsi="Times New Roman"/>
                <w:b/>
                <w:sz w:val="24"/>
                <w:u w:val="single"/>
              </w:rPr>
              <w:t>0</w:t>
            </w:r>
            <w:r>
              <w:rPr>
                <w:rFonts w:ascii="Times New Roman" w:hAnsi="Times New Roman"/>
                <w:b/>
                <w:sz w:val="24"/>
                <w:u w:val="single"/>
              </w:rPr>
              <w:t>)</w:t>
            </w:r>
          </w:p>
          <w:p w14:paraId="1F86CE64" w14:textId="1F9B8C8B" w:rsidR="00A13F70" w:rsidRPr="00AD1E4E" w:rsidRDefault="00DE7A8B"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4</w:t>
            </w:r>
            <w:r>
              <w:rPr>
                <w:rFonts w:ascii="Times New Roman" w:hAnsi="Times New Roman"/>
                <w:sz w:val="24"/>
              </w:rPr>
              <w:t>) literele (a) și (b)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(factorul</w:t>
            </w:r>
            <w:r w:rsidR="009549C9">
              <w:rPr>
                <w:rFonts w:ascii="Times New Roman" w:hAnsi="Times New Roman"/>
                <w:sz w:val="24"/>
              </w:rPr>
              <w:t> </w:t>
            </w:r>
            <w:r w:rsidRPr="008416EF">
              <w:rPr>
                <w:rFonts w:ascii="Times New Roman" w:hAnsi="Times New Roman"/>
                <w:sz w:val="24"/>
              </w:rPr>
              <w:t>0</w:t>
            </w:r>
            <w:r>
              <w:rPr>
                <w:rFonts w:ascii="Times New Roman" w:hAnsi="Times New Roman"/>
                <w:sz w:val="24"/>
              </w:rPr>
              <w:t xml:space="preserve">) Expunerile pentru care un furnizor de protecție eligibil a convenit să îndeplinească toate obligațiile de plată ale debitorului față de instituția de credit, integral și în conformitate cu calendarul de plată contractual inițial, se raportează pe rândul </w:t>
            </w:r>
            <w:r w:rsidRPr="008416EF">
              <w:rPr>
                <w:rFonts w:ascii="Times New Roman" w:hAnsi="Times New Roman"/>
                <w:sz w:val="24"/>
              </w:rPr>
              <w:t>0120</w:t>
            </w:r>
            <w:r>
              <w:rPr>
                <w:rFonts w:ascii="Times New Roman" w:hAnsi="Times New Roman"/>
                <w:sz w:val="24"/>
              </w:rPr>
              <w:t xml:space="preserve"> (pentru toate tranșele de timp)</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9549C9">
      <w:pPr>
        <w:pStyle w:val="Instructionsberschrift2"/>
        <w:keepLines/>
        <w:numPr>
          <w:ilvl w:val="1"/>
          <w:numId w:val="4"/>
        </w:numPr>
        <w:tabs>
          <w:tab w:val="num" w:pos="360"/>
        </w:tabs>
        <w:ind w:left="1434" w:hanging="357"/>
        <w:rPr>
          <w:rFonts w:ascii="Times New Roman" w:hAnsi="Times New Roman" w:cs="Times New Roman"/>
          <w:sz w:val="24"/>
        </w:rPr>
      </w:pPr>
      <w:bookmarkStart w:id="12" w:name="_Toc19715893"/>
      <w:bookmarkStart w:id="13" w:name="_Toc151714532"/>
      <w:r>
        <w:rPr>
          <w:rFonts w:ascii="Times New Roman" w:hAnsi="Times New Roman"/>
          <w:sz w:val="24"/>
        </w:rPr>
        <w:lastRenderedPageBreak/>
        <w:t xml:space="preserve">C </w:t>
      </w:r>
      <w:r w:rsidRPr="008416EF">
        <w:rPr>
          <w:rFonts w:ascii="Times New Roman" w:hAnsi="Times New Roman"/>
          <w:sz w:val="24"/>
        </w:rPr>
        <w:t>35</w:t>
      </w:r>
      <w:r>
        <w:rPr>
          <w:rFonts w:ascii="Times New Roman" w:hAnsi="Times New Roman"/>
          <w:sz w:val="24"/>
        </w:rPr>
        <w:t>.</w:t>
      </w:r>
      <w:r w:rsidRPr="008416EF">
        <w:rPr>
          <w:rFonts w:ascii="Times New Roman" w:hAnsi="Times New Roman"/>
          <w:sz w:val="24"/>
        </w:rPr>
        <w:t>03</w:t>
      </w:r>
      <w:r>
        <w:rPr>
          <w:rFonts w:ascii="Times New Roman" w:hAnsi="Times New Roman"/>
          <w:sz w:val="24"/>
        </w:rPr>
        <w:t xml:space="preserve"> – CERINȚELE DE ACOPERIRE MINIMĂ ȘI VALORILE EXPUNERILOR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(NPE LC</w:t>
      </w:r>
      <w:r w:rsidRPr="008416EF">
        <w:rPr>
          <w:rFonts w:ascii="Times New Roman" w:hAnsi="Times New Roman"/>
          <w:sz w:val="24"/>
        </w:rPr>
        <w:t>3</w:t>
      </w:r>
      <w:r>
        <w:rPr>
          <w:rFonts w:ascii="Times New Roman" w:hAnsi="Times New Roman"/>
          <w:sz w:val="24"/>
        </w:rPr>
        <w:t>)</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Instrucțiuni privind anumite poziții</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sidRPr="008416EF">
              <w:rPr>
                <w:rFonts w:ascii="Times New Roman" w:hAnsi="Times New Roman"/>
                <w:sz w:val="24"/>
              </w:rPr>
              <w:t>0010</w:t>
            </w:r>
            <w:r>
              <w:rPr>
                <w:rFonts w:ascii="Times New Roman" w:hAnsi="Times New Roman"/>
                <w:sz w:val="24"/>
              </w:rPr>
              <w:t xml:space="preserve"> – </w:t>
            </w:r>
            <w:r w:rsidRPr="008416EF">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Timpul scurs de la clasificarea expunerilor drept neperformante</w:t>
            </w:r>
          </w:p>
          <w:p w14:paraId="6028F7B7" w14:textId="77777777" w:rsidR="00E7212E" w:rsidRPr="002A677E" w:rsidRDefault="00E7212E" w:rsidP="00BF7D57">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după clasificarea expunerii drept neperformantă, indiferent de aplicarea unor eventuale măsuri de restructurare datorată dificultăților financiare.</w:t>
            </w:r>
          </w:p>
          <w:p w14:paraId="1EB41D92" w14:textId="77777777" w:rsidR="00E7212E" w:rsidRPr="002A677E" w:rsidRDefault="00E7212E" w:rsidP="00BF7D57">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suma coloanelor </w:t>
            </w:r>
            <w:r w:rsidRPr="008416EF">
              <w:rPr>
                <w:rFonts w:ascii="Times New Roman" w:hAnsi="Times New Roman"/>
                <w:sz w:val="24"/>
              </w:rPr>
              <w:t>0010</w:t>
            </w:r>
            <w:r>
              <w:rPr>
                <w:rFonts w:ascii="Times New Roman" w:hAnsi="Times New Roman"/>
                <w:sz w:val="24"/>
              </w:rPr>
              <w:t xml:space="preserve"> - </w:t>
            </w:r>
            <w:r w:rsidRPr="008416EF">
              <w:rPr>
                <w:rFonts w:ascii="Times New Roman" w:hAnsi="Times New Roman"/>
                <w:sz w:val="24"/>
              </w:rPr>
              <w:t>0100</w:t>
            </w:r>
            <w:r>
              <w:rPr>
                <w:rFonts w:ascii="Times New Roman" w:hAnsi="Times New Roman"/>
                <w:sz w:val="24"/>
              </w:rPr>
              <w:t>.</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Instrucțiuni</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sidRPr="008416EF">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Cerința de acoperire minimă totală </w:t>
            </w:r>
          </w:p>
          <w:p w14:paraId="1C8DD96C"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Pentru calcularea cerinței de acoperire minimă totale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instituțiile însumează cerințele de acoperire minimă pentru partea negarantată a expunerilor neperformante restructurate în urma dificultăților financiare (rândul </w:t>
            </w:r>
            <w:r w:rsidRPr="008416EF">
              <w:rPr>
                <w:rFonts w:ascii="Times New Roman" w:hAnsi="Times New Roman"/>
                <w:sz w:val="24"/>
              </w:rPr>
              <w:t>0020</w:t>
            </w:r>
            <w:r>
              <w:rPr>
                <w:rFonts w:ascii="Times New Roman" w:hAnsi="Times New Roman"/>
                <w:sz w:val="24"/>
              </w:rPr>
              <w:t xml:space="preserve">), partea din expunerile neperformante restructurate în urma dificultăților financiare garantată cu bunuri imobile sau constând dintr-un împrumut locativ garantat de către un furnizor de protecție eligibil (rândul </w:t>
            </w:r>
            <w:r w:rsidRPr="008416EF">
              <w:rPr>
                <w:rFonts w:ascii="Times New Roman" w:hAnsi="Times New Roman"/>
                <w:sz w:val="24"/>
              </w:rPr>
              <w:t>0030</w:t>
            </w:r>
            <w:r>
              <w:rPr>
                <w:rFonts w:ascii="Times New Roman" w:hAnsi="Times New Roman"/>
                <w:sz w:val="24"/>
              </w:rPr>
              <w:t xml:space="preserve">) și partea din expunerile neperformante restructurate în urma dificultăților financiare garantată printr-o altă protecție finanțată sau nefinanțată a creditului (rândul </w:t>
            </w:r>
            <w:r w:rsidRPr="008416EF">
              <w:rPr>
                <w:rFonts w:ascii="Times New Roman" w:hAnsi="Times New Roman"/>
                <w:sz w:val="24"/>
              </w:rPr>
              <w:t>0040</w:t>
            </w:r>
            <w:r>
              <w:rPr>
                <w:rFonts w:ascii="Times New Roman" w:hAnsi="Times New Roman"/>
                <w:sz w:val="24"/>
              </w:rPr>
              <w:t>).</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sidRPr="008416EF">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negarantată a expunerilor neperformante</w:t>
            </w:r>
          </w:p>
          <w:p w14:paraId="01C888D8"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 articolul </w:t>
            </w:r>
            <w:r w:rsidRPr="008416EF">
              <w:rPr>
                <w:rFonts w:ascii="Times New Roman" w:hAnsi="Times New Roman"/>
                <w:sz w:val="24"/>
              </w:rPr>
              <w:t>47</w:t>
            </w:r>
            <w:r>
              <w:rPr>
                <w:rFonts w:ascii="Times New Roman" w:hAnsi="Times New Roman"/>
                <w:sz w:val="24"/>
              </w:rPr>
              <w:t>c alineatele (</w:t>
            </w:r>
            <w:r w:rsidRPr="008416EF">
              <w:rPr>
                <w:rFonts w:ascii="Times New Roman" w:hAnsi="Times New Roman"/>
                <w:sz w:val="24"/>
              </w:rPr>
              <w:t>2</w:t>
            </w:r>
            <w:r>
              <w:rPr>
                <w:rFonts w:ascii="Times New Roman" w:hAnsi="Times New Roman"/>
                <w:sz w:val="24"/>
              </w:rPr>
              <w:t>) și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 xml:space="preserve">Instituțiile raportează cerința de acoperire minimă totală pentru partea negarantată a expunerilor neperformante restructurate în urma dificultăților financiare care intră sub </w:t>
            </w:r>
            <w:r>
              <w:rPr>
                <w:rFonts w:ascii="Times New Roman" w:hAnsi="Times New Roman"/>
                <w:sz w:val="24"/>
              </w:rPr>
              <w:lastRenderedPageBreak/>
              <w:t xml:space="preserve">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și anume calculele agregate la nivel de expunere.</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sidRPr="008416EF">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073D5D9E"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xml:space="preserve">) literele (a), (b), (c), (d), (f), (h) și (i)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Instituțiile raportează cerința de acoperire minimă totală pentru părțile din expunerile neperformante restructurate în urma dificultăților financiare care sunt garantate cu bunuri imobile în conformitate cu partea a treia titlul 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sau care constau dintr-un împrumut locativ garantat de un furnizor de protecție eligibil, astfel cum se menționează la articolul </w:t>
            </w:r>
            <w:r w:rsidRPr="008416EF">
              <w:rPr>
                <w:rFonts w:ascii="Times New Roman" w:hAnsi="Times New Roman"/>
                <w:sz w:val="24"/>
              </w:rPr>
              <w:t>201</w:t>
            </w:r>
            <w:r>
              <w:rPr>
                <w:rFonts w:ascii="Times New Roman" w:hAnsi="Times New Roman"/>
                <w:sz w:val="24"/>
              </w:rPr>
              <w:t xml:space="preserve"> din regulamentul respectiv,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același regulament, și anume calculele agregate la nivel de expunere.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sidRPr="008416EF">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14:paraId="001BEF19"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litera (a) punctul (ii),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xml:space="preserve">) literele (a), (b), (c), (e) și (g)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 xml:space="preserve">Instituțiile raportează cerința de acoperire minimă totală pentru părțile din expunerile neperformante restructurate în urma dificultăților financiare garantate printr-o altă protecție finanțată sau nefinanțată a creditului,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și anume calculele agregate la nivel de expunere.</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sidRPr="008416EF">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Valoarea expunerii</w:t>
            </w:r>
          </w:p>
          <w:p w14:paraId="1D4AA342" w14:textId="77777777" w:rsidR="00E7212E" w:rsidRPr="002A677E" w:rsidRDefault="00E7212E" w:rsidP="00BF7D57">
            <w:pPr>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5365D678" w14:textId="4EE48D53" w:rsidR="00E7212E" w:rsidRPr="002A677E" w:rsidRDefault="00E7212E" w:rsidP="00BF7D57">
            <w:pPr>
              <w:rPr>
                <w:rFonts w:ascii="Times New Roman" w:hAnsi="Times New Roman"/>
                <w:b/>
                <w:sz w:val="24"/>
                <w:u w:val="single"/>
              </w:rPr>
            </w:pPr>
            <w:r>
              <w:rPr>
                <w:rFonts w:ascii="Times New Roman" w:hAnsi="Times New Roman"/>
                <w:sz w:val="24"/>
              </w:rPr>
              <w:t xml:space="preserve">Pentru calcularea valorii expunerii, instituțiile însumează valorile expunerilor pentru partea negarantată a expunerilor neperformante (rândul </w:t>
            </w:r>
            <w:r w:rsidRPr="008416EF">
              <w:rPr>
                <w:rFonts w:ascii="Times New Roman" w:hAnsi="Times New Roman"/>
                <w:sz w:val="24"/>
              </w:rPr>
              <w:t>0060</w:t>
            </w:r>
            <w:r>
              <w:rPr>
                <w:rFonts w:ascii="Times New Roman" w:hAnsi="Times New Roman"/>
                <w:sz w:val="24"/>
              </w:rPr>
              <w:t xml:space="preserve">), partea din expunerile neperformante garantată cu bunuri imobile sau constând dintr-un împrumut locativ garantat de către un furnizor de protecție eligibil (rândul </w:t>
            </w:r>
            <w:r w:rsidRPr="008416EF">
              <w:rPr>
                <w:rFonts w:ascii="Times New Roman" w:hAnsi="Times New Roman"/>
                <w:sz w:val="24"/>
              </w:rPr>
              <w:t>0070</w:t>
            </w:r>
            <w:r>
              <w:rPr>
                <w:rFonts w:ascii="Times New Roman" w:hAnsi="Times New Roman"/>
                <w:sz w:val="24"/>
              </w:rPr>
              <w:t>) și partea din expunerile neperformante garantată printr-o altă protecție finanțată sau nefinanțată a creditului (rândul</w:t>
            </w:r>
            <w:r w:rsidR="00071B19">
              <w:rPr>
                <w:rFonts w:ascii="Times New Roman" w:hAnsi="Times New Roman"/>
                <w:sz w:val="24"/>
              </w:rPr>
              <w:t> </w:t>
            </w:r>
            <w:r w:rsidRPr="008416EF">
              <w:rPr>
                <w:rFonts w:ascii="Times New Roman" w:hAnsi="Times New Roman"/>
                <w:sz w:val="24"/>
              </w:rPr>
              <w:t>0120</w:t>
            </w:r>
            <w:r>
              <w:rPr>
                <w:rFonts w:ascii="Times New Roman" w:hAnsi="Times New Roman"/>
                <w:sz w:val="24"/>
              </w:rPr>
              <w:t xml:space="preserve">), dacă este cazul.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sidRPr="008416EF">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Partea negarantată a expunerilor neperformante</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alineatul (</w:t>
            </w:r>
            <w:r w:rsidRPr="008416EF">
              <w:rPr>
                <w:rFonts w:ascii="Times New Roman" w:hAnsi="Times New Roman"/>
                <w:sz w:val="24"/>
              </w:rPr>
              <w:t>2</w:t>
            </w:r>
            <w:r>
              <w:rPr>
                <w:rFonts w:ascii="Times New Roman" w:hAnsi="Times New Roman"/>
                <w:sz w:val="24"/>
              </w:rPr>
              <w:t>) și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totală a expunerii pentru partea negarantată a expunerilor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în cazul cărora prima măsură de restructurare datorată dificultăților financiare a fost acordată în perioada cuprinsă între prima și ultima zi a celui de al doilea an de la clasificarea expunerii drept neperformantă (&gt; </w:t>
            </w:r>
            <w:r w:rsidRPr="008416EF">
              <w:rPr>
                <w:rFonts w:ascii="Times New Roman" w:hAnsi="Times New Roman"/>
                <w:sz w:val="24"/>
              </w:rPr>
              <w:t>1</w:t>
            </w:r>
            <w:r>
              <w:rPr>
                <w:rFonts w:ascii="Times New Roman" w:hAnsi="Times New Roman"/>
                <w:sz w:val="24"/>
              </w:rPr>
              <w:t xml:space="preserve"> an; &lt;=</w:t>
            </w:r>
            <w:r w:rsidRPr="008416EF">
              <w:rPr>
                <w:rFonts w:ascii="Times New Roman" w:hAnsi="Times New Roman"/>
                <w:sz w:val="24"/>
              </w:rPr>
              <w:t>2</w:t>
            </w:r>
            <w:r>
              <w:rPr>
                <w:rFonts w:ascii="Times New Roman" w:hAnsi="Times New Roman"/>
                <w:sz w:val="24"/>
              </w:rPr>
              <w:t xml:space="preserve"> ani).</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071B19">
            <w:pPr>
              <w:keepNext/>
              <w:rPr>
                <w:rFonts w:ascii="Times New Roman" w:hAnsi="Times New Roman"/>
                <w:sz w:val="24"/>
              </w:rPr>
            </w:pPr>
            <w:r w:rsidRPr="008416EF">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071B19">
            <w:pPr>
              <w:keepNext/>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14:paraId="6D8528EC" w14:textId="77777777" w:rsidR="00E7212E" w:rsidRPr="002A677E" w:rsidRDefault="00E7212E" w:rsidP="00071B19">
            <w:pPr>
              <w:keepNex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a alineatul (</w:t>
            </w:r>
            <w:r w:rsidRPr="008416EF">
              <w:rPr>
                <w:rFonts w:ascii="Times New Roman" w:hAnsi="Times New Roman"/>
                <w:sz w:val="24"/>
              </w:rPr>
              <w:t>2</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xml:space="preserve">) literele (a), (b), (c), (d), (f), (h) și (i)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287FCDE3" w14:textId="77777777" w:rsidR="00E7212E" w:rsidRPr="002A677E" w:rsidRDefault="00E7212E" w:rsidP="00071B19">
            <w:pPr>
              <w:keepNext/>
              <w:rPr>
                <w:rFonts w:ascii="Times New Roman" w:hAnsi="Times New Roman"/>
                <w:b/>
                <w:sz w:val="24"/>
                <w:u w:val="single"/>
              </w:rPr>
            </w:pPr>
            <w:r>
              <w:rPr>
                <w:rFonts w:ascii="Times New Roman" w:hAnsi="Times New Roman"/>
                <w:sz w:val="24"/>
              </w:rPr>
              <w:t xml:space="preserve">Instituțiile raportează valoarea totală a expunerii pentru părțile din expunerile neperformante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și care sunt garantate cu bunuri imobile în conformitate cu partea a treia titlul II din regulamentul respectiv sau care constau într-un împrumut locativ garantat de un furnizor de protecție eligibil, astfel cum se menționează la articolul </w:t>
            </w:r>
            <w:r w:rsidRPr="008416EF">
              <w:rPr>
                <w:rFonts w:ascii="Times New Roman" w:hAnsi="Times New Roman"/>
                <w:sz w:val="24"/>
              </w:rPr>
              <w:t>201</w:t>
            </w:r>
            <w:r>
              <w:rPr>
                <w:rFonts w:ascii="Times New Roman" w:hAnsi="Times New Roman"/>
                <w:sz w:val="24"/>
              </w:rPr>
              <w:t xml:space="preserve"> din același regulament.</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sidRPr="008416EF">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2</w:t>
            </w:r>
            <w:r>
              <w:rPr>
                <w:rFonts w:ascii="Times New Roman" w:hAnsi="Times New Roman"/>
                <w:b/>
                <w:sz w:val="24"/>
                <w:u w:val="single"/>
              </w:rPr>
              <w:t xml:space="preserve"> ani și &lt;= </w:t>
            </w:r>
            <w:r w:rsidRPr="008416EF">
              <w:rPr>
                <w:rFonts w:ascii="Times New Roman" w:hAnsi="Times New Roman"/>
                <w:b/>
                <w:sz w:val="24"/>
                <w:u w:val="single"/>
              </w:rPr>
              <w:t>3</w:t>
            </w:r>
            <w:r>
              <w:rPr>
                <w:rFonts w:ascii="Times New Roman" w:hAnsi="Times New Roman"/>
                <w:b/>
                <w:sz w:val="24"/>
                <w:u w:val="single"/>
              </w:rPr>
              <w:t xml:space="preserve"> ani de la clasificarea expunerii drept neperformantă</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cu bunuri imobile sau constând într-un împrumut locativ garantat de un furnizor de protecție eligibil în cazul cărora prima măsură de restructurare datorată dificultăților financiare a fost acordată în perioada cuprinsă între prima și ultima zi a celui de al treilea an de la clasificarea expunerii drept neperformantă.</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sidRPr="008416EF">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3</w:t>
            </w:r>
            <w:r>
              <w:rPr>
                <w:rFonts w:ascii="Times New Roman" w:hAnsi="Times New Roman"/>
                <w:b/>
                <w:sz w:val="24"/>
                <w:u w:val="single"/>
              </w:rPr>
              <w:t xml:space="preserve"> ani și &lt;= </w:t>
            </w:r>
            <w:r w:rsidRPr="008416EF">
              <w:rPr>
                <w:rFonts w:ascii="Times New Roman" w:hAnsi="Times New Roman"/>
                <w:b/>
                <w:sz w:val="24"/>
                <w:u w:val="single"/>
              </w:rPr>
              <w:t>4</w:t>
            </w:r>
            <w:r>
              <w:rPr>
                <w:rFonts w:ascii="Times New Roman" w:hAnsi="Times New Roman"/>
                <w:b/>
                <w:sz w:val="24"/>
                <w:u w:val="single"/>
              </w:rPr>
              <w:t xml:space="preserve"> ani de la clasificarea expunerii drept neperformantă</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cu bunuri imobile sau constând într-un împrumut locativ garantat de un furnizor de protecție eligibil în cazul cărora prima măsură de restructurare datorată dificultăților financiare a fost acordată în perioada cuprinsă între prima și ultima zi a celui de al patrulea an de la clasificarea expunerii drept neperformantă.</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sidRPr="008416EF">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4</w:t>
            </w:r>
            <w:r>
              <w:rPr>
                <w:rFonts w:ascii="Times New Roman" w:hAnsi="Times New Roman"/>
                <w:b/>
                <w:sz w:val="24"/>
                <w:u w:val="single"/>
              </w:rPr>
              <w:t xml:space="preserve"> ani și &lt;= </w:t>
            </w:r>
            <w:r w:rsidRPr="008416EF">
              <w:rPr>
                <w:rFonts w:ascii="Times New Roman" w:hAnsi="Times New Roman"/>
                <w:b/>
                <w:sz w:val="24"/>
                <w:u w:val="single"/>
              </w:rPr>
              <w:t>5</w:t>
            </w:r>
            <w:r>
              <w:rPr>
                <w:rFonts w:ascii="Times New Roman" w:hAnsi="Times New Roman"/>
                <w:b/>
                <w:sz w:val="24"/>
                <w:u w:val="single"/>
              </w:rPr>
              <w:t xml:space="preserve"> ani de la clasificarea expunerii drept neperformantă</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cu bunuri imobile sau constând într-un împrumut locativ garantat de un furnizor de protecție eligibil în cazul cărora prima măsură de restructurare datorată dificultăților financiare a fost acordată în perioada cuprinsă între prima și ultima zi a celui de al cincilea an de la clasificarea expunerii drept neperformantă.</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sidRPr="008416EF">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5</w:t>
            </w:r>
            <w:r>
              <w:rPr>
                <w:rFonts w:ascii="Times New Roman" w:hAnsi="Times New Roman"/>
                <w:b/>
                <w:sz w:val="24"/>
                <w:u w:val="single"/>
              </w:rPr>
              <w:t xml:space="preserve"> ani și &lt;= </w:t>
            </w:r>
            <w:r w:rsidRPr="008416EF">
              <w:rPr>
                <w:rFonts w:ascii="Times New Roman" w:hAnsi="Times New Roman"/>
                <w:b/>
                <w:sz w:val="24"/>
                <w:u w:val="single"/>
              </w:rPr>
              <w:t>6</w:t>
            </w:r>
            <w:r>
              <w:rPr>
                <w:rFonts w:ascii="Times New Roman" w:hAnsi="Times New Roman"/>
                <w:b/>
                <w:sz w:val="24"/>
                <w:u w:val="single"/>
              </w:rPr>
              <w:t xml:space="preserve"> ani de la clasificarea expunerii drept neperformantă</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cu bunuri imobile sau constând într-un împrumut locativ garantat de un furnizor de protecție eligibil în cazul cărora prima măsură de restructurare datorată dificultăților financiare a fost acordată în perioada cuprinsă între prima și ultima zi a celui de al șaselea an de la clasificarea expunerii drept neperformantă.</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sidRPr="008416EF">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Partea din expunerile neperformante garantată printr-o altă protecție finanțată sau nefinanțată a creditului</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1</w:t>
            </w:r>
            <w:r>
              <w:rPr>
                <w:rFonts w:ascii="Times New Roman" w:hAnsi="Times New Roman"/>
                <w:sz w:val="24"/>
              </w:rPr>
              <w:t xml:space="preserve">),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3</w:t>
            </w:r>
            <w:r>
              <w:rPr>
                <w:rFonts w:ascii="Times New Roman" w:hAnsi="Times New Roman"/>
                <w:sz w:val="24"/>
              </w:rPr>
              <w:t xml:space="preserve">) literele (a), (b), (c), (e) și (g) și articolul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lastRenderedPageBreak/>
              <w:t xml:space="preserve">Instituțiile raportează valoarea totală a expunerii pentru părțile din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printr-o altă protecție finanțată sau nefinanțată a creditului în conformitate cu partea a treia titlul II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sidRPr="008416EF">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2</w:t>
            </w:r>
            <w:r>
              <w:rPr>
                <w:rFonts w:ascii="Times New Roman" w:hAnsi="Times New Roman"/>
                <w:b/>
                <w:sz w:val="24"/>
                <w:u w:val="single"/>
              </w:rPr>
              <w:t xml:space="preserve"> ani și &lt;= </w:t>
            </w:r>
            <w:r w:rsidRPr="008416EF">
              <w:rPr>
                <w:rFonts w:ascii="Times New Roman" w:hAnsi="Times New Roman"/>
                <w:b/>
                <w:sz w:val="24"/>
                <w:u w:val="single"/>
              </w:rPr>
              <w:t>3</w:t>
            </w:r>
            <w:r>
              <w:rPr>
                <w:rFonts w:ascii="Times New Roman" w:hAnsi="Times New Roman"/>
                <w:b/>
                <w:sz w:val="24"/>
                <w:u w:val="single"/>
              </w:rPr>
              <w:t xml:space="preserve"> ani de la clasificarea expunerii drept neperformantă</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printr-o altă protecție finanțată sau nefinanțată a creditului în cazul cărora prima măsură de restructurare datorată dificultăților financiare a fost acordată în perioada cuprinsă între prima și ultima zi a celui de al treilea an de la clasificarea expunerii drept neperformantă.</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sidRPr="008416EF">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3</w:t>
            </w:r>
            <w:r>
              <w:rPr>
                <w:rFonts w:ascii="Times New Roman" w:hAnsi="Times New Roman"/>
                <w:b/>
                <w:sz w:val="24"/>
                <w:u w:val="single"/>
              </w:rPr>
              <w:t xml:space="preserve"> ani și &lt;= </w:t>
            </w:r>
            <w:r w:rsidRPr="008416EF">
              <w:rPr>
                <w:rFonts w:ascii="Times New Roman" w:hAnsi="Times New Roman"/>
                <w:b/>
                <w:sz w:val="24"/>
                <w:u w:val="single"/>
              </w:rPr>
              <w:t>4</w:t>
            </w:r>
            <w:r>
              <w:rPr>
                <w:rFonts w:ascii="Times New Roman" w:hAnsi="Times New Roman"/>
                <w:b/>
                <w:sz w:val="24"/>
                <w:u w:val="single"/>
              </w:rPr>
              <w:t xml:space="preserve"> ani de la clasificarea expunerii drept neperformantă</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printr-o altă protecție finanțată sau nefinanțată a creditului în cazul cărora prima măsură de restructurare datorată dificultăților financiare a fost acordată în perioada cuprinsă între prima și ultima zi a celui de al patrulea an de la clasificarea expunerii drept neperformantă.</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sidRPr="008416EF">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4</w:t>
            </w:r>
            <w:r>
              <w:rPr>
                <w:rFonts w:ascii="Times New Roman" w:hAnsi="Times New Roman"/>
                <w:b/>
                <w:sz w:val="24"/>
                <w:u w:val="single"/>
              </w:rPr>
              <w:t xml:space="preserve"> ani și &lt;= </w:t>
            </w:r>
            <w:r w:rsidRPr="008416EF">
              <w:rPr>
                <w:rFonts w:ascii="Times New Roman" w:hAnsi="Times New Roman"/>
                <w:b/>
                <w:sz w:val="24"/>
                <w:u w:val="single"/>
              </w:rPr>
              <w:t>5</w:t>
            </w:r>
            <w:r>
              <w:rPr>
                <w:rFonts w:ascii="Times New Roman" w:hAnsi="Times New Roman"/>
                <w:b/>
                <w:sz w:val="24"/>
                <w:u w:val="single"/>
              </w:rPr>
              <w:t xml:space="preserve"> ani de la clasificarea expunerii drept neperformantă</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xml:space="preserve">)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printr-o altă protecție finanțată sau nefinanțată a creditului în cazul cărora prima măsură de restructurare datorată dificultăților financiare a fost acordată în perioada cuprinsă între prima și ultima zi a celui de al cincilea an de la clasificarea expunerii drept neperformantă.</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sidRPr="008416EF">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&gt; </w:t>
            </w:r>
            <w:r w:rsidRPr="008416EF">
              <w:rPr>
                <w:rFonts w:ascii="Times New Roman" w:hAnsi="Times New Roman"/>
                <w:b/>
                <w:sz w:val="24"/>
                <w:u w:val="single"/>
              </w:rPr>
              <w:t>5</w:t>
            </w:r>
            <w:r>
              <w:rPr>
                <w:rFonts w:ascii="Times New Roman" w:hAnsi="Times New Roman"/>
                <w:b/>
                <w:sz w:val="24"/>
                <w:u w:val="single"/>
              </w:rPr>
              <w:t xml:space="preserve"> ani și &lt;= </w:t>
            </w:r>
            <w:r w:rsidRPr="008416EF">
              <w:rPr>
                <w:rFonts w:ascii="Times New Roman" w:hAnsi="Times New Roman"/>
                <w:b/>
                <w:sz w:val="24"/>
                <w:u w:val="single"/>
              </w:rPr>
              <w:t>6</w:t>
            </w:r>
            <w:r>
              <w:rPr>
                <w:rFonts w:ascii="Times New Roman" w:hAnsi="Times New Roman"/>
                <w:b/>
                <w:sz w:val="24"/>
                <w:u w:val="single"/>
              </w:rPr>
              <w:t xml:space="preserve"> ani de la clasificarea expunerii drept neperformantă</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w:t>
            </w:r>
            <w:r w:rsidRPr="008416EF">
              <w:rPr>
                <w:rFonts w:ascii="Times New Roman" w:hAnsi="Times New Roman"/>
                <w:sz w:val="24"/>
              </w:rPr>
              <w:t>47</w:t>
            </w:r>
            <w:r>
              <w:rPr>
                <w:rFonts w:ascii="Times New Roman" w:hAnsi="Times New Roman"/>
                <w:sz w:val="24"/>
              </w:rPr>
              <w:t>c alineatul (</w:t>
            </w:r>
            <w:r w:rsidRPr="008416EF">
              <w:rPr>
                <w:rFonts w:ascii="Times New Roman" w:hAnsi="Times New Roman"/>
                <w:sz w:val="24"/>
              </w:rPr>
              <w:t>6</w:t>
            </w:r>
            <w:r>
              <w:rPr>
                <w:rFonts w:ascii="Times New Roman" w:hAnsi="Times New Roman"/>
                <w:sz w:val="24"/>
              </w:rPr>
              <w:t>) din Regulamentul (UE) nr. </w:t>
            </w:r>
            <w:r w:rsidRPr="008416EF">
              <w:rPr>
                <w:rFonts w:ascii="Times New Roman" w:hAnsi="Times New Roman"/>
                <w:sz w:val="24"/>
              </w:rPr>
              <w:t>575</w:t>
            </w:r>
            <w:r>
              <w:rPr>
                <w:rFonts w:ascii="Times New Roman" w:hAnsi="Times New Roman"/>
                <w:sz w:val="24"/>
              </w:rPr>
              <w:t>/</w:t>
            </w:r>
            <w:r w:rsidRPr="008416EF">
              <w:rPr>
                <w:rFonts w:ascii="Times New Roman" w:hAnsi="Times New Roman"/>
                <w:sz w:val="24"/>
              </w:rPr>
              <w:t>2013</w:t>
            </w:r>
            <w:r>
              <w:rPr>
                <w:rFonts w:ascii="Times New Roman" w:hAnsi="Times New Roman"/>
                <w:sz w:val="24"/>
              </w:rPr>
              <w:t xml:space="preserve"> garantate printr-o altă protecție finanțată sau nefinanțată a creditului în cazul cărora prima măsură de restructurare datorată dificultăților financiare a fost acordată în perioada cuprinsă între prima și ultima zi a celui de al șaselea an de la clasificarea expunerii drept neperformantă.”</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71B19"/>
    <w:rsid w:val="00081E64"/>
    <w:rsid w:val="002567E9"/>
    <w:rsid w:val="003952A8"/>
    <w:rsid w:val="00483B10"/>
    <w:rsid w:val="005334A8"/>
    <w:rsid w:val="0054523A"/>
    <w:rsid w:val="006124F8"/>
    <w:rsid w:val="00613074"/>
    <w:rsid w:val="00631623"/>
    <w:rsid w:val="00644DC5"/>
    <w:rsid w:val="00655B17"/>
    <w:rsid w:val="00697C35"/>
    <w:rsid w:val="006F49DC"/>
    <w:rsid w:val="00743A25"/>
    <w:rsid w:val="00762D95"/>
    <w:rsid w:val="008416EF"/>
    <w:rsid w:val="008A07E7"/>
    <w:rsid w:val="008F5111"/>
    <w:rsid w:val="00920721"/>
    <w:rsid w:val="009549C9"/>
    <w:rsid w:val="009A1028"/>
    <w:rsid w:val="00A13F70"/>
    <w:rsid w:val="00A6002C"/>
    <w:rsid w:val="00AD1E4E"/>
    <w:rsid w:val="00AE0E53"/>
    <w:rsid w:val="00B051AC"/>
    <w:rsid w:val="00B07C9C"/>
    <w:rsid w:val="00B71F25"/>
    <w:rsid w:val="00C60464"/>
    <w:rsid w:val="00C6168C"/>
    <w:rsid w:val="00CE7E0E"/>
    <w:rsid w:val="00D04724"/>
    <w:rsid w:val="00D62A1E"/>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ro-RO"/>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4FF6A-CB1D-4470-B4E2-11AD05FFDD8C}"/>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4487</Words>
  <Characters>24954</Characters>
  <Application>Microsoft Office Word</Application>
  <DocSecurity>0</DocSecurity>
  <Lines>530</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2025-01-23T11:20:09Z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2f690ba5-e9d3-4552-a991-1a64599537c7</vt:lpwstr>
  </property>
  <property fmtid="{D5CDD505-2E9C-101B-9397-08002B2CF9AE}" pid="9" name="MSIP_Label_6bd9ddd1-4d20-43f6-abfa-fc3c07406f94_ContentBits">
    <vt:lpwstr>0</vt:lpwstr>
  </property>
</Properties>
</file>