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AFA97" w14:textId="77777777" w:rsidR="00AE0E53" w:rsidRDefault="00AE0E53" w:rsidP="00AE0E53">
      <w:pPr>
        <w:jc w:val="center"/>
        <w:rPr>
          <w:rFonts w:ascii="Times New Roman" w:hAnsi="Times New Roman"/>
          <w:sz w:val="24"/>
          <w:szCs w:val="22"/>
        </w:rPr>
      </w:pPr>
      <w:r>
        <w:rPr>
          <w:rFonts w:ascii="Times New Roman" w:hAnsi="Times New Roman"/>
          <w:sz w:val="24"/>
        </w:rPr>
        <w:t>CS</w:t>
      </w:r>
    </w:p>
    <w:p w14:paraId="681C21FC" w14:textId="77777777" w:rsidR="00AE0E53" w:rsidRDefault="00AE0E53" w:rsidP="00AE0E53">
      <w:pPr>
        <w:rPr>
          <w:rFonts w:asciiTheme="minorHAnsi" w:hAnsiTheme="minorHAnsi"/>
          <w:sz w:val="22"/>
        </w:rPr>
      </w:pPr>
    </w:p>
    <w:p w14:paraId="47ABC2AB" w14:textId="77777777" w:rsidR="00081E64" w:rsidRPr="00037E7B" w:rsidRDefault="00081E64" w:rsidP="00081E64">
      <w:pPr>
        <w:jc w:val="center"/>
        <w:rPr>
          <w:rFonts w:ascii="Times New Roman" w:hAnsi="Times New Roman"/>
          <w:sz w:val="24"/>
        </w:rPr>
      </w:pPr>
      <w:r>
        <w:rPr>
          <w:rFonts w:ascii="Times New Roman" w:hAnsi="Times New Roman"/>
          <w:sz w:val="24"/>
        </w:rPr>
        <w:t>PŘÍLOHA II</w:t>
      </w:r>
    </w:p>
    <w:p w14:paraId="2357EEF1" w14:textId="77777777" w:rsidR="00081E64" w:rsidRPr="00037E7B" w:rsidRDefault="00081E64" w:rsidP="00081E64">
      <w:pPr>
        <w:jc w:val="center"/>
        <w:rPr>
          <w:rFonts w:ascii="Times New Roman" w:hAnsi="Times New Roman"/>
          <w:sz w:val="24"/>
        </w:rPr>
      </w:pPr>
      <w:r>
        <w:rPr>
          <w:rFonts w:ascii="Times New Roman" w:hAnsi="Times New Roman"/>
          <w:sz w:val="24"/>
        </w:rPr>
        <w:t>„PŘÍLOHA II</w:t>
      </w:r>
    </w:p>
    <w:p w14:paraId="7F765EB3" w14:textId="77777777" w:rsidR="00081E64" w:rsidRPr="00037E7B" w:rsidRDefault="00081E64" w:rsidP="00081E64">
      <w:pPr>
        <w:jc w:val="center"/>
        <w:rPr>
          <w:rFonts w:ascii="Times New Roman" w:hAnsi="Times New Roman"/>
          <w:b/>
          <w:sz w:val="24"/>
        </w:rPr>
      </w:pPr>
      <w:r>
        <w:rPr>
          <w:rFonts w:ascii="Times New Roman" w:hAnsi="Times New Roman"/>
          <w:b/>
          <w:sz w:val="24"/>
        </w:rPr>
        <w:t>POKYNY PRO PODÁVÁNÍ ZPRÁV O KAPITÁLU A KAPITÁLOVÝCH POŽADAVCÍCH</w:t>
      </w:r>
    </w:p>
    <w:p w14:paraId="7B1C0058" w14:textId="77777777" w:rsidR="00081E64" w:rsidRDefault="00081E64" w:rsidP="00081E64"/>
    <w:p w14:paraId="7C4631F7" w14:textId="77777777" w:rsidR="00081E64" w:rsidRDefault="00081E64" w:rsidP="00081E64">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ČÁST II: POKYNY K VYPLŇOVÁNÍ ŠABLONY</w:t>
      </w:r>
    </w:p>
    <w:p w14:paraId="2BF7D6A1" w14:textId="77777777" w:rsidR="00081E64"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DF1A8BE" w14:textId="77777777" w:rsidR="00081E64" w:rsidRPr="00736637"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32874A85" w14:textId="5A26319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8. Krytí ztrát z nevýkonných expozic (NPE LC)</w:t>
      </w:r>
    </w:p>
    <w:p w14:paraId="0B42A092"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0" w:name="_Toc19715887"/>
      <w:bookmarkStart w:id="1" w:name="_Toc151714527"/>
      <w:r>
        <w:rPr>
          <w:rFonts w:ascii="Times New Roman" w:hAnsi="Times New Roman"/>
          <w:sz w:val="24"/>
          <w:u w:val="none"/>
        </w:rPr>
        <w:t>8.1</w:t>
      </w:r>
      <w:r>
        <w:tab/>
      </w:r>
      <w:r>
        <w:rPr>
          <w:rFonts w:ascii="Times New Roman" w:hAnsi="Times New Roman"/>
          <w:sz w:val="24"/>
          <w:u w:val="none"/>
        </w:rPr>
        <w:t>Obecné poznámky</w:t>
      </w:r>
      <w:bookmarkEnd w:id="0"/>
      <w:bookmarkEnd w:id="1"/>
      <w:r>
        <w:rPr>
          <w:rFonts w:ascii="Times New Roman" w:hAnsi="Times New Roman"/>
          <w:sz w:val="24"/>
          <w:u w:val="none"/>
        </w:rPr>
        <w:t xml:space="preserve"> </w:t>
      </w:r>
    </w:p>
    <w:p w14:paraId="1616B9C3" w14:textId="2C5A7C02" w:rsidR="00E7212E" w:rsidRPr="002A677E" w:rsidRDefault="00E7212E" w:rsidP="00E7212E">
      <w:pPr>
        <w:pStyle w:val="InstructionsText2"/>
        <w:numPr>
          <w:ilvl w:val="0"/>
          <w:numId w:val="0"/>
        </w:numPr>
        <w:ind w:left="993"/>
        <w:rPr>
          <w:noProof/>
        </w:rPr>
      </w:pPr>
      <w:r>
        <w:fldChar w:fldCharType="begin"/>
      </w:r>
      <w:r>
        <w:instrText xml:space="preserve"> seq paragraphs </w:instrText>
      </w:r>
      <w:r>
        <w:fldChar w:fldCharType="separate"/>
      </w:r>
      <w:r>
        <w:t>202</w:t>
      </w:r>
      <w:r>
        <w:fldChar w:fldCharType="end"/>
      </w:r>
      <w:r>
        <w:t xml:space="preserve">. Šablony pro krytí ztrát z nevýkonných expozic obsahují informace o nevýkonných expozicích (NPE) pro účely výpočtu požadavku </w:t>
      </w:r>
      <w:r w:rsidR="00212B93">
        <w:t xml:space="preserve">na minimální </w:t>
      </w:r>
      <w:r>
        <w:t>krytí ztrát z nevýkonných expozic podle článků 47a, 47b a 47c nařízení (EU) č. 575/2013.</w:t>
      </w:r>
    </w:p>
    <w:p w14:paraId="00E13494" w14:textId="77777777" w:rsidR="00E7212E" w:rsidRPr="002A677E" w:rsidRDefault="00E7212E" w:rsidP="00E7212E">
      <w:pPr>
        <w:pStyle w:val="InstructionsText2"/>
        <w:numPr>
          <w:ilvl w:val="0"/>
          <w:numId w:val="0"/>
        </w:numPr>
        <w:ind w:left="993"/>
      </w:pPr>
      <w:r>
        <w:fldChar w:fldCharType="begin"/>
      </w:r>
      <w:r>
        <w:instrText xml:space="preserve"> seq paragraphs </w:instrText>
      </w:r>
      <w:r>
        <w:fldChar w:fldCharType="separate"/>
      </w:r>
      <w:r>
        <w:t>203</w:t>
      </w:r>
      <w:r>
        <w:fldChar w:fldCharType="end"/>
      </w:r>
      <w:r>
        <w:t>. Blok šablon sestává ze souboru tří šablon:</w:t>
      </w:r>
    </w:p>
    <w:p w14:paraId="5AAAB0DC" w14:textId="77777777" w:rsidR="00E7212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Výpočet odpočtů u nevýkonných expozic (C 35.01): jedná se o šablonu, která poskytuje přehled o příslušné výši nedostatečného krytí vypočítané jako rozdíl mezi požadavky na celkové minimální krytí pro nevýkonné expozice a celkovými rezervami a úpravami nebo odpočty, které již byly provedeny. Šablona zahrnuje jak nevýkonné expozice, u nichž nebyla poskytnuta úleva, tak nevýkonné expozice s úlevou.</w:t>
      </w:r>
    </w:p>
    <w:p w14:paraId="614FD05F" w14:textId="7C74AE21" w:rsidR="00E7212E" w:rsidRPr="002A677E" w:rsidRDefault="00212B93" w:rsidP="00E7212E">
      <w:pPr>
        <w:pStyle w:val="ListParagraph"/>
        <w:numPr>
          <w:ilvl w:val="0"/>
          <w:numId w:val="3"/>
        </w:numPr>
        <w:ind w:left="1077" w:hanging="357"/>
        <w:rPr>
          <w:rFonts w:ascii="Times New Roman" w:hAnsi="Times New Roman"/>
          <w:sz w:val="24"/>
        </w:rPr>
      </w:pPr>
      <w:r>
        <w:rPr>
          <w:rFonts w:ascii="Times New Roman" w:hAnsi="Times New Roman"/>
          <w:sz w:val="24"/>
        </w:rPr>
        <w:t>P</w:t>
      </w:r>
      <w:r w:rsidR="00E7212E">
        <w:rPr>
          <w:rFonts w:ascii="Times New Roman" w:hAnsi="Times New Roman"/>
          <w:sz w:val="24"/>
        </w:rPr>
        <w:t xml:space="preserve">ožadavky na </w:t>
      </w:r>
      <w:r>
        <w:rPr>
          <w:rFonts w:ascii="Times New Roman" w:hAnsi="Times New Roman"/>
          <w:sz w:val="24"/>
        </w:rPr>
        <w:t xml:space="preserve">minimální </w:t>
      </w:r>
      <w:r w:rsidR="00E7212E">
        <w:rPr>
          <w:rFonts w:ascii="Times New Roman" w:hAnsi="Times New Roman"/>
          <w:sz w:val="24"/>
        </w:rPr>
        <w:t>krytí a hodnoty nevýkonných expozic, s výjimkou expozic s úlevou, na něž se vztahuje čl. 47c odst. 6 nařízení (EU) č. 575/2013 (C 35.02): v této šabloně se vypočítají požadavky na celkové minimální krytí pro nevýkonné expozice, které nejsou nevýkonnými expozicemi s úlevou, na něž se vztahuje čl. 47c odst. 6 nařízení (EU) č. 575/2013, a jsou v ní uvedeny faktory, které se použijí na hodnoty expozic pro účely tohoto výpočtu, a to s ohledem na to, zda je expozice zajištěná nebo nezajištěná, a s ohledem na dobu, která uplynula od okamžiku, kdy se expozice stala nevýkonnou.</w:t>
      </w:r>
    </w:p>
    <w:p w14:paraId="4DF9B9C2" w14:textId="4A5AB790" w:rsidR="00E7212E" w:rsidRPr="002A677E" w:rsidRDefault="00212B93" w:rsidP="00E7212E">
      <w:pPr>
        <w:pStyle w:val="ListParagraph"/>
        <w:numPr>
          <w:ilvl w:val="0"/>
          <w:numId w:val="3"/>
        </w:numPr>
        <w:spacing w:line="276" w:lineRule="auto"/>
        <w:ind w:left="1077" w:hanging="357"/>
        <w:rPr>
          <w:rFonts w:ascii="Times New Roman" w:hAnsi="Times New Roman"/>
          <w:sz w:val="24"/>
        </w:rPr>
      </w:pPr>
      <w:r>
        <w:rPr>
          <w:rFonts w:ascii="Times New Roman" w:hAnsi="Times New Roman"/>
          <w:sz w:val="24"/>
        </w:rPr>
        <w:t>P</w:t>
      </w:r>
      <w:r w:rsidR="00E7212E">
        <w:rPr>
          <w:rFonts w:ascii="Times New Roman" w:hAnsi="Times New Roman"/>
          <w:sz w:val="24"/>
        </w:rPr>
        <w:t xml:space="preserve">ožadavky na </w:t>
      </w:r>
      <w:r>
        <w:rPr>
          <w:rFonts w:ascii="Times New Roman" w:hAnsi="Times New Roman"/>
          <w:sz w:val="24"/>
        </w:rPr>
        <w:t xml:space="preserve">minimální </w:t>
      </w:r>
      <w:r w:rsidR="00E7212E">
        <w:rPr>
          <w:rFonts w:ascii="Times New Roman" w:hAnsi="Times New Roman"/>
          <w:sz w:val="24"/>
        </w:rPr>
        <w:t xml:space="preserve">krytí a hodnoty expozic nevýkonných expozic s úlevou, na něž se vztahuje čl. 47c odst. 6 nařízení (EU) č. 575/2013 (C 35.03): v této šabloně se vypočítají celkové požadavky na </w:t>
      </w:r>
      <w:r>
        <w:rPr>
          <w:rFonts w:ascii="Times New Roman" w:hAnsi="Times New Roman"/>
          <w:sz w:val="24"/>
        </w:rPr>
        <w:t xml:space="preserve">minimální </w:t>
      </w:r>
      <w:r w:rsidR="00E7212E">
        <w:rPr>
          <w:rFonts w:ascii="Times New Roman" w:hAnsi="Times New Roman"/>
          <w:sz w:val="24"/>
        </w:rPr>
        <w:t xml:space="preserve">krytí pro nevýkonné expozice s úlevou, na něž se vztahuje čl. 47c odst. 6 nařízení (EU) č. 575/2013, a jsou v ní uvedeny faktory, které se použijí na hodnoty expozic pro účely tohoto výpočtu, a to s ohledem na to, zda je expozice zajištěná, nebo nezajištěná, a s ohledem na dobu, která uplynula od okamžiku, kdy se expozice stala nevýkonnou. </w:t>
      </w:r>
    </w:p>
    <w:p w14:paraId="00581AE0" w14:textId="6EF53D3E" w:rsidR="00E7212E" w:rsidRPr="002A677E" w:rsidRDefault="00E7212E" w:rsidP="00E7212E">
      <w:pPr>
        <w:pStyle w:val="InstructionsText2"/>
        <w:numPr>
          <w:ilvl w:val="0"/>
          <w:numId w:val="0"/>
        </w:numPr>
        <w:ind w:left="993"/>
      </w:pPr>
      <w:r>
        <w:fldChar w:fldCharType="begin"/>
      </w:r>
      <w:r>
        <w:instrText xml:space="preserve"> seq paragraphs </w:instrText>
      </w:r>
      <w:r>
        <w:fldChar w:fldCharType="separate"/>
      </w:r>
      <w:r>
        <w:t>204</w:t>
      </w:r>
      <w:r>
        <w:fldChar w:fldCharType="end"/>
      </w:r>
      <w:r>
        <w:t xml:space="preserve">. Požadavek na minimální krytí ztrát u nevýkonných expozic se vztahuje na i) expozice vzniklé dne 26. dubna 2019 a po tomto datu, které se stanou nevýkonnými, a </w:t>
      </w:r>
      <w:proofErr w:type="spellStart"/>
      <w:r>
        <w:t>ii</w:t>
      </w:r>
      <w:proofErr w:type="spellEnd"/>
      <w:r>
        <w:t xml:space="preserve">) expozice vzniklé před 26. dubnem 2019, které byly po tomto datu upraveny tak, </w:t>
      </w:r>
      <w:r>
        <w:lastRenderedPageBreak/>
        <w:t>že se zvýšila hodnota expozice vůči dlužníkovi (článek 469a nařízení (EU) č. 575/2013), které se stanou nevýkonnými. V souladu s čl. 47c odst. 4a nařízení (EU) č. 575/2013 se požadavek na minimální krytí ztrát nevztahuje na část nevýkonných expozic zaručených nebo pojištěných státní vývozní úvěrovou agenturou.</w:t>
      </w:r>
    </w:p>
    <w:p w14:paraId="4F0BBD38" w14:textId="189C72BE" w:rsidR="00E7212E" w:rsidRPr="002A677E" w:rsidRDefault="00E7212E" w:rsidP="00E7212E">
      <w:pPr>
        <w:pStyle w:val="InstructionsText2"/>
        <w:numPr>
          <w:ilvl w:val="0"/>
          <w:numId w:val="0"/>
        </w:numPr>
        <w:ind w:left="993"/>
      </w:pPr>
      <w:r>
        <w:fldChar w:fldCharType="begin"/>
      </w:r>
      <w:r>
        <w:instrText xml:space="preserve"> seq paragraphs </w:instrText>
      </w:r>
      <w:r>
        <w:fldChar w:fldCharType="separate"/>
      </w:r>
      <w:r>
        <w:t>205</w:t>
      </w:r>
      <w:r>
        <w:fldChar w:fldCharType="end"/>
      </w:r>
      <w:r>
        <w:t xml:space="preserve">. Instituce vypočítají odpočty pro nevýkonné expozice v souladu s čl. 47c odst. 1 písm. a) a b) nařízení (EU) č. 575/2013, včetně výpočtu požadavků na </w:t>
      </w:r>
      <w:r w:rsidR="00212B93">
        <w:t xml:space="preserve">minimální </w:t>
      </w:r>
      <w:r>
        <w:t>krytí a celkových rezerv a úprav nebo odpočtů, a to na úrovni jednotlivých expozic („ve spojení s transakcí“), a nikoli na úrovni dlužníka nebo portfolia.</w:t>
      </w:r>
    </w:p>
    <w:p w14:paraId="1066EFE1" w14:textId="532FD865" w:rsidR="00E7212E" w:rsidRPr="002A677E" w:rsidRDefault="00E7212E" w:rsidP="00E7212E">
      <w:pPr>
        <w:pStyle w:val="InstructionsText2"/>
        <w:numPr>
          <w:ilvl w:val="0"/>
          <w:numId w:val="0"/>
        </w:numPr>
        <w:ind w:left="993"/>
        <w:rPr>
          <w:noProof/>
        </w:rPr>
      </w:pPr>
      <w:r>
        <w:fldChar w:fldCharType="begin"/>
      </w:r>
      <w:r>
        <w:instrText xml:space="preserve"> seq paragraphs </w:instrText>
      </w:r>
      <w:r>
        <w:fldChar w:fldCharType="separate"/>
      </w:r>
      <w:r>
        <w:t>206</w:t>
      </w:r>
      <w:r>
        <w:fldChar w:fldCharType="end"/>
      </w:r>
      <w:r>
        <w:t xml:space="preserve">. Pro účely výpočtu odpočtů u nevýkonných expozic instituce rozlišují mezi nezajištěnou a zajištěnou částí nevýkonné expozice v souladu s čl. 47c odst. 1 nařízení (EU) č. 575/2013. Za tímto účelem instituce vykazují hodnoty expozic a požadavky na </w:t>
      </w:r>
      <w:r w:rsidR="00212B93">
        <w:t xml:space="preserve">minimální </w:t>
      </w:r>
      <w:r>
        <w:t>krytí zvlášť pro nezajištěnou část nevýkonných expozic a pro zajištěnou část nevýkonných expozic.</w:t>
      </w:r>
    </w:p>
    <w:bookmarkStart w:id="2" w:name="_Toc522019774"/>
    <w:p w14:paraId="782A124B" w14:textId="6A8636B1" w:rsidR="00C6168C" w:rsidRDefault="00E7212E" w:rsidP="002567E9">
      <w:pPr>
        <w:pStyle w:val="InstructionsText2"/>
        <w:numPr>
          <w:ilvl w:val="0"/>
          <w:numId w:val="0"/>
        </w:numPr>
        <w:ind w:left="993"/>
        <w:rPr>
          <w:noProof/>
        </w:rPr>
      </w:pPr>
      <w:r>
        <w:fldChar w:fldCharType="begin"/>
      </w:r>
      <w:r>
        <w:instrText xml:space="preserve"> seq paragraphs </w:instrText>
      </w:r>
      <w:r>
        <w:fldChar w:fldCharType="separate"/>
      </w:r>
      <w:r>
        <w:t>207</w:t>
      </w:r>
      <w:r>
        <w:fldChar w:fldCharType="end"/>
      </w:r>
      <w:r>
        <w:t xml:space="preserve">. Pro účely přiřazení příslušných použitelných faktorů a výpočtu požadavků na </w:t>
      </w:r>
      <w:r w:rsidR="00212B93">
        <w:t xml:space="preserve">minimální </w:t>
      </w:r>
      <w:r>
        <w:t xml:space="preserve">krytí instituce klasifikují zajištěnou část nevýkonných expozic v závislosti na druhu zajištění úvěrového rizika v souladu s čl. 47c odst. 3 nařízení (EU) č. 575/2013 takto: i) „zajištěna nemovitostmi nebo úvěrem na obytné nemovitosti zaručeným způsobilým poskytovatelem zajištění uvedeným v článku 201“, </w:t>
      </w:r>
      <w:proofErr w:type="spellStart"/>
      <w:r>
        <w:t>ii</w:t>
      </w:r>
      <w:proofErr w:type="spellEnd"/>
      <w:r>
        <w:t xml:space="preserve">) „zajištěna jiným majetkovým nebo osobním zajištěním úvěrového rizika“ nebo </w:t>
      </w:r>
      <w:proofErr w:type="spellStart"/>
      <w:r>
        <w:t>iii</w:t>
      </w:r>
      <w:proofErr w:type="spellEnd"/>
      <w:r>
        <w:t>) „na kterou se vztahuje záruka nebo protizáruka vystavená způsobilým poskytovatelem zajištění“. Je-li nevýkonná expozice zajištěna více než jedním druhem zajištění úvěrového rizika, její hodnota expozice se přiřadí podle kvality zajištění úvěrového rizika, počínaje zajištěním nejlepší kvality.</w:t>
      </w:r>
    </w:p>
    <w:p w14:paraId="2778C954" w14:textId="1C8C1115" w:rsidR="00C6168C" w:rsidRPr="00C6168C" w:rsidRDefault="00C6168C" w:rsidP="00C6168C">
      <w:pPr>
        <w:pStyle w:val="InstructionsText2"/>
        <w:numPr>
          <w:ilvl w:val="0"/>
          <w:numId w:val="0"/>
        </w:numPr>
        <w:ind w:left="993"/>
        <w:rPr>
          <w:noProof/>
        </w:rPr>
      </w:pPr>
      <w:r>
        <w:t xml:space="preserve">207a.  V souladu s čl. 36 odst. 5 nařízení (EU) č. 575/2013 vykazují specializované subjekty pro restrukturalizaci dluhu všechny relevantní expozice včetně nevýkonných expozic zakoupených těmito institucemi v šablonách C35.01 až C35.03 a příslušné nedostatečné krytí nakoupené části vykazují jako nulu v řádku 0010 šablony C35.01. </w:t>
      </w:r>
    </w:p>
    <w:p w14:paraId="580D4721" w14:textId="5FD06AB7" w:rsidR="00E7212E" w:rsidRPr="002A677E" w:rsidRDefault="00E7212E" w:rsidP="002567E9">
      <w:pPr>
        <w:pStyle w:val="InstructionsText2"/>
        <w:numPr>
          <w:ilvl w:val="0"/>
          <w:numId w:val="0"/>
        </w:numPr>
        <w:ind w:left="993"/>
        <w:rPr>
          <w:noProof/>
        </w:rPr>
      </w:pPr>
    </w:p>
    <w:p w14:paraId="106EA644"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3" w:name="_Toc19715888"/>
      <w:bookmarkStart w:id="4" w:name="_Toc151714528"/>
      <w:r>
        <w:rPr>
          <w:rFonts w:ascii="Times New Roman" w:hAnsi="Times New Roman"/>
          <w:sz w:val="24"/>
          <w:u w:val="none"/>
        </w:rPr>
        <w:t xml:space="preserve">8.2 C 35.01 – </w:t>
      </w:r>
      <w:bookmarkEnd w:id="2"/>
      <w:r>
        <w:rPr>
          <w:rFonts w:ascii="Times New Roman" w:hAnsi="Times New Roman"/>
          <w:sz w:val="24"/>
          <w:u w:val="none"/>
        </w:rPr>
        <w:t>VÝPOČET ODPOČTŮ U NEVÝKONNÝCH EXPOZIC (NPE LC1)</w:t>
      </w:r>
      <w:bookmarkEnd w:id="3"/>
      <w:bookmarkEnd w:id="4"/>
    </w:p>
    <w:p w14:paraId="7FED3A0B"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5" w:name="_Toc151714529"/>
      <w:r>
        <w:rPr>
          <w:rFonts w:ascii="Times New Roman" w:hAnsi="Times New Roman"/>
          <w:sz w:val="24"/>
        </w:rPr>
        <w:t>Pokyny pro konkrétní pozice</w:t>
      </w:r>
      <w:bookmarkEnd w:id="5"/>
    </w:p>
    <w:p w14:paraId="4AD8B2CE" w14:textId="77777777" w:rsidR="00E7212E" w:rsidRPr="002A677E" w:rsidRDefault="00E7212E" w:rsidP="00E7212E">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3298809"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6505795" w14:textId="77777777" w:rsidR="00E7212E" w:rsidRPr="002A677E" w:rsidRDefault="00E7212E" w:rsidP="00BF7D57">
            <w:pPr>
              <w:rPr>
                <w:rFonts w:ascii="Times New Roman" w:hAnsi="Times New Roman"/>
                <w:sz w:val="24"/>
              </w:rPr>
            </w:pPr>
            <w:bookmarkStart w:id="6" w:name="_Toc19715889"/>
            <w:r>
              <w:rPr>
                <w:rFonts w:ascii="Times New Roman" w:hAnsi="Times New Roman"/>
                <w:sz w:val="24"/>
              </w:rPr>
              <w:t>Sloupce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33CEBAA" w14:textId="77777777" w:rsidR="00E7212E" w:rsidRPr="002A677E" w:rsidRDefault="00E7212E" w:rsidP="00BF7D57">
            <w:pPr>
              <w:rPr>
                <w:rFonts w:ascii="Times New Roman" w:hAnsi="Times New Roman"/>
                <w:sz w:val="24"/>
              </w:rPr>
            </w:pPr>
            <w:r>
              <w:rPr>
                <w:rFonts w:ascii="Times New Roman" w:hAnsi="Times New Roman"/>
                <w:sz w:val="24"/>
              </w:rPr>
              <w:t>Pokyny</w:t>
            </w:r>
          </w:p>
        </w:tc>
      </w:tr>
      <w:tr w:rsidR="00E7212E" w:rsidRPr="002A677E" w14:paraId="2C9D21A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7B54B2B6" w14:textId="77777777" w:rsidR="00E7212E" w:rsidRPr="002A677E" w:rsidRDefault="00E7212E" w:rsidP="00BF7D57">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7B58E11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Čas, který uplynul od okamžiku, kdy expozice byly klasifikovány jako nevýkonné</w:t>
            </w:r>
          </w:p>
          <w:p w14:paraId="1BC0C5B7" w14:textId="77777777" w:rsidR="00E7212E" w:rsidRPr="002A677E" w:rsidRDefault="00E7212E" w:rsidP="00BF7D57">
            <w:pPr>
              <w:rPr>
                <w:rFonts w:ascii="Times New Roman" w:hAnsi="Times New Roman"/>
                <w:sz w:val="24"/>
              </w:rPr>
            </w:pPr>
            <w:r>
              <w:rPr>
                <w:rFonts w:ascii="Times New Roman" w:hAnsi="Times New Roman"/>
                <w:sz w:val="24"/>
              </w:rPr>
              <w:t xml:space="preserve">„Časem, který uplynul od okamžiku, kdy expozice byly klasifikovány jako nevýkonné“, se rozumí doba (v letech), která uplynula mezi okamžikem, kdy expozice byla klasifikována jako nevýkonná, a referenčním datem vykazování. V případě nakoupených nevýkonných expozic začíná lhůta (v letech) běžet ode dne, kdy byly expozice původně klasifikovány jako nevýkonné, a nikoli ode dne jejich nabytí. </w:t>
            </w:r>
          </w:p>
          <w:p w14:paraId="4D6DCF87" w14:textId="77777777" w:rsidR="00E7212E" w:rsidRPr="002A677E" w:rsidRDefault="00E7212E" w:rsidP="00BF7D57">
            <w:pPr>
              <w:rPr>
                <w:rFonts w:ascii="Times New Roman" w:hAnsi="Times New Roman"/>
                <w:sz w:val="24"/>
              </w:rPr>
            </w:pPr>
            <w:r>
              <w:rPr>
                <w:rFonts w:ascii="Times New Roman" w:hAnsi="Times New Roman"/>
                <w:sz w:val="24"/>
              </w:rPr>
              <w:lastRenderedPageBreak/>
              <w:t>Instituce vykazují údaje o expozicích, u nichž referenční datum spadá do časového intervalu odpovídajícího době (v letech) uplynulé od okamžiku, kdy expozice byly klasifikovány jako nevýkonné, bez ohledu na uplatnění opatření týkajících se úlevy.</w:t>
            </w:r>
          </w:p>
          <w:p w14:paraId="08BF43EA" w14:textId="77777777" w:rsidR="00E7212E" w:rsidRPr="002A677E" w:rsidRDefault="00E7212E" w:rsidP="00BF7D57">
            <w:pPr>
              <w:rPr>
                <w:rFonts w:ascii="Times New Roman" w:hAnsi="Times New Roman"/>
                <w:sz w:val="24"/>
              </w:rPr>
            </w:pPr>
            <w:r>
              <w:rPr>
                <w:rFonts w:ascii="Times New Roman" w:hAnsi="Times New Roman"/>
                <w:sz w:val="24"/>
              </w:rPr>
              <w:t>V časovém intervalu „&gt; X rok(ů), &lt;= Y rok(ů)“ instituce vykazují údaje o expozicích, u nichž referenční datum odpovídá období mezi prvním a posledním dnem roku Y po klasifikaci těchto expozic jako nevýkonných.</w:t>
            </w:r>
          </w:p>
        </w:tc>
      </w:tr>
      <w:tr w:rsidR="00E7212E" w:rsidRPr="002A677E" w14:paraId="2FAB9F31" w14:textId="77777777" w:rsidTr="00BF7D57">
        <w:tc>
          <w:tcPr>
            <w:tcW w:w="1188" w:type="dxa"/>
            <w:tcBorders>
              <w:top w:val="single" w:sz="4" w:space="0" w:color="auto"/>
              <w:left w:val="single" w:sz="4" w:space="0" w:color="auto"/>
              <w:bottom w:val="single" w:sz="4" w:space="0" w:color="auto"/>
              <w:right w:val="single" w:sz="4" w:space="0" w:color="auto"/>
            </w:tcBorders>
          </w:tcPr>
          <w:p w14:paraId="231FEB1E" w14:textId="77777777" w:rsidR="00E7212E" w:rsidRPr="002A677E" w:rsidRDefault="00E7212E" w:rsidP="00BF7D57">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A8B9845"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Celkem</w:t>
            </w:r>
          </w:p>
          <w:p w14:paraId="785D55A5" w14:textId="77777777" w:rsidR="00E7212E" w:rsidRPr="002A677E" w:rsidRDefault="00E7212E" w:rsidP="00BF7D57">
            <w:pPr>
              <w:rPr>
                <w:rFonts w:ascii="Times New Roman" w:hAnsi="Times New Roman"/>
                <w:sz w:val="24"/>
              </w:rPr>
            </w:pPr>
            <w:r>
              <w:rPr>
                <w:rFonts w:ascii="Times New Roman" w:hAnsi="Times New Roman"/>
                <w:sz w:val="24"/>
              </w:rPr>
              <w:t>Instituce vykazují součet všech sloupců od 0010 do 0100.</w:t>
            </w:r>
          </w:p>
        </w:tc>
      </w:tr>
    </w:tbl>
    <w:p w14:paraId="6606E534" w14:textId="77777777" w:rsidR="00E7212E" w:rsidRPr="002A677E"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6F33990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6"/>
          <w:p w14:paraId="3193E3E4" w14:textId="77777777" w:rsidR="00E7212E" w:rsidRPr="002A677E" w:rsidRDefault="00E7212E" w:rsidP="00BF7D57">
            <w:pPr>
              <w:rPr>
                <w:rFonts w:ascii="Times New Roman" w:hAnsi="Times New Roman"/>
                <w:sz w:val="24"/>
              </w:rPr>
            </w:pPr>
            <w:r>
              <w:rPr>
                <w:rFonts w:ascii="Times New Roman" w:hAnsi="Times New Roman"/>
                <w:sz w:val="24"/>
              </w:rPr>
              <w:t>Řádky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19A802A" w14:textId="77777777" w:rsidR="00E7212E" w:rsidRPr="002A677E" w:rsidRDefault="00E7212E" w:rsidP="00BF7D57">
            <w:pPr>
              <w:rPr>
                <w:rFonts w:ascii="Times New Roman" w:hAnsi="Times New Roman"/>
                <w:sz w:val="24"/>
              </w:rPr>
            </w:pPr>
            <w:r>
              <w:rPr>
                <w:rFonts w:ascii="Times New Roman" w:hAnsi="Times New Roman"/>
                <w:sz w:val="24"/>
              </w:rPr>
              <w:t>Pokyny</w:t>
            </w:r>
          </w:p>
        </w:tc>
      </w:tr>
      <w:tr w:rsidR="00E7212E" w:rsidRPr="002A677E" w14:paraId="4E93765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982B694"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6A30A2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Příslušná výše nedostatečného krytí</w:t>
            </w:r>
          </w:p>
          <w:p w14:paraId="07CA6C51" w14:textId="77777777" w:rsidR="00E7212E" w:rsidRPr="002A677E" w:rsidRDefault="00E7212E" w:rsidP="00BF7D57">
            <w:pPr>
              <w:rPr>
                <w:rFonts w:ascii="Times New Roman" w:hAnsi="Times New Roman"/>
                <w:sz w:val="24"/>
              </w:rPr>
            </w:pPr>
            <w:r>
              <w:rPr>
                <w:rFonts w:ascii="Times New Roman" w:hAnsi="Times New Roman"/>
                <w:sz w:val="24"/>
              </w:rPr>
              <w:t>Ustanovení čl. 47c odst. 1 nařízení (EU) č. 575/2013</w:t>
            </w:r>
          </w:p>
          <w:p w14:paraId="7BAA1E96" w14:textId="77777777" w:rsidR="00E7212E" w:rsidRPr="002A677E" w:rsidRDefault="00E7212E" w:rsidP="00BF7D57">
            <w:pPr>
              <w:rPr>
                <w:rFonts w:ascii="Times New Roman" w:hAnsi="Times New Roman"/>
                <w:sz w:val="24"/>
              </w:rPr>
            </w:pPr>
            <w:r>
              <w:rPr>
                <w:rFonts w:ascii="Times New Roman" w:hAnsi="Times New Roman"/>
                <w:sz w:val="24"/>
              </w:rPr>
              <w:t>Pro výpočet příslušné výše nedostatečného krytí instituce odečtou celkové rezervy a úpravy nebo odpočty (omezené stropem) (řádek 0080) od požadavku na celkové minimální krytí pro nevýkonné expozice (řádek 0020).</w:t>
            </w:r>
          </w:p>
          <w:p w14:paraId="4864656A" w14:textId="5DE2BE38" w:rsidR="006124F8" w:rsidRPr="002A677E" w:rsidRDefault="00E7212E" w:rsidP="00BF7D57">
            <w:pPr>
              <w:rPr>
                <w:rFonts w:ascii="Times New Roman" w:hAnsi="Times New Roman"/>
                <w:sz w:val="24"/>
              </w:rPr>
            </w:pPr>
            <w:r>
              <w:rPr>
                <w:rFonts w:ascii="Times New Roman" w:hAnsi="Times New Roman"/>
                <w:sz w:val="24"/>
              </w:rPr>
              <w:t>Příslušná výše nedostatečného krytí (tj. deficit v požadavku na celkové minimální krytí pro nevýkonné expozice) se rovná nule nebo je vyšší než nula.</w:t>
            </w:r>
          </w:p>
        </w:tc>
      </w:tr>
      <w:tr w:rsidR="00E7212E" w:rsidRPr="002A677E" w14:paraId="3B92E92C" w14:textId="77777777" w:rsidTr="00BF7D57">
        <w:tc>
          <w:tcPr>
            <w:tcW w:w="1188" w:type="dxa"/>
            <w:tcBorders>
              <w:top w:val="single" w:sz="4" w:space="0" w:color="auto"/>
              <w:left w:val="single" w:sz="4" w:space="0" w:color="auto"/>
              <w:bottom w:val="single" w:sz="4" w:space="0" w:color="auto"/>
              <w:right w:val="single" w:sz="4" w:space="0" w:color="auto"/>
            </w:tcBorders>
          </w:tcPr>
          <w:p w14:paraId="0A2FB17D"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62B8BFA1" w14:textId="6CB376C3" w:rsidR="00E7212E" w:rsidRPr="002A677E" w:rsidRDefault="00212B93" w:rsidP="00BF7D57">
            <w:pPr>
              <w:rPr>
                <w:rFonts w:ascii="Times New Roman" w:hAnsi="Times New Roman"/>
                <w:b/>
                <w:sz w:val="24"/>
                <w:u w:val="single"/>
              </w:rPr>
            </w:pPr>
            <w:r>
              <w:rPr>
                <w:rFonts w:ascii="Times New Roman" w:hAnsi="Times New Roman"/>
                <w:b/>
                <w:sz w:val="24"/>
                <w:u w:val="single"/>
              </w:rPr>
              <w:t>P</w:t>
            </w:r>
            <w:r w:rsidR="00E7212E">
              <w:rPr>
                <w:rFonts w:ascii="Times New Roman" w:hAnsi="Times New Roman"/>
                <w:b/>
                <w:sz w:val="24"/>
                <w:u w:val="single"/>
              </w:rPr>
              <w:t xml:space="preserve">ožadavek na </w:t>
            </w:r>
            <w:r>
              <w:rPr>
                <w:rFonts w:ascii="Times New Roman" w:hAnsi="Times New Roman"/>
                <w:b/>
                <w:sz w:val="24"/>
                <w:u w:val="single"/>
              </w:rPr>
              <w:t xml:space="preserve">celkové </w:t>
            </w:r>
            <w:r w:rsidR="007A7559">
              <w:rPr>
                <w:rFonts w:ascii="Times New Roman" w:hAnsi="Times New Roman"/>
                <w:b/>
                <w:sz w:val="24"/>
                <w:u w:val="single"/>
              </w:rPr>
              <w:t xml:space="preserve">minimální </w:t>
            </w:r>
            <w:r w:rsidR="00E7212E">
              <w:rPr>
                <w:rFonts w:ascii="Times New Roman" w:hAnsi="Times New Roman"/>
                <w:b/>
                <w:sz w:val="24"/>
                <w:u w:val="single"/>
              </w:rPr>
              <w:t>krytí pro nevýkonné expozice</w:t>
            </w:r>
          </w:p>
          <w:p w14:paraId="649C7EAB" w14:textId="77777777" w:rsidR="00E7212E" w:rsidRPr="002A677E" w:rsidRDefault="00E7212E" w:rsidP="00BF7D57">
            <w:pPr>
              <w:rPr>
                <w:rFonts w:ascii="Times New Roman" w:hAnsi="Times New Roman"/>
                <w:sz w:val="24"/>
              </w:rPr>
            </w:pPr>
            <w:r>
              <w:rPr>
                <w:rFonts w:ascii="Times New Roman" w:hAnsi="Times New Roman"/>
                <w:sz w:val="24"/>
              </w:rPr>
              <w:t>Ustanovení čl. 47c odst. 1 písm. a) nařízení (EU) č. 575/2013</w:t>
            </w:r>
          </w:p>
          <w:p w14:paraId="62B457A3" w14:textId="0411E961" w:rsidR="00E7212E" w:rsidRPr="002A677E" w:rsidRDefault="00E7212E" w:rsidP="00BF7D57">
            <w:pPr>
              <w:rPr>
                <w:rFonts w:ascii="Times New Roman" w:hAnsi="Times New Roman"/>
                <w:sz w:val="24"/>
              </w:rPr>
            </w:pPr>
            <w:r>
              <w:rPr>
                <w:rFonts w:ascii="Times New Roman" w:hAnsi="Times New Roman"/>
                <w:sz w:val="24"/>
              </w:rPr>
              <w:t xml:space="preserve">Pro výpočet požadavku na celkové minimální krytí pro nevýkonné expozice instituce sečtou požadavek na </w:t>
            </w:r>
            <w:r w:rsidR="00212B93">
              <w:rPr>
                <w:rFonts w:ascii="Times New Roman" w:hAnsi="Times New Roman"/>
                <w:sz w:val="24"/>
              </w:rPr>
              <w:t xml:space="preserve">minimální </w:t>
            </w:r>
            <w:r>
              <w:rPr>
                <w:rFonts w:ascii="Times New Roman" w:hAnsi="Times New Roman"/>
                <w:sz w:val="24"/>
              </w:rPr>
              <w:t xml:space="preserve">krytí pro nezajištěnou část nevýkonných expozic (řádek 0030) a pro zajištěnou část nevýkonných expozic (řádek 0040). </w:t>
            </w:r>
          </w:p>
        </w:tc>
      </w:tr>
      <w:tr w:rsidR="00E7212E" w:rsidRPr="002A677E" w14:paraId="1AD58A08" w14:textId="77777777" w:rsidTr="00BF7D57">
        <w:tc>
          <w:tcPr>
            <w:tcW w:w="1188" w:type="dxa"/>
            <w:tcBorders>
              <w:top w:val="single" w:sz="4" w:space="0" w:color="auto"/>
              <w:left w:val="single" w:sz="4" w:space="0" w:color="auto"/>
              <w:bottom w:val="single" w:sz="4" w:space="0" w:color="auto"/>
              <w:right w:val="single" w:sz="4" w:space="0" w:color="auto"/>
            </w:tcBorders>
          </w:tcPr>
          <w:p w14:paraId="0E08187A"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79FAB7A" w14:textId="77777777" w:rsidR="00E7212E" w:rsidRPr="002A677E" w:rsidRDefault="00E7212E" w:rsidP="00BF7D57">
            <w:pPr>
              <w:rPr>
                <w:rFonts w:ascii="Times New Roman" w:hAnsi="Times New Roman"/>
                <w:sz w:val="24"/>
              </w:rPr>
            </w:pPr>
            <w:r>
              <w:rPr>
                <w:rFonts w:ascii="Times New Roman" w:hAnsi="Times New Roman"/>
                <w:b/>
                <w:sz w:val="24"/>
                <w:u w:val="single"/>
              </w:rPr>
              <w:t>Nezajištěná část nevýkonných expozic</w:t>
            </w:r>
            <w:r>
              <w:rPr>
                <w:rFonts w:ascii="Times New Roman" w:hAnsi="Times New Roman"/>
                <w:sz w:val="24"/>
              </w:rPr>
              <w:t xml:space="preserve"> </w:t>
            </w:r>
          </w:p>
          <w:p w14:paraId="73825922" w14:textId="77777777" w:rsidR="00E7212E" w:rsidRPr="002A677E" w:rsidRDefault="00E7212E" w:rsidP="00BF7D57">
            <w:pPr>
              <w:rPr>
                <w:rFonts w:ascii="Times New Roman" w:hAnsi="Times New Roman"/>
                <w:sz w:val="24"/>
              </w:rPr>
            </w:pPr>
            <w:r>
              <w:rPr>
                <w:rFonts w:ascii="Times New Roman" w:hAnsi="Times New Roman"/>
                <w:sz w:val="24"/>
              </w:rPr>
              <w:t>Ustanovení čl. 47c odst. 1 písm. a) bodu i), čl. 47c odst. 2, čl. 47c odst. 6 nařízení (EU) č. 575/2013</w:t>
            </w:r>
          </w:p>
          <w:p w14:paraId="6AA26A2E" w14:textId="77777777" w:rsidR="00E7212E" w:rsidRPr="002A677E" w:rsidRDefault="00E7212E" w:rsidP="00BF7D57">
            <w:pPr>
              <w:rPr>
                <w:rFonts w:ascii="Times New Roman" w:hAnsi="Times New Roman"/>
                <w:sz w:val="24"/>
              </w:rPr>
            </w:pPr>
            <w:r>
              <w:rPr>
                <w:rFonts w:ascii="Times New Roman" w:hAnsi="Times New Roman"/>
                <w:sz w:val="24"/>
              </w:rPr>
              <w:t xml:space="preserve">Instituce vykazuje celkový požadavek na minimální krytí pro nezajištěnou část nevýkonných expozic, tj. souhrn výpočtů na úrovni expozice. </w:t>
            </w:r>
          </w:p>
          <w:p w14:paraId="73D05839" w14:textId="77777777" w:rsidR="00E7212E" w:rsidRPr="002A677E" w:rsidRDefault="00E7212E" w:rsidP="00BF7D57">
            <w:pPr>
              <w:rPr>
                <w:rFonts w:ascii="Times New Roman" w:hAnsi="Times New Roman"/>
                <w:sz w:val="24"/>
              </w:rPr>
            </w:pPr>
            <w:r>
              <w:rPr>
                <w:rFonts w:ascii="Times New Roman" w:hAnsi="Times New Roman"/>
                <w:sz w:val="24"/>
              </w:rPr>
              <w:t xml:space="preserve">Částka vykázaná v každém sloupci se rovná součtu částek vykázaných v řádku 0020 šablony C 35.02 a (v příslušných případech) řádku 0020 šablony C 35.03 v příslušných sloupcích. </w:t>
            </w:r>
          </w:p>
        </w:tc>
      </w:tr>
      <w:tr w:rsidR="00E7212E" w:rsidRPr="002A677E" w14:paraId="3196F57D" w14:textId="77777777" w:rsidTr="00BF7D57">
        <w:tc>
          <w:tcPr>
            <w:tcW w:w="1188" w:type="dxa"/>
            <w:tcBorders>
              <w:top w:val="single" w:sz="4" w:space="0" w:color="auto"/>
              <w:left w:val="single" w:sz="4" w:space="0" w:color="auto"/>
              <w:bottom w:val="single" w:sz="4" w:space="0" w:color="auto"/>
              <w:right w:val="single" w:sz="4" w:space="0" w:color="auto"/>
            </w:tcBorders>
          </w:tcPr>
          <w:p w14:paraId="0D1D0A2F"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2E1C662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Zajištěná část nevýkonných expozic</w:t>
            </w:r>
          </w:p>
          <w:p w14:paraId="12886933" w14:textId="77777777" w:rsidR="00E7212E" w:rsidRPr="002A677E" w:rsidRDefault="00E7212E" w:rsidP="00BF7D57">
            <w:pPr>
              <w:rPr>
                <w:rFonts w:ascii="Times New Roman" w:hAnsi="Times New Roman"/>
                <w:sz w:val="24"/>
              </w:rPr>
            </w:pPr>
            <w:r>
              <w:rPr>
                <w:rFonts w:ascii="Times New Roman" w:hAnsi="Times New Roman"/>
                <w:sz w:val="24"/>
              </w:rPr>
              <w:t>Ustanovení čl. 47c odst. 1 písm. a) bodu </w:t>
            </w:r>
            <w:proofErr w:type="spellStart"/>
            <w:r>
              <w:rPr>
                <w:rFonts w:ascii="Times New Roman" w:hAnsi="Times New Roman"/>
                <w:sz w:val="24"/>
              </w:rPr>
              <w:t>ii</w:t>
            </w:r>
            <w:proofErr w:type="spellEnd"/>
            <w:r>
              <w:rPr>
                <w:rFonts w:ascii="Times New Roman" w:hAnsi="Times New Roman"/>
                <w:sz w:val="24"/>
              </w:rPr>
              <w:t>), čl. 47c odst. 3, čl. 47c odst. 4, čl. 47c odst. 6 nařízení (EU) č. 575/2013</w:t>
            </w:r>
          </w:p>
          <w:p w14:paraId="16387A62" w14:textId="77777777" w:rsidR="00E7212E" w:rsidRPr="002A677E" w:rsidRDefault="00E7212E" w:rsidP="00BF7D57">
            <w:pPr>
              <w:rPr>
                <w:rFonts w:ascii="Times New Roman" w:hAnsi="Times New Roman"/>
                <w:sz w:val="24"/>
              </w:rPr>
            </w:pPr>
            <w:r>
              <w:rPr>
                <w:rFonts w:ascii="Times New Roman" w:hAnsi="Times New Roman"/>
                <w:sz w:val="24"/>
              </w:rPr>
              <w:t>Instituce vykazují celkový požadavek na minimální krytí pro zajištěnou část nevýkonných expozic, tj. souhrn výpočtů na úrovni expozice.</w:t>
            </w:r>
          </w:p>
          <w:p w14:paraId="0FBBC591" w14:textId="5F5FD107" w:rsidR="00E7212E" w:rsidRPr="002A677E" w:rsidRDefault="00E7212E" w:rsidP="00BF7D57">
            <w:pPr>
              <w:rPr>
                <w:rFonts w:ascii="Times New Roman" w:hAnsi="Times New Roman"/>
                <w:b/>
                <w:sz w:val="24"/>
                <w:u w:val="single"/>
              </w:rPr>
            </w:pPr>
            <w:r>
              <w:rPr>
                <w:rFonts w:ascii="Times New Roman" w:hAnsi="Times New Roman"/>
                <w:sz w:val="24"/>
              </w:rPr>
              <w:t>Částka vykázaná v každém sloupci se rovná součtu částek vykázaných v řádku 0030–0045 šablony C 35.02 a (v příslušných případech) řádku 0030–0040 šablony C 35.03 v příslušných sloupcích.</w:t>
            </w:r>
          </w:p>
        </w:tc>
      </w:tr>
      <w:tr w:rsidR="00E7212E" w:rsidRPr="002A677E" w14:paraId="0181192F" w14:textId="77777777" w:rsidTr="00BF7D57">
        <w:tc>
          <w:tcPr>
            <w:tcW w:w="1188" w:type="dxa"/>
            <w:tcBorders>
              <w:top w:val="single" w:sz="4" w:space="0" w:color="auto"/>
              <w:left w:val="single" w:sz="4" w:space="0" w:color="auto"/>
              <w:bottom w:val="single" w:sz="4" w:space="0" w:color="auto"/>
              <w:right w:val="single" w:sz="4" w:space="0" w:color="auto"/>
            </w:tcBorders>
          </w:tcPr>
          <w:p w14:paraId="07547D87" w14:textId="77777777" w:rsidR="00E7212E" w:rsidRPr="002A677E" w:rsidRDefault="00E7212E" w:rsidP="00BF7D57">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14:paraId="4F60519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Hodnota expozice</w:t>
            </w:r>
          </w:p>
          <w:p w14:paraId="3D274535" w14:textId="77777777" w:rsidR="00E7212E" w:rsidRPr="002A677E" w:rsidRDefault="00E7212E" w:rsidP="00BF7D57">
            <w:pPr>
              <w:rPr>
                <w:rFonts w:ascii="Times New Roman" w:hAnsi="Times New Roman"/>
                <w:sz w:val="24"/>
              </w:rPr>
            </w:pPr>
            <w:r>
              <w:rPr>
                <w:rFonts w:ascii="Times New Roman" w:hAnsi="Times New Roman"/>
                <w:sz w:val="24"/>
              </w:rPr>
              <w:t>Ustanovení čl. 47a odst. 2 nařízení (EU) č. 575/2013</w:t>
            </w:r>
          </w:p>
          <w:p w14:paraId="2696C7F0" w14:textId="77777777" w:rsidR="00E7212E" w:rsidRPr="002A677E" w:rsidRDefault="00E7212E" w:rsidP="00BF7D57">
            <w:pPr>
              <w:rPr>
                <w:rFonts w:ascii="Times New Roman" w:hAnsi="Times New Roman"/>
                <w:sz w:val="24"/>
              </w:rPr>
            </w:pPr>
            <w:r>
              <w:rPr>
                <w:rFonts w:ascii="Times New Roman" w:hAnsi="Times New Roman"/>
                <w:sz w:val="24"/>
              </w:rPr>
              <w:t xml:space="preserve">Instituce vykazují celkovou hodnotu expozice nevýkonných expozic, včetně nezajištěných i zajištěných expozic. Tato hodnota odpovídá součtu řádku 0060 a řádku 0070. </w:t>
            </w:r>
          </w:p>
        </w:tc>
      </w:tr>
      <w:tr w:rsidR="00E7212E" w:rsidRPr="002A677E" w14:paraId="7F3AD59A" w14:textId="77777777" w:rsidTr="00BF7D57">
        <w:tc>
          <w:tcPr>
            <w:tcW w:w="1188" w:type="dxa"/>
            <w:tcBorders>
              <w:top w:val="single" w:sz="4" w:space="0" w:color="auto"/>
              <w:left w:val="single" w:sz="4" w:space="0" w:color="auto"/>
              <w:bottom w:val="single" w:sz="4" w:space="0" w:color="auto"/>
              <w:right w:val="single" w:sz="4" w:space="0" w:color="auto"/>
            </w:tcBorders>
          </w:tcPr>
          <w:p w14:paraId="50AFCF21"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03AA0188" w14:textId="77777777" w:rsidR="00E7212E" w:rsidRPr="002A677E" w:rsidRDefault="00E7212E" w:rsidP="00BF7D57">
            <w:pPr>
              <w:rPr>
                <w:rFonts w:ascii="Times New Roman" w:hAnsi="Times New Roman"/>
                <w:sz w:val="24"/>
              </w:rPr>
            </w:pPr>
            <w:r>
              <w:rPr>
                <w:rFonts w:ascii="Times New Roman" w:hAnsi="Times New Roman"/>
                <w:b/>
                <w:sz w:val="24"/>
                <w:u w:val="single"/>
              </w:rPr>
              <w:t>Nezajištěná část nevýkonných expozic</w:t>
            </w:r>
            <w:r>
              <w:rPr>
                <w:rFonts w:ascii="Times New Roman" w:hAnsi="Times New Roman"/>
                <w:sz w:val="24"/>
              </w:rPr>
              <w:t xml:space="preserve"> </w:t>
            </w:r>
          </w:p>
          <w:p w14:paraId="2C09637F" w14:textId="77777777" w:rsidR="00E7212E" w:rsidRPr="002A677E" w:rsidRDefault="00E7212E" w:rsidP="00BF7D57">
            <w:pPr>
              <w:rPr>
                <w:rFonts w:ascii="Times New Roman" w:hAnsi="Times New Roman"/>
                <w:sz w:val="24"/>
              </w:rPr>
            </w:pPr>
            <w:r>
              <w:rPr>
                <w:rFonts w:ascii="Times New Roman" w:hAnsi="Times New Roman"/>
                <w:sz w:val="24"/>
              </w:rPr>
              <w:t>Ustanovení čl. 47a odst. 2 a čl. 47c odst. 1 nařízení (EU) č. 575/2013</w:t>
            </w:r>
          </w:p>
        </w:tc>
      </w:tr>
      <w:tr w:rsidR="00E7212E" w:rsidRPr="002A677E" w14:paraId="7CEC9715" w14:textId="77777777" w:rsidTr="00BF7D57">
        <w:tc>
          <w:tcPr>
            <w:tcW w:w="1188" w:type="dxa"/>
            <w:tcBorders>
              <w:top w:val="single" w:sz="4" w:space="0" w:color="auto"/>
              <w:left w:val="single" w:sz="4" w:space="0" w:color="auto"/>
              <w:bottom w:val="single" w:sz="4" w:space="0" w:color="auto"/>
              <w:right w:val="single" w:sz="4" w:space="0" w:color="auto"/>
            </w:tcBorders>
          </w:tcPr>
          <w:p w14:paraId="0F216651"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5EDE2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Zajištěná část nevýkonných expozic</w:t>
            </w:r>
          </w:p>
          <w:p w14:paraId="457D8F3B" w14:textId="77777777" w:rsidR="00E7212E" w:rsidRPr="002A677E" w:rsidRDefault="00E7212E" w:rsidP="00BF7D57">
            <w:pPr>
              <w:rPr>
                <w:rFonts w:ascii="Times New Roman" w:hAnsi="Times New Roman"/>
                <w:b/>
                <w:sz w:val="24"/>
                <w:u w:val="single"/>
              </w:rPr>
            </w:pPr>
            <w:r>
              <w:rPr>
                <w:rFonts w:ascii="Times New Roman" w:hAnsi="Times New Roman"/>
                <w:sz w:val="24"/>
              </w:rPr>
              <w:t>Ustanovení čl. 47a odst. 2 a čl. 47c odst. 1 nařízení (EU) č. 575/2013</w:t>
            </w:r>
          </w:p>
        </w:tc>
      </w:tr>
      <w:tr w:rsidR="00E7212E" w:rsidRPr="002A677E" w14:paraId="7AF212AE"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1B6CF9DE"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3EBA693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Rezervy a úpravy nebo odpočty celkem (omezené stropem)</w:t>
            </w:r>
          </w:p>
          <w:p w14:paraId="1063BD06" w14:textId="67CB3C7B" w:rsidR="00E7212E" w:rsidRPr="002A677E" w:rsidRDefault="00E7212E" w:rsidP="00BF7D57">
            <w:pPr>
              <w:rPr>
                <w:rFonts w:ascii="Times New Roman" w:hAnsi="Times New Roman"/>
                <w:sz w:val="24"/>
              </w:rPr>
            </w:pPr>
            <w:r>
              <w:rPr>
                <w:rFonts w:ascii="Times New Roman" w:hAnsi="Times New Roman"/>
                <w:sz w:val="24"/>
              </w:rPr>
              <w:t xml:space="preserve">Instituce vykazují výši součtu položek uvedených v řádcích 0100–0150, jež je omezena stropem, v souladu s čl. 47c odst. 1 písm. b) nařízení (EU) č. 575/2013. Maximální limit pro rezervy a úpravy nebo odpočty omezené stropem je výše požadavku na </w:t>
            </w:r>
            <w:r w:rsidR="00212B93">
              <w:rPr>
                <w:rFonts w:ascii="Times New Roman" w:hAnsi="Times New Roman"/>
                <w:sz w:val="24"/>
              </w:rPr>
              <w:t xml:space="preserve">minimální </w:t>
            </w:r>
            <w:r>
              <w:rPr>
                <w:rFonts w:ascii="Times New Roman" w:hAnsi="Times New Roman"/>
                <w:sz w:val="24"/>
              </w:rPr>
              <w:t>krytí na úrovni expozice.</w:t>
            </w:r>
          </w:p>
          <w:p w14:paraId="5D5758AF" w14:textId="77777777" w:rsidR="00E7212E" w:rsidRPr="002A677E" w:rsidRDefault="00E7212E" w:rsidP="00BF7D57">
            <w:pPr>
              <w:rPr>
                <w:rFonts w:ascii="Times New Roman" w:hAnsi="Times New Roman"/>
                <w:sz w:val="24"/>
              </w:rPr>
            </w:pPr>
            <w:r>
              <w:rPr>
                <w:rFonts w:ascii="Times New Roman" w:hAnsi="Times New Roman"/>
                <w:sz w:val="24"/>
              </w:rPr>
              <w:t>Výše omezená stropem se vypočítá zvlášť pro každou expozici jako nižší částka mezi požadavkem na minimální krytí pro tuto expozici a celkovými rezervami a úpravami nebo odpočty pro tutéž expozici.</w:t>
            </w:r>
          </w:p>
        </w:tc>
      </w:tr>
      <w:tr w:rsidR="00E7212E" w:rsidRPr="002A677E" w14:paraId="65FF4B11" w14:textId="77777777" w:rsidTr="00BF7D57">
        <w:tc>
          <w:tcPr>
            <w:tcW w:w="1188" w:type="dxa"/>
            <w:tcBorders>
              <w:top w:val="single" w:sz="4" w:space="0" w:color="auto"/>
              <w:left w:val="single" w:sz="4" w:space="0" w:color="auto"/>
              <w:bottom w:val="single" w:sz="4" w:space="0" w:color="auto"/>
              <w:right w:val="single" w:sz="4" w:space="0" w:color="auto"/>
            </w:tcBorders>
          </w:tcPr>
          <w:p w14:paraId="33C386A3"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F10E491"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Rezervy a úpravy nebo odpočty celkem (neomezené stropem)</w:t>
            </w:r>
          </w:p>
          <w:p w14:paraId="761D8835" w14:textId="76DE6E3B" w:rsidR="00E7212E" w:rsidRPr="002A677E" w:rsidRDefault="00E7212E" w:rsidP="00BF7D57">
            <w:pPr>
              <w:jc w:val="left"/>
              <w:rPr>
                <w:rFonts w:ascii="Times New Roman" w:hAnsi="Times New Roman"/>
                <w:sz w:val="24"/>
              </w:rPr>
            </w:pPr>
            <w:r>
              <w:rPr>
                <w:rFonts w:ascii="Times New Roman" w:hAnsi="Times New Roman"/>
                <w:sz w:val="24"/>
              </w:rPr>
              <w:t xml:space="preserve">Instituce vykazují součet výší položek neomezených stropem uvedených v řádcích 0100–0150 v souladu s čl. 47c odst. 1 písm. b) nařízení (EU) č. 575/2013. Rezervy a úpravy nebo odpočty (neomezené stropem) se neomezují na výši požadavku na </w:t>
            </w:r>
            <w:r w:rsidR="00212B93">
              <w:rPr>
                <w:rFonts w:ascii="Times New Roman" w:hAnsi="Times New Roman"/>
                <w:sz w:val="24"/>
              </w:rPr>
              <w:t xml:space="preserve">minimální </w:t>
            </w:r>
            <w:r>
              <w:rPr>
                <w:rFonts w:ascii="Times New Roman" w:hAnsi="Times New Roman"/>
                <w:sz w:val="24"/>
              </w:rPr>
              <w:t xml:space="preserve">krytí na úrovni expozice. </w:t>
            </w:r>
          </w:p>
        </w:tc>
      </w:tr>
      <w:tr w:rsidR="00E7212E" w:rsidRPr="002A677E" w14:paraId="0E953394" w14:textId="77777777" w:rsidTr="00BF7D57">
        <w:tc>
          <w:tcPr>
            <w:tcW w:w="1188" w:type="dxa"/>
            <w:tcBorders>
              <w:top w:val="single" w:sz="4" w:space="0" w:color="auto"/>
              <w:left w:val="single" w:sz="4" w:space="0" w:color="auto"/>
              <w:bottom w:val="single" w:sz="4" w:space="0" w:color="auto"/>
              <w:right w:val="single" w:sz="4" w:space="0" w:color="auto"/>
            </w:tcBorders>
          </w:tcPr>
          <w:p w14:paraId="0DEFC816" w14:textId="77777777" w:rsidR="00E7212E" w:rsidRPr="002A677E" w:rsidRDefault="00E7212E" w:rsidP="00BF7D57">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42DB9F9A"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Specifické úpravy o úvěrové riziko</w:t>
            </w:r>
          </w:p>
          <w:p w14:paraId="7E86A5D7" w14:textId="77777777" w:rsidR="00E7212E" w:rsidRPr="002A677E" w:rsidRDefault="00E7212E" w:rsidP="00BF7D57">
            <w:pPr>
              <w:jc w:val="left"/>
              <w:rPr>
                <w:rFonts w:ascii="Times New Roman" w:hAnsi="Times New Roman"/>
                <w:sz w:val="24"/>
              </w:rPr>
            </w:pPr>
            <w:r>
              <w:rPr>
                <w:rFonts w:ascii="Times New Roman" w:hAnsi="Times New Roman"/>
                <w:sz w:val="24"/>
              </w:rPr>
              <w:t>Ustanovení čl. 47c odst. 1 písm. b) bodu i) nařízení (EU) č. 575/2013</w:t>
            </w:r>
          </w:p>
        </w:tc>
      </w:tr>
      <w:tr w:rsidR="00E7212E" w:rsidRPr="002A677E" w14:paraId="512D12BF" w14:textId="77777777" w:rsidTr="00BF7D57">
        <w:tc>
          <w:tcPr>
            <w:tcW w:w="1188" w:type="dxa"/>
            <w:tcBorders>
              <w:top w:val="single" w:sz="4" w:space="0" w:color="auto"/>
              <w:left w:val="single" w:sz="4" w:space="0" w:color="auto"/>
              <w:bottom w:val="single" w:sz="4" w:space="0" w:color="auto"/>
              <w:right w:val="single" w:sz="4" w:space="0" w:color="auto"/>
            </w:tcBorders>
          </w:tcPr>
          <w:p w14:paraId="0CE85BA8"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910F9EC"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Dodatečné úpravy ocenění</w:t>
            </w:r>
          </w:p>
          <w:p w14:paraId="2B50ADEC" w14:textId="77777777" w:rsidR="00E7212E" w:rsidRPr="002A677E" w:rsidRDefault="00E7212E" w:rsidP="00BF7D57">
            <w:pPr>
              <w:jc w:val="left"/>
              <w:rPr>
                <w:rFonts w:ascii="Times New Roman" w:hAnsi="Times New Roman"/>
                <w:b/>
                <w:sz w:val="24"/>
                <w:u w:val="single"/>
              </w:rPr>
            </w:pPr>
            <w:r>
              <w:rPr>
                <w:rFonts w:ascii="Times New Roman" w:hAnsi="Times New Roman"/>
                <w:sz w:val="24"/>
              </w:rPr>
              <w:t>Ustanovení čl. 47c odst. 1 písm. b) bodu </w:t>
            </w:r>
            <w:proofErr w:type="spellStart"/>
            <w:r>
              <w:rPr>
                <w:rFonts w:ascii="Times New Roman" w:hAnsi="Times New Roman"/>
                <w:sz w:val="24"/>
              </w:rPr>
              <w:t>ii</w:t>
            </w:r>
            <w:proofErr w:type="spellEnd"/>
            <w:r>
              <w:rPr>
                <w:rFonts w:ascii="Times New Roman" w:hAnsi="Times New Roman"/>
                <w:sz w:val="24"/>
              </w:rPr>
              <w:t>) nařízení (EU) č. 575/2013</w:t>
            </w:r>
          </w:p>
        </w:tc>
      </w:tr>
      <w:tr w:rsidR="00E7212E" w:rsidRPr="002A677E" w14:paraId="6BE26168" w14:textId="77777777" w:rsidTr="00BF7D57">
        <w:tc>
          <w:tcPr>
            <w:tcW w:w="1188" w:type="dxa"/>
            <w:tcBorders>
              <w:top w:val="single" w:sz="4" w:space="0" w:color="auto"/>
              <w:left w:val="single" w:sz="4" w:space="0" w:color="auto"/>
              <w:bottom w:val="single" w:sz="4" w:space="0" w:color="auto"/>
              <w:right w:val="single" w:sz="4" w:space="0" w:color="auto"/>
            </w:tcBorders>
          </w:tcPr>
          <w:p w14:paraId="49350553" w14:textId="77777777" w:rsidR="00E7212E" w:rsidRPr="002A677E" w:rsidRDefault="00E7212E"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121A1620"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Jiné odpočty kapitálu</w:t>
            </w:r>
          </w:p>
          <w:p w14:paraId="0DCF7C5B" w14:textId="77777777" w:rsidR="00E7212E" w:rsidRPr="002A677E" w:rsidRDefault="00E7212E" w:rsidP="00BF7D57">
            <w:pPr>
              <w:jc w:val="left"/>
              <w:rPr>
                <w:rFonts w:ascii="Times New Roman" w:hAnsi="Times New Roman"/>
                <w:b/>
                <w:sz w:val="24"/>
                <w:u w:val="single"/>
              </w:rPr>
            </w:pPr>
            <w:r>
              <w:rPr>
                <w:rFonts w:ascii="Times New Roman" w:hAnsi="Times New Roman"/>
                <w:sz w:val="24"/>
              </w:rPr>
              <w:t>Ustanovení čl. 47c odst. 1 písm. b) bodu </w:t>
            </w:r>
            <w:proofErr w:type="spellStart"/>
            <w:r>
              <w:rPr>
                <w:rFonts w:ascii="Times New Roman" w:hAnsi="Times New Roman"/>
                <w:sz w:val="24"/>
              </w:rPr>
              <w:t>iii</w:t>
            </w:r>
            <w:proofErr w:type="spellEnd"/>
            <w:r>
              <w:rPr>
                <w:rFonts w:ascii="Times New Roman" w:hAnsi="Times New Roman"/>
                <w:sz w:val="24"/>
              </w:rPr>
              <w:t>) nařízení (EU) č. 575/2013</w:t>
            </w:r>
          </w:p>
        </w:tc>
      </w:tr>
      <w:tr w:rsidR="00E7212E" w:rsidRPr="002A677E" w14:paraId="4245AAE7" w14:textId="77777777" w:rsidTr="00BF7D57">
        <w:tc>
          <w:tcPr>
            <w:tcW w:w="1188" w:type="dxa"/>
            <w:tcBorders>
              <w:top w:val="single" w:sz="4" w:space="0" w:color="auto"/>
              <w:left w:val="single" w:sz="4" w:space="0" w:color="auto"/>
              <w:bottom w:val="single" w:sz="4" w:space="0" w:color="auto"/>
              <w:right w:val="single" w:sz="4" w:space="0" w:color="auto"/>
            </w:tcBorders>
          </w:tcPr>
          <w:p w14:paraId="66BFD561" w14:textId="77777777" w:rsidR="00E7212E" w:rsidRPr="002A677E" w:rsidRDefault="00E7212E" w:rsidP="00BF7D57">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869DB27"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Nedostatek v krytí v rámci přístupu IRB</w:t>
            </w:r>
          </w:p>
          <w:p w14:paraId="40095D1B" w14:textId="77777777" w:rsidR="00E7212E" w:rsidRPr="002A677E" w:rsidRDefault="00E7212E" w:rsidP="00BF7D57">
            <w:pPr>
              <w:jc w:val="left"/>
              <w:rPr>
                <w:rFonts w:ascii="Times New Roman" w:hAnsi="Times New Roman"/>
                <w:b/>
                <w:sz w:val="24"/>
                <w:u w:val="single"/>
              </w:rPr>
            </w:pPr>
            <w:r>
              <w:rPr>
                <w:rFonts w:ascii="Times New Roman" w:hAnsi="Times New Roman"/>
                <w:sz w:val="24"/>
              </w:rPr>
              <w:t>Ustanovení čl. 47c odst. 1 písm. b) bodu iv) nařízení (EU) č. 575/2013</w:t>
            </w:r>
          </w:p>
        </w:tc>
      </w:tr>
      <w:tr w:rsidR="00E7212E" w:rsidRPr="002A677E" w14:paraId="30D29DC6" w14:textId="77777777" w:rsidTr="00BF7D57">
        <w:tc>
          <w:tcPr>
            <w:tcW w:w="1188" w:type="dxa"/>
            <w:tcBorders>
              <w:top w:val="single" w:sz="4" w:space="0" w:color="auto"/>
              <w:left w:val="single" w:sz="4" w:space="0" w:color="auto"/>
              <w:bottom w:val="single" w:sz="4" w:space="0" w:color="auto"/>
              <w:right w:val="single" w:sz="4" w:space="0" w:color="auto"/>
            </w:tcBorders>
          </w:tcPr>
          <w:p w14:paraId="05BA2E72" w14:textId="77777777" w:rsidR="00E7212E" w:rsidRPr="002A677E" w:rsidRDefault="00E7212E" w:rsidP="00BF7D57">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52948CAD"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Rozdíl mezi kupní cenou a částkou dlužnou dlužníkem</w:t>
            </w:r>
          </w:p>
          <w:p w14:paraId="27E5AAB5" w14:textId="77777777" w:rsidR="00E7212E" w:rsidRPr="002A677E" w:rsidRDefault="00E7212E" w:rsidP="00BF7D57">
            <w:pPr>
              <w:jc w:val="left"/>
              <w:rPr>
                <w:rFonts w:ascii="Times New Roman" w:hAnsi="Times New Roman"/>
                <w:b/>
                <w:sz w:val="24"/>
                <w:u w:val="single"/>
              </w:rPr>
            </w:pPr>
            <w:r>
              <w:rPr>
                <w:rFonts w:ascii="Times New Roman" w:hAnsi="Times New Roman"/>
                <w:sz w:val="24"/>
              </w:rPr>
              <w:t>Ustanovení čl. 47c odst. 1 písm. b) bodu v) nařízení (EU) č. 575/2013</w:t>
            </w:r>
          </w:p>
        </w:tc>
      </w:tr>
      <w:tr w:rsidR="00E7212E" w:rsidRPr="002A677E" w14:paraId="76CAC8EE" w14:textId="77777777" w:rsidTr="00BF7D57">
        <w:tc>
          <w:tcPr>
            <w:tcW w:w="1188" w:type="dxa"/>
            <w:tcBorders>
              <w:top w:val="single" w:sz="4" w:space="0" w:color="auto"/>
              <w:left w:val="single" w:sz="4" w:space="0" w:color="auto"/>
              <w:bottom w:val="single" w:sz="4" w:space="0" w:color="auto"/>
              <w:right w:val="single" w:sz="4" w:space="0" w:color="auto"/>
            </w:tcBorders>
          </w:tcPr>
          <w:p w14:paraId="1AFB7B5D" w14:textId="77777777" w:rsidR="00E7212E" w:rsidRPr="002A677E" w:rsidRDefault="00E7212E" w:rsidP="00BF7D57">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3CB86EBC"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Částky odepsané institucí od okamžiku, kdy byla expozice klasifikována jako nevýkonná</w:t>
            </w:r>
          </w:p>
          <w:p w14:paraId="0A7CF4DF" w14:textId="77777777" w:rsidR="00E7212E" w:rsidRPr="002A677E" w:rsidRDefault="00E7212E" w:rsidP="00BF7D57">
            <w:pPr>
              <w:jc w:val="left"/>
              <w:rPr>
                <w:rFonts w:ascii="Times New Roman" w:hAnsi="Times New Roman"/>
                <w:b/>
                <w:sz w:val="24"/>
                <w:u w:val="single"/>
              </w:rPr>
            </w:pPr>
            <w:r>
              <w:rPr>
                <w:rFonts w:ascii="Times New Roman" w:hAnsi="Times New Roman"/>
                <w:sz w:val="24"/>
              </w:rPr>
              <w:t>Ustanovení čl. 47c odst. 1 písm. b) bodu </w:t>
            </w:r>
            <w:proofErr w:type="spellStart"/>
            <w:r>
              <w:rPr>
                <w:rFonts w:ascii="Times New Roman" w:hAnsi="Times New Roman"/>
                <w:sz w:val="24"/>
              </w:rPr>
              <w:t>vi</w:t>
            </w:r>
            <w:proofErr w:type="spellEnd"/>
            <w:r>
              <w:rPr>
                <w:rFonts w:ascii="Times New Roman" w:hAnsi="Times New Roman"/>
                <w:sz w:val="24"/>
              </w:rPr>
              <w:t>) nařízení (EU) č. 575/2013</w:t>
            </w:r>
          </w:p>
        </w:tc>
      </w:tr>
    </w:tbl>
    <w:p w14:paraId="5C8B3BF5" w14:textId="40D8352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7" w:name="_Toc19715890"/>
      <w:bookmarkStart w:id="8" w:name="_Toc151714530"/>
      <w:r>
        <w:rPr>
          <w:rFonts w:ascii="Times New Roman" w:hAnsi="Times New Roman"/>
          <w:sz w:val="24"/>
        </w:rPr>
        <w:lastRenderedPageBreak/>
        <w:t>C 35.02 –</w:t>
      </w:r>
      <w:r w:rsidR="007A7559">
        <w:rPr>
          <w:rFonts w:ascii="Times New Roman" w:hAnsi="Times New Roman"/>
          <w:sz w:val="24"/>
        </w:rPr>
        <w:t xml:space="preserve"> </w:t>
      </w:r>
      <w:r>
        <w:rPr>
          <w:rFonts w:ascii="Times New Roman" w:hAnsi="Times New Roman"/>
          <w:sz w:val="24"/>
        </w:rPr>
        <w:t xml:space="preserve">POŽADAVKY NA </w:t>
      </w:r>
      <w:r w:rsidR="007A7559">
        <w:rPr>
          <w:rFonts w:ascii="Times New Roman" w:hAnsi="Times New Roman"/>
          <w:sz w:val="24"/>
        </w:rPr>
        <w:t xml:space="preserve">MINIMÁLNÍ </w:t>
      </w:r>
      <w:r>
        <w:rPr>
          <w:rFonts w:ascii="Times New Roman" w:hAnsi="Times New Roman"/>
          <w:sz w:val="24"/>
        </w:rPr>
        <w:t>KRYTÍ A HODNOTY EXPOZIC NEVÝKONNÝCH EXPOZIC S VÝJIMKOU EXPOZIC S ÚLEVOU, NA NĚŽ SE VZTAHUJE ČL. 47C ODST. 6 NAŘÍZENÍ (EU) Č. 575/2013 (NPE LC2)</w:t>
      </w:r>
      <w:bookmarkStart w:id="9" w:name="_Toc19715891"/>
      <w:bookmarkEnd w:id="7"/>
      <w:bookmarkEnd w:id="8"/>
      <w:bookmarkEnd w:id="9"/>
    </w:p>
    <w:p w14:paraId="64881C9D"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0" w:name="_Toc19715892"/>
      <w:bookmarkStart w:id="11" w:name="_Toc151714531"/>
      <w:r>
        <w:rPr>
          <w:rFonts w:ascii="Times New Roman" w:hAnsi="Times New Roman"/>
          <w:sz w:val="24"/>
        </w:rPr>
        <w:t>Pokyny pro konkrétní pozice</w:t>
      </w:r>
      <w:bookmarkEnd w:id="10"/>
      <w:bookmarkEnd w:id="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E3648A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4BEA17B" w14:textId="77777777" w:rsidR="00E7212E" w:rsidRPr="002A677E" w:rsidRDefault="00E7212E" w:rsidP="00BF7D57">
            <w:pPr>
              <w:rPr>
                <w:rFonts w:ascii="Times New Roman" w:hAnsi="Times New Roman"/>
                <w:sz w:val="24"/>
              </w:rPr>
            </w:pPr>
            <w:r>
              <w:rPr>
                <w:rFonts w:ascii="Times New Roman" w:hAnsi="Times New Roman"/>
                <w:sz w:val="24"/>
              </w:rPr>
              <w:t>Sloupce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45BB7C" w14:textId="77777777" w:rsidR="00E7212E" w:rsidRPr="002A677E" w:rsidRDefault="00E7212E" w:rsidP="00BF7D57">
            <w:pPr>
              <w:rPr>
                <w:rFonts w:ascii="Times New Roman" w:hAnsi="Times New Roman"/>
                <w:sz w:val="24"/>
              </w:rPr>
            </w:pPr>
            <w:r>
              <w:rPr>
                <w:rFonts w:ascii="Times New Roman" w:hAnsi="Times New Roman"/>
                <w:sz w:val="24"/>
              </w:rPr>
              <w:t>Pokyny</w:t>
            </w:r>
          </w:p>
        </w:tc>
      </w:tr>
      <w:tr w:rsidR="00E7212E" w:rsidRPr="002A677E" w14:paraId="102DEDD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38F23BD" w14:textId="77777777" w:rsidR="00E7212E" w:rsidRPr="002A677E" w:rsidRDefault="00E7212E" w:rsidP="00BF7D57">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255ACC2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Čas, který uplynul od okamžiku, kdy expozice byly klasifikovány jako nevýkonné</w:t>
            </w:r>
          </w:p>
          <w:p w14:paraId="27559F86" w14:textId="77777777" w:rsidR="00E7212E" w:rsidRPr="002A677E" w:rsidRDefault="00E7212E" w:rsidP="00BF7D57">
            <w:pPr>
              <w:rPr>
                <w:rFonts w:ascii="Times New Roman" w:hAnsi="Times New Roman"/>
                <w:sz w:val="24"/>
              </w:rPr>
            </w:pPr>
            <w:r>
              <w:rPr>
                <w:rFonts w:ascii="Times New Roman" w:hAnsi="Times New Roman"/>
                <w:sz w:val="24"/>
              </w:rPr>
              <w:t>„Časem, který uplynul od okamžiku, kdy expozice byly klasifikovány jako nevýkonné“, se rozumí doba (v letech), která uplynula od okamžiku, kdy expozice byly klasifikovány jako nevýkonné. Instituce vykazují údaje o expozicích, u nichž referenční datum spadá do časového intervalu odpovídajícího době (v letech) uplynulé od okamžiku, kdy expozice byly klasifikovány jako nevýkonné, bez ohledu na uplatnění opatření týkajících se úlevy.</w:t>
            </w:r>
          </w:p>
          <w:p w14:paraId="1AD59E7D" w14:textId="77777777" w:rsidR="00E7212E" w:rsidRPr="002A677E" w:rsidRDefault="00E7212E" w:rsidP="00BF7D57">
            <w:pPr>
              <w:rPr>
                <w:rFonts w:ascii="Times New Roman" w:hAnsi="Times New Roman"/>
                <w:sz w:val="24"/>
              </w:rPr>
            </w:pPr>
            <w:r>
              <w:rPr>
                <w:rFonts w:ascii="Times New Roman" w:hAnsi="Times New Roman"/>
                <w:sz w:val="24"/>
              </w:rPr>
              <w:t>V časovém intervalu „&gt; X rok(ů), &lt;= Y rok(ů)“ instituce vykazují údaje o expozicích, u nichž referenční datum odpovídá období mezi prvním a posledním dnem roku Y po klasifikaci těchto expozic jako nevýkonných.</w:t>
            </w:r>
          </w:p>
        </w:tc>
      </w:tr>
      <w:tr w:rsidR="00E7212E" w:rsidRPr="002A677E" w14:paraId="3B7E96E6" w14:textId="77777777" w:rsidTr="00BF7D57">
        <w:tc>
          <w:tcPr>
            <w:tcW w:w="1188" w:type="dxa"/>
            <w:tcBorders>
              <w:top w:val="single" w:sz="4" w:space="0" w:color="auto"/>
              <w:left w:val="single" w:sz="4" w:space="0" w:color="auto"/>
              <w:bottom w:val="single" w:sz="4" w:space="0" w:color="auto"/>
              <w:right w:val="single" w:sz="4" w:space="0" w:color="auto"/>
            </w:tcBorders>
          </w:tcPr>
          <w:p w14:paraId="4D0A0F12"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5F107B3"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Celkem</w:t>
            </w:r>
          </w:p>
          <w:p w14:paraId="5AC10F8E" w14:textId="77777777" w:rsidR="00E7212E" w:rsidRPr="002A677E" w:rsidRDefault="00E7212E" w:rsidP="00BF7D57">
            <w:pPr>
              <w:rPr>
                <w:rFonts w:ascii="Times New Roman" w:hAnsi="Times New Roman"/>
                <w:sz w:val="24"/>
                <w:u w:val="single"/>
              </w:rPr>
            </w:pPr>
            <w:r>
              <w:rPr>
                <w:rFonts w:ascii="Times New Roman" w:hAnsi="Times New Roman"/>
                <w:sz w:val="24"/>
              </w:rPr>
              <w:t>Instituce vykazují součet všech sloupců od 0010 do 0100.</w:t>
            </w:r>
          </w:p>
        </w:tc>
      </w:tr>
    </w:tbl>
    <w:p w14:paraId="026FC701" w14:textId="77777777" w:rsidR="00E7212E" w:rsidRPr="002A677E"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73F30D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53235DA" w14:textId="77777777" w:rsidR="00E7212E" w:rsidRPr="002A677E" w:rsidRDefault="00E7212E" w:rsidP="00BF7D57">
            <w:pPr>
              <w:rPr>
                <w:rFonts w:ascii="Times New Roman" w:hAnsi="Times New Roman"/>
                <w:sz w:val="24"/>
              </w:rPr>
            </w:pPr>
            <w:r>
              <w:rPr>
                <w:rFonts w:ascii="Times New Roman" w:hAnsi="Times New Roman"/>
                <w:sz w:val="24"/>
              </w:rPr>
              <w:t>Řádky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248A06C" w14:textId="77777777" w:rsidR="00E7212E" w:rsidRPr="002A677E" w:rsidRDefault="00E7212E" w:rsidP="00BF7D57">
            <w:pPr>
              <w:rPr>
                <w:rFonts w:ascii="Times New Roman" w:hAnsi="Times New Roman"/>
                <w:sz w:val="24"/>
              </w:rPr>
            </w:pPr>
            <w:r>
              <w:rPr>
                <w:rFonts w:ascii="Times New Roman" w:hAnsi="Times New Roman"/>
                <w:sz w:val="24"/>
              </w:rPr>
              <w:t>Pokyny</w:t>
            </w:r>
          </w:p>
        </w:tc>
      </w:tr>
      <w:tr w:rsidR="00E7212E" w:rsidRPr="002A677E" w14:paraId="530CBE45"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E428220"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6886D89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Požadavek na celkové minimální krytí</w:t>
            </w:r>
          </w:p>
          <w:p w14:paraId="182F35CE" w14:textId="77777777" w:rsidR="00E7212E" w:rsidRPr="002A677E" w:rsidRDefault="00E7212E" w:rsidP="00BF7D57">
            <w:pPr>
              <w:rPr>
                <w:rFonts w:ascii="Times New Roman" w:hAnsi="Times New Roman"/>
                <w:sz w:val="24"/>
              </w:rPr>
            </w:pPr>
            <w:r>
              <w:rPr>
                <w:rFonts w:ascii="Times New Roman" w:hAnsi="Times New Roman"/>
                <w:sz w:val="24"/>
              </w:rPr>
              <w:t>Ustanovení čl. 47c odst. 1 písm. a) nařízení (EU) č. 575/2013</w:t>
            </w:r>
          </w:p>
          <w:p w14:paraId="662FCE5D" w14:textId="0069DB3B" w:rsidR="00E7212E" w:rsidRPr="002A677E" w:rsidRDefault="00E7212E" w:rsidP="00BF7D57">
            <w:pPr>
              <w:rPr>
                <w:rFonts w:ascii="Times New Roman" w:hAnsi="Times New Roman"/>
                <w:sz w:val="24"/>
              </w:rPr>
            </w:pPr>
            <w:r>
              <w:rPr>
                <w:rFonts w:ascii="Times New Roman" w:hAnsi="Times New Roman"/>
                <w:sz w:val="24"/>
              </w:rPr>
              <w:t xml:space="preserve">Pro výpočet požadavku na celkové minimální krytí pro nevýkonné expozice, s výjimkou expozic s úlevou, na které se vztahuje čl. 47c odst. 6 nařízení (EU) č. 575/2013, instituce sečtou požadavek na </w:t>
            </w:r>
            <w:r w:rsidR="00212B93">
              <w:rPr>
                <w:rFonts w:ascii="Times New Roman" w:hAnsi="Times New Roman"/>
                <w:sz w:val="24"/>
              </w:rPr>
              <w:t xml:space="preserve">minimální </w:t>
            </w:r>
            <w:r>
              <w:rPr>
                <w:rFonts w:ascii="Times New Roman" w:hAnsi="Times New Roman"/>
                <w:sz w:val="24"/>
              </w:rPr>
              <w:t xml:space="preserve">krytí pro nezajištěnou část nevýkonných expozic (řádek 0020) a požadavek na </w:t>
            </w:r>
            <w:r w:rsidR="00212B93">
              <w:rPr>
                <w:rFonts w:ascii="Times New Roman" w:hAnsi="Times New Roman"/>
                <w:sz w:val="24"/>
              </w:rPr>
              <w:t xml:space="preserve">minimální </w:t>
            </w:r>
            <w:r>
              <w:rPr>
                <w:rFonts w:ascii="Times New Roman" w:hAnsi="Times New Roman"/>
                <w:sz w:val="24"/>
              </w:rPr>
              <w:t>krytí pro zajištěnou část nevýkonných expozic (řádky 0030–0045).</w:t>
            </w:r>
          </w:p>
        </w:tc>
      </w:tr>
      <w:tr w:rsidR="00E7212E" w:rsidRPr="002A677E" w14:paraId="4F6620DD" w14:textId="77777777" w:rsidTr="00BF7D57">
        <w:tc>
          <w:tcPr>
            <w:tcW w:w="1188" w:type="dxa"/>
            <w:tcBorders>
              <w:top w:val="single" w:sz="4" w:space="0" w:color="auto"/>
              <w:left w:val="single" w:sz="4" w:space="0" w:color="auto"/>
              <w:bottom w:val="single" w:sz="4" w:space="0" w:color="auto"/>
              <w:right w:val="single" w:sz="4" w:space="0" w:color="auto"/>
            </w:tcBorders>
          </w:tcPr>
          <w:p w14:paraId="2AEC39E7"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43762EC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Nezajištěná část nevýkonných expozic</w:t>
            </w:r>
          </w:p>
          <w:p w14:paraId="27ED7CA9" w14:textId="77777777" w:rsidR="00E7212E" w:rsidRPr="002A677E" w:rsidRDefault="00E7212E" w:rsidP="00BF7D57">
            <w:pPr>
              <w:rPr>
                <w:rFonts w:ascii="Times New Roman" w:hAnsi="Times New Roman"/>
                <w:sz w:val="24"/>
              </w:rPr>
            </w:pPr>
            <w:r>
              <w:rPr>
                <w:rFonts w:ascii="Times New Roman" w:hAnsi="Times New Roman"/>
                <w:sz w:val="24"/>
              </w:rPr>
              <w:t>Ustanovení čl. 47c odst. 1 písm. a) bodu i) a čl. 47c odst. 2 nařízení (EU) č. 575/2013</w:t>
            </w:r>
          </w:p>
          <w:p w14:paraId="5CD4163E" w14:textId="77777777" w:rsidR="00E7212E" w:rsidRPr="002A677E" w:rsidRDefault="00E7212E" w:rsidP="00BF7D57">
            <w:pPr>
              <w:rPr>
                <w:rFonts w:ascii="Times New Roman" w:hAnsi="Times New Roman"/>
                <w:sz w:val="24"/>
              </w:rPr>
            </w:pPr>
            <w:r>
              <w:rPr>
                <w:rFonts w:ascii="Times New Roman" w:hAnsi="Times New Roman"/>
                <w:sz w:val="24"/>
              </w:rPr>
              <w:t>Požadavek na minimální krytí se vypočítá vynásobením souhrnných hodnot expozic v řádku 0070 odpovídajícím faktorem v příslušném sloupci.</w:t>
            </w:r>
          </w:p>
        </w:tc>
      </w:tr>
      <w:tr w:rsidR="00E7212E" w:rsidRPr="002A677E" w14:paraId="305ED6FA" w14:textId="77777777" w:rsidTr="00BF7D57">
        <w:tc>
          <w:tcPr>
            <w:tcW w:w="1188" w:type="dxa"/>
            <w:tcBorders>
              <w:top w:val="single" w:sz="4" w:space="0" w:color="auto"/>
              <w:left w:val="single" w:sz="4" w:space="0" w:color="auto"/>
              <w:bottom w:val="single" w:sz="4" w:space="0" w:color="auto"/>
              <w:right w:val="single" w:sz="4" w:space="0" w:color="auto"/>
            </w:tcBorders>
          </w:tcPr>
          <w:p w14:paraId="1C079E0C"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B46EB14"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 xml:space="preserve">Část nevýkonných expozic, která je zajištěna nemovitostmi nebo úvěrem na obytné nemovitosti zaručeným způsobilým poskytovatelem zajištění </w:t>
            </w:r>
          </w:p>
          <w:p w14:paraId="1AB54B5D" w14:textId="77777777" w:rsidR="00E7212E" w:rsidRPr="002A677E" w:rsidRDefault="00E7212E" w:rsidP="00BF7D57">
            <w:pPr>
              <w:rPr>
                <w:rFonts w:ascii="Times New Roman" w:hAnsi="Times New Roman"/>
                <w:sz w:val="24"/>
              </w:rPr>
            </w:pPr>
            <w:r>
              <w:rPr>
                <w:rFonts w:ascii="Times New Roman" w:hAnsi="Times New Roman"/>
                <w:sz w:val="24"/>
              </w:rPr>
              <w:t>Ustanovení čl. 47c odst. 1 písm. a) bodu </w:t>
            </w:r>
            <w:proofErr w:type="spellStart"/>
            <w:r>
              <w:rPr>
                <w:rFonts w:ascii="Times New Roman" w:hAnsi="Times New Roman"/>
                <w:sz w:val="24"/>
              </w:rPr>
              <w:t>ii</w:t>
            </w:r>
            <w:proofErr w:type="spellEnd"/>
            <w:r>
              <w:rPr>
                <w:rFonts w:ascii="Times New Roman" w:hAnsi="Times New Roman"/>
                <w:sz w:val="24"/>
              </w:rPr>
              <w:t>) a čl. 47c odst. 3 písm. a), b), c), d), f), h) a i) nařízení (EU) č. 575/2013</w:t>
            </w:r>
          </w:p>
          <w:p w14:paraId="3818F43F" w14:textId="77777777" w:rsidR="00E7212E" w:rsidRPr="002A677E" w:rsidRDefault="00E7212E" w:rsidP="00BF7D57">
            <w:pPr>
              <w:rPr>
                <w:rFonts w:ascii="Times New Roman" w:hAnsi="Times New Roman"/>
                <w:b/>
                <w:sz w:val="24"/>
                <w:u w:val="single"/>
              </w:rPr>
            </w:pPr>
            <w:r>
              <w:rPr>
                <w:rFonts w:ascii="Times New Roman" w:hAnsi="Times New Roman"/>
                <w:sz w:val="24"/>
              </w:rPr>
              <w:t>Požadavek na minimální krytí se vypočítá vynásobením souhrnných hodnot expozic v řádku 0080 odpovídajícím faktorem v příslušném sloupci.</w:t>
            </w:r>
          </w:p>
        </w:tc>
      </w:tr>
      <w:tr w:rsidR="00E7212E" w:rsidRPr="002A677E" w14:paraId="325AB5DC" w14:textId="77777777" w:rsidTr="00BF7D57">
        <w:tc>
          <w:tcPr>
            <w:tcW w:w="1188" w:type="dxa"/>
            <w:tcBorders>
              <w:top w:val="single" w:sz="4" w:space="0" w:color="auto"/>
              <w:left w:val="single" w:sz="4" w:space="0" w:color="auto"/>
              <w:bottom w:val="single" w:sz="4" w:space="0" w:color="auto"/>
              <w:right w:val="single" w:sz="4" w:space="0" w:color="auto"/>
            </w:tcBorders>
          </w:tcPr>
          <w:p w14:paraId="4169F03D" w14:textId="77777777" w:rsidR="00E7212E" w:rsidRPr="002A677E" w:rsidRDefault="00E7212E" w:rsidP="00BF7D57">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18322F93"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Část nevýkonných expozic, která je zajištěna jiným majetkovým nebo osobním zajištěním úvěrového rizika</w:t>
            </w:r>
          </w:p>
          <w:p w14:paraId="5857E4F4" w14:textId="77777777" w:rsidR="00E7212E" w:rsidRPr="002A677E" w:rsidRDefault="00E7212E" w:rsidP="00BF7D57">
            <w:pPr>
              <w:rPr>
                <w:rFonts w:ascii="Times New Roman" w:hAnsi="Times New Roman"/>
                <w:sz w:val="24"/>
              </w:rPr>
            </w:pPr>
            <w:r>
              <w:rPr>
                <w:rFonts w:ascii="Times New Roman" w:hAnsi="Times New Roman"/>
                <w:sz w:val="24"/>
              </w:rPr>
              <w:t>Ustanovení čl. 47c odst. 1 písm. a) bodu </w:t>
            </w:r>
            <w:proofErr w:type="spellStart"/>
            <w:r>
              <w:rPr>
                <w:rFonts w:ascii="Times New Roman" w:hAnsi="Times New Roman"/>
                <w:sz w:val="24"/>
              </w:rPr>
              <w:t>ii</w:t>
            </w:r>
            <w:proofErr w:type="spellEnd"/>
            <w:r>
              <w:rPr>
                <w:rFonts w:ascii="Times New Roman" w:hAnsi="Times New Roman"/>
                <w:sz w:val="24"/>
              </w:rPr>
              <w:t>) a čl. 47c odst. 3 písm. a), b), c), e) a g) nařízení (EU) č. 575/2013</w:t>
            </w:r>
          </w:p>
          <w:p w14:paraId="3EF75A94" w14:textId="77777777" w:rsidR="00E7212E" w:rsidRPr="002A677E" w:rsidRDefault="00E7212E" w:rsidP="00BF7D57">
            <w:pPr>
              <w:rPr>
                <w:rFonts w:ascii="Times New Roman" w:hAnsi="Times New Roman"/>
                <w:b/>
                <w:sz w:val="24"/>
                <w:u w:val="single"/>
              </w:rPr>
            </w:pPr>
            <w:r>
              <w:rPr>
                <w:rFonts w:ascii="Times New Roman" w:hAnsi="Times New Roman"/>
                <w:sz w:val="24"/>
              </w:rPr>
              <w:t>Požadavek na minimální krytí se vypočítá vynásobením souhrnných hodnot expozic v řádku 0090 odpovídajícím faktorem v příslušném sloupci.</w:t>
            </w:r>
          </w:p>
        </w:tc>
      </w:tr>
      <w:tr w:rsidR="00644DC5" w:rsidRPr="002A677E" w14:paraId="00587073" w14:textId="77777777" w:rsidTr="00BF7D57">
        <w:tc>
          <w:tcPr>
            <w:tcW w:w="1188" w:type="dxa"/>
            <w:tcBorders>
              <w:top w:val="single" w:sz="4" w:space="0" w:color="auto"/>
              <w:left w:val="single" w:sz="4" w:space="0" w:color="auto"/>
              <w:bottom w:val="single" w:sz="4" w:space="0" w:color="auto"/>
              <w:right w:val="single" w:sz="4" w:space="0" w:color="auto"/>
            </w:tcBorders>
          </w:tcPr>
          <w:p w14:paraId="1DE71461" w14:textId="584000EC" w:rsidR="00644DC5" w:rsidRPr="002A677E" w:rsidRDefault="00644DC5" w:rsidP="00BF7D57">
            <w:pPr>
              <w:rPr>
                <w:rFonts w:ascii="Times New Roman" w:hAnsi="Times New Roman"/>
                <w:sz w:val="24"/>
              </w:rPr>
            </w:pPr>
            <w:r>
              <w:rPr>
                <w:rFonts w:ascii="Times New Roman" w:hAnsi="Times New Roman"/>
                <w:sz w:val="24"/>
              </w:rPr>
              <w:t>0045</w:t>
            </w:r>
          </w:p>
        </w:tc>
        <w:tc>
          <w:tcPr>
            <w:tcW w:w="8843" w:type="dxa"/>
            <w:tcBorders>
              <w:top w:val="single" w:sz="4" w:space="0" w:color="auto"/>
              <w:left w:val="single" w:sz="4" w:space="0" w:color="auto"/>
              <w:bottom w:val="single" w:sz="4" w:space="0" w:color="auto"/>
              <w:right w:val="single" w:sz="4" w:space="0" w:color="auto"/>
            </w:tcBorders>
          </w:tcPr>
          <w:p w14:paraId="79CEB3D8" w14:textId="77777777" w:rsidR="00644DC5" w:rsidRDefault="00920721" w:rsidP="00BF7D57">
            <w:pPr>
              <w:jc w:val="left"/>
              <w:rPr>
                <w:rFonts w:ascii="Times New Roman" w:hAnsi="Times New Roman"/>
                <w:b/>
                <w:sz w:val="24"/>
                <w:u w:val="single"/>
              </w:rPr>
            </w:pPr>
            <w:r>
              <w:rPr>
                <w:rFonts w:ascii="Times New Roman" w:hAnsi="Times New Roman"/>
                <w:b/>
                <w:sz w:val="24"/>
                <w:u w:val="single"/>
              </w:rPr>
              <w:t>Část nevýkonných expozic, na kterou se vztahuje záruka nebo protizáruka vystavená způsobilým poskytovatelem zajištění</w:t>
            </w:r>
          </w:p>
          <w:p w14:paraId="4C97CF34" w14:textId="77777777" w:rsidR="00920721" w:rsidRDefault="00EB1058" w:rsidP="00BF7D57">
            <w:pPr>
              <w:jc w:val="left"/>
              <w:rPr>
                <w:rFonts w:ascii="Times New Roman" w:hAnsi="Times New Roman"/>
                <w:sz w:val="24"/>
              </w:rPr>
            </w:pPr>
            <w:r>
              <w:rPr>
                <w:rFonts w:ascii="Times New Roman" w:hAnsi="Times New Roman"/>
                <w:sz w:val="24"/>
              </w:rPr>
              <w:t>Ustanovení čl. 47c odst. 4 písm. b) nařízení (EU) č. 575/2013.</w:t>
            </w:r>
          </w:p>
          <w:p w14:paraId="450588A8" w14:textId="2E5C57D7" w:rsidR="009A1028" w:rsidRPr="009A1028" w:rsidRDefault="009A1028" w:rsidP="00BF7D57">
            <w:pPr>
              <w:jc w:val="left"/>
              <w:rPr>
                <w:rFonts w:ascii="Times New Roman" w:hAnsi="Times New Roman"/>
                <w:sz w:val="24"/>
              </w:rPr>
            </w:pPr>
            <w:r>
              <w:rPr>
                <w:rStyle w:val="cf01"/>
                <w:rFonts w:ascii="Times New Roman" w:hAnsi="Times New Roman"/>
                <w:sz w:val="24"/>
              </w:rPr>
              <w:t>Požadavek na minimální krytí se vypočítá vynásobením souhrnných hodnot expozic v řádcích 0110 a 0120 odpovídajícími faktory v příslušném sloupci.</w:t>
            </w:r>
          </w:p>
        </w:tc>
      </w:tr>
      <w:tr w:rsidR="00E7212E" w:rsidRPr="002A677E" w14:paraId="7E5A3A0B" w14:textId="77777777" w:rsidTr="00BF7D57">
        <w:tc>
          <w:tcPr>
            <w:tcW w:w="1188" w:type="dxa"/>
            <w:tcBorders>
              <w:top w:val="single" w:sz="4" w:space="0" w:color="auto"/>
              <w:left w:val="single" w:sz="4" w:space="0" w:color="auto"/>
              <w:bottom w:val="single" w:sz="4" w:space="0" w:color="auto"/>
              <w:right w:val="single" w:sz="4" w:space="0" w:color="auto"/>
            </w:tcBorders>
          </w:tcPr>
          <w:p w14:paraId="34F690A9"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218760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Hodnota expozice</w:t>
            </w:r>
          </w:p>
          <w:p w14:paraId="2F7544E3" w14:textId="77777777" w:rsidR="00E7212E" w:rsidRPr="002A677E" w:rsidRDefault="00E7212E" w:rsidP="00BF7D57">
            <w:pPr>
              <w:jc w:val="left"/>
              <w:rPr>
                <w:rFonts w:ascii="Times New Roman" w:hAnsi="Times New Roman"/>
                <w:sz w:val="24"/>
              </w:rPr>
            </w:pPr>
            <w:r>
              <w:rPr>
                <w:rFonts w:ascii="Times New Roman" w:hAnsi="Times New Roman"/>
                <w:sz w:val="24"/>
              </w:rPr>
              <w:t>Ustanovení čl. 47a odst. 2 nařízení (EU) č. 575/2013</w:t>
            </w:r>
          </w:p>
          <w:p w14:paraId="40E077A1" w14:textId="04FB6552" w:rsidR="00E7212E" w:rsidRPr="002A677E" w:rsidRDefault="00E7212E" w:rsidP="00BF7D57">
            <w:pPr>
              <w:jc w:val="left"/>
              <w:rPr>
                <w:rFonts w:ascii="Times New Roman" w:hAnsi="Times New Roman"/>
                <w:b/>
                <w:sz w:val="24"/>
                <w:u w:val="single"/>
              </w:rPr>
            </w:pPr>
            <w:r>
              <w:rPr>
                <w:rFonts w:ascii="Times New Roman" w:hAnsi="Times New Roman"/>
                <w:sz w:val="24"/>
              </w:rPr>
              <w:t>Pro výpočet řádku 0060 instituce sečtou hodnoty expozic vykázané pro nezajištěnou část nevýkonných expozic (řádek 0070), část nevýkonných expozic, která je zajištěna nemovitostmi nebo úvěrem na obytné nemovitosti zaručeným způsobilým poskytovatelem zajištění (řádek 0080), část nevýkonných expozic, která je zajištěna jiným majetkovým nebo osobním zajištěním úvěrového rizika (řádek 0090), a část nevýkonných expozic, na kterou se vztahuje záruka nebo protizáruka vystavená způsobilým poskytovatelem zajištění (řádek 0110 a řádek 0120).</w:t>
            </w:r>
          </w:p>
        </w:tc>
      </w:tr>
      <w:tr w:rsidR="00E7212E" w:rsidRPr="002A677E" w14:paraId="7D97CB26"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671C10A"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35077F04"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Nezajištěná část nevýkonných expozic</w:t>
            </w:r>
          </w:p>
          <w:p w14:paraId="7BA082E2" w14:textId="77777777" w:rsidR="00E7212E" w:rsidRPr="002A677E" w:rsidRDefault="00E7212E" w:rsidP="00BF7D57">
            <w:pPr>
              <w:jc w:val="left"/>
              <w:rPr>
                <w:rFonts w:ascii="Times New Roman" w:hAnsi="Times New Roman"/>
                <w:sz w:val="24"/>
              </w:rPr>
            </w:pPr>
            <w:r>
              <w:rPr>
                <w:rFonts w:ascii="Times New Roman" w:hAnsi="Times New Roman"/>
                <w:sz w:val="24"/>
              </w:rPr>
              <w:t>Ustanovení čl. 47a odst. 2 a čl. 47c odst. 1 a 2 nařízení (EU) č. 575/2013</w:t>
            </w:r>
          </w:p>
          <w:p w14:paraId="57CA0E6A" w14:textId="77777777" w:rsidR="00E7212E" w:rsidRPr="002A677E" w:rsidRDefault="00E7212E" w:rsidP="00BF7D57">
            <w:pPr>
              <w:jc w:val="left"/>
              <w:rPr>
                <w:rFonts w:ascii="Times New Roman" w:hAnsi="Times New Roman"/>
                <w:sz w:val="24"/>
              </w:rPr>
            </w:pPr>
            <w:r>
              <w:rPr>
                <w:rFonts w:ascii="Times New Roman" w:hAnsi="Times New Roman"/>
                <w:sz w:val="24"/>
              </w:rPr>
              <w:t>Instituce vykazují celkovou hodnotu expozice nezajištěné části nevýkonných expozic v členění podle času, který uplynul od okamžiku, kdy expozice byly klasifikovány jako nevýkonné.</w:t>
            </w:r>
          </w:p>
        </w:tc>
      </w:tr>
      <w:tr w:rsidR="00E7212E" w:rsidRPr="002A677E" w14:paraId="132096CA" w14:textId="77777777" w:rsidTr="00BF7D57">
        <w:tc>
          <w:tcPr>
            <w:tcW w:w="1188" w:type="dxa"/>
            <w:tcBorders>
              <w:top w:val="single" w:sz="4" w:space="0" w:color="auto"/>
              <w:left w:val="single" w:sz="4" w:space="0" w:color="auto"/>
              <w:bottom w:val="single" w:sz="4" w:space="0" w:color="auto"/>
              <w:right w:val="single" w:sz="4" w:space="0" w:color="auto"/>
            </w:tcBorders>
          </w:tcPr>
          <w:p w14:paraId="43597E6B"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5B53B46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Část nevýkonných expozic, která je zajištěna nemovitostmi nebo úvěrem na obytné nemovitosti zaručeným způsobilým poskytovatelem zajištění</w:t>
            </w:r>
          </w:p>
          <w:p w14:paraId="353C8B9D" w14:textId="77777777" w:rsidR="00E7212E" w:rsidRPr="002A677E" w:rsidRDefault="00E7212E" w:rsidP="00BF7D57">
            <w:pPr>
              <w:rPr>
                <w:rFonts w:ascii="Times New Roman" w:hAnsi="Times New Roman"/>
                <w:sz w:val="24"/>
              </w:rPr>
            </w:pPr>
            <w:r>
              <w:rPr>
                <w:rFonts w:ascii="Times New Roman" w:hAnsi="Times New Roman"/>
                <w:sz w:val="24"/>
              </w:rPr>
              <w:t>Ustanovení čl. 47a odst. 2, čl. 47c odst. 1 a čl. 47c odst. 3 písm. a), b), c), d), f), h) a i) nařízení (EU) č. 575/2013</w:t>
            </w:r>
          </w:p>
          <w:p w14:paraId="6EC4E8B7" w14:textId="77777777" w:rsidR="00E7212E" w:rsidRPr="002A677E" w:rsidRDefault="00E7212E" w:rsidP="00BF7D57">
            <w:pPr>
              <w:rPr>
                <w:rFonts w:ascii="Times New Roman" w:hAnsi="Times New Roman"/>
                <w:b/>
                <w:sz w:val="24"/>
                <w:u w:val="single"/>
              </w:rPr>
            </w:pPr>
            <w:r>
              <w:rPr>
                <w:rFonts w:ascii="Times New Roman" w:hAnsi="Times New Roman"/>
                <w:sz w:val="24"/>
              </w:rPr>
              <w:t>Instituce vykazují celkovou hodnotu expozice částí nevýkonných expozic, které jsou zajištěny nemovitostmi v souladu s částí třetí hlavou II nařízení (EU) č. 575/2013 nebo které jsou úvěry na obytné nemovitosti zaručenými způsobilým poskytovatelem zajištění uvedeným v článku 201 zmíněného nařízení.</w:t>
            </w:r>
          </w:p>
        </w:tc>
      </w:tr>
      <w:tr w:rsidR="00E7212E" w:rsidRPr="002A677E" w14:paraId="7DE37758" w14:textId="77777777" w:rsidTr="00BF7D57">
        <w:tc>
          <w:tcPr>
            <w:tcW w:w="1188" w:type="dxa"/>
            <w:tcBorders>
              <w:top w:val="single" w:sz="4" w:space="0" w:color="auto"/>
              <w:left w:val="single" w:sz="4" w:space="0" w:color="auto"/>
              <w:bottom w:val="single" w:sz="4" w:space="0" w:color="auto"/>
              <w:right w:val="single" w:sz="4" w:space="0" w:color="auto"/>
            </w:tcBorders>
          </w:tcPr>
          <w:p w14:paraId="644582D8"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59B992E6"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Část nevýkonných expozic, která je zajištěna jiným majetkovým nebo osobním zajištěním úvěrového rizika</w:t>
            </w:r>
          </w:p>
          <w:p w14:paraId="3F457A1D" w14:textId="77777777" w:rsidR="00E7212E" w:rsidRPr="002A677E" w:rsidRDefault="00E7212E" w:rsidP="00BF7D57">
            <w:pPr>
              <w:jc w:val="left"/>
              <w:rPr>
                <w:rFonts w:ascii="Times New Roman" w:hAnsi="Times New Roman"/>
                <w:sz w:val="24"/>
              </w:rPr>
            </w:pPr>
            <w:r>
              <w:rPr>
                <w:rFonts w:ascii="Times New Roman" w:hAnsi="Times New Roman"/>
                <w:sz w:val="24"/>
              </w:rPr>
              <w:t xml:space="preserve">Ustanovení čl. 47a odst. 2, čl. 47c odst. 1 a čl. 47c odst. 3 písm. a), b), c), e) a g) nařízení (EU) č. 575/2013 </w:t>
            </w:r>
          </w:p>
          <w:p w14:paraId="676A8E56" w14:textId="77777777" w:rsidR="00E7212E" w:rsidRPr="002A677E" w:rsidRDefault="00E7212E" w:rsidP="00BF7D57">
            <w:pPr>
              <w:jc w:val="left"/>
              <w:rPr>
                <w:rFonts w:ascii="Times New Roman" w:hAnsi="Times New Roman"/>
                <w:sz w:val="24"/>
              </w:rPr>
            </w:pPr>
            <w:r>
              <w:rPr>
                <w:rFonts w:ascii="Times New Roman" w:hAnsi="Times New Roman"/>
                <w:sz w:val="24"/>
              </w:rPr>
              <w:lastRenderedPageBreak/>
              <w:t>Instituce vykazují celkovou hodnotu expozice částí nevýkonných expozic, které jsou zajištěny jiným majetkovým nebo osobním zajištěním úvěrového rizika podle části třetí hlavy II nařízení (EU) č. 575/2013.</w:t>
            </w:r>
          </w:p>
        </w:tc>
      </w:tr>
      <w:tr w:rsidR="00DE7A8B" w:rsidRPr="002A677E" w14:paraId="7603122D" w14:textId="77777777" w:rsidTr="00BF7D57">
        <w:tc>
          <w:tcPr>
            <w:tcW w:w="1188" w:type="dxa"/>
            <w:tcBorders>
              <w:top w:val="single" w:sz="4" w:space="0" w:color="auto"/>
              <w:left w:val="single" w:sz="4" w:space="0" w:color="auto"/>
              <w:bottom w:val="single" w:sz="4" w:space="0" w:color="auto"/>
              <w:right w:val="single" w:sz="4" w:space="0" w:color="auto"/>
            </w:tcBorders>
          </w:tcPr>
          <w:p w14:paraId="58A1AAEE" w14:textId="30225BB7" w:rsidR="00DE7A8B" w:rsidRPr="002A677E" w:rsidRDefault="00DE7A8B" w:rsidP="00BF7D57">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6D104CC" w14:textId="77777777" w:rsidR="00DE7A8B" w:rsidRDefault="00DE7A8B" w:rsidP="00BF7D57">
            <w:pPr>
              <w:jc w:val="left"/>
              <w:rPr>
                <w:rFonts w:ascii="Times New Roman" w:hAnsi="Times New Roman"/>
                <w:b/>
                <w:sz w:val="24"/>
                <w:u w:val="single"/>
              </w:rPr>
            </w:pPr>
            <w:r>
              <w:rPr>
                <w:rFonts w:ascii="Times New Roman" w:hAnsi="Times New Roman"/>
                <w:b/>
                <w:sz w:val="24"/>
                <w:u w:val="single"/>
              </w:rPr>
              <w:t>Část nevýkonných expozic, na kterou se vztahuje záruka nebo protizáruka vystavená způsobilým poskytovatelem zajištění (koeficient 1)</w:t>
            </w:r>
          </w:p>
          <w:p w14:paraId="4D27415B" w14:textId="7FB89EC4" w:rsidR="00DE7A8B" w:rsidRPr="00DE7A8B" w:rsidRDefault="00DE7A8B" w:rsidP="00BF7D57">
            <w:pPr>
              <w:jc w:val="left"/>
              <w:rPr>
                <w:rFonts w:ascii="Times New Roman" w:hAnsi="Times New Roman"/>
                <w:bCs/>
                <w:sz w:val="24"/>
              </w:rPr>
            </w:pPr>
            <w:r>
              <w:rPr>
                <w:rFonts w:ascii="Times New Roman" w:hAnsi="Times New Roman"/>
                <w:sz w:val="24"/>
              </w:rPr>
              <w:t>Ustanovení čl. 47c odst. 4 písm. b) nařízení (EU) č. 575/2013 (faktor 1)</w:t>
            </w:r>
          </w:p>
        </w:tc>
      </w:tr>
      <w:tr w:rsidR="00DE7A8B" w:rsidRPr="002A677E" w14:paraId="11A8A846" w14:textId="77777777" w:rsidTr="00BF7D57">
        <w:tc>
          <w:tcPr>
            <w:tcW w:w="1188" w:type="dxa"/>
            <w:tcBorders>
              <w:top w:val="single" w:sz="4" w:space="0" w:color="auto"/>
              <w:left w:val="single" w:sz="4" w:space="0" w:color="auto"/>
              <w:bottom w:val="single" w:sz="4" w:space="0" w:color="auto"/>
              <w:right w:val="single" w:sz="4" w:space="0" w:color="auto"/>
            </w:tcBorders>
          </w:tcPr>
          <w:p w14:paraId="0C186928" w14:textId="2FC46201" w:rsidR="00DE7A8B" w:rsidRPr="002A677E" w:rsidRDefault="00DE7A8B"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C951854" w14:textId="77777777" w:rsidR="00DE7A8B" w:rsidRDefault="00DE7A8B" w:rsidP="00BF7D57">
            <w:pPr>
              <w:jc w:val="left"/>
              <w:rPr>
                <w:rFonts w:ascii="Times New Roman" w:hAnsi="Times New Roman"/>
                <w:b/>
                <w:sz w:val="24"/>
                <w:u w:val="single"/>
              </w:rPr>
            </w:pPr>
            <w:r>
              <w:rPr>
                <w:rFonts w:ascii="Times New Roman" w:hAnsi="Times New Roman"/>
                <w:b/>
                <w:sz w:val="24"/>
                <w:u w:val="single"/>
              </w:rPr>
              <w:t>Část nevýkonných expozic, na kterou se vztahuje záruka nebo protizáruka vystavená způsobilým poskytovatelem zajištění (koeficient 0)</w:t>
            </w:r>
          </w:p>
          <w:p w14:paraId="1F86CE64" w14:textId="53FD9558" w:rsidR="00A13F70" w:rsidRPr="00AD1E4E" w:rsidRDefault="00DE7A8B" w:rsidP="00BF7D57">
            <w:pPr>
              <w:jc w:val="left"/>
              <w:rPr>
                <w:rFonts w:ascii="Times New Roman" w:hAnsi="Times New Roman"/>
                <w:sz w:val="24"/>
              </w:rPr>
            </w:pPr>
            <w:r>
              <w:rPr>
                <w:rFonts w:ascii="Times New Roman" w:hAnsi="Times New Roman"/>
                <w:sz w:val="24"/>
              </w:rPr>
              <w:t>Ustanovení čl. 47c odst. 4 písm. a) a b) nařízení (EU) č. 575/2013 (faktor 0) Expozice, u nichž způsobilý poskytovatel zajištění souhlasil s tím, že splní všechny platební závazky dlužníka vůči úvěrové instituci v plném rozsahu a v souladu s původním smluvním harmonogramem plateb, se vykazují v řádku 0120 (pro všechny časové úseky).</w:t>
            </w:r>
          </w:p>
        </w:tc>
      </w:tr>
    </w:tbl>
    <w:p w14:paraId="50ED2ECA" w14:textId="77777777" w:rsidR="00E7212E" w:rsidRPr="002A677E" w:rsidRDefault="00E7212E" w:rsidP="00E7212E">
      <w:pPr>
        <w:spacing w:before="0" w:after="160" w:line="259" w:lineRule="auto"/>
        <w:jc w:val="left"/>
        <w:rPr>
          <w:rFonts w:ascii="Times New Roman" w:hAnsi="Times New Roman"/>
          <w:sz w:val="24"/>
        </w:rPr>
      </w:pPr>
    </w:p>
    <w:p w14:paraId="3628EDB9" w14:textId="4DC4E151"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12" w:name="_Toc19715893"/>
      <w:bookmarkStart w:id="13" w:name="_Toc151714532"/>
      <w:r>
        <w:rPr>
          <w:rFonts w:ascii="Times New Roman" w:hAnsi="Times New Roman"/>
          <w:sz w:val="24"/>
        </w:rPr>
        <w:t>C 35.03 –</w:t>
      </w:r>
      <w:r w:rsidR="007A7559">
        <w:rPr>
          <w:rFonts w:ascii="Times New Roman" w:hAnsi="Times New Roman"/>
          <w:sz w:val="24"/>
        </w:rPr>
        <w:t xml:space="preserve"> </w:t>
      </w:r>
      <w:r>
        <w:rPr>
          <w:rFonts w:ascii="Times New Roman" w:hAnsi="Times New Roman"/>
          <w:sz w:val="24"/>
        </w:rPr>
        <w:t xml:space="preserve">POŽADAVKY NA </w:t>
      </w:r>
      <w:r w:rsidR="007A7559">
        <w:rPr>
          <w:rFonts w:ascii="Times New Roman" w:hAnsi="Times New Roman"/>
          <w:sz w:val="24"/>
        </w:rPr>
        <w:t xml:space="preserve">MINIMÁLNÍ </w:t>
      </w:r>
      <w:r>
        <w:rPr>
          <w:rFonts w:ascii="Times New Roman" w:hAnsi="Times New Roman"/>
          <w:sz w:val="24"/>
        </w:rPr>
        <w:t>KRYTÍ A HODNOTY EXPOZIC NEVÝKONNÝCH EXPOZIC S ÚLEVOU, NA NĚŽ SE VZTAHUJE ČL. 47C ODST. 6 NAŘÍZENÍ (EU) Č. 575/2013 (NPE LC3)</w:t>
      </w:r>
      <w:bookmarkStart w:id="14" w:name="_Toc19715894"/>
      <w:bookmarkEnd w:id="12"/>
      <w:bookmarkEnd w:id="13"/>
      <w:bookmarkEnd w:id="14"/>
    </w:p>
    <w:p w14:paraId="5B34B317"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5" w:name="_Toc19715895"/>
      <w:bookmarkStart w:id="16" w:name="_Toc151714533"/>
      <w:r>
        <w:rPr>
          <w:rFonts w:ascii="Times New Roman" w:hAnsi="Times New Roman"/>
          <w:sz w:val="24"/>
        </w:rPr>
        <w:t>Pokyny pro konkrétní pozice</w:t>
      </w:r>
      <w:bookmarkEnd w:id="15"/>
      <w:bookmarkEnd w:id="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8876AE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FC74DE1" w14:textId="77777777" w:rsidR="00E7212E" w:rsidRPr="002A677E" w:rsidRDefault="00E7212E" w:rsidP="00BF7D57">
            <w:pPr>
              <w:rPr>
                <w:rFonts w:ascii="Times New Roman" w:hAnsi="Times New Roman"/>
                <w:sz w:val="24"/>
              </w:rPr>
            </w:pPr>
            <w:r>
              <w:rPr>
                <w:rFonts w:ascii="Times New Roman" w:hAnsi="Times New Roman"/>
                <w:sz w:val="24"/>
              </w:rPr>
              <w:t>Sloupce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C036004" w14:textId="77777777" w:rsidR="00E7212E" w:rsidRPr="002A677E" w:rsidRDefault="00E7212E" w:rsidP="00BF7D57">
            <w:pPr>
              <w:rPr>
                <w:rFonts w:ascii="Times New Roman" w:hAnsi="Times New Roman"/>
                <w:sz w:val="24"/>
              </w:rPr>
            </w:pPr>
            <w:r>
              <w:rPr>
                <w:rFonts w:ascii="Times New Roman" w:hAnsi="Times New Roman"/>
                <w:sz w:val="24"/>
              </w:rPr>
              <w:t>Pokyny</w:t>
            </w:r>
          </w:p>
        </w:tc>
      </w:tr>
      <w:tr w:rsidR="00E7212E" w:rsidRPr="002A677E" w14:paraId="7EDF27B4"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5E1CAD54" w14:textId="77777777" w:rsidR="00E7212E" w:rsidRPr="002A677E" w:rsidRDefault="00E7212E" w:rsidP="00BF7D57">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0D325D1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Čas, který uplynul od okamžiku, kdy expozice byly klasifikovány jako nevýkonné</w:t>
            </w:r>
          </w:p>
          <w:p w14:paraId="6028F7B7" w14:textId="77777777" w:rsidR="00E7212E" w:rsidRPr="002A677E" w:rsidRDefault="00E7212E" w:rsidP="00BF7D57">
            <w:pPr>
              <w:rPr>
                <w:rFonts w:ascii="Times New Roman" w:hAnsi="Times New Roman"/>
                <w:sz w:val="24"/>
              </w:rPr>
            </w:pPr>
            <w:r>
              <w:rPr>
                <w:rFonts w:ascii="Times New Roman" w:hAnsi="Times New Roman"/>
                <w:sz w:val="24"/>
              </w:rPr>
              <w:t>„Časem, který uplynul od okamžiku, kdy expozice byly klasifikovány jako nevýkonné“, se rozumí doba (v letech), která uplynula od okamžiku, kdy expozice byly klasifikovány jako nevýkonné. Instituce vykazují údaje o expozicích, u nichž referenční datum spadá do časového intervalu odpovídajícího době (v letech) uplynulé od okamžiku, kdy expozice byly klasifikovány jako nevýkonné, bez ohledu na uplatnění opatření týkajících se úlevy.</w:t>
            </w:r>
          </w:p>
          <w:p w14:paraId="1EB41D92" w14:textId="77777777" w:rsidR="00E7212E" w:rsidRPr="002A677E" w:rsidRDefault="00E7212E" w:rsidP="00BF7D57">
            <w:pPr>
              <w:rPr>
                <w:rFonts w:ascii="Times New Roman" w:hAnsi="Times New Roman"/>
                <w:sz w:val="24"/>
              </w:rPr>
            </w:pPr>
            <w:r>
              <w:rPr>
                <w:rFonts w:ascii="Times New Roman" w:hAnsi="Times New Roman"/>
                <w:sz w:val="24"/>
              </w:rPr>
              <w:t>V časovém intervalu „&gt; X rok(ů), &lt;= Y rok(ů)“ instituce vykazují údaje o expozicích, u nichž referenční datum odpovídá období mezi prvním a posledním dnem roku Y po klasifikaci těchto expozic jako nevýkonných.</w:t>
            </w:r>
          </w:p>
        </w:tc>
      </w:tr>
      <w:tr w:rsidR="00E7212E" w:rsidRPr="002A677E" w14:paraId="2DDAC16E" w14:textId="77777777" w:rsidTr="00BF7D57">
        <w:tc>
          <w:tcPr>
            <w:tcW w:w="1188" w:type="dxa"/>
            <w:tcBorders>
              <w:top w:val="single" w:sz="4" w:space="0" w:color="auto"/>
              <w:left w:val="single" w:sz="4" w:space="0" w:color="auto"/>
              <w:bottom w:val="single" w:sz="4" w:space="0" w:color="auto"/>
              <w:right w:val="single" w:sz="4" w:space="0" w:color="auto"/>
            </w:tcBorders>
          </w:tcPr>
          <w:p w14:paraId="52031109"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5AB16EC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Celkem</w:t>
            </w:r>
          </w:p>
          <w:p w14:paraId="63F44A7E" w14:textId="77777777" w:rsidR="00E7212E" w:rsidRPr="002A677E" w:rsidRDefault="00E7212E" w:rsidP="00BF7D57">
            <w:pPr>
              <w:rPr>
                <w:rFonts w:ascii="Times New Roman" w:hAnsi="Times New Roman"/>
                <w:b/>
                <w:sz w:val="24"/>
                <w:u w:val="single"/>
              </w:rPr>
            </w:pPr>
            <w:r>
              <w:rPr>
                <w:rFonts w:ascii="Times New Roman" w:hAnsi="Times New Roman"/>
                <w:sz w:val="24"/>
              </w:rPr>
              <w:t>Instituce vykazují součet všech sloupců od 0010 do 0100.</w:t>
            </w:r>
          </w:p>
        </w:tc>
      </w:tr>
    </w:tbl>
    <w:p w14:paraId="3C3B63E4" w14:textId="77777777" w:rsidR="00E7212E" w:rsidRPr="002A677E" w:rsidRDefault="00E7212E" w:rsidP="00E7212E">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1FAB4941"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D73EDE1" w14:textId="77777777" w:rsidR="00E7212E" w:rsidRPr="002A677E" w:rsidRDefault="00E7212E" w:rsidP="00BF7D57">
            <w:pPr>
              <w:rPr>
                <w:rFonts w:ascii="Times New Roman" w:hAnsi="Times New Roman"/>
                <w:sz w:val="24"/>
              </w:rPr>
            </w:pPr>
            <w:r>
              <w:rPr>
                <w:rFonts w:ascii="Times New Roman" w:hAnsi="Times New Roman"/>
                <w:sz w:val="24"/>
              </w:rPr>
              <w:t>Řádky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379B896" w14:textId="77777777" w:rsidR="00E7212E" w:rsidRPr="002A677E" w:rsidRDefault="00E7212E" w:rsidP="00BF7D57">
            <w:pPr>
              <w:rPr>
                <w:rFonts w:ascii="Times New Roman" w:hAnsi="Times New Roman"/>
                <w:sz w:val="24"/>
              </w:rPr>
            </w:pPr>
            <w:r>
              <w:rPr>
                <w:rFonts w:ascii="Times New Roman" w:hAnsi="Times New Roman"/>
                <w:sz w:val="24"/>
              </w:rPr>
              <w:t>Pokyny</w:t>
            </w:r>
          </w:p>
        </w:tc>
      </w:tr>
      <w:tr w:rsidR="00E7212E" w:rsidRPr="002A677E" w14:paraId="4AFA24F3"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92618B6"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58EA6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Požadavek na celkové minimální krytí</w:t>
            </w:r>
          </w:p>
          <w:p w14:paraId="1C8DD96C" w14:textId="77777777" w:rsidR="00E7212E" w:rsidRPr="002A677E" w:rsidRDefault="00E7212E" w:rsidP="00BF7D57">
            <w:pPr>
              <w:rPr>
                <w:rFonts w:ascii="Times New Roman" w:hAnsi="Times New Roman"/>
                <w:sz w:val="24"/>
              </w:rPr>
            </w:pPr>
            <w:r>
              <w:rPr>
                <w:rFonts w:ascii="Times New Roman" w:hAnsi="Times New Roman"/>
                <w:sz w:val="24"/>
              </w:rPr>
              <w:t>Ustanovení čl. 47c odst. 1 písm. a) a čl. 47c odst. 6 nařízení (EU) č. 575/2013</w:t>
            </w:r>
          </w:p>
          <w:p w14:paraId="08DABFBB" w14:textId="77777777" w:rsidR="00E7212E" w:rsidRPr="002A677E" w:rsidRDefault="00E7212E" w:rsidP="00BF7D57">
            <w:pPr>
              <w:rPr>
                <w:rFonts w:ascii="Times New Roman" w:hAnsi="Times New Roman"/>
                <w:sz w:val="24"/>
              </w:rPr>
            </w:pPr>
            <w:r>
              <w:rPr>
                <w:rFonts w:ascii="Times New Roman" w:hAnsi="Times New Roman"/>
                <w:sz w:val="24"/>
              </w:rPr>
              <w:t xml:space="preserve">Pro výpočet požadavku na celkové minimální krytí nevýkonných expozic s úlevou, na něž se vztahuje čl. 47c odst. 6 nařízení (EU) č. 575/2013, instituce sečtou požadavky na minimální krytí nezajištěné části nevýkonných expozic s úlevou (řádek 0020), části nevýkonných expozic s úlevou zajištěných nemovitostmi nebo úvěrem na obytné </w:t>
            </w:r>
            <w:r>
              <w:rPr>
                <w:rFonts w:ascii="Times New Roman" w:hAnsi="Times New Roman"/>
                <w:sz w:val="24"/>
              </w:rPr>
              <w:lastRenderedPageBreak/>
              <w:t>nemovitosti zaručeným způsobilým poskytovatelem zajištění (řádek 0030) a části nevýkonných expozic s úlevou, které jsou zajištěny jiným majetkovým nebo osobním zajištěním úvěrového rizika (řádek 0040).</w:t>
            </w:r>
          </w:p>
        </w:tc>
      </w:tr>
      <w:tr w:rsidR="00E7212E" w:rsidRPr="002A677E" w14:paraId="17F39371" w14:textId="77777777" w:rsidTr="00BF7D57">
        <w:tc>
          <w:tcPr>
            <w:tcW w:w="1188" w:type="dxa"/>
            <w:tcBorders>
              <w:top w:val="single" w:sz="4" w:space="0" w:color="auto"/>
              <w:left w:val="single" w:sz="4" w:space="0" w:color="auto"/>
              <w:bottom w:val="single" w:sz="4" w:space="0" w:color="auto"/>
              <w:right w:val="single" w:sz="4" w:space="0" w:color="auto"/>
            </w:tcBorders>
          </w:tcPr>
          <w:p w14:paraId="79686B12" w14:textId="77777777" w:rsidR="00E7212E" w:rsidRPr="002A677E" w:rsidRDefault="00E7212E" w:rsidP="00BF7D57">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35E087D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Nezajištěná část nevýkonných expozic</w:t>
            </w:r>
          </w:p>
          <w:p w14:paraId="01C888D8" w14:textId="77777777" w:rsidR="00E7212E" w:rsidRPr="002A677E" w:rsidRDefault="00E7212E" w:rsidP="00BF7D57">
            <w:pPr>
              <w:rPr>
                <w:rFonts w:ascii="Times New Roman" w:hAnsi="Times New Roman"/>
                <w:sz w:val="24"/>
              </w:rPr>
            </w:pPr>
            <w:r>
              <w:rPr>
                <w:rFonts w:ascii="Times New Roman" w:hAnsi="Times New Roman"/>
                <w:sz w:val="24"/>
              </w:rPr>
              <w:t>Ustanovení čl. 47c odst. 1 písm. a) bodu i), čl. 47c odst. 2, čl. 47c odst. 6 nařízení (EU) č. 575/2013</w:t>
            </w:r>
          </w:p>
          <w:p w14:paraId="0536875C" w14:textId="77777777" w:rsidR="00E7212E" w:rsidRPr="002A677E" w:rsidRDefault="00E7212E" w:rsidP="00BF7D57">
            <w:pPr>
              <w:rPr>
                <w:rFonts w:ascii="Times New Roman" w:hAnsi="Times New Roman"/>
                <w:sz w:val="24"/>
              </w:rPr>
            </w:pPr>
            <w:r>
              <w:rPr>
                <w:rFonts w:ascii="Times New Roman" w:hAnsi="Times New Roman"/>
                <w:sz w:val="24"/>
              </w:rPr>
              <w:t>Instituce vykazují celkový požadavek na minimální krytí pro nezajištěnou část nevýkonných expozic s úlevou, na které se vztahuje čl. 47c odst. 6 nařízení (EU) č. 575/2013, tj. souhrn výpočtů na úrovni expozice.</w:t>
            </w:r>
          </w:p>
        </w:tc>
      </w:tr>
      <w:tr w:rsidR="00E7212E" w:rsidRPr="002A677E" w14:paraId="3B5740C0" w14:textId="77777777" w:rsidTr="00BF7D57">
        <w:tc>
          <w:tcPr>
            <w:tcW w:w="1188" w:type="dxa"/>
            <w:tcBorders>
              <w:top w:val="single" w:sz="4" w:space="0" w:color="auto"/>
              <w:left w:val="single" w:sz="4" w:space="0" w:color="auto"/>
              <w:bottom w:val="single" w:sz="4" w:space="0" w:color="auto"/>
              <w:right w:val="single" w:sz="4" w:space="0" w:color="auto"/>
            </w:tcBorders>
          </w:tcPr>
          <w:p w14:paraId="766C174D"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2BC6DDF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Část nevýkonných expozic, která je zajištěna nemovitostmi nebo úvěrem na obytné nemovitosti zaručeným způsobilým poskytovatelem zajištění</w:t>
            </w:r>
          </w:p>
          <w:p w14:paraId="073D5D9E" w14:textId="77777777" w:rsidR="00E7212E" w:rsidRPr="002A677E" w:rsidRDefault="00E7212E" w:rsidP="00BF7D57">
            <w:pPr>
              <w:rPr>
                <w:rFonts w:ascii="Times New Roman" w:hAnsi="Times New Roman"/>
                <w:sz w:val="24"/>
              </w:rPr>
            </w:pPr>
            <w:r>
              <w:rPr>
                <w:rFonts w:ascii="Times New Roman" w:hAnsi="Times New Roman"/>
                <w:sz w:val="24"/>
              </w:rPr>
              <w:t>Ustanovení čl. 47c odst. 1 písm. a) bodu </w:t>
            </w:r>
            <w:proofErr w:type="spellStart"/>
            <w:r>
              <w:rPr>
                <w:rFonts w:ascii="Times New Roman" w:hAnsi="Times New Roman"/>
                <w:sz w:val="24"/>
              </w:rPr>
              <w:t>ii</w:t>
            </w:r>
            <w:proofErr w:type="spellEnd"/>
            <w:r>
              <w:rPr>
                <w:rFonts w:ascii="Times New Roman" w:hAnsi="Times New Roman"/>
                <w:sz w:val="24"/>
              </w:rPr>
              <w:t>), čl. 47c odst. 3 písm. a), b), c), d), f), h) a i) a čl. 47c odst. 6 nařízení (EU) č. 575/2013</w:t>
            </w:r>
          </w:p>
          <w:p w14:paraId="583D1B90"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Instituce vykazují celkový požadavek na minimální krytí pro části nevýkonných expozic s úlevou, které jsou zajištěny nemovitostmi podle části třetí hlavy II nařízení (EU) č. 575/2013 nebo které jsou úvěry na obytné nemovitosti zaručenými způsobilým poskytovatelem zajištění uvedeným v článku 201 zmíněného nařízení, na něž se vztahuje čl. 47c odst. 6 uvedeného nařízení, tj. souhrn výpočtů na úrovni expozice. </w:t>
            </w:r>
          </w:p>
        </w:tc>
      </w:tr>
      <w:tr w:rsidR="00E7212E" w:rsidRPr="002A677E" w14:paraId="68B6C19E" w14:textId="77777777" w:rsidTr="00BF7D57">
        <w:tc>
          <w:tcPr>
            <w:tcW w:w="1188" w:type="dxa"/>
            <w:tcBorders>
              <w:top w:val="single" w:sz="4" w:space="0" w:color="auto"/>
              <w:left w:val="single" w:sz="4" w:space="0" w:color="auto"/>
              <w:bottom w:val="single" w:sz="4" w:space="0" w:color="auto"/>
              <w:right w:val="single" w:sz="4" w:space="0" w:color="auto"/>
            </w:tcBorders>
          </w:tcPr>
          <w:p w14:paraId="1D5BCCA2"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65C6363F"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Část nevýkonných expozic, která je zajištěna jiným majetkovým nebo osobním zajištěním úvěrového rizika</w:t>
            </w:r>
          </w:p>
          <w:p w14:paraId="001BEF19" w14:textId="77777777" w:rsidR="00E7212E" w:rsidRPr="002A677E" w:rsidRDefault="00E7212E" w:rsidP="00BF7D57">
            <w:pPr>
              <w:rPr>
                <w:rFonts w:ascii="Times New Roman" w:hAnsi="Times New Roman"/>
                <w:sz w:val="24"/>
              </w:rPr>
            </w:pPr>
            <w:r>
              <w:rPr>
                <w:rFonts w:ascii="Times New Roman" w:hAnsi="Times New Roman"/>
                <w:sz w:val="24"/>
              </w:rPr>
              <w:t>Ustanovení čl. 47c odst. 1 písm. a) bodu </w:t>
            </w:r>
            <w:proofErr w:type="spellStart"/>
            <w:r>
              <w:rPr>
                <w:rFonts w:ascii="Times New Roman" w:hAnsi="Times New Roman"/>
                <w:sz w:val="24"/>
              </w:rPr>
              <w:t>ii</w:t>
            </w:r>
            <w:proofErr w:type="spellEnd"/>
            <w:r>
              <w:rPr>
                <w:rFonts w:ascii="Times New Roman" w:hAnsi="Times New Roman"/>
                <w:sz w:val="24"/>
              </w:rPr>
              <w:t>), čl. 47c odst. 3 písm. a), b), c), e) a g) a čl. 47c odst. 6 nařízení (EU) č. 575/2013</w:t>
            </w:r>
          </w:p>
          <w:p w14:paraId="4AB04E40" w14:textId="77777777" w:rsidR="00E7212E" w:rsidRPr="002A677E" w:rsidRDefault="00E7212E" w:rsidP="00BF7D57">
            <w:pPr>
              <w:rPr>
                <w:rFonts w:ascii="Times New Roman" w:hAnsi="Times New Roman"/>
                <w:sz w:val="24"/>
              </w:rPr>
            </w:pPr>
            <w:r>
              <w:rPr>
                <w:rFonts w:ascii="Times New Roman" w:hAnsi="Times New Roman"/>
                <w:sz w:val="24"/>
              </w:rPr>
              <w:t>Instituce vykazují celkový požadavek na minimální krytí pro části nevýkonných expozic s úlevou, které jsou zajištěny jiným majetkovým nebo osobním zajištěním úvěrového rizika, na které se vztahuje čl. 47c odst. 6 nařízení (EU) č. 575/2013, tj. souhrn výpočtů na úrovni expozice.</w:t>
            </w:r>
          </w:p>
        </w:tc>
      </w:tr>
      <w:tr w:rsidR="00E7212E" w:rsidRPr="002A677E" w14:paraId="04E19BFB" w14:textId="77777777" w:rsidTr="00BF7D57">
        <w:tc>
          <w:tcPr>
            <w:tcW w:w="1188" w:type="dxa"/>
            <w:tcBorders>
              <w:top w:val="single" w:sz="4" w:space="0" w:color="auto"/>
              <w:left w:val="single" w:sz="4" w:space="0" w:color="auto"/>
              <w:bottom w:val="single" w:sz="4" w:space="0" w:color="auto"/>
              <w:right w:val="single" w:sz="4" w:space="0" w:color="auto"/>
            </w:tcBorders>
          </w:tcPr>
          <w:p w14:paraId="462EC6DB" w14:textId="77777777" w:rsidR="00E7212E" w:rsidRPr="002A677E" w:rsidRDefault="00E7212E" w:rsidP="00BF7D57">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B8F8E1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Hodnota expozice</w:t>
            </w:r>
          </w:p>
          <w:p w14:paraId="1D4AA342" w14:textId="77777777" w:rsidR="00E7212E" w:rsidRPr="002A677E" w:rsidRDefault="00E7212E" w:rsidP="00BF7D57">
            <w:pPr>
              <w:rPr>
                <w:rFonts w:ascii="Times New Roman" w:hAnsi="Times New Roman"/>
                <w:sz w:val="24"/>
              </w:rPr>
            </w:pPr>
            <w:r>
              <w:rPr>
                <w:rFonts w:ascii="Times New Roman" w:hAnsi="Times New Roman"/>
                <w:sz w:val="24"/>
              </w:rPr>
              <w:t>Ustanovení čl. 47a odst. 2 a čl. 47c odst. 6 nařízení (EU) č. 575/2013</w:t>
            </w:r>
          </w:p>
          <w:p w14:paraId="5365D678"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Pro výpočet hodnoty expozice instituce sečtou hodnoty expozic vykázané pro nezajištěnou část nevýkonných expozic (řádek 0060), část nevýkonných expozic, která je zajištěna nemovitostmi nebo úvěrem na obytné nemovitosti zaručeným způsobilým poskytovatelem zajištění (řádek 0070) a v příslušných případech část nevýkonných expozic, která je zajištěna jiným majetkovým nebo osobním zajištěním úvěrového rizika (řádek 0120). </w:t>
            </w:r>
          </w:p>
        </w:tc>
      </w:tr>
      <w:tr w:rsidR="00E7212E" w:rsidRPr="002A677E" w14:paraId="2C7881D8" w14:textId="77777777" w:rsidTr="00BF7D57">
        <w:tc>
          <w:tcPr>
            <w:tcW w:w="1188" w:type="dxa"/>
            <w:tcBorders>
              <w:top w:val="single" w:sz="4" w:space="0" w:color="auto"/>
              <w:left w:val="single" w:sz="4" w:space="0" w:color="auto"/>
              <w:bottom w:val="single" w:sz="4" w:space="0" w:color="auto"/>
              <w:right w:val="single" w:sz="4" w:space="0" w:color="auto"/>
            </w:tcBorders>
          </w:tcPr>
          <w:p w14:paraId="5E298C40"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AF6698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Nezajištěná část nevýkonných expozic</w:t>
            </w:r>
          </w:p>
          <w:p w14:paraId="5A3C8BE2" w14:textId="77777777" w:rsidR="00E7212E" w:rsidRPr="002A677E" w:rsidRDefault="00E7212E" w:rsidP="00BF7D57">
            <w:pPr>
              <w:jc w:val="left"/>
              <w:rPr>
                <w:rFonts w:ascii="Times New Roman" w:hAnsi="Times New Roman"/>
                <w:sz w:val="24"/>
              </w:rPr>
            </w:pPr>
            <w:r>
              <w:rPr>
                <w:rFonts w:ascii="Times New Roman" w:hAnsi="Times New Roman"/>
                <w:sz w:val="24"/>
              </w:rPr>
              <w:t>Ustanovení čl. 47a odst. 2, čl. 47c odst. 1, 2 a 6 nařízení (EU) č. 575/2013</w:t>
            </w:r>
          </w:p>
          <w:p w14:paraId="5FCF3D88" w14:textId="77777777" w:rsidR="00E7212E" w:rsidRPr="002A677E" w:rsidRDefault="00E7212E" w:rsidP="00BF7D57">
            <w:pPr>
              <w:rPr>
                <w:rFonts w:ascii="Times New Roman" w:hAnsi="Times New Roman"/>
                <w:b/>
                <w:sz w:val="24"/>
                <w:u w:val="single"/>
              </w:rPr>
            </w:pPr>
            <w:r>
              <w:rPr>
                <w:rFonts w:ascii="Times New Roman" w:hAnsi="Times New Roman"/>
                <w:sz w:val="24"/>
              </w:rPr>
              <w:t>Instituce vykazují celkovou hodnotu expozice nezajištěné části nevýkonných expozic s úlevou, na které se vztahuje čl. 47c odst. 6 nařízení (EU) č. 575/2013, pokud bylo první opatření týkající se úlevy poskytnuto mezi prvním a posledním dnem druhého roku po klasifikaci expozice jako nevýkonné (&gt; 1 rok; &lt;= 2 roky).</w:t>
            </w:r>
          </w:p>
        </w:tc>
      </w:tr>
      <w:tr w:rsidR="00E7212E" w:rsidRPr="002A677E" w14:paraId="4A0A4386" w14:textId="77777777" w:rsidTr="00BF7D57">
        <w:tc>
          <w:tcPr>
            <w:tcW w:w="1188" w:type="dxa"/>
            <w:tcBorders>
              <w:top w:val="single" w:sz="4" w:space="0" w:color="auto"/>
              <w:left w:val="single" w:sz="4" w:space="0" w:color="auto"/>
              <w:bottom w:val="single" w:sz="4" w:space="0" w:color="auto"/>
              <w:right w:val="single" w:sz="4" w:space="0" w:color="auto"/>
            </w:tcBorders>
          </w:tcPr>
          <w:p w14:paraId="261A037A" w14:textId="77777777" w:rsidR="00E7212E" w:rsidRPr="002A677E" w:rsidRDefault="00E7212E" w:rsidP="00BF7D57">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14:paraId="4F04282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Část nevýkonných expozic, která je zajištěna nemovitostmi nebo úvěrem na obytné nemovitosti zaručeným způsobilým poskytovatelem zajištění</w:t>
            </w:r>
          </w:p>
          <w:p w14:paraId="6D8528EC" w14:textId="77777777" w:rsidR="00E7212E" w:rsidRPr="002A677E" w:rsidRDefault="00E7212E" w:rsidP="00BF7D57">
            <w:pPr>
              <w:rPr>
                <w:rFonts w:ascii="Times New Roman" w:hAnsi="Times New Roman"/>
                <w:sz w:val="24"/>
              </w:rPr>
            </w:pPr>
            <w:r>
              <w:rPr>
                <w:rFonts w:ascii="Times New Roman" w:hAnsi="Times New Roman"/>
                <w:sz w:val="24"/>
              </w:rPr>
              <w:t>Ustanovení čl. 47a odst. 2, čl. 47c odst. 1, čl. 47c odst. 3 písm. a), b), c), d), f), h) a i) a čl. 47c odst. 6 nařízení (EU) č. 575/2013</w:t>
            </w:r>
          </w:p>
          <w:p w14:paraId="287FCDE3" w14:textId="77777777" w:rsidR="00E7212E" w:rsidRPr="002A677E" w:rsidRDefault="00E7212E" w:rsidP="00BF7D57">
            <w:pPr>
              <w:rPr>
                <w:rFonts w:ascii="Times New Roman" w:hAnsi="Times New Roman"/>
                <w:b/>
                <w:sz w:val="24"/>
                <w:u w:val="single"/>
              </w:rPr>
            </w:pPr>
            <w:r>
              <w:rPr>
                <w:rFonts w:ascii="Times New Roman" w:hAnsi="Times New Roman"/>
                <w:sz w:val="24"/>
              </w:rPr>
              <w:t>Instituce vykazují celkovou hodnotu expozice částí nevýkonných expozic s úlevou, na které se vztahuje čl. 47c odst. 6 nařízení (EU) č. 575/2013, které jsou zajištěny nemovitostmi v souladu s částí třetí hlavou II uvedeného nařízení nebo které jsou úvěry na obytné nemovitosti zaručenými způsobilým poskytovatelem zajištění uvedeným v článku 201 uvedeného nařízení.</w:t>
            </w:r>
          </w:p>
        </w:tc>
      </w:tr>
      <w:tr w:rsidR="00E7212E" w:rsidRPr="002A677E" w14:paraId="46C7DDF6" w14:textId="77777777" w:rsidTr="00BF7D57">
        <w:tc>
          <w:tcPr>
            <w:tcW w:w="1188" w:type="dxa"/>
            <w:tcBorders>
              <w:top w:val="single" w:sz="4" w:space="0" w:color="auto"/>
              <w:left w:val="single" w:sz="4" w:space="0" w:color="auto"/>
              <w:bottom w:val="single" w:sz="4" w:space="0" w:color="auto"/>
              <w:right w:val="single" w:sz="4" w:space="0" w:color="auto"/>
            </w:tcBorders>
          </w:tcPr>
          <w:p w14:paraId="06CD3F27"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0AFC7BF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2 a &lt;= 3 roky po klasifikaci expozice jako nevýkonné</w:t>
            </w:r>
          </w:p>
          <w:p w14:paraId="132D2A99" w14:textId="77777777" w:rsidR="00E7212E" w:rsidRPr="002A677E" w:rsidRDefault="00E7212E" w:rsidP="00BF7D57">
            <w:pPr>
              <w:rPr>
                <w:rFonts w:ascii="Times New Roman" w:hAnsi="Times New Roman"/>
                <w:b/>
                <w:sz w:val="24"/>
                <w:u w:val="single"/>
              </w:rPr>
            </w:pPr>
            <w:r>
              <w:rPr>
                <w:rFonts w:ascii="Times New Roman" w:hAnsi="Times New Roman"/>
                <w:sz w:val="24"/>
              </w:rPr>
              <w:t>Instituce vykazují hodnotu expozice nevýkonných expozic s úlevou, na které se vztahuje čl. 47c odst. 6 nařízení (EU) č. 575/2013 a které jsou zajištěny nemovitostmi nebo úvěry na obytné nemovitosti zaručenými způsobilým poskytovatelem zajištění, pokud bylo první opatření týkající se úlevy poskytnuto mezi prvním a posledním dnem třetího roku po klasifikaci expozice jako nevýkonné.</w:t>
            </w:r>
          </w:p>
        </w:tc>
      </w:tr>
      <w:tr w:rsidR="00E7212E" w:rsidRPr="002A677E" w14:paraId="648961B9" w14:textId="77777777" w:rsidTr="00BF7D57">
        <w:tc>
          <w:tcPr>
            <w:tcW w:w="1188" w:type="dxa"/>
            <w:tcBorders>
              <w:top w:val="single" w:sz="4" w:space="0" w:color="auto"/>
              <w:left w:val="single" w:sz="4" w:space="0" w:color="auto"/>
              <w:bottom w:val="single" w:sz="4" w:space="0" w:color="auto"/>
              <w:right w:val="single" w:sz="4" w:space="0" w:color="auto"/>
            </w:tcBorders>
          </w:tcPr>
          <w:p w14:paraId="7C9B10E9"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3E4C61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3 a &lt;= 4 roky po klasifikaci expozice jako nevýkonné</w:t>
            </w:r>
          </w:p>
          <w:p w14:paraId="5A90152E" w14:textId="77777777" w:rsidR="00E7212E" w:rsidRPr="002A677E" w:rsidRDefault="00E7212E" w:rsidP="00BF7D57">
            <w:pPr>
              <w:rPr>
                <w:rFonts w:ascii="Times New Roman" w:hAnsi="Times New Roman"/>
                <w:b/>
                <w:sz w:val="24"/>
                <w:u w:val="single"/>
              </w:rPr>
            </w:pPr>
            <w:r>
              <w:rPr>
                <w:rFonts w:ascii="Times New Roman" w:hAnsi="Times New Roman"/>
                <w:sz w:val="24"/>
              </w:rPr>
              <w:t>Instituce vykazují hodnotu expozice nevýkonných expozic s úlevou, na které se vztahuje čl. 47c odst. 6 nařízení (EU) č. 575/2013 a které jsou zajištěny nemovitostmi nebo úvěry na obytné nemovitosti zaručenými způsobilým poskytovatelem zajištění, pokud bylo první opatření týkající se úlevy poskytnuto mezi prvním a posledním dnem čtvrtého roku po klasifikaci expozice jako nevýkonné.</w:t>
            </w:r>
          </w:p>
        </w:tc>
      </w:tr>
      <w:tr w:rsidR="00E7212E" w:rsidRPr="002A677E" w14:paraId="2A457183" w14:textId="77777777" w:rsidTr="00BF7D57">
        <w:tc>
          <w:tcPr>
            <w:tcW w:w="1188" w:type="dxa"/>
            <w:tcBorders>
              <w:top w:val="single" w:sz="4" w:space="0" w:color="auto"/>
              <w:left w:val="single" w:sz="4" w:space="0" w:color="auto"/>
              <w:bottom w:val="single" w:sz="4" w:space="0" w:color="auto"/>
              <w:right w:val="single" w:sz="4" w:space="0" w:color="auto"/>
            </w:tcBorders>
          </w:tcPr>
          <w:p w14:paraId="0576D226" w14:textId="77777777" w:rsidR="00E7212E" w:rsidRPr="002A677E" w:rsidRDefault="00E7212E" w:rsidP="00BF7D57">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3A68AA6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4 roky a &lt;= 5 let po klasifikaci expozice jako nevýkonné</w:t>
            </w:r>
          </w:p>
          <w:p w14:paraId="5C5E573C" w14:textId="77777777" w:rsidR="00E7212E" w:rsidRPr="002A677E" w:rsidRDefault="00E7212E" w:rsidP="00BF7D57">
            <w:pPr>
              <w:rPr>
                <w:rFonts w:ascii="Times New Roman" w:hAnsi="Times New Roman"/>
                <w:b/>
                <w:sz w:val="24"/>
                <w:u w:val="single"/>
              </w:rPr>
            </w:pPr>
            <w:r>
              <w:rPr>
                <w:rFonts w:ascii="Times New Roman" w:hAnsi="Times New Roman"/>
                <w:sz w:val="24"/>
              </w:rPr>
              <w:t>Instituce vykazují hodnotu expozice nevýkonných expozic s úlevou, na které se vztahuje čl. 47c odst. 6 nařízení (EU) č. 575/2013 a které jsou zajištěny nemovitostmi nebo úvěry na obytné nemovitosti zaručenými způsobilým poskytovatelem zajištění, pokud bylo první opatření týkající se úlevy poskytnuto mezi prvním a posledním dnem pátého roku po klasifikaci expozice jako nevýkonné.</w:t>
            </w:r>
          </w:p>
        </w:tc>
      </w:tr>
      <w:tr w:rsidR="00E7212E" w:rsidRPr="002A677E" w14:paraId="1E99DC3D" w14:textId="77777777" w:rsidTr="00BF7D57">
        <w:tc>
          <w:tcPr>
            <w:tcW w:w="1188" w:type="dxa"/>
            <w:tcBorders>
              <w:top w:val="single" w:sz="4" w:space="0" w:color="auto"/>
              <w:left w:val="single" w:sz="4" w:space="0" w:color="auto"/>
              <w:bottom w:val="single" w:sz="4" w:space="0" w:color="auto"/>
              <w:right w:val="single" w:sz="4" w:space="0" w:color="auto"/>
            </w:tcBorders>
          </w:tcPr>
          <w:p w14:paraId="45208AD4"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C7AB17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5 a &lt;= 6 let po klasifikaci expozice jako nevýkonné</w:t>
            </w:r>
          </w:p>
          <w:p w14:paraId="59F81DBE" w14:textId="77777777" w:rsidR="00E7212E" w:rsidRPr="002A677E" w:rsidRDefault="00E7212E" w:rsidP="00BF7D57">
            <w:pPr>
              <w:rPr>
                <w:rFonts w:ascii="Times New Roman" w:hAnsi="Times New Roman"/>
                <w:b/>
                <w:sz w:val="24"/>
                <w:u w:val="single"/>
              </w:rPr>
            </w:pPr>
            <w:r>
              <w:rPr>
                <w:rFonts w:ascii="Times New Roman" w:hAnsi="Times New Roman"/>
                <w:sz w:val="24"/>
              </w:rPr>
              <w:t>Instituce vykazují hodnotu expozice nevýkonných expozic s úlevou, na které se vztahuje čl. 47c odst. 6 nařízení (EU) č. 575/2013 a které jsou zajištěny nemovitostmi nebo úvěry na obytné nemovitosti zaručenými způsobilým poskytovatelem zajištění, pokud bylo první opatření týkající se úlevy poskytnuto mezi prvním a posledním dnem šestého roku po klasifikaci expozice jako nevýkonné.</w:t>
            </w:r>
          </w:p>
        </w:tc>
      </w:tr>
      <w:tr w:rsidR="00E7212E" w:rsidRPr="002A677E" w14:paraId="267AFB02" w14:textId="77777777" w:rsidTr="00BF7D57">
        <w:tc>
          <w:tcPr>
            <w:tcW w:w="1188" w:type="dxa"/>
            <w:tcBorders>
              <w:top w:val="single" w:sz="4" w:space="0" w:color="auto"/>
              <w:left w:val="single" w:sz="4" w:space="0" w:color="auto"/>
              <w:bottom w:val="single" w:sz="4" w:space="0" w:color="auto"/>
              <w:right w:val="single" w:sz="4" w:space="0" w:color="auto"/>
            </w:tcBorders>
          </w:tcPr>
          <w:p w14:paraId="0FA2DE50" w14:textId="77777777" w:rsidR="00E7212E" w:rsidRPr="002A677E" w:rsidRDefault="00E7212E"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63767D8" w14:textId="77777777" w:rsidR="00E7212E" w:rsidRPr="002A677E" w:rsidRDefault="00E7212E" w:rsidP="00BF7D57">
            <w:pPr>
              <w:rPr>
                <w:rFonts w:ascii="Times New Roman" w:hAnsi="Times New Roman"/>
                <w:b/>
                <w:sz w:val="24"/>
              </w:rPr>
            </w:pPr>
            <w:r>
              <w:rPr>
                <w:rFonts w:ascii="Times New Roman" w:hAnsi="Times New Roman"/>
                <w:b/>
                <w:sz w:val="24"/>
              </w:rPr>
              <w:t>Část nevýkonných expozic, která je zajištěna jiným majetkovým nebo osobním zajištěním úvěrového rizika</w:t>
            </w:r>
          </w:p>
          <w:p w14:paraId="4697BFEE" w14:textId="77777777" w:rsidR="00E7212E" w:rsidRPr="002A677E" w:rsidRDefault="00E7212E" w:rsidP="00BF7D57">
            <w:pPr>
              <w:jc w:val="left"/>
              <w:rPr>
                <w:rFonts w:ascii="Times New Roman" w:hAnsi="Times New Roman"/>
                <w:sz w:val="24"/>
              </w:rPr>
            </w:pPr>
            <w:r>
              <w:rPr>
                <w:rFonts w:ascii="Times New Roman" w:hAnsi="Times New Roman"/>
                <w:sz w:val="24"/>
              </w:rPr>
              <w:t>Ustanovení čl. 47c odst. 1, čl. 47c odst. 3 písm. a), b), c), e) a g) a čl. 47c odst. 6 nařízení (EU) č. 575/2013</w:t>
            </w:r>
          </w:p>
          <w:p w14:paraId="46AAEE0B" w14:textId="77777777" w:rsidR="00E7212E" w:rsidRPr="002A677E" w:rsidRDefault="00E7212E" w:rsidP="00BF7D57">
            <w:pPr>
              <w:rPr>
                <w:rFonts w:ascii="Times New Roman" w:hAnsi="Times New Roman"/>
                <w:b/>
                <w:sz w:val="24"/>
                <w:u w:val="single"/>
              </w:rPr>
            </w:pPr>
            <w:r>
              <w:rPr>
                <w:rFonts w:ascii="Times New Roman" w:hAnsi="Times New Roman"/>
                <w:sz w:val="24"/>
              </w:rPr>
              <w:t>Instituce vykazují celkovou hodnotu expozice částí nevýkonných expozic s úlevou, na které se vztahuje čl. 47c odst. 6 nařízení (EU) č. 575/2013 a které jsou zajištěny jiným majetkovým nebo osobním zajištěním úvěrového rizika podle části třetí hlavy II nařízení (EU) č. 575/2013.</w:t>
            </w:r>
          </w:p>
        </w:tc>
      </w:tr>
      <w:tr w:rsidR="00E7212E" w:rsidRPr="002A677E" w14:paraId="02BA28E0" w14:textId="77777777" w:rsidTr="00BF7D57">
        <w:tc>
          <w:tcPr>
            <w:tcW w:w="1188" w:type="dxa"/>
            <w:tcBorders>
              <w:top w:val="single" w:sz="4" w:space="0" w:color="auto"/>
              <w:left w:val="single" w:sz="4" w:space="0" w:color="auto"/>
              <w:bottom w:val="single" w:sz="4" w:space="0" w:color="auto"/>
              <w:right w:val="single" w:sz="4" w:space="0" w:color="auto"/>
            </w:tcBorders>
          </w:tcPr>
          <w:p w14:paraId="56FC3B7D" w14:textId="77777777" w:rsidR="00E7212E" w:rsidRPr="002A677E" w:rsidRDefault="00E7212E" w:rsidP="00BF7D57">
            <w:pPr>
              <w:rPr>
                <w:rFonts w:ascii="Times New Roman" w:hAnsi="Times New Roman"/>
                <w:sz w:val="24"/>
              </w:rPr>
            </w:pPr>
            <w:r>
              <w:rPr>
                <w:rFonts w:ascii="Times New Roman" w:hAnsi="Times New Roman"/>
                <w:sz w:val="24"/>
              </w:rPr>
              <w:lastRenderedPageBreak/>
              <w:t>0130</w:t>
            </w:r>
          </w:p>
        </w:tc>
        <w:tc>
          <w:tcPr>
            <w:tcW w:w="8843" w:type="dxa"/>
            <w:tcBorders>
              <w:top w:val="single" w:sz="4" w:space="0" w:color="auto"/>
              <w:left w:val="single" w:sz="4" w:space="0" w:color="auto"/>
              <w:bottom w:val="single" w:sz="4" w:space="0" w:color="auto"/>
              <w:right w:val="single" w:sz="4" w:space="0" w:color="auto"/>
            </w:tcBorders>
          </w:tcPr>
          <w:p w14:paraId="25831A5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2 a &lt;= 3 roky po klasifikaci expozice jako nevýkonné</w:t>
            </w:r>
          </w:p>
          <w:p w14:paraId="3196D6C6" w14:textId="77777777" w:rsidR="00E7212E" w:rsidRPr="002A677E" w:rsidRDefault="00E7212E" w:rsidP="00BF7D57">
            <w:pPr>
              <w:rPr>
                <w:rFonts w:ascii="Times New Roman" w:hAnsi="Times New Roman"/>
                <w:b/>
                <w:sz w:val="24"/>
              </w:rPr>
            </w:pPr>
            <w:r>
              <w:rPr>
                <w:rFonts w:ascii="Times New Roman" w:hAnsi="Times New Roman"/>
                <w:sz w:val="24"/>
              </w:rPr>
              <w:t>Instituce vykazují hodnotu expozice nevýkonných expozic s úlevou, na které se vztahuje čl. 47c odst. 6 nařízení (EU) č. 575/2013 a které jsou zajištěny jiným majetkovým nebo osobním zajištěním úvěrového rizika, pokud bylo první opatření týkající se úlevy poskytnuto mezi prvním a posledním dnem třetího roku po klasifikaci expozice jako nevýkonné.</w:t>
            </w:r>
          </w:p>
        </w:tc>
      </w:tr>
      <w:tr w:rsidR="00E7212E" w:rsidRPr="002A677E" w14:paraId="56AE585B" w14:textId="77777777" w:rsidTr="00BF7D57">
        <w:tc>
          <w:tcPr>
            <w:tcW w:w="1188" w:type="dxa"/>
            <w:tcBorders>
              <w:top w:val="single" w:sz="4" w:space="0" w:color="auto"/>
              <w:left w:val="single" w:sz="4" w:space="0" w:color="auto"/>
              <w:bottom w:val="single" w:sz="4" w:space="0" w:color="auto"/>
              <w:right w:val="single" w:sz="4" w:space="0" w:color="auto"/>
            </w:tcBorders>
          </w:tcPr>
          <w:p w14:paraId="3ABEBCAB" w14:textId="77777777" w:rsidR="00E7212E" w:rsidRPr="002A677E" w:rsidRDefault="00E7212E" w:rsidP="00BF7D57">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258B4CE"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3 a &lt;= 4 roky po klasifikaci expozice jako nevýkonné</w:t>
            </w:r>
          </w:p>
          <w:p w14:paraId="601D14A8" w14:textId="77777777" w:rsidR="00E7212E" w:rsidRPr="002A677E" w:rsidRDefault="00E7212E" w:rsidP="00BF7D57">
            <w:pPr>
              <w:rPr>
                <w:rFonts w:ascii="Times New Roman" w:hAnsi="Times New Roman"/>
                <w:b/>
                <w:sz w:val="24"/>
                <w:u w:val="single"/>
              </w:rPr>
            </w:pPr>
            <w:r>
              <w:rPr>
                <w:rFonts w:ascii="Times New Roman" w:hAnsi="Times New Roman"/>
                <w:sz w:val="24"/>
              </w:rPr>
              <w:t>Instituce vykazují hodnotu expozice nevýkonných expozic s úlevou, na které se vztahuje čl. 47c odst. 6 nařízení (EU) č. 575/2013 a které jsou zajištěny jiným majetkovým nebo osobním zajištěním úvěrového rizika, pokud bylo první opatření týkající se úlevy poskytnuto mezi prvním a posledním dnem čtvrtého roku po klasifikaci expozice jako nevýkonné.</w:t>
            </w:r>
          </w:p>
        </w:tc>
      </w:tr>
      <w:tr w:rsidR="00E7212E" w:rsidRPr="002A677E" w14:paraId="6139760B" w14:textId="77777777" w:rsidTr="00BF7D57">
        <w:tc>
          <w:tcPr>
            <w:tcW w:w="1188" w:type="dxa"/>
            <w:tcBorders>
              <w:top w:val="single" w:sz="4" w:space="0" w:color="auto"/>
              <w:left w:val="single" w:sz="4" w:space="0" w:color="auto"/>
              <w:bottom w:val="single" w:sz="4" w:space="0" w:color="auto"/>
              <w:right w:val="single" w:sz="4" w:space="0" w:color="auto"/>
            </w:tcBorders>
          </w:tcPr>
          <w:p w14:paraId="79808767" w14:textId="77777777" w:rsidR="00E7212E" w:rsidRPr="002A677E" w:rsidRDefault="00E7212E" w:rsidP="00BF7D57">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2D76D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4 roky a &lt;= 5 let po klasifikaci expozice jako nevýkonné</w:t>
            </w:r>
          </w:p>
          <w:p w14:paraId="2D884E88" w14:textId="77777777" w:rsidR="00E7212E" w:rsidRPr="002A677E" w:rsidRDefault="00E7212E" w:rsidP="00BF7D57">
            <w:pPr>
              <w:rPr>
                <w:rFonts w:ascii="Times New Roman" w:hAnsi="Times New Roman"/>
                <w:b/>
                <w:sz w:val="24"/>
                <w:u w:val="single"/>
              </w:rPr>
            </w:pPr>
            <w:r>
              <w:rPr>
                <w:rFonts w:ascii="Times New Roman" w:hAnsi="Times New Roman"/>
                <w:sz w:val="24"/>
              </w:rPr>
              <w:t>Instituce vykazují hodnotu expozice nevýkonných expozic s úlevou, na které se vztahuje čl. 47c odst. 6 nařízení (EU) č. 575/2013 a které jsou zajištěny jiným majetkovým nebo osobním zajištěním úvěrového rizika, pokud bylo první opatření týkající se úlevy poskytnuto mezi prvním a posledním dnem pátého roku po klasifikaci expozice jako nevýkonné.</w:t>
            </w:r>
          </w:p>
        </w:tc>
      </w:tr>
      <w:tr w:rsidR="00E7212E" w:rsidRPr="002A677E" w14:paraId="731898ED" w14:textId="77777777" w:rsidTr="00BF7D57">
        <w:tc>
          <w:tcPr>
            <w:tcW w:w="1188" w:type="dxa"/>
            <w:tcBorders>
              <w:top w:val="single" w:sz="4" w:space="0" w:color="auto"/>
              <w:left w:val="single" w:sz="4" w:space="0" w:color="auto"/>
              <w:bottom w:val="single" w:sz="4" w:space="0" w:color="auto"/>
              <w:right w:val="single" w:sz="4" w:space="0" w:color="auto"/>
            </w:tcBorders>
          </w:tcPr>
          <w:p w14:paraId="74727E80" w14:textId="77777777" w:rsidR="00E7212E" w:rsidRPr="002A677E" w:rsidRDefault="00E7212E" w:rsidP="00BF7D57">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676BF407"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5 a &lt;= 6 let po klasifikaci expozice jako nevýkonné</w:t>
            </w:r>
          </w:p>
          <w:p w14:paraId="337D9061" w14:textId="77777777" w:rsidR="00E7212E" w:rsidRPr="002A677E" w:rsidRDefault="00E7212E" w:rsidP="00BF7D57">
            <w:pPr>
              <w:rPr>
                <w:rFonts w:ascii="Times New Roman" w:hAnsi="Times New Roman"/>
                <w:b/>
                <w:sz w:val="24"/>
                <w:u w:val="single"/>
              </w:rPr>
            </w:pPr>
            <w:r>
              <w:rPr>
                <w:rFonts w:ascii="Times New Roman" w:hAnsi="Times New Roman"/>
                <w:sz w:val="24"/>
              </w:rPr>
              <w:t>Instituce vykazují hodnotu expozice nevýkonných expozic s úlevou, na které se vztahuje čl. 47c odst. 6 nařízení (EU) č. 575/2013 a které jsou zajištěny jiným majetkovým nebo osobním zajištěním úvěrového rizika, pokud bylo první opatření týkající se úlevy poskytnuto mezi prvním a posledním dnem šestého roku po klasifikaci expozice jako nevýkonné.“</w:t>
            </w:r>
          </w:p>
        </w:tc>
      </w:tr>
    </w:tbl>
    <w:p w14:paraId="11AFA513" w14:textId="77777777" w:rsidR="00E7212E" w:rsidRDefault="00E7212E" w:rsidP="00E7212E">
      <w:pPr>
        <w:spacing w:after="0"/>
        <w:rPr>
          <w:rStyle w:val="InstructionsTabelleText"/>
          <w:rFonts w:ascii="Times New Roman" w:hAnsi="Times New Roman"/>
          <w:sz w:val="24"/>
        </w:rPr>
      </w:pPr>
    </w:p>
    <w:p w14:paraId="2904933F" w14:textId="77777777" w:rsidR="00E7212E" w:rsidRDefault="00E7212E"/>
    <w:p w14:paraId="02452ACA" w14:textId="77777777" w:rsidR="00E7212E" w:rsidRDefault="00E7212E"/>
    <w:sectPr w:rsidR="00E7212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855B9" w14:textId="77777777" w:rsidR="00E7212E" w:rsidRDefault="00E7212E" w:rsidP="00E7212E">
      <w:pPr>
        <w:spacing w:before="0" w:after="0"/>
      </w:pPr>
      <w:r>
        <w:separator/>
      </w:r>
    </w:p>
  </w:endnote>
  <w:endnote w:type="continuationSeparator" w:id="0">
    <w:p w14:paraId="6762C1CE" w14:textId="77777777" w:rsidR="00E7212E" w:rsidRDefault="00E7212E" w:rsidP="00E721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4E631" w14:textId="77777777" w:rsidR="00E7212E" w:rsidRDefault="00E7212E" w:rsidP="00E7212E">
      <w:pPr>
        <w:spacing w:before="0" w:after="0"/>
      </w:pPr>
      <w:r>
        <w:separator/>
      </w:r>
    </w:p>
  </w:footnote>
  <w:footnote w:type="continuationSeparator" w:id="0">
    <w:p w14:paraId="42FAF87D" w14:textId="77777777" w:rsidR="00E7212E" w:rsidRDefault="00E7212E" w:rsidP="00E721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FFFDF" w14:textId="690734D7" w:rsidR="00E7212E" w:rsidRDefault="00E7212E">
    <w:pPr>
      <w:pStyle w:val="Header"/>
    </w:pPr>
    <w:r>
      <w:rPr>
        <w:noProof/>
      </w:rPr>
      <mc:AlternateContent>
        <mc:Choice Requires="wps">
          <w:drawing>
            <wp:anchor distT="0" distB="0" distL="0" distR="0" simplePos="0" relativeHeight="251659264" behindDoc="0" locked="0" layoutInCell="1" allowOverlap="1" wp14:anchorId="548306CD" wp14:editId="4FA01B7A">
              <wp:simplePos x="635" y="635"/>
              <wp:positionH relativeFrom="page">
                <wp:align>left</wp:align>
              </wp:positionH>
              <wp:positionV relativeFrom="page">
                <wp:align>top</wp:align>
              </wp:positionV>
              <wp:extent cx="443865" cy="443865"/>
              <wp:effectExtent l="0" t="0" r="3175" b="4445"/>
              <wp:wrapNone/>
              <wp:docPr id="6051871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48306CD"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6996F3" w14:textId="0AD0C14C"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2CB4E" w14:textId="718E4983" w:rsidR="00E7212E" w:rsidRDefault="00E7212E">
    <w:pPr>
      <w:pStyle w:val="Header"/>
    </w:pPr>
    <w:r>
      <w:rPr>
        <w:noProof/>
      </w:rPr>
      <mc:AlternateContent>
        <mc:Choice Requires="wps">
          <w:drawing>
            <wp:anchor distT="0" distB="0" distL="0" distR="0" simplePos="0" relativeHeight="251660288" behindDoc="0" locked="0" layoutInCell="1" allowOverlap="1" wp14:anchorId="7AA72417" wp14:editId="79B1803A">
              <wp:simplePos x="914400" y="447675"/>
              <wp:positionH relativeFrom="page">
                <wp:align>left</wp:align>
              </wp:positionH>
              <wp:positionV relativeFrom="page">
                <wp:align>top</wp:align>
              </wp:positionV>
              <wp:extent cx="443865" cy="443865"/>
              <wp:effectExtent l="0" t="0" r="3175" b="4445"/>
              <wp:wrapNone/>
              <wp:docPr id="183343735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9E981A" w14:textId="4D3DF82F"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AA72417"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69E981A" w14:textId="4D3DF82F"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AC92" w14:textId="374ACA92" w:rsidR="00E7212E" w:rsidRDefault="00E7212E">
    <w:pPr>
      <w:pStyle w:val="Header"/>
    </w:pPr>
    <w:r>
      <w:rPr>
        <w:noProof/>
      </w:rPr>
      <mc:AlternateContent>
        <mc:Choice Requires="wps">
          <w:drawing>
            <wp:anchor distT="0" distB="0" distL="0" distR="0" simplePos="0" relativeHeight="251658240" behindDoc="0" locked="0" layoutInCell="1" allowOverlap="1" wp14:anchorId="4B4A1576" wp14:editId="09A51342">
              <wp:simplePos x="635" y="635"/>
              <wp:positionH relativeFrom="page">
                <wp:align>left</wp:align>
              </wp:positionH>
              <wp:positionV relativeFrom="page">
                <wp:align>top</wp:align>
              </wp:positionV>
              <wp:extent cx="443865" cy="443865"/>
              <wp:effectExtent l="0" t="0" r="3175" b="4445"/>
              <wp:wrapNone/>
              <wp:docPr id="106855118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B4A1576"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81F9012" w14:textId="7DE6DFAC"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20EDB"/>
    <w:rsid w:val="00081E64"/>
    <w:rsid w:val="00212B93"/>
    <w:rsid w:val="002567E9"/>
    <w:rsid w:val="003952A8"/>
    <w:rsid w:val="00483B10"/>
    <w:rsid w:val="005334A8"/>
    <w:rsid w:val="0054523A"/>
    <w:rsid w:val="006124F8"/>
    <w:rsid w:val="00613074"/>
    <w:rsid w:val="00631623"/>
    <w:rsid w:val="00644DC5"/>
    <w:rsid w:val="00697C35"/>
    <w:rsid w:val="006F49DC"/>
    <w:rsid w:val="00743A25"/>
    <w:rsid w:val="00762D95"/>
    <w:rsid w:val="007A7559"/>
    <w:rsid w:val="008A07E7"/>
    <w:rsid w:val="008F5111"/>
    <w:rsid w:val="00920721"/>
    <w:rsid w:val="009A1028"/>
    <w:rsid w:val="00A13F70"/>
    <w:rsid w:val="00A6002C"/>
    <w:rsid w:val="00AD1E4E"/>
    <w:rsid w:val="00AE0E53"/>
    <w:rsid w:val="00B051AC"/>
    <w:rsid w:val="00B71F25"/>
    <w:rsid w:val="00C60464"/>
    <w:rsid w:val="00C6168C"/>
    <w:rsid w:val="00CE7E0E"/>
    <w:rsid w:val="00D04724"/>
    <w:rsid w:val="00D7097B"/>
    <w:rsid w:val="00D87B9C"/>
    <w:rsid w:val="00D96891"/>
    <w:rsid w:val="00DE7A8B"/>
    <w:rsid w:val="00E41AE1"/>
    <w:rsid w:val="00E7212E"/>
    <w:rsid w:val="00EB1058"/>
    <w:rsid w:val="00EF07A1"/>
    <w:rsid w:val="00F37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6A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6124F8"/>
    <w:rPr>
      <w:sz w:val="16"/>
      <w:szCs w:val="16"/>
    </w:rPr>
  </w:style>
  <w:style w:type="paragraph" w:styleId="CommentText">
    <w:name w:val="annotation text"/>
    <w:basedOn w:val="Normal"/>
    <w:link w:val="CommentTextChar"/>
    <w:uiPriority w:val="99"/>
    <w:unhideWhenUsed/>
    <w:rsid w:val="006124F8"/>
    <w:pPr>
      <w:spacing w:before="0" w:after="0"/>
      <w:jc w:val="left"/>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cs-CZ"/>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pPr>
      <w:spacing w:before="120" w:after="120"/>
      <w:jc w:val="both"/>
    </w:pPr>
    <w:rPr>
      <w:rFonts w:ascii="Verdana" w:eastAsia="Times New Roman" w:hAnsi="Verdana" w:cs="Times New Roman"/>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7B0D17-AF02-4D4F-8509-845B2FD90EB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4410740E-5B1F-49BE-B647-CDF9849EF9F7}">
  <ds:schemaRefs>
    <ds:schemaRef ds:uri="http://schemas.microsoft.com/sharepoint/v3/contenttype/forms"/>
  </ds:schemaRefs>
</ds:datastoreItem>
</file>

<file path=customXml/itemProps3.xml><?xml version="1.0" encoding="utf-8"?>
<ds:datastoreItem xmlns:ds="http://schemas.openxmlformats.org/officeDocument/2006/customXml" ds:itemID="{9B092A4B-5DD8-43C9-BB8A-6639F1801F76}"/>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3598</Words>
  <Characters>20083</Characters>
  <Application>Microsoft Office Word</Application>
  <DocSecurity>0</DocSecurity>
  <Lines>436</Lines>
  <Paragraphs>246</Paragraphs>
  <ScaleCrop>false</ScaleCrop>
  <Company/>
  <LinksUpToDate>false</LinksUpToDate>
  <CharactersWithSpaces>23435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2024-06-19T18:07:00Z</dcterms:created>
  <dcterms:modified xsi:type="dcterms:W3CDTF">2024-12-09T14:09:00Z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2024-11-18T14:55:54Z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65af0487-cdf2-47dc-b3a3-71e0e7056f09</vt:lpwstr>
  </property>
  <property fmtid="{D5CDD505-2E9C-101B-9397-08002B2CF9AE}" pid="9" name="MSIP_Label_6bd9ddd1-4d20-43f6-abfa-fc3c07406f94_ContentBits">
    <vt:lpwstr>0</vt:lpwstr>
  </property>
</Properties>
</file>