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FR</w:t>
      </w:r>
      <w:r>
        <w:br/>
      </w:r>
      <w:r>
        <w:br/>
      </w:r>
      <w:r>
        <w:t xml:space="preserve">ANNEXE II</w:t>
      </w:r>
    </w:p>
    <w:p w14:paraId="3CA35C97" w14:textId="3C491A98" w:rsidR="001B41DF" w:rsidRDefault="001B41DF" w:rsidP="001B41DF">
      <w:pPr>
        <w:jc w:val="center"/>
      </w:pPr>
      <w:r>
        <w:t xml:space="preserve">TABLEAU DE CORRESPONDANCE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Présent règlement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Règlement d’exécution (UE) 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premier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premier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4, paragraphes 1, 2 et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4, paragraphes 1, 2 et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4, paragraphes 4 et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5, paragraphe 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5, paragraphe 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5, paragraphe 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5, paragraphe 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5, paragraphe 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5, paragraphe 14, point 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6, paragraphe 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6, paragraphe 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9, paragraphe 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9, paragraphe 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9, paragraphe 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9, paragraphe 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10, paragraphe 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10, paragraphe 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10, paragraphe 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10, paragraphe 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Article 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Article 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Article 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Article 14, paragraphe 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Article 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Article 15, paragraphe 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Article 15, paragraphe 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Article 15, paragraphe 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Article 15, paragraphe 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Article 15, paragraphe 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Article 15, paragraphe 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Article 15, paragraphe 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Article 15, paragraphe 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Article 15, paragraphe 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Article 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Article 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Article 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Article 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Article 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Article 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Article 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Article 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Article 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Article 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Article 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Article 20 </w:t>
            </w:r>
            <w:r>
              <w:rPr>
                <w:i/>
                <w:iCs/>
              </w:rPr>
              <w:t xml:space="preserve">bis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Article 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Article 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Article 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Annexe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Annexe 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Annexe 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Annexe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Annexe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Annexe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Annexe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