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B0C55" w14:textId="77777777" w:rsidR="00DB2358" w:rsidRDefault="00DB2358" w:rsidP="00DB2358">
      <w:pPr>
        <w:jc w:val="center"/>
        <w:rPr>
          <w:rFonts w:ascii="Times New Roman" w:hAnsi="Times New Roman"/>
          <w:sz w:val="24"/>
          <w:szCs w:val="22"/>
        </w:rPr>
      </w:pPr>
      <w:r>
        <w:rPr>
          <w:rFonts w:ascii="Times New Roman" w:hAnsi="Times New Roman"/>
          <w:sz w:val="24"/>
        </w:rPr>
        <w:t>EN</w:t>
      </w:r>
    </w:p>
    <w:p w14:paraId="19950AD9" w14:textId="77777777" w:rsidR="00DB2358" w:rsidRDefault="00DB2358" w:rsidP="00DB2358">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sidRPr="00037E7B">
        <w:rPr>
          <w:rFonts w:ascii="Times New Roman" w:hAnsi="Times New Roman"/>
          <w:sz w:val="24"/>
        </w:rPr>
        <w:t>ANNEX II</w:t>
      </w:r>
    </w:p>
    <w:p w14:paraId="33BF0F02" w14:textId="77777777" w:rsidR="00DD798A" w:rsidRPr="00037E7B" w:rsidRDefault="00DD798A" w:rsidP="00DD798A">
      <w:pPr>
        <w:jc w:val="center"/>
        <w:rPr>
          <w:rFonts w:ascii="Times New Roman" w:hAnsi="Times New Roman"/>
          <w:sz w:val="24"/>
        </w:rPr>
      </w:pPr>
      <w:r w:rsidRPr="00037E7B">
        <w:rPr>
          <w:rFonts w:ascii="Times New Roman" w:hAnsi="Times New Roman"/>
          <w:sz w:val="24"/>
        </w:rPr>
        <w:t>‘ANNEX II</w:t>
      </w:r>
    </w:p>
    <w:p w14:paraId="43AF84F6" w14:textId="77777777" w:rsidR="00DD798A" w:rsidRPr="00037E7B" w:rsidRDefault="00DD798A" w:rsidP="00DD798A">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72B21DA" w14:textId="77777777" w:rsidR="00A931D0" w:rsidRDefault="00A931D0" w:rsidP="00A931D0">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 09.01 – Geographical breakdown of exposures by residence of the obligor: SA exposures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0" w:name="_Toc360188363"/>
      <w:bookmarkStart w:id="1" w:name="_Toc473560914"/>
      <w:bookmarkStart w:id="2" w:name="_Toc151714418"/>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0"/>
      <w:bookmarkEnd w:id="1"/>
      <w:bookmarkEnd w:id="2"/>
      <w:proofErr w:type="gramEnd"/>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ORIGINAL EXPOSURE PRE-CONVERSION FACTORS</w:t>
            </w:r>
          </w:p>
          <w:p w14:paraId="1D6A0F00" w14:textId="77777777" w:rsidR="009D6580" w:rsidRPr="002A677E" w:rsidRDefault="009D6580" w:rsidP="00822842">
            <w:pPr>
              <w:rPr>
                <w:rFonts w:ascii="Times New Roman" w:hAnsi="Times New Roman"/>
                <w:sz w:val="24"/>
              </w:rPr>
            </w:pPr>
            <w:r w:rsidRPr="002A677E">
              <w:rPr>
                <w:rFonts w:ascii="Times New Roman" w:hAnsi="Times New Roman"/>
                <w:sz w:val="24"/>
              </w:rPr>
              <w:t>Same definition as for column 0010 of CR SA template</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Defaulted exposures</w:t>
            </w:r>
          </w:p>
          <w:p w14:paraId="147BD4ED" w14:textId="475EAB39"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Original exposure pre-conversion factors for those exposures which have been classified as “exposures in default” and for defaulted exposures assigned to the exposure class</w:t>
            </w:r>
            <w:del w:id="3" w:author="Author">
              <w:r w:rsidRPr="002A677E" w:rsidDel="001E06CB">
                <w:rPr>
                  <w:rStyle w:val="InstructionsTabelleText"/>
                  <w:rFonts w:ascii="Times New Roman" w:hAnsi="Times New Roman"/>
                  <w:sz w:val="24"/>
                </w:rPr>
                <w:delText>es</w:delText>
              </w:r>
            </w:del>
            <w:r w:rsidRPr="002A677E">
              <w:rPr>
                <w:rStyle w:val="InstructionsTabelleText"/>
                <w:rFonts w:ascii="Times New Roman" w:hAnsi="Times New Roman"/>
                <w:sz w:val="24"/>
              </w:rPr>
              <w:t xml:space="preserve"> </w:t>
            </w:r>
            <w:del w:id="4" w:author="Author">
              <w:r w:rsidRPr="002A677E" w:rsidDel="001E06CB">
                <w:rPr>
                  <w:rStyle w:val="InstructionsTabelleText"/>
                  <w:rFonts w:ascii="Times New Roman" w:hAnsi="Times New Roman"/>
                  <w:sz w:val="24"/>
                </w:rPr>
                <w:delText xml:space="preserve">“exposures associated with particularly high risk” or </w:delText>
              </w:r>
            </w:del>
            <w:r w:rsidRPr="002A677E">
              <w:rPr>
                <w:rStyle w:val="InstructionsTabelleText"/>
                <w:rFonts w:ascii="Times New Roman" w:hAnsi="Times New Roman"/>
                <w:sz w:val="24"/>
              </w:rPr>
              <w:t>“equity exposures”</w:t>
            </w:r>
            <w:ins w:id="5" w:author="Author">
              <w:r w:rsidR="00AF2BE6">
                <w:rPr>
                  <w:rStyle w:val="InstructionsTabelleText"/>
                  <w:rFonts w:ascii="Times New Roman" w:hAnsi="Times New Roman"/>
                  <w:sz w:val="24"/>
                </w:rPr>
                <w:t xml:space="preserve"> and defaulted exposures assigned to the exposure class “</w:t>
              </w:r>
              <w:r w:rsidR="00AF2BE6" w:rsidRPr="00BD78A5">
                <w:rPr>
                  <w:rStyle w:val="InstructionsTabelleText"/>
                  <w:rFonts w:ascii="Times New Roman" w:hAnsi="Times New Roman"/>
                  <w:sz w:val="24"/>
                </w:rPr>
                <w:t>Exposures in the form of units or shares in collective investment undertakings (‘CIUs’)”</w:t>
              </w:r>
            </w:ins>
            <w:r w:rsidRPr="002A677E">
              <w:rPr>
                <w:rStyle w:val="InstructionsTabelleText"/>
                <w:rFonts w:ascii="Times New Roman" w:hAnsi="Times New Roman"/>
                <w:sz w:val="24"/>
              </w:rPr>
              <w:t>.</w:t>
            </w:r>
          </w:p>
          <w:p w14:paraId="6DA448AF"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This ‘memorandum item’ shall provide additional information about the obligor structure of defaulted exposures. Exposures classified as “exposures in default” as referred to in Article 112</w:t>
            </w:r>
            <w:r>
              <w:rPr>
                <w:rStyle w:val="InstructionsTabelleText"/>
                <w:rFonts w:ascii="Times New Roman" w:hAnsi="Times New Roman"/>
                <w:sz w:val="24"/>
              </w:rPr>
              <w:t>, p</w:t>
            </w:r>
            <w:r w:rsidRPr="002A677E">
              <w:rPr>
                <w:rStyle w:val="InstructionsTabelleText"/>
                <w:rFonts w:ascii="Times New Roman" w:hAnsi="Times New Roman"/>
                <w:sz w:val="24"/>
              </w:rPr>
              <w:t>oint (j)</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be reported where the obligors would have been </w:t>
            </w:r>
            <w:r w:rsidRPr="002A677E">
              <w:rPr>
                <w:rStyle w:val="InstructionsTabelleText"/>
                <w:rFonts w:ascii="Times New Roman" w:hAnsi="Times New Roman"/>
                <w:sz w:val="24"/>
              </w:rPr>
              <w:br/>
              <w:t xml:space="preserve">reported if those exposures were not assigned to the exposure classes 'exposures in default'. </w:t>
            </w:r>
          </w:p>
          <w:p w14:paraId="52855171" w14:textId="3DCFD7D4" w:rsidR="009D6580" w:rsidRPr="002A677E" w:rsidRDefault="009D6580" w:rsidP="00822842">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classes “exposures in default”</w:t>
            </w:r>
            <w:ins w:id="6" w:author="Author">
              <w:r w:rsidR="001C4FB9">
                <w:rPr>
                  <w:rStyle w:val="InstructionsTabelleText"/>
                  <w:rFonts w:ascii="Times New Roman" w:hAnsi="Times New Roman"/>
                  <w:sz w:val="24"/>
                </w:rPr>
                <w:t>,</w:t>
              </w:r>
            </w:ins>
            <w:del w:id="7" w:author="Author">
              <w:r w:rsidRPr="002A677E" w:rsidDel="00E15595">
                <w:rPr>
                  <w:rStyle w:val="InstructionsTabelleText"/>
                  <w:rFonts w:ascii="Times New Roman" w:hAnsi="Times New Roman"/>
                  <w:sz w:val="24"/>
                </w:rPr>
                <w:delText>,</w:delText>
              </w:r>
            </w:del>
            <w:r w:rsidRPr="002A677E">
              <w:rPr>
                <w:rStyle w:val="InstructionsTabelleText"/>
                <w:rFonts w:ascii="Times New Roman" w:hAnsi="Times New Roman"/>
                <w:sz w:val="24"/>
              </w:rPr>
              <w:t xml:space="preserve"> </w:t>
            </w:r>
            <w:del w:id="8" w:author="Author">
              <w:r w:rsidRPr="002A677E" w:rsidDel="00E15595">
                <w:rPr>
                  <w:rStyle w:val="InstructionsTabelleText"/>
                  <w:rFonts w:ascii="Times New Roman" w:hAnsi="Times New Roman"/>
                  <w:sz w:val="24"/>
                </w:rPr>
                <w:delText xml:space="preserve">“exposures associated with particularly high risk” </w:delText>
              </w:r>
              <w:r w:rsidRPr="002A677E" w:rsidDel="001C4FB9">
                <w:rPr>
                  <w:rStyle w:val="InstructionsTabelleText"/>
                  <w:rFonts w:ascii="Times New Roman" w:hAnsi="Times New Roman"/>
                  <w:sz w:val="24"/>
                </w:rPr>
                <w:delText xml:space="preserve">or </w:delText>
              </w:r>
            </w:del>
            <w:r w:rsidRPr="002A677E">
              <w:rPr>
                <w:rStyle w:val="InstructionsTabelleText"/>
                <w:rFonts w:ascii="Times New Roman" w:hAnsi="Times New Roman"/>
                <w:sz w:val="24"/>
              </w:rPr>
              <w:t>“equity exposures”</w:t>
            </w:r>
            <w:ins w:id="9" w:author="Author">
              <w:r w:rsidR="001C4FB9">
                <w:rPr>
                  <w:rStyle w:val="InstructionsTabelleText"/>
                  <w:rFonts w:ascii="Times New Roman" w:hAnsi="Times New Roman"/>
                  <w:sz w:val="24"/>
                </w:rPr>
                <w:t xml:space="preserve"> </w:t>
              </w:r>
              <w:r w:rsidR="001C4FB9">
                <w:rPr>
                  <w:rStyle w:val="InstructionsTabelleText"/>
                  <w:rFonts w:ascii="Times New Roman" w:hAnsi="Times New Roman"/>
                  <w:sz w:val="24"/>
                </w:rPr>
                <w:t>or “</w:t>
              </w:r>
              <w:r w:rsidR="001C4FB9" w:rsidRPr="000C5380">
                <w:rPr>
                  <w:rStyle w:val="InstructionsTabelleText"/>
                  <w:rFonts w:ascii="Times New Roman" w:hAnsi="Times New Roman"/>
                  <w:sz w:val="24"/>
                </w:rPr>
                <w:t>Exposures in the form of units or shares in collective investment undertakings (‘CIUs’)”</w:t>
              </w:r>
            </w:ins>
            <w:r w:rsidRPr="002A677E">
              <w:rPr>
                <w:rStyle w:val="InstructionsTabelleText"/>
                <w:rFonts w:ascii="Times New Roman" w:hAnsi="Times New Roman"/>
                <w:sz w:val="24"/>
              </w:rPr>
              <w:t xml:space="preserve"> as referred to in Article 112</w:t>
            </w:r>
            <w:r>
              <w:rPr>
                <w:rStyle w:val="InstructionsTabelleText"/>
                <w:rFonts w:ascii="Times New Roman" w:hAnsi="Times New Roman"/>
                <w:sz w:val="24"/>
              </w:rPr>
              <w:t>, p</w:t>
            </w:r>
            <w:r w:rsidRPr="002A677E">
              <w:rPr>
                <w:rStyle w:val="InstructionsTabelleText"/>
                <w:rFonts w:ascii="Times New Roman" w:hAnsi="Times New Roman"/>
                <w:sz w:val="24"/>
              </w:rPr>
              <w:t>oints (j)</w:t>
            </w:r>
            <w:del w:id="10" w:author="Author">
              <w:r w:rsidRPr="002A677E" w:rsidDel="00E15595">
                <w:rPr>
                  <w:rStyle w:val="InstructionsTabelleText"/>
                  <w:rFonts w:ascii="Times New Roman" w:hAnsi="Times New Roman"/>
                  <w:sz w:val="24"/>
                </w:rPr>
                <w:delText xml:space="preserve">, (k) </w:delText>
              </w:r>
            </w:del>
            <w:ins w:id="11" w:author="Author">
              <w:r>
                <w:rPr>
                  <w:rStyle w:val="InstructionsTabelleText"/>
                  <w:rFonts w:ascii="Times New Roman" w:hAnsi="Times New Roman"/>
                  <w:sz w:val="24"/>
                </w:rPr>
                <w:t xml:space="preserve"> </w:t>
              </w:r>
            </w:ins>
            <w:del w:id="12" w:author="Author">
              <w:r w:rsidRPr="002A677E" w:rsidDel="001C4FB9">
                <w:rPr>
                  <w:rStyle w:val="InstructionsTabelleText"/>
                  <w:rFonts w:ascii="Times New Roman" w:hAnsi="Times New Roman"/>
                  <w:sz w:val="24"/>
                </w:rPr>
                <w:delText>and</w:delText>
              </w:r>
            </w:del>
            <w:r w:rsidRPr="002A677E">
              <w:rPr>
                <w:rStyle w:val="InstructionsTabelleText"/>
                <w:rFonts w:ascii="Times New Roman" w:hAnsi="Times New Roman"/>
                <w:sz w:val="24"/>
              </w:rPr>
              <w:t xml:space="preserve"> (p)</w:t>
            </w:r>
            <w:ins w:id="13" w:author="Author">
              <w:r w:rsidR="001C4FB9">
                <w:rPr>
                  <w:rStyle w:val="InstructionsTabelleText"/>
                  <w:rFonts w:ascii="Times New Roman" w:hAnsi="Times New Roman"/>
                  <w:sz w:val="24"/>
                </w:rPr>
                <w:t xml:space="preserve"> and (o)</w:t>
              </w:r>
            </w:ins>
            <w:del w:id="14" w:author="Author">
              <w:r w:rsidDel="001C4FB9">
                <w:rPr>
                  <w:rStyle w:val="InstructionsTabelleText"/>
                  <w:rFonts w:ascii="Times New Roman" w:hAnsi="Times New Roman"/>
                  <w:sz w:val="24"/>
                </w:rPr>
                <w:delText>,</w:delText>
              </w:r>
            </w:del>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Observed new defaults for the </w:t>
            </w:r>
            <w:proofErr w:type="gramStart"/>
            <w:r w:rsidRPr="002A677E">
              <w:rPr>
                <w:rFonts w:ascii="Times New Roman" w:hAnsi="Times New Roman"/>
                <w:b/>
                <w:sz w:val="24"/>
                <w:u w:val="single"/>
              </w:rPr>
              <w:t>period</w:t>
            </w:r>
            <w:proofErr w:type="gramEnd"/>
          </w:p>
          <w:p w14:paraId="4C451CE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The </w:t>
            </w:r>
            <w:proofErr w:type="gramStart"/>
            <w:r w:rsidRPr="002A677E">
              <w:rPr>
                <w:rStyle w:val="InstructionsTabelleText"/>
                <w:rFonts w:ascii="Times New Roman" w:hAnsi="Times New Roman"/>
                <w:sz w:val="24"/>
              </w:rPr>
              <w:t>amount</w:t>
            </w:r>
            <w:proofErr w:type="gramEnd"/>
            <w:r w:rsidRPr="002A677E">
              <w:rPr>
                <w:rStyle w:val="InstructionsTabelleText"/>
                <w:rFonts w:ascii="Times New Roman" w:hAnsi="Times New Roman"/>
                <w:sz w:val="24"/>
              </w:rPr>
              <w:t xml:space="preserve"> of original exposures which have moved into exposure class “Exposures in default” during the 3-month period since the last reporting reference date shall be reported against the exposure class to which the obligor originally belonged.</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General credit risk adjustments</w:t>
            </w:r>
          </w:p>
          <w:p w14:paraId="019027A7" w14:textId="77777777" w:rsidR="009D6580" w:rsidRPr="002A677E" w:rsidRDefault="009D6580" w:rsidP="00822842">
            <w:pPr>
              <w:rPr>
                <w:rFonts w:ascii="Times New Roman" w:hAnsi="Times New Roman"/>
                <w:sz w:val="24"/>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xml:space="preserve">, as well as Regulation (EU) 183/2014. </w:t>
            </w:r>
          </w:p>
          <w:p w14:paraId="124DE0E0" w14:textId="77777777" w:rsidR="009D6580" w:rsidRPr="002A677E" w:rsidRDefault="009D6580" w:rsidP="00822842">
            <w:pPr>
              <w:rPr>
                <w:rFonts w:ascii="Times New Roman" w:hAnsi="Times New Roman"/>
                <w:sz w:val="24"/>
              </w:rPr>
            </w:pPr>
            <w:r w:rsidRPr="002A677E">
              <w:rPr>
                <w:rFonts w:ascii="Times New Roman" w:hAnsi="Times New Roman"/>
                <w:sz w:val="24"/>
              </w:rPr>
              <w:t>This item shall include the general credit risk adjustments that are eligible for inclusion in T2 capital, before the application of the cap referred to in Article 62</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0B8B57C"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Specific credit risk adjustments</w:t>
            </w:r>
          </w:p>
          <w:p w14:paraId="0C4040D9"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Write-offs</w:t>
            </w:r>
          </w:p>
          <w:p w14:paraId="5E984FA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Write-offs as referred to in IFRS 9.5.4.4 and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0061</w:t>
            </w:r>
          </w:p>
        </w:tc>
        <w:tc>
          <w:tcPr>
            <w:tcW w:w="8640" w:type="dxa"/>
          </w:tcPr>
          <w:p w14:paraId="7173ECB3"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074C80EC"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Credit risk adjustments/write-offs for observed new </w:t>
            </w:r>
            <w:proofErr w:type="gramStart"/>
            <w:r w:rsidRPr="002A677E">
              <w:rPr>
                <w:rFonts w:ascii="Times New Roman" w:hAnsi="Times New Roman"/>
                <w:b/>
                <w:sz w:val="24"/>
                <w:u w:val="single"/>
              </w:rPr>
              <w:t>defaults</w:t>
            </w:r>
            <w:proofErr w:type="gramEnd"/>
          </w:p>
          <w:p w14:paraId="7E554B6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sidRPr="002A677E">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value</w:t>
            </w:r>
          </w:p>
          <w:p w14:paraId="4F849709"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0200 of CR SA template</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RISK WEIGHTED EXPOSURE AMOUNT </w:t>
            </w:r>
            <w:proofErr w:type="gramStart"/>
            <w:r w:rsidRPr="002A677E">
              <w:rPr>
                <w:rFonts w:ascii="Times New Roman" w:hAnsi="Times New Roman"/>
                <w:b/>
                <w:sz w:val="24"/>
                <w:u w:val="single"/>
              </w:rPr>
              <w:t>PRE SUPPORTING</w:t>
            </w:r>
            <w:proofErr w:type="gramEnd"/>
            <w:r w:rsidRPr="002A677E">
              <w:rPr>
                <w:rFonts w:ascii="Times New Roman" w:hAnsi="Times New Roman"/>
                <w:b/>
                <w:sz w:val="24"/>
                <w:u w:val="single"/>
              </w:rPr>
              <w:t xml:space="preserve"> FACTORS</w:t>
            </w:r>
            <w:ins w:id="15" w:author="Author">
              <w:r w:rsidR="00AF2BE6">
                <w:rPr>
                  <w:rFonts w:ascii="Times New Roman" w:hAnsi="Times New Roman"/>
                  <w:b/>
                  <w:sz w:val="24"/>
                  <w:u w:val="single"/>
                </w:rPr>
                <w:t xml:space="preserve"> AND PRE FX-MISMATCH</w:t>
              </w:r>
            </w:ins>
          </w:p>
          <w:p w14:paraId="7F917189"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Same definition as for column 0215 of CR SA template</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ADJUSTMENT TO THE RISK-WEIGHTED EXPOSURE AMOUNT DUE TO THE SME SUPPORTING FACTOR</w:t>
            </w:r>
          </w:p>
          <w:p w14:paraId="7D7BF2EE"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Same definition as for column 0216 of CR SA template</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ADJUSTMENT TO THE RISK-WEIGHTED EXPOSURE AMOUNT DUE TO THE INFRASTRUCTURE SUPPORTING FACTOR</w:t>
            </w:r>
          </w:p>
          <w:p w14:paraId="3D157D72"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Same definition as for column 0217 of CR SA template</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tcPr>
          <w:p w14:paraId="784080AC" w14:textId="77777777" w:rsidR="00AF2BE6" w:rsidRDefault="009D6580" w:rsidP="00AF2BE6">
            <w:pPr>
              <w:rPr>
                <w:ins w:id="16" w:author="Author"/>
                <w:rFonts w:ascii="Times New Roman" w:hAnsi="Times New Roman"/>
                <w:b/>
                <w:sz w:val="24"/>
                <w:u w:val="single"/>
              </w:rPr>
            </w:pPr>
            <w:r w:rsidRPr="002A677E">
              <w:rPr>
                <w:rFonts w:ascii="Times New Roman" w:hAnsi="Times New Roman"/>
                <w:b/>
                <w:sz w:val="24"/>
                <w:u w:val="single"/>
              </w:rPr>
              <w:t>RISK WEIGHTED EXPOSURE AMOUNT AFTER SUPPORTING FACTORS</w:t>
            </w:r>
            <w:ins w:id="17" w:author="Author">
              <w:r w:rsidR="00AF2BE6">
                <w:rPr>
                  <w:rFonts w:ascii="Times New Roman" w:hAnsi="Times New Roman"/>
                  <w:b/>
                  <w:sz w:val="24"/>
                  <w:u w:val="single"/>
                </w:rPr>
                <w:t xml:space="preserve"> AND AFTER FX-MISMATCH</w:t>
              </w:r>
            </w:ins>
          </w:p>
          <w:p w14:paraId="5F17785F" w14:textId="3A402CDC" w:rsidR="009D6580" w:rsidRPr="002A677E" w:rsidRDefault="003D18F9" w:rsidP="00AF2BE6">
            <w:pPr>
              <w:rPr>
                <w:rFonts w:ascii="Times New Roman" w:hAnsi="Times New Roman"/>
                <w:b/>
                <w:sz w:val="24"/>
                <w:u w:val="single"/>
              </w:rPr>
            </w:pPr>
            <w:del w:id="18" w:author="Author">
              <w:r w:rsidDel="00AF2BE6">
                <w:rPr>
                  <w:rFonts w:ascii="Times New Roman" w:hAnsi="Times New Roman"/>
                  <w:b/>
                  <w:sz w:val="24"/>
                  <w:u w:val="single"/>
                </w:rPr>
                <w:delText xml:space="preserve"> </w:delText>
              </w:r>
            </w:del>
            <w:r w:rsidR="009D6580" w:rsidRPr="002A677E">
              <w:rPr>
                <w:rFonts w:ascii="Times New Roman" w:hAnsi="Times New Roman"/>
                <w:sz w:val="24"/>
              </w:rPr>
              <w:t>Same definition as for column 0220 of CR SA template</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701FDDD6" w14:textId="77777777" w:rsidR="009D6580" w:rsidRPr="002A677E" w:rsidRDefault="009D6580" w:rsidP="00822842">
            <w:pPr>
              <w:ind w:left="72"/>
              <w:rPr>
                <w:rStyle w:val="InstructionsTabelleText"/>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06578FE1"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(b)</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451BD941"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(c)</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59A02674"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(d)</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17C7FCF4"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(e)</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153928C3"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(f)</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2131631A"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(g)</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sidRPr="002A677E">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134D23F8" w14:textId="77777777" w:rsidTr="00822842">
        <w:trPr>
          <w:ins w:id="19" w:author="Author"/>
        </w:trPr>
        <w:tc>
          <w:tcPr>
            <w:tcW w:w="1188" w:type="dxa"/>
            <w:shd w:val="clear" w:color="auto" w:fill="FFFFFF"/>
          </w:tcPr>
          <w:p w14:paraId="44C941F7" w14:textId="77777777" w:rsidR="009D6580" w:rsidRPr="002A677E" w:rsidRDefault="009D6580" w:rsidP="00822842">
            <w:pPr>
              <w:rPr>
                <w:ins w:id="20" w:author="Author"/>
                <w:rFonts w:ascii="Times New Roman" w:hAnsi="Times New Roman"/>
                <w:sz w:val="24"/>
              </w:rPr>
            </w:pPr>
            <w:ins w:id="21" w:author="Author">
              <w:r>
                <w:rPr>
                  <w:rFonts w:ascii="Times New Roman" w:hAnsi="Times New Roman"/>
                  <w:sz w:val="24"/>
                </w:rPr>
                <w:t>0076</w:t>
              </w:r>
            </w:ins>
          </w:p>
        </w:tc>
        <w:tc>
          <w:tcPr>
            <w:tcW w:w="8701" w:type="dxa"/>
            <w:gridSpan w:val="2"/>
            <w:shd w:val="clear" w:color="auto" w:fill="FFFFFF"/>
          </w:tcPr>
          <w:p w14:paraId="77F474DF" w14:textId="77777777" w:rsidR="009D6580" w:rsidRDefault="009D6580" w:rsidP="00822842">
            <w:pPr>
              <w:ind w:left="72"/>
              <w:rPr>
                <w:ins w:id="22" w:author="Author"/>
                <w:rStyle w:val="InstructionsTabelleberschrift"/>
                <w:rFonts w:ascii="Times New Roman" w:hAnsi="Times New Roman"/>
                <w:sz w:val="24"/>
              </w:rPr>
            </w:pPr>
            <w:ins w:id="23" w:author="Author">
              <w:r>
                <w:rPr>
                  <w:rStyle w:val="InstructionsTabelleberschrift"/>
                  <w:rFonts w:ascii="Times New Roman" w:hAnsi="Times New Roman"/>
                  <w:sz w:val="24"/>
                </w:rPr>
                <w:t>Of which: Specialised lending</w:t>
              </w:r>
            </w:ins>
          </w:p>
          <w:p w14:paraId="78348E89" w14:textId="77777777" w:rsidR="009D6580" w:rsidRPr="000059B8" w:rsidRDefault="009D6580" w:rsidP="00822842">
            <w:pPr>
              <w:ind w:left="72"/>
              <w:rPr>
                <w:ins w:id="24" w:author="Author"/>
                <w:rStyle w:val="InstructionsTabelleberschrift"/>
                <w:rFonts w:ascii="Times New Roman" w:hAnsi="Times New Roman"/>
                <w:b w:val="0"/>
                <w:bCs w:val="0"/>
                <w:sz w:val="24"/>
                <w:u w:val="none"/>
              </w:rPr>
            </w:pPr>
            <w:ins w:id="25" w:author="Author">
              <w:r>
                <w:rPr>
                  <w:rStyle w:val="InstructionsTabelleberschrift"/>
                  <w:rFonts w:ascii="Times New Roman" w:hAnsi="Times New Roman"/>
                  <w:b w:val="0"/>
                  <w:bCs w:val="0"/>
                  <w:sz w:val="24"/>
                  <w:u w:val="none"/>
                </w:rPr>
                <w:t xml:space="preserve">Article 122a </w:t>
              </w:r>
              <w:r w:rsidRPr="001235ED">
                <w:rPr>
                  <w:rFonts w:ascii="Times New Roman" w:hAnsi="Times New Roman"/>
                  <w:sz w:val="24"/>
                  <w:lang w:val="en-US"/>
                </w:rPr>
                <w:t>of Regulation (EU) No 575/2013</w:t>
              </w:r>
            </w:ins>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4C73D393"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(h)</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sidRPr="002A677E">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ins w:id="26" w:author="Author">
              <w:r>
                <w:rPr>
                  <w:rStyle w:val="InstructionsTabelleberschrift"/>
                  <w:rFonts w:ascii="Times New Roman" w:hAnsi="Times New Roman"/>
                  <w:sz w:val="24"/>
                </w:rPr>
                <w:t xml:space="preserve"> and ADC </w:t>
              </w:r>
              <w:proofErr w:type="gramStart"/>
              <w:r>
                <w:rPr>
                  <w:rStyle w:val="InstructionsTabelleberschrift"/>
                  <w:rFonts w:ascii="Times New Roman" w:hAnsi="Times New Roman"/>
                  <w:sz w:val="24"/>
                </w:rPr>
                <w:t>exposures</w:t>
              </w:r>
            </w:ins>
            <w:proofErr w:type="gramEnd"/>
          </w:p>
          <w:p w14:paraId="6DD925ED" w14:textId="77777777" w:rsidR="009D6580" w:rsidRPr="002A677E" w:rsidRDefault="009D6580" w:rsidP="00822842">
            <w:pPr>
              <w:ind w:left="72"/>
              <w:rPr>
                <w:rStyle w:val="InstructionsTabelleText"/>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w:t>
            </w:r>
            <w:proofErr w:type="spellStart"/>
            <w:r w:rsidRPr="002A677E">
              <w:rPr>
                <w:rFonts w:ascii="Times New Roman" w:hAnsi="Times New Roman"/>
                <w:sz w:val="24"/>
              </w:rPr>
              <w:t>i</w:t>
            </w:r>
            <w:proofErr w:type="spellEnd"/>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20657D" w:rsidRPr="002A677E" w14:paraId="121569F5" w14:textId="77777777" w:rsidTr="0020657D">
        <w:trPr>
          <w:ins w:id="27"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ins w:id="28" w:author="Author"/>
                <w:rStyle w:val="FormatvorlageInstructionsTabelleText"/>
                <w:rFonts w:ascii="Times New Roman" w:hAnsi="Times New Roman"/>
                <w:bCs w:val="0"/>
                <w:sz w:val="24"/>
              </w:rPr>
            </w:pPr>
            <w:ins w:id="29" w:author="Autho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1</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ins w:id="30" w:author="Author"/>
                <w:rStyle w:val="InstructionsTabelleberschrift"/>
                <w:rFonts w:ascii="Times New Roman" w:hAnsi="Times New Roman"/>
                <w:sz w:val="24"/>
              </w:rPr>
            </w:pPr>
            <w:ins w:id="31" w:author="Autho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(secured)</w:t>
              </w:r>
            </w:ins>
          </w:p>
          <w:p w14:paraId="5BC0E4C6" w14:textId="5F815813" w:rsidR="0020657D" w:rsidRPr="0020657D" w:rsidRDefault="0064771D" w:rsidP="0020657D">
            <w:pPr>
              <w:ind w:left="72"/>
              <w:rPr>
                <w:ins w:id="32" w:author="Author"/>
                <w:rStyle w:val="InstructionsTabelleberschrift"/>
                <w:rFonts w:ascii="Times New Roman" w:hAnsi="Times New Roman"/>
                <w:b w:val="0"/>
                <w:bCs w:val="0"/>
                <w:sz w:val="24"/>
                <w:u w:val="none"/>
              </w:rPr>
            </w:pPr>
            <w:ins w:id="33" w:author="Author">
              <w:r>
                <w:rPr>
                  <w:rStyle w:val="InstructionsTabelleberschrift"/>
                  <w:rFonts w:ascii="Times New Roman" w:hAnsi="Times New Roman"/>
                  <w:b w:val="0"/>
                  <w:bCs w:val="0"/>
                  <w:sz w:val="24"/>
                  <w:u w:val="none"/>
                </w:rPr>
                <w:t>See CR SA template</w:t>
              </w:r>
            </w:ins>
          </w:p>
        </w:tc>
      </w:tr>
      <w:tr w:rsidR="0020657D" w:rsidRPr="002A677E" w14:paraId="25B6933C" w14:textId="77777777" w:rsidTr="0020657D">
        <w:trPr>
          <w:ins w:id="34"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ins w:id="35" w:author="Author"/>
                <w:rStyle w:val="FormatvorlageInstructionsTabelleText"/>
                <w:rFonts w:ascii="Times New Roman" w:hAnsi="Times New Roman"/>
                <w:bCs w:val="0"/>
                <w:sz w:val="24"/>
              </w:rPr>
            </w:pPr>
            <w:ins w:id="36" w:author="Autho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2</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ins w:id="37" w:author="Author"/>
                <w:rStyle w:val="InstructionsTabelleberschrift"/>
                <w:rFonts w:ascii="Times New Roman" w:hAnsi="Times New Roman"/>
                <w:sz w:val="24"/>
              </w:rPr>
            </w:pPr>
            <w:ins w:id="38" w:author="Autho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ins>
          </w:p>
          <w:p w14:paraId="607C903E" w14:textId="583159EA" w:rsidR="0020657D" w:rsidRPr="0020657D" w:rsidRDefault="0064771D" w:rsidP="0020657D">
            <w:pPr>
              <w:ind w:left="72"/>
              <w:rPr>
                <w:ins w:id="39" w:author="Author"/>
                <w:rStyle w:val="InstructionsTabelleberschrift"/>
                <w:rFonts w:ascii="Times New Roman" w:hAnsi="Times New Roman"/>
                <w:b w:val="0"/>
                <w:bCs w:val="0"/>
                <w:sz w:val="24"/>
                <w:u w:val="none"/>
              </w:rPr>
            </w:pPr>
            <w:ins w:id="40" w:author="Author">
              <w:r>
                <w:rPr>
                  <w:rStyle w:val="InstructionsTabelleberschrift"/>
                  <w:rFonts w:ascii="Times New Roman" w:hAnsi="Times New Roman"/>
                  <w:b w:val="0"/>
                  <w:bCs w:val="0"/>
                  <w:sz w:val="24"/>
                  <w:u w:val="none"/>
                </w:rPr>
                <w:t>See CR SA template</w:t>
              </w:r>
            </w:ins>
          </w:p>
        </w:tc>
      </w:tr>
      <w:tr w:rsidR="0020657D" w:rsidRPr="002A677E" w14:paraId="701555A6" w14:textId="77777777" w:rsidTr="0020657D">
        <w:trPr>
          <w:ins w:id="41"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ins w:id="42" w:author="Author"/>
                <w:rStyle w:val="FormatvorlageInstructionsTabelleText"/>
                <w:rFonts w:ascii="Times New Roman" w:hAnsi="Times New Roman"/>
                <w:bCs w:val="0"/>
                <w:sz w:val="24"/>
              </w:rPr>
            </w:pPr>
            <w:ins w:id="43" w:author="Autho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3</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ins w:id="44" w:author="Author"/>
                <w:rStyle w:val="InstructionsTabelleberschrift"/>
                <w:rFonts w:ascii="Times New Roman" w:hAnsi="Times New Roman"/>
                <w:sz w:val="24"/>
              </w:rPr>
            </w:pPr>
            <w:ins w:id="45" w:author="Autho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non-</w:t>
              </w:r>
              <w:proofErr w:type="gramStart"/>
              <w:r w:rsidRPr="006C1328">
                <w:rPr>
                  <w:rStyle w:val="InstructionsTabelleberschrift"/>
                  <w:rFonts w:ascii="Times New Roman" w:hAnsi="Times New Roman"/>
                  <w:sz w:val="24"/>
                </w:rPr>
                <w:t>IPRE</w:t>
              </w:r>
              <w:proofErr w:type="gramEnd"/>
            </w:ins>
          </w:p>
          <w:p w14:paraId="311E3CF5" w14:textId="5245D766" w:rsidR="0020657D" w:rsidRPr="0020657D" w:rsidRDefault="0064771D" w:rsidP="0020657D">
            <w:pPr>
              <w:ind w:left="72"/>
              <w:rPr>
                <w:ins w:id="46" w:author="Author"/>
                <w:rStyle w:val="InstructionsTabelleberschrift"/>
                <w:rFonts w:ascii="Times New Roman" w:hAnsi="Times New Roman"/>
                <w:b w:val="0"/>
                <w:bCs w:val="0"/>
                <w:sz w:val="24"/>
                <w:u w:val="none"/>
              </w:rPr>
            </w:pPr>
            <w:ins w:id="47" w:author="Author">
              <w:r>
                <w:rPr>
                  <w:rStyle w:val="InstructionsTabelleberschrift"/>
                  <w:rFonts w:ascii="Times New Roman" w:hAnsi="Times New Roman"/>
                  <w:b w:val="0"/>
                  <w:bCs w:val="0"/>
                  <w:sz w:val="24"/>
                  <w:u w:val="none"/>
                </w:rPr>
                <w:t>See CR SA template</w:t>
              </w:r>
            </w:ins>
          </w:p>
        </w:tc>
      </w:tr>
      <w:tr w:rsidR="0020657D" w:rsidRPr="002A677E" w14:paraId="615EF345" w14:textId="77777777" w:rsidTr="0020657D">
        <w:trPr>
          <w:ins w:id="48"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ins w:id="49" w:author="Author"/>
                <w:rStyle w:val="FormatvorlageInstructionsTabelleText"/>
                <w:rFonts w:ascii="Times New Roman" w:hAnsi="Times New Roman"/>
                <w:bCs w:val="0"/>
                <w:sz w:val="24"/>
              </w:rPr>
            </w:pPr>
            <w:ins w:id="50" w:author="Author">
              <w:r w:rsidRPr="0020657D">
                <w:rPr>
                  <w:rStyle w:val="FormatvorlageInstructionsTabelleText"/>
                  <w:rFonts w:ascii="Times New Roman" w:hAnsi="Times New Roman"/>
                  <w:bCs w:val="0"/>
                  <w:sz w:val="24"/>
                </w:rPr>
                <w:lastRenderedPageBreak/>
                <w:t>0</w:t>
              </w:r>
              <w:r w:rsidR="009860C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4</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ins w:id="51" w:author="Author"/>
                <w:rStyle w:val="InstructionsTabelleberschrift"/>
                <w:rFonts w:ascii="Times New Roman" w:hAnsi="Times New Roman"/>
                <w:sz w:val="24"/>
              </w:rPr>
            </w:pPr>
            <w:ins w:id="52" w:author="Autho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proofErr w:type="gramStart"/>
              <w:r w:rsidRPr="006C1328">
                <w:rPr>
                  <w:rStyle w:val="InstructionsTabelleberschrift"/>
                  <w:rFonts w:ascii="Times New Roman" w:hAnsi="Times New Roman"/>
                  <w:sz w:val="24"/>
                </w:rPr>
                <w:t>IPRE</w:t>
              </w:r>
              <w:proofErr w:type="gramEnd"/>
            </w:ins>
          </w:p>
          <w:p w14:paraId="2090782C" w14:textId="64D92CBC" w:rsidR="0020657D" w:rsidRPr="0020657D" w:rsidRDefault="0064771D" w:rsidP="0020657D">
            <w:pPr>
              <w:ind w:left="72"/>
              <w:rPr>
                <w:ins w:id="53" w:author="Author"/>
                <w:rStyle w:val="InstructionsTabelleberschrift"/>
                <w:rFonts w:ascii="Times New Roman" w:hAnsi="Times New Roman"/>
                <w:b w:val="0"/>
                <w:bCs w:val="0"/>
                <w:sz w:val="24"/>
                <w:u w:val="none"/>
              </w:rPr>
            </w:pPr>
            <w:ins w:id="54" w:author="Author">
              <w:r>
                <w:rPr>
                  <w:rStyle w:val="InstructionsTabelleberschrift"/>
                  <w:rFonts w:ascii="Times New Roman" w:hAnsi="Times New Roman"/>
                  <w:b w:val="0"/>
                  <w:bCs w:val="0"/>
                  <w:sz w:val="24"/>
                  <w:u w:val="none"/>
                </w:rPr>
                <w:t>See CR SA template</w:t>
              </w:r>
            </w:ins>
          </w:p>
        </w:tc>
      </w:tr>
      <w:tr w:rsidR="0020657D" w:rsidRPr="002A677E" w14:paraId="7CA1FEE3" w14:textId="77777777" w:rsidTr="0020657D">
        <w:trPr>
          <w:ins w:id="55"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ins w:id="56" w:author="Author"/>
                <w:rStyle w:val="FormatvorlageInstructionsTabelleText"/>
                <w:rFonts w:ascii="Times New Roman" w:hAnsi="Times New Roman"/>
                <w:bCs w:val="0"/>
                <w:sz w:val="24"/>
              </w:rPr>
            </w:pPr>
            <w:ins w:id="57" w:author="Autho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900</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ins w:id="58" w:author="Author"/>
                <w:rStyle w:val="InstructionsTabelleberschrift"/>
                <w:rFonts w:ascii="Times New Roman" w:hAnsi="Times New Roman"/>
                <w:sz w:val="24"/>
              </w:rPr>
            </w:pPr>
            <w:ins w:id="59" w:author="Author">
              <w:r w:rsidRPr="006C1328">
                <w:rPr>
                  <w:rStyle w:val="InstructionsTabelleberschrift"/>
                  <w:rFonts w:ascii="Times New Roman" w:hAnsi="Times New Roman"/>
                  <w:sz w:val="24"/>
                </w:rPr>
                <w:t xml:space="preserve">Secured by mortgages on </w:t>
              </w:r>
              <w:r w:rsidR="00B3003C">
                <w:rPr>
                  <w:rStyle w:val="InstructionsTabelleberschrift"/>
                  <w:rFonts w:ascii="Times New Roman" w:hAnsi="Times New Roman"/>
                  <w:sz w:val="24"/>
                </w:rPr>
                <w:t>resident</w:t>
              </w:r>
              <w:r w:rsidRPr="006C1328">
                <w:rPr>
                  <w:rStyle w:val="InstructionsTabelleberschrift"/>
                  <w:rFonts w:ascii="Times New Roman" w:hAnsi="Times New Roman"/>
                  <w:sz w:val="24"/>
                </w:rPr>
                <w:t xml:space="preserve">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IPRE</w:t>
              </w:r>
            </w:ins>
          </w:p>
          <w:p w14:paraId="18E3F7B1" w14:textId="00D9A105" w:rsidR="0020657D" w:rsidRPr="0020657D" w:rsidRDefault="0064771D" w:rsidP="0020657D">
            <w:pPr>
              <w:ind w:left="72"/>
              <w:rPr>
                <w:ins w:id="60" w:author="Author"/>
                <w:rStyle w:val="InstructionsTabelleberschrift"/>
                <w:rFonts w:ascii="Times New Roman" w:hAnsi="Times New Roman"/>
                <w:b w:val="0"/>
                <w:bCs w:val="0"/>
                <w:sz w:val="24"/>
                <w:u w:val="none"/>
              </w:rPr>
            </w:pPr>
            <w:ins w:id="61" w:author="Author">
              <w:r>
                <w:rPr>
                  <w:rStyle w:val="InstructionsTabelleberschrift"/>
                  <w:rFonts w:ascii="Times New Roman" w:hAnsi="Times New Roman"/>
                  <w:b w:val="0"/>
                  <w:bCs w:val="0"/>
                  <w:sz w:val="24"/>
                  <w:u w:val="none"/>
                </w:rPr>
                <w:t>See CR SA template</w:t>
              </w:r>
            </w:ins>
          </w:p>
        </w:tc>
      </w:tr>
      <w:tr w:rsidR="0020657D" w:rsidRPr="002A677E" w14:paraId="1B8412D1" w14:textId="77777777" w:rsidTr="0020657D">
        <w:trPr>
          <w:ins w:id="62"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ins w:id="63" w:author="Author"/>
                <w:rStyle w:val="FormatvorlageInstructionsTabelleText"/>
                <w:rFonts w:ascii="Times New Roman" w:hAnsi="Times New Roman"/>
                <w:bCs w:val="0"/>
                <w:sz w:val="24"/>
              </w:rPr>
            </w:pPr>
            <w:ins w:id="64" w:author="Autho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901</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ins w:id="65" w:author="Author"/>
                <w:rStyle w:val="InstructionsTabelleberschrift"/>
                <w:rFonts w:ascii="Times New Roman" w:hAnsi="Times New Roman"/>
                <w:sz w:val="24"/>
              </w:rPr>
            </w:pPr>
            <w:ins w:id="66" w:author="Autho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(secured)</w:t>
              </w:r>
            </w:ins>
          </w:p>
          <w:p w14:paraId="1DD8A6CF" w14:textId="2D56F96D" w:rsidR="0020657D" w:rsidRPr="0020657D" w:rsidRDefault="0064771D" w:rsidP="0020657D">
            <w:pPr>
              <w:ind w:left="72"/>
              <w:rPr>
                <w:ins w:id="67" w:author="Author"/>
                <w:rStyle w:val="InstructionsTabelleberschrift"/>
                <w:rFonts w:ascii="Times New Roman" w:hAnsi="Times New Roman"/>
                <w:b w:val="0"/>
                <w:bCs w:val="0"/>
                <w:sz w:val="24"/>
                <w:u w:val="none"/>
              </w:rPr>
            </w:pPr>
            <w:ins w:id="68" w:author="Author">
              <w:r>
                <w:rPr>
                  <w:rStyle w:val="InstructionsTabelleberschrift"/>
                  <w:rFonts w:ascii="Times New Roman" w:hAnsi="Times New Roman"/>
                  <w:b w:val="0"/>
                  <w:bCs w:val="0"/>
                  <w:sz w:val="24"/>
                  <w:u w:val="none"/>
                </w:rPr>
                <w:t>See CR SA template</w:t>
              </w:r>
            </w:ins>
          </w:p>
        </w:tc>
      </w:tr>
      <w:tr w:rsidR="0020657D" w:rsidRPr="002A677E" w14:paraId="4BB5A6B7" w14:textId="77777777" w:rsidTr="0020657D">
        <w:trPr>
          <w:ins w:id="69"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ins w:id="70" w:author="Author"/>
                <w:rStyle w:val="FormatvorlageInstructionsTabelleText"/>
                <w:rFonts w:ascii="Times New Roman" w:hAnsi="Times New Roman"/>
                <w:bCs w:val="0"/>
                <w:sz w:val="24"/>
              </w:rPr>
            </w:pPr>
            <w:ins w:id="71" w:author="Autho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902</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ins w:id="72" w:author="Author"/>
                <w:rStyle w:val="InstructionsTabelleberschrift"/>
                <w:rFonts w:ascii="Times New Roman" w:hAnsi="Times New Roman"/>
                <w:sz w:val="24"/>
              </w:rPr>
            </w:pPr>
            <w:ins w:id="73" w:author="Autho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ins>
          </w:p>
          <w:p w14:paraId="37DA45D4" w14:textId="1AC5F0E1" w:rsidR="0020657D" w:rsidRPr="0020657D" w:rsidRDefault="0064771D" w:rsidP="0020657D">
            <w:pPr>
              <w:ind w:left="72"/>
              <w:rPr>
                <w:ins w:id="74" w:author="Author"/>
                <w:rStyle w:val="InstructionsTabelleberschrift"/>
                <w:rFonts w:ascii="Times New Roman" w:hAnsi="Times New Roman"/>
                <w:b w:val="0"/>
                <w:bCs w:val="0"/>
                <w:sz w:val="24"/>
                <w:u w:val="none"/>
              </w:rPr>
            </w:pPr>
            <w:ins w:id="75" w:author="Author">
              <w:r>
                <w:rPr>
                  <w:rStyle w:val="InstructionsTabelleberschrift"/>
                  <w:rFonts w:ascii="Times New Roman" w:hAnsi="Times New Roman"/>
                  <w:b w:val="0"/>
                  <w:bCs w:val="0"/>
                  <w:sz w:val="24"/>
                  <w:u w:val="none"/>
                </w:rPr>
                <w:t>See CR SA t</w:t>
              </w:r>
              <w:r w:rsidR="00381D02">
                <w:rPr>
                  <w:rStyle w:val="InstructionsTabelleberschrift"/>
                  <w:rFonts w:ascii="Times New Roman" w:hAnsi="Times New Roman"/>
                  <w:b w:val="0"/>
                  <w:bCs w:val="0"/>
                  <w:sz w:val="24"/>
                  <w:u w:val="none"/>
                </w:rPr>
                <w:t>emplate</w:t>
              </w:r>
            </w:ins>
          </w:p>
        </w:tc>
      </w:tr>
      <w:tr w:rsidR="0020657D" w:rsidRPr="002A677E" w14:paraId="51A35A79" w14:textId="77777777" w:rsidTr="0020657D">
        <w:trPr>
          <w:ins w:id="76"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ins w:id="77" w:author="Author"/>
                <w:rStyle w:val="FormatvorlageInstructionsTabelleText"/>
                <w:rFonts w:ascii="Times New Roman" w:hAnsi="Times New Roman"/>
                <w:bCs w:val="0"/>
                <w:sz w:val="24"/>
              </w:rPr>
            </w:pPr>
            <w:ins w:id="78" w:author="Autho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903</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ins w:id="79" w:author="Author"/>
                <w:rStyle w:val="InstructionsTabelleberschrift"/>
                <w:rFonts w:ascii="Times New Roman" w:hAnsi="Times New Roman"/>
                <w:sz w:val="24"/>
              </w:rPr>
            </w:pPr>
            <w:ins w:id="80" w:author="Autho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 xml:space="preserve">Other - </w:t>
              </w:r>
              <w:r w:rsidRPr="006C1328">
                <w:rPr>
                  <w:rStyle w:val="InstructionsTabelleberschrift"/>
                  <w:rFonts w:ascii="Times New Roman" w:hAnsi="Times New Roman"/>
                  <w:sz w:val="24"/>
                </w:rPr>
                <w:t>non-</w:t>
              </w:r>
              <w:proofErr w:type="gramStart"/>
              <w:r w:rsidRPr="006C1328">
                <w:rPr>
                  <w:rStyle w:val="InstructionsTabelleberschrift"/>
                  <w:rFonts w:ascii="Times New Roman" w:hAnsi="Times New Roman"/>
                  <w:sz w:val="24"/>
                </w:rPr>
                <w:t>IPRE</w:t>
              </w:r>
              <w:proofErr w:type="gramEnd"/>
            </w:ins>
          </w:p>
          <w:p w14:paraId="653F8A23" w14:textId="727D9E51" w:rsidR="0020657D" w:rsidRPr="0020657D" w:rsidRDefault="0064771D" w:rsidP="0020657D">
            <w:pPr>
              <w:ind w:left="72"/>
              <w:rPr>
                <w:ins w:id="81" w:author="Author"/>
                <w:rStyle w:val="InstructionsTabelleberschrift"/>
                <w:rFonts w:ascii="Times New Roman" w:hAnsi="Times New Roman"/>
                <w:b w:val="0"/>
                <w:bCs w:val="0"/>
                <w:sz w:val="24"/>
                <w:u w:val="none"/>
              </w:rPr>
            </w:pPr>
            <w:ins w:id="82" w:author="Author">
              <w:r>
                <w:rPr>
                  <w:rStyle w:val="InstructionsTabelleberschrift"/>
                  <w:rFonts w:ascii="Times New Roman" w:hAnsi="Times New Roman"/>
                  <w:b w:val="0"/>
                  <w:bCs w:val="0"/>
                  <w:sz w:val="24"/>
                  <w:u w:val="none"/>
                </w:rPr>
                <w:t>Se CR SA template</w:t>
              </w:r>
            </w:ins>
          </w:p>
        </w:tc>
      </w:tr>
      <w:tr w:rsidR="0020657D" w:rsidRPr="002A677E" w14:paraId="638CB8D2" w14:textId="77777777" w:rsidTr="0020657D">
        <w:trPr>
          <w:ins w:id="83"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ins w:id="84" w:author="Author"/>
                <w:rStyle w:val="FormatvorlageInstructionsTabelleText"/>
                <w:rFonts w:ascii="Times New Roman" w:hAnsi="Times New Roman"/>
                <w:bCs w:val="0"/>
                <w:sz w:val="24"/>
              </w:rPr>
            </w:pPr>
            <w:ins w:id="85" w:author="Autho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904</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ins w:id="86" w:author="Author"/>
                <w:rStyle w:val="InstructionsTabelleberschrift"/>
                <w:rFonts w:ascii="Times New Roman" w:hAnsi="Times New Roman"/>
                <w:sz w:val="24"/>
              </w:rPr>
            </w:pPr>
            <w:ins w:id="87" w:author="Author">
              <w:r w:rsidRPr="006C1328">
                <w:rPr>
                  <w:rStyle w:val="InstructionsTabelleberschrift"/>
                  <w:rFonts w:ascii="Times New Roman" w:hAnsi="Times New Roman"/>
                  <w:sz w:val="24"/>
                </w:rPr>
                <w:t>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proofErr w:type="gramStart"/>
              <w:r w:rsidRPr="006C1328">
                <w:rPr>
                  <w:rStyle w:val="InstructionsTabelleberschrift"/>
                  <w:rFonts w:ascii="Times New Roman" w:hAnsi="Times New Roman"/>
                  <w:sz w:val="24"/>
                </w:rPr>
                <w:t>IPRE</w:t>
              </w:r>
              <w:proofErr w:type="gramEnd"/>
            </w:ins>
          </w:p>
          <w:p w14:paraId="5C23C6C1" w14:textId="64A934FD" w:rsidR="0020657D" w:rsidRPr="0020657D" w:rsidRDefault="0064771D" w:rsidP="0020657D">
            <w:pPr>
              <w:ind w:left="72"/>
              <w:rPr>
                <w:ins w:id="88" w:author="Author"/>
                <w:rStyle w:val="InstructionsTabelleberschrift"/>
                <w:rFonts w:ascii="Times New Roman" w:hAnsi="Times New Roman"/>
                <w:b w:val="0"/>
                <w:bCs w:val="0"/>
                <w:sz w:val="24"/>
                <w:u w:val="none"/>
              </w:rPr>
            </w:pPr>
            <w:ins w:id="89" w:author="Author">
              <w:r>
                <w:rPr>
                  <w:rStyle w:val="InstructionsTabelleberschrift"/>
                  <w:rFonts w:ascii="Times New Roman" w:hAnsi="Times New Roman"/>
                  <w:b w:val="0"/>
                  <w:bCs w:val="0"/>
                  <w:sz w:val="24"/>
                  <w:u w:val="none"/>
                </w:rPr>
                <w:t>See CR SA template</w:t>
              </w:r>
            </w:ins>
          </w:p>
        </w:tc>
      </w:tr>
      <w:tr w:rsidR="0020657D" w:rsidRPr="002A677E" w14:paraId="09F113E4" w14:textId="77777777" w:rsidTr="0020657D">
        <w:trPr>
          <w:ins w:id="90"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ins w:id="91" w:author="Author"/>
                <w:rStyle w:val="FormatvorlageInstructionsTabelleText"/>
                <w:rFonts w:ascii="Times New Roman" w:hAnsi="Times New Roman"/>
                <w:bCs w:val="0"/>
                <w:sz w:val="24"/>
              </w:rPr>
            </w:pPr>
            <w:ins w:id="92" w:author="Author">
              <w:r w:rsidRPr="0020657D">
                <w:rPr>
                  <w:rStyle w:val="FormatvorlageInstructionsTabelleText"/>
                  <w:rFonts w:ascii="Times New Roman" w:hAnsi="Times New Roman"/>
                  <w:bCs w:val="0"/>
                  <w:sz w:val="24"/>
                </w:rPr>
                <w:t>090</w:t>
              </w:r>
              <w:r w:rsidR="005644CB">
                <w:rPr>
                  <w:rStyle w:val="FormatvorlageInstructionsTabelleText"/>
                  <w:rFonts w:ascii="Times New Roman" w:hAnsi="Times New Roman"/>
                  <w:bCs w:val="0"/>
                  <w:sz w:val="24"/>
                </w:rPr>
                <w:t>5</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ins w:id="93" w:author="Author"/>
                <w:rStyle w:val="InstructionsTabelleberschrift"/>
                <w:rFonts w:ascii="Times New Roman" w:hAnsi="Times New Roman"/>
                <w:sz w:val="24"/>
              </w:rPr>
            </w:pPr>
            <w:ins w:id="94" w:author="Author">
              <w:r w:rsidRPr="003A4998">
                <w:rPr>
                  <w:rStyle w:val="InstructionsTabelleberschrift"/>
                  <w:rFonts w:ascii="Times New Roman" w:hAnsi="Times New Roman"/>
                  <w:sz w:val="24"/>
                </w:rPr>
                <w:t>Secured by mortgages on</w:t>
              </w:r>
              <w:r>
                <w:rPr>
                  <w:rStyle w:val="InstructionsTabelleberschrift"/>
                  <w:rFonts w:ascii="Times New Roman" w:hAnsi="Times New Roman"/>
                  <w:sz w:val="24"/>
                </w:rPr>
                <w:t xml:space="preserve"> commercial</w:t>
              </w:r>
              <w:r w:rsidRPr="003A4998">
                <w:rPr>
                  <w:rStyle w:val="InstructionsTabelleberschrift"/>
                  <w:rFonts w:ascii="Times New Roman" w:hAnsi="Times New Roman"/>
                  <w:sz w:val="24"/>
                </w:rPr>
                <w:t xml:space="preserve"> immovable property - Other - IPRE</w:t>
              </w:r>
            </w:ins>
          </w:p>
          <w:p w14:paraId="4CFFBC8C" w14:textId="16697C60" w:rsidR="0020657D" w:rsidRPr="0020657D" w:rsidRDefault="0064771D" w:rsidP="0020657D">
            <w:pPr>
              <w:ind w:left="72"/>
              <w:rPr>
                <w:ins w:id="95" w:author="Author"/>
                <w:rStyle w:val="InstructionsTabelleberschrift"/>
                <w:rFonts w:ascii="Times New Roman" w:hAnsi="Times New Roman"/>
                <w:b w:val="0"/>
                <w:bCs w:val="0"/>
                <w:sz w:val="24"/>
                <w:u w:val="none"/>
              </w:rPr>
            </w:pPr>
            <w:ins w:id="96" w:author="Author">
              <w:r>
                <w:rPr>
                  <w:rStyle w:val="InstructionsTabelleberschrift"/>
                  <w:rFonts w:ascii="Times New Roman" w:hAnsi="Times New Roman"/>
                  <w:b w:val="0"/>
                  <w:bCs w:val="0"/>
                  <w:sz w:val="24"/>
                  <w:u w:val="none"/>
                </w:rPr>
                <w:t>See C</w:t>
              </w:r>
              <w:r w:rsidR="00FB1404">
                <w:rPr>
                  <w:rStyle w:val="InstructionsTabelleberschrift"/>
                  <w:rFonts w:ascii="Times New Roman" w:hAnsi="Times New Roman"/>
                  <w:b w:val="0"/>
                  <w:bCs w:val="0"/>
                  <w:sz w:val="24"/>
                  <w:u w:val="none"/>
                </w:rPr>
                <w:t>R</w:t>
              </w:r>
              <w:r>
                <w:rPr>
                  <w:rStyle w:val="InstructionsTabelleberschrift"/>
                  <w:rFonts w:ascii="Times New Roman" w:hAnsi="Times New Roman"/>
                  <w:b w:val="0"/>
                  <w:bCs w:val="0"/>
                  <w:sz w:val="24"/>
                  <w:u w:val="none"/>
                </w:rPr>
                <w:t xml:space="preserve"> SA template</w:t>
              </w:r>
            </w:ins>
          </w:p>
        </w:tc>
      </w:tr>
      <w:tr w:rsidR="0020657D" w:rsidRPr="002A677E" w14:paraId="0CC83534" w14:textId="77777777" w:rsidTr="0020657D">
        <w:trPr>
          <w:ins w:id="97"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ins w:id="98" w:author="Author"/>
                <w:rStyle w:val="FormatvorlageInstructionsTabelleText"/>
                <w:rFonts w:ascii="Times New Roman" w:hAnsi="Times New Roman"/>
                <w:bCs w:val="0"/>
                <w:sz w:val="24"/>
              </w:rPr>
            </w:pPr>
            <w:ins w:id="99" w:author="Author">
              <w:r w:rsidRPr="0020657D">
                <w:rPr>
                  <w:rStyle w:val="FormatvorlageInstructionsTabelleText"/>
                  <w:rFonts w:ascii="Times New Roman" w:hAnsi="Times New Roman"/>
                  <w:bCs w:val="0"/>
                  <w:sz w:val="24"/>
                </w:rPr>
                <w:t>09</w:t>
              </w:r>
              <w:r w:rsidR="005644CB">
                <w:rPr>
                  <w:rStyle w:val="FormatvorlageInstructionsTabelleText"/>
                  <w:rFonts w:ascii="Times New Roman" w:hAnsi="Times New Roman"/>
                  <w:bCs w:val="0"/>
                  <w:sz w:val="24"/>
                </w:rPr>
                <w:t>06</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ins w:id="100" w:author="Author"/>
                <w:rStyle w:val="InstructionsTabelleberschrift"/>
                <w:rFonts w:ascii="Times New Roman" w:hAnsi="Times New Roman"/>
                <w:sz w:val="24"/>
              </w:rPr>
            </w:pPr>
            <w:ins w:id="101" w:author="Author">
              <w:r w:rsidRPr="003A4998">
                <w:rPr>
                  <w:rStyle w:val="InstructionsTabelleberschrift"/>
                  <w:rFonts w:ascii="Times New Roman" w:hAnsi="Times New Roman"/>
                  <w:sz w:val="24"/>
                </w:rPr>
                <w:t xml:space="preserve">Acquisition, </w:t>
              </w:r>
              <w:proofErr w:type="gramStart"/>
              <w:r w:rsidRPr="003A4998">
                <w:rPr>
                  <w:rStyle w:val="InstructionsTabelleberschrift"/>
                  <w:rFonts w:ascii="Times New Roman" w:hAnsi="Times New Roman"/>
                  <w:sz w:val="24"/>
                </w:rPr>
                <w:t>development</w:t>
              </w:r>
              <w:proofErr w:type="gramEnd"/>
              <w:r w:rsidRPr="003A4998">
                <w:rPr>
                  <w:rStyle w:val="InstructionsTabelleberschrift"/>
                  <w:rFonts w:ascii="Times New Roman" w:hAnsi="Times New Roman"/>
                  <w:sz w:val="24"/>
                </w:rPr>
                <w:t xml:space="preserve"> and construction (ADC)</w:t>
              </w:r>
            </w:ins>
          </w:p>
          <w:p w14:paraId="0CFE246E" w14:textId="00399E0A" w:rsidR="0020657D" w:rsidRPr="0020657D" w:rsidRDefault="0064771D" w:rsidP="0020657D">
            <w:pPr>
              <w:ind w:left="72"/>
              <w:rPr>
                <w:ins w:id="102" w:author="Author"/>
                <w:rStyle w:val="InstructionsTabelleberschrift"/>
                <w:rFonts w:ascii="Times New Roman" w:hAnsi="Times New Roman"/>
                <w:b w:val="0"/>
                <w:bCs w:val="0"/>
                <w:sz w:val="24"/>
                <w:u w:val="none"/>
              </w:rPr>
            </w:pPr>
            <w:ins w:id="103" w:author="Author">
              <w:r>
                <w:rPr>
                  <w:rStyle w:val="InstructionsTabelleberschrift"/>
                  <w:rFonts w:ascii="Times New Roman" w:hAnsi="Times New Roman"/>
                  <w:b w:val="0"/>
                  <w:bCs w:val="0"/>
                  <w:sz w:val="24"/>
                  <w:u w:val="none"/>
                </w:rPr>
                <w:t>See CR SA template</w:t>
              </w:r>
            </w:ins>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sidRPr="002A677E">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4E89ACE"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(j)</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9CAD285" w14:textId="77777777" w:rsidTr="00822842">
        <w:trPr>
          <w:ins w:id="104" w:author="Author"/>
        </w:trPr>
        <w:tc>
          <w:tcPr>
            <w:tcW w:w="1188" w:type="dxa"/>
            <w:shd w:val="clear" w:color="auto" w:fill="FFFFFF"/>
          </w:tcPr>
          <w:p w14:paraId="0FA617CD" w14:textId="77777777" w:rsidR="009D6580" w:rsidRPr="002A677E" w:rsidRDefault="009D6580" w:rsidP="00822842">
            <w:pPr>
              <w:rPr>
                <w:ins w:id="105" w:author="Author"/>
                <w:rFonts w:ascii="Times New Roman" w:hAnsi="Times New Roman"/>
                <w:sz w:val="24"/>
              </w:rPr>
            </w:pPr>
            <w:ins w:id="106" w:author="Author">
              <w:r>
                <w:rPr>
                  <w:rFonts w:ascii="Times New Roman" w:hAnsi="Times New Roman"/>
                  <w:sz w:val="24"/>
                </w:rPr>
                <w:t>0115</w:t>
              </w:r>
            </w:ins>
          </w:p>
        </w:tc>
        <w:tc>
          <w:tcPr>
            <w:tcW w:w="8701" w:type="dxa"/>
            <w:gridSpan w:val="2"/>
            <w:shd w:val="clear" w:color="auto" w:fill="FFFFFF"/>
          </w:tcPr>
          <w:p w14:paraId="71EBD362" w14:textId="77777777" w:rsidR="009D6580" w:rsidRDefault="009D6580" w:rsidP="00822842">
            <w:pPr>
              <w:ind w:left="72"/>
              <w:rPr>
                <w:ins w:id="107" w:author="Author"/>
                <w:rStyle w:val="InstructionsTabelleberschrift"/>
                <w:rFonts w:ascii="Times New Roman" w:hAnsi="Times New Roman"/>
                <w:sz w:val="24"/>
              </w:rPr>
            </w:pPr>
            <w:ins w:id="108" w:author="Author">
              <w:r>
                <w:rPr>
                  <w:rStyle w:val="InstructionsTabelleberschrift"/>
                  <w:rFonts w:ascii="Times New Roman" w:hAnsi="Times New Roman"/>
                  <w:sz w:val="24"/>
                </w:rPr>
                <w:t>Subordinated debt exposures</w:t>
              </w:r>
            </w:ins>
          </w:p>
          <w:p w14:paraId="7F19547A" w14:textId="77777777" w:rsidR="009D6580" w:rsidRPr="000059B8" w:rsidRDefault="009D6580" w:rsidP="00822842">
            <w:pPr>
              <w:ind w:left="72"/>
              <w:rPr>
                <w:ins w:id="109" w:author="Author"/>
                <w:rStyle w:val="InstructionsTabelleberschrift"/>
                <w:rFonts w:ascii="Times New Roman" w:hAnsi="Times New Roman"/>
                <w:b w:val="0"/>
                <w:bCs w:val="0"/>
                <w:sz w:val="24"/>
                <w:u w:val="none"/>
              </w:rPr>
            </w:pPr>
            <w:ins w:id="110" w:author="Autho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w:t>
              </w:r>
              <w:r>
                <w:rPr>
                  <w:rFonts w:ascii="Times New Roman" w:hAnsi="Times New Roman"/>
                  <w:sz w:val="24"/>
                </w:rPr>
                <w:t>k</w:t>
              </w:r>
              <w:r w:rsidRPr="001235ED">
                <w:rPr>
                  <w:rFonts w:ascii="Times New Roman" w:hAnsi="Times New Roman"/>
                  <w:sz w:val="24"/>
                </w:rPr>
                <w:t>)</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ins>
          </w:p>
        </w:tc>
      </w:tr>
      <w:tr w:rsidR="009D6580" w:rsidRPr="002A677E" w:rsidDel="00FD6F70" w14:paraId="307ECFE5" w14:textId="77777777" w:rsidTr="00822842">
        <w:trPr>
          <w:del w:id="111" w:author="Author"/>
        </w:trPr>
        <w:tc>
          <w:tcPr>
            <w:tcW w:w="1188" w:type="dxa"/>
            <w:shd w:val="clear" w:color="auto" w:fill="FFFFFF"/>
          </w:tcPr>
          <w:p w14:paraId="44FAF815" w14:textId="77777777" w:rsidR="009D6580" w:rsidRPr="002A677E" w:rsidDel="00FD6F70" w:rsidRDefault="009D6580" w:rsidP="00822842">
            <w:pPr>
              <w:rPr>
                <w:del w:id="112" w:author="Author"/>
                <w:rFonts w:ascii="Times New Roman" w:hAnsi="Times New Roman"/>
                <w:sz w:val="24"/>
              </w:rPr>
            </w:pPr>
            <w:del w:id="113" w:author="Author">
              <w:r w:rsidRPr="002A677E" w:rsidDel="00FD6F70">
                <w:rPr>
                  <w:rFonts w:ascii="Times New Roman" w:hAnsi="Times New Roman"/>
                  <w:sz w:val="24"/>
                </w:rPr>
                <w:delText>0110</w:delText>
              </w:r>
            </w:del>
          </w:p>
        </w:tc>
        <w:tc>
          <w:tcPr>
            <w:tcW w:w="8701" w:type="dxa"/>
            <w:gridSpan w:val="2"/>
            <w:shd w:val="clear" w:color="auto" w:fill="FFFFFF"/>
          </w:tcPr>
          <w:p w14:paraId="6B0C0735" w14:textId="77777777" w:rsidR="009D6580" w:rsidRPr="002A677E" w:rsidDel="00FD6F70" w:rsidRDefault="009D6580" w:rsidP="00822842">
            <w:pPr>
              <w:autoSpaceDE w:val="0"/>
              <w:autoSpaceDN w:val="0"/>
              <w:adjustRightInd w:val="0"/>
              <w:spacing w:before="0"/>
              <w:ind w:left="72"/>
              <w:jc w:val="left"/>
              <w:rPr>
                <w:del w:id="114" w:author="Author"/>
                <w:rFonts w:ascii="Times New Roman" w:hAnsi="Times New Roman"/>
                <w:b/>
                <w:bCs/>
                <w:sz w:val="24"/>
                <w:u w:val="single"/>
              </w:rPr>
            </w:pPr>
            <w:del w:id="115" w:author="Author">
              <w:r w:rsidRPr="002A677E" w:rsidDel="00FD6F70">
                <w:rPr>
                  <w:rFonts w:ascii="Times New Roman" w:hAnsi="Times New Roman"/>
                  <w:b/>
                  <w:bCs/>
                  <w:sz w:val="24"/>
                  <w:u w:val="single"/>
                </w:rPr>
                <w:delText>Items associated with particularly high risk</w:delText>
              </w:r>
            </w:del>
          </w:p>
          <w:p w14:paraId="477D6454" w14:textId="77777777" w:rsidR="009D6580" w:rsidRPr="002A677E" w:rsidDel="00FD6F70" w:rsidRDefault="009D6580" w:rsidP="00822842">
            <w:pPr>
              <w:autoSpaceDE w:val="0"/>
              <w:autoSpaceDN w:val="0"/>
              <w:adjustRightInd w:val="0"/>
              <w:spacing w:before="0"/>
              <w:ind w:left="72"/>
              <w:jc w:val="left"/>
              <w:rPr>
                <w:del w:id="116" w:author="Author"/>
                <w:rStyle w:val="InstructionsTabelleberschrift"/>
                <w:rFonts w:ascii="Times New Roman" w:hAnsi="Times New Roman"/>
                <w:sz w:val="24"/>
              </w:rPr>
            </w:pPr>
            <w:del w:id="117" w:author="Author">
              <w:r w:rsidRPr="001235ED" w:rsidDel="00FD6F70">
                <w:rPr>
                  <w:rFonts w:ascii="Times New Roman" w:hAnsi="Times New Roman"/>
                  <w:sz w:val="24"/>
                </w:rPr>
                <w:delText>Article 112</w:delText>
              </w:r>
              <w:r w:rsidDel="00FD6F70">
                <w:rPr>
                  <w:rFonts w:ascii="Times New Roman" w:hAnsi="Times New Roman"/>
                  <w:sz w:val="24"/>
                </w:rPr>
                <w:delText>, p</w:delText>
              </w:r>
              <w:r w:rsidRPr="001235ED" w:rsidDel="00FD6F70">
                <w:rPr>
                  <w:rFonts w:ascii="Times New Roman" w:hAnsi="Times New Roman"/>
                  <w:sz w:val="24"/>
                </w:rPr>
                <w:delText>oint (k)</w:delText>
              </w:r>
              <w:r w:rsidDel="00FD6F70">
                <w:rPr>
                  <w:rFonts w:ascii="Times New Roman" w:hAnsi="Times New Roman"/>
                  <w:sz w:val="24"/>
                </w:rPr>
                <w:delText>,</w:delText>
              </w:r>
              <w:r w:rsidRPr="001235ED" w:rsidDel="00FD6F70">
                <w:rPr>
                  <w:rFonts w:ascii="Times New Roman" w:hAnsi="Times New Roman"/>
                  <w:sz w:val="24"/>
                </w:rPr>
                <w:delText xml:space="preserve"> </w:delText>
              </w:r>
              <w:r w:rsidRPr="001235ED" w:rsidDel="00FD6F70">
                <w:rPr>
                  <w:rFonts w:ascii="Times New Roman" w:hAnsi="Times New Roman"/>
                  <w:sz w:val="24"/>
                  <w:lang w:val="en-US"/>
                </w:rPr>
                <w:delText>of Regulation (EU) No 575/2013</w:delText>
              </w:r>
            </w:del>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 xml:space="preserve">Covered </w:t>
            </w:r>
            <w:proofErr w:type="gramStart"/>
            <w:r w:rsidRPr="002A677E">
              <w:rPr>
                <w:rStyle w:val="InstructionsTabelleberschrift"/>
                <w:rFonts w:ascii="Times New Roman" w:hAnsi="Times New Roman"/>
                <w:sz w:val="24"/>
              </w:rPr>
              <w:t>bonds</w:t>
            </w:r>
            <w:proofErr w:type="gramEnd"/>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(l)</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sidRPr="002A677E">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corporates with a short-term credit assessment</w:t>
            </w:r>
          </w:p>
          <w:p w14:paraId="53F92677" w14:textId="77777777" w:rsidR="009D6580" w:rsidRPr="002A677E" w:rsidRDefault="009D6580" w:rsidP="00822842">
            <w:pPr>
              <w:ind w:left="72"/>
              <w:rPr>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(n)</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6BE6CAC2" w14:textId="77777777" w:rsidR="009D6580" w:rsidRPr="002A677E" w:rsidRDefault="009D6580" w:rsidP="00822842">
            <w:pPr>
              <w:ind w:left="72"/>
              <w:rPr>
                <w:rFonts w:ascii="Times New Roman" w:hAnsi="Times New Roman"/>
                <w:bCs/>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(o)</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sidRPr="001235ED">
              <w:rPr>
                <w:rFonts w:ascii="Times New Roman" w:hAnsi="Times New Roman"/>
                <w:bCs/>
                <w:sz w:val="24"/>
              </w:rPr>
              <w:lastRenderedPageBreak/>
              <w:t>Sum of rows 0141 to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 xml:space="preserve">Look-through </w:t>
            </w:r>
            <w:proofErr w:type="gramStart"/>
            <w:r w:rsidRPr="002A677E">
              <w:rPr>
                <w:rStyle w:val="InstructionsTabelleberschrift"/>
                <w:rFonts w:ascii="Times New Roman" w:hAnsi="Times New Roman"/>
                <w:sz w:val="24"/>
              </w:rPr>
              <w:t>approach</w:t>
            </w:r>
            <w:proofErr w:type="gramEnd"/>
          </w:p>
          <w:p w14:paraId="00783183"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0281 of CR SA template</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sidRPr="002A677E">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 xml:space="preserve">Mandate-based </w:t>
            </w:r>
            <w:proofErr w:type="gramStart"/>
            <w:r w:rsidRPr="002A677E">
              <w:rPr>
                <w:rStyle w:val="InstructionsTabelleberschrift"/>
                <w:rFonts w:ascii="Times New Roman" w:hAnsi="Times New Roman"/>
                <w:sz w:val="24"/>
              </w:rPr>
              <w:t>approach</w:t>
            </w:r>
            <w:proofErr w:type="gramEnd"/>
          </w:p>
          <w:p w14:paraId="1FD38657"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0282 of CR SA template</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sidRPr="002A677E">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0283 of CR SA template</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3170DAFB"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(p)</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sidRPr="002A677E">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5D708342"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(q)</w:t>
            </w:r>
            <w:r>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sidRPr="002A677E">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118"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19" w:name="_Toc360188364"/>
      <w:bookmarkStart w:id="120" w:name="_Toc473560915"/>
      <w:bookmarkStart w:id="121" w:name="_Toc151714419"/>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09.02 – Geographical breakdown of exposures by residence of the obligor: IRB exposures</w:t>
      </w:r>
      <w:bookmarkEnd w:id="119"/>
      <w:r w:rsidRPr="002A677E">
        <w:rPr>
          <w:rFonts w:ascii="Times New Roman" w:hAnsi="Times New Roman" w:cs="Times New Roman"/>
          <w:sz w:val="24"/>
          <w:lang w:val="en-GB"/>
        </w:rPr>
        <w:t xml:space="preserve"> (CR GB 2)</w:t>
      </w:r>
      <w:bookmarkEnd w:id="120"/>
      <w:bookmarkEnd w:id="121"/>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22" w:name="_Toc360188365"/>
      <w:bookmarkStart w:id="123" w:name="_Toc473560916"/>
      <w:bookmarkStart w:id="124" w:name="_Toc151714420"/>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122"/>
      <w:bookmarkEnd w:id="123"/>
      <w:bookmarkEnd w:id="124"/>
      <w:proofErr w:type="gramEnd"/>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0020 of CR IRB template</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2768B5B2"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in accordance with Article 178 </w:t>
            </w:r>
            <w:r w:rsidRPr="001235ED">
              <w:rPr>
                <w:rFonts w:ascii="Times New Roman" w:hAnsi="Times New Roman"/>
                <w:sz w:val="24"/>
                <w:lang w:val="en-US"/>
              </w:rPr>
              <w:t>of Regulation (EU) No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Observed new defaults for the </w:t>
            </w:r>
            <w:proofErr w:type="gramStart"/>
            <w:r w:rsidRPr="002A677E">
              <w:rPr>
                <w:rFonts w:ascii="Times New Roman" w:hAnsi="Times New Roman"/>
                <w:b/>
                <w:sz w:val="24"/>
                <w:u w:val="single"/>
              </w:rPr>
              <w:t>period</w:t>
            </w:r>
            <w:proofErr w:type="gramEnd"/>
          </w:p>
          <w:p w14:paraId="2393DECB"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The </w:t>
            </w:r>
            <w:proofErr w:type="gramStart"/>
            <w:r w:rsidRPr="002A677E">
              <w:rPr>
                <w:rStyle w:val="InstructionsTabelleText"/>
                <w:rFonts w:ascii="Times New Roman" w:hAnsi="Times New Roman"/>
                <w:sz w:val="24"/>
              </w:rPr>
              <w:t>amount</w:t>
            </w:r>
            <w:proofErr w:type="gramEnd"/>
            <w:r w:rsidRPr="002A677E">
              <w:rPr>
                <w:rStyle w:val="InstructionsTabelleText"/>
                <w:rFonts w:ascii="Times New Roman" w:hAnsi="Times New Roman"/>
                <w:sz w:val="24"/>
              </w:rPr>
              <w:t xml:space="preserve"> of original exposures which were classified as “defaulted exposures” during the 3-month period since the last reporting reference date shall be reported against the exposure class to which the obligor originally belonged.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640" w:type="dxa"/>
          </w:tcPr>
          <w:p w14:paraId="6E8FD64C"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General credit risk adjustments</w:t>
            </w:r>
          </w:p>
          <w:p w14:paraId="1F1D0A5D"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Specific credit risk adjustments</w:t>
            </w:r>
          </w:p>
          <w:p w14:paraId="4DA8E76B"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0060</w:t>
            </w:r>
          </w:p>
        </w:tc>
        <w:tc>
          <w:tcPr>
            <w:tcW w:w="8640" w:type="dxa"/>
          </w:tcPr>
          <w:p w14:paraId="4CC236D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Write-offs</w:t>
            </w:r>
          </w:p>
          <w:p w14:paraId="51BEEB5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Write-offs as referred to in IFRS 9.5.4.4 and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Credit risk adjustments/write-offs for observed new </w:t>
            </w:r>
            <w:proofErr w:type="gramStart"/>
            <w:r w:rsidRPr="002A677E">
              <w:rPr>
                <w:rFonts w:ascii="Times New Roman" w:hAnsi="Times New Roman"/>
                <w:b/>
                <w:sz w:val="24"/>
                <w:u w:val="single"/>
              </w:rPr>
              <w:t>defaults</w:t>
            </w:r>
            <w:proofErr w:type="gramEnd"/>
          </w:p>
          <w:p w14:paraId="454774E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INTERNAL RATING SCALE/ PD ASSIGNED TO THE OBLIGOR GRADE OR POOL (%)</w:t>
            </w:r>
          </w:p>
          <w:p w14:paraId="2C51714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0010 of CR IRB template</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WEIGHTED AVERAGE LGD (%)</w:t>
            </w:r>
          </w:p>
          <w:p w14:paraId="5BC89E8E"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columns 0230 and 0240 of CR IRB template: the exposure weighted average LGD (%) shall refer to all exposures, including exposures to large financial sector entities and unregulated financial entities. Article 181(1),</w:t>
            </w:r>
            <w:r>
              <w:rPr>
                <w:rStyle w:val="InstructionsTabelleText"/>
                <w:rFonts w:ascii="Times New Roman" w:hAnsi="Times New Roman"/>
                <w:sz w:val="24"/>
              </w:rPr>
              <w:t xml:space="preserve"> </w:t>
            </w:r>
            <w:r w:rsidRPr="002A677E">
              <w:rPr>
                <w:rStyle w:val="InstructionsTabelleText"/>
                <w:rFonts w:ascii="Times New Roman" w:hAnsi="Times New Roman"/>
                <w:sz w:val="24"/>
              </w:rPr>
              <w:t>point (h)</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3A7794EA"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For specialised lending exposures where the PD is estimated, the reported value should be either the estimated or the regulatory LGD. For specialised lending exposures referred to in Article 153(5) </w:t>
            </w:r>
            <w:r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789E281A"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in accordance with Article 178 </w:t>
            </w:r>
            <w:r w:rsidRPr="001235ED">
              <w:rPr>
                <w:rFonts w:ascii="Times New Roman" w:hAnsi="Times New Roman"/>
                <w:sz w:val="24"/>
                <w:lang w:val="en-US"/>
              </w:rPr>
              <w:t>of Regulation (EU) No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sidRPr="002A677E">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value</w:t>
            </w:r>
          </w:p>
          <w:p w14:paraId="533E4F5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0110 of CR IRB template</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RISK WEIGHTED EXPOSURE AMOUNT </w:t>
            </w:r>
            <w:proofErr w:type="gramStart"/>
            <w:r w:rsidRPr="002A677E">
              <w:rPr>
                <w:rFonts w:ascii="Times New Roman" w:hAnsi="Times New Roman"/>
                <w:b/>
                <w:sz w:val="24"/>
                <w:u w:val="single"/>
              </w:rPr>
              <w:t>PRE SUPPORTING</w:t>
            </w:r>
            <w:proofErr w:type="gramEnd"/>
            <w:r w:rsidRPr="002A677E">
              <w:rPr>
                <w:rFonts w:ascii="Times New Roman" w:hAnsi="Times New Roman"/>
                <w:b/>
                <w:sz w:val="24"/>
                <w:u w:val="single"/>
              </w:rPr>
              <w:t xml:space="preserve"> FACTORS</w:t>
            </w:r>
          </w:p>
          <w:p w14:paraId="38950726"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0255 of CR IRB template</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640" w:type="dxa"/>
          </w:tcPr>
          <w:p w14:paraId="2A07E1E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0B72119F"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in accordance with Article 178(1) </w:t>
            </w:r>
            <w:r w:rsidRPr="001235ED">
              <w:rPr>
                <w:rFonts w:ascii="Times New Roman" w:hAnsi="Times New Roman"/>
                <w:sz w:val="24"/>
                <w:lang w:val="en-US"/>
              </w:rPr>
              <w:t>of Regulation (EU) No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0121</w:t>
            </w:r>
          </w:p>
        </w:tc>
        <w:tc>
          <w:tcPr>
            <w:tcW w:w="8640" w:type="dxa"/>
          </w:tcPr>
          <w:p w14:paraId="51B6E44A"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w:t>
            </w:r>
            <w:r>
              <w:rPr>
                <w:rFonts w:ascii="Times New Roman" w:hAnsi="Times New Roman"/>
                <w:b/>
                <w:sz w:val="24"/>
                <w:u w:val="single"/>
                <w:lang w:eastAsia="en-GB" w:bidi="ne-NP"/>
              </w:rPr>
              <w:t xml:space="preserve"> </w:t>
            </w:r>
            <w:r w:rsidRPr="002A677E">
              <w:rPr>
                <w:rFonts w:ascii="Times New Roman" w:hAnsi="Times New Roman"/>
                <w:b/>
                <w:sz w:val="24"/>
                <w:u w:val="single"/>
                <w:lang w:eastAsia="en-GB" w:bidi="ne-NP"/>
              </w:rPr>
              <w:t>ADJUSTMENT TO RISK-WEIGHTED EXPOSURE AMOUNT DUE TO SME SUPPORTING FACTOR</w:t>
            </w:r>
          </w:p>
          <w:p w14:paraId="7060DF05"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lang w:eastAsia="en-GB" w:bidi="ne-NP"/>
              </w:rPr>
              <w:t>Same definition as for column 0256 of CR IRB template</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0122</w:t>
            </w:r>
          </w:p>
        </w:tc>
        <w:tc>
          <w:tcPr>
            <w:tcW w:w="8640" w:type="dxa"/>
          </w:tcPr>
          <w:p w14:paraId="77E17241"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 ADJUSTMENT TO RISK-WEIGHTED EXPOSURE AMOUNT DUE TO THE INFRASTRUCTURE SUPPORTING FACTOR</w:t>
            </w:r>
          </w:p>
          <w:p w14:paraId="1EE90D25"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lang w:eastAsia="en-GB" w:bidi="ne-NP"/>
              </w:rPr>
              <w:t>Same definition as for column 0257 of CR IRB template</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sidRPr="002A677E">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71F977E8"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0260 of CR IRB template</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0130</w:t>
            </w:r>
          </w:p>
        </w:tc>
        <w:tc>
          <w:tcPr>
            <w:tcW w:w="8640" w:type="dxa"/>
          </w:tcPr>
          <w:p w14:paraId="5E66C6B0"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EXPECTED LOSS AMOUNT</w:t>
            </w:r>
          </w:p>
          <w:p w14:paraId="27E13378"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0280 of CR IRB template</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sidRPr="002A677E">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45CC186E" w14:textId="77777777" w:rsidR="009D6580" w:rsidRPr="002A677E" w:rsidRDefault="009D6580" w:rsidP="00822842">
            <w:pPr>
              <w:rPr>
                <w:rFonts w:ascii="Times New Roman" w:hAnsi="Times New Roman"/>
                <w:sz w:val="24"/>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6125B13A" w14:textId="77777777" w:rsidTr="00822842">
        <w:trPr>
          <w:ins w:id="125" w:author="Author"/>
        </w:trPr>
        <w:tc>
          <w:tcPr>
            <w:tcW w:w="1188" w:type="dxa"/>
            <w:shd w:val="clear" w:color="auto" w:fill="auto"/>
          </w:tcPr>
          <w:p w14:paraId="33C6F35E" w14:textId="77777777" w:rsidR="009D6580" w:rsidRPr="002A677E" w:rsidRDefault="009D6580" w:rsidP="00822842">
            <w:pPr>
              <w:rPr>
                <w:ins w:id="126" w:author="Author"/>
                <w:rFonts w:ascii="Times New Roman" w:hAnsi="Times New Roman"/>
                <w:sz w:val="24"/>
              </w:rPr>
            </w:pPr>
            <w:ins w:id="127" w:author="Author">
              <w:r w:rsidRPr="72FDE0D4">
                <w:rPr>
                  <w:rFonts w:ascii="Times New Roman" w:hAnsi="Times New Roman"/>
                  <w:sz w:val="24"/>
                </w:rPr>
                <w:t>0011</w:t>
              </w:r>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ins w:id="128" w:author="Author"/>
                <w:rFonts w:ascii="Times New Roman" w:hAnsi="Times New Roman"/>
                <w:b/>
                <w:sz w:val="24"/>
                <w:u w:val="single"/>
              </w:rPr>
            </w:pPr>
            <w:ins w:id="129" w:author="Author">
              <w:r w:rsidRPr="00B7761D">
                <w:rPr>
                  <w:rFonts w:ascii="Times New Roman" w:hAnsi="Times New Roman"/>
                  <w:b/>
                  <w:sz w:val="24"/>
                  <w:u w:val="single"/>
                </w:rPr>
                <w:t>Of which: Regional governments or local authorities</w:t>
              </w:r>
            </w:ins>
          </w:p>
          <w:p w14:paraId="4864E157" w14:textId="77777777" w:rsidR="009D6580" w:rsidRPr="002A677E" w:rsidRDefault="009D6580" w:rsidP="00822842">
            <w:pPr>
              <w:rPr>
                <w:ins w:id="130" w:author="Author"/>
                <w:rFonts w:ascii="Times New Roman" w:hAnsi="Times New Roman"/>
                <w:b/>
                <w:sz w:val="24"/>
                <w:u w:val="single"/>
              </w:rPr>
            </w:pPr>
            <w:ins w:id="131" w:author="Author">
              <w:r w:rsidRPr="002A677E">
                <w:rPr>
                  <w:rFonts w:ascii="Times New Roman" w:hAnsi="Times New Roman"/>
                  <w:sz w:val="24"/>
                </w:rPr>
                <w:t>Article 147(</w:t>
              </w:r>
              <w:r>
                <w:rPr>
                  <w:rFonts w:ascii="Times New Roman" w:hAnsi="Times New Roman"/>
                  <w:sz w:val="24"/>
                </w:rPr>
                <w:t>3a</w:t>
              </w:r>
              <w:r w:rsidRPr="002A677E">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9D6580" w:rsidRPr="002A677E" w14:paraId="57997C4B" w14:textId="77777777" w:rsidTr="00822842">
        <w:trPr>
          <w:ins w:id="132" w:author="Author"/>
        </w:trPr>
        <w:tc>
          <w:tcPr>
            <w:tcW w:w="1188" w:type="dxa"/>
            <w:shd w:val="clear" w:color="auto" w:fill="auto"/>
          </w:tcPr>
          <w:p w14:paraId="7E0CEA1D" w14:textId="77777777" w:rsidR="009D6580" w:rsidRPr="002A677E" w:rsidRDefault="009D6580" w:rsidP="00822842">
            <w:pPr>
              <w:rPr>
                <w:ins w:id="133" w:author="Author"/>
                <w:rFonts w:ascii="Times New Roman" w:hAnsi="Times New Roman"/>
                <w:sz w:val="24"/>
              </w:rPr>
            </w:pPr>
            <w:ins w:id="134" w:author="Author">
              <w:r>
                <w:rPr>
                  <w:rFonts w:ascii="Times New Roman" w:hAnsi="Times New Roman"/>
                  <w:sz w:val="24"/>
                </w:rPr>
                <w:t>0012</w:t>
              </w:r>
            </w:ins>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ins w:id="135" w:author="Author"/>
                <w:rFonts w:ascii="Times New Roman" w:hAnsi="Times New Roman"/>
                <w:b/>
                <w:sz w:val="24"/>
                <w:u w:val="single"/>
              </w:rPr>
            </w:pPr>
            <w:ins w:id="136" w:author="Author">
              <w:r w:rsidRPr="00B7761D">
                <w:rPr>
                  <w:rFonts w:ascii="Times New Roman" w:hAnsi="Times New Roman"/>
                  <w:b/>
                  <w:sz w:val="24"/>
                  <w:u w:val="single"/>
                </w:rPr>
                <w:t>Regional governments or local authorities</w:t>
              </w:r>
            </w:ins>
          </w:p>
          <w:p w14:paraId="19FE9B53" w14:textId="77777777" w:rsidR="009D6580" w:rsidRPr="002A677E" w:rsidRDefault="009D6580" w:rsidP="00822842">
            <w:pPr>
              <w:rPr>
                <w:ins w:id="137" w:author="Author"/>
                <w:rFonts w:ascii="Times New Roman" w:hAnsi="Times New Roman"/>
                <w:b/>
                <w:sz w:val="24"/>
                <w:u w:val="single"/>
              </w:rPr>
            </w:pPr>
            <w:ins w:id="138"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w:t>
              </w:r>
              <w:proofErr w:type="spellStart"/>
              <w:r>
                <w:rPr>
                  <w:rFonts w:ascii="Times New Roman" w:hAnsi="Times New Roman"/>
                  <w:bCs/>
                  <w:sz w:val="24"/>
                </w:rPr>
                <w:t>i</w:t>
              </w:r>
              <w:proofErr w:type="spellEnd"/>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9D6580" w:rsidRPr="002A677E" w14:paraId="756631BD" w14:textId="77777777" w:rsidTr="00822842">
        <w:trPr>
          <w:ins w:id="139" w:author="Author"/>
        </w:trPr>
        <w:tc>
          <w:tcPr>
            <w:tcW w:w="1188" w:type="dxa"/>
            <w:shd w:val="clear" w:color="auto" w:fill="auto"/>
          </w:tcPr>
          <w:p w14:paraId="36422B7A" w14:textId="77777777" w:rsidR="009D6580" w:rsidRPr="002A677E" w:rsidRDefault="009D6580" w:rsidP="00822842">
            <w:pPr>
              <w:rPr>
                <w:ins w:id="140" w:author="Author"/>
                <w:rFonts w:ascii="Times New Roman" w:hAnsi="Times New Roman"/>
                <w:sz w:val="24"/>
              </w:rPr>
            </w:pPr>
            <w:ins w:id="141" w:author="Author">
              <w:r>
                <w:rPr>
                  <w:rFonts w:ascii="Times New Roman" w:hAnsi="Times New Roman"/>
                  <w:sz w:val="24"/>
                </w:rPr>
                <w:t>0013</w:t>
              </w:r>
            </w:ins>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ins w:id="142" w:author="Author"/>
                <w:rFonts w:ascii="Times New Roman" w:hAnsi="Times New Roman"/>
                <w:b/>
                <w:sz w:val="24"/>
                <w:u w:val="single"/>
              </w:rPr>
            </w:pPr>
            <w:ins w:id="143" w:author="Author">
              <w:r w:rsidRPr="00B7761D">
                <w:rPr>
                  <w:rFonts w:ascii="Times New Roman" w:hAnsi="Times New Roman"/>
                  <w:b/>
                  <w:sz w:val="24"/>
                  <w:u w:val="single"/>
                </w:rPr>
                <w:t xml:space="preserve">Public sector entities </w:t>
              </w:r>
            </w:ins>
          </w:p>
          <w:p w14:paraId="1DE1AAE7" w14:textId="77777777" w:rsidR="009D6580" w:rsidRPr="002A677E" w:rsidRDefault="009D6580" w:rsidP="00822842">
            <w:pPr>
              <w:rPr>
                <w:ins w:id="144" w:author="Author"/>
                <w:rFonts w:ascii="Times New Roman" w:hAnsi="Times New Roman"/>
                <w:b/>
                <w:sz w:val="24"/>
                <w:u w:val="single"/>
              </w:rPr>
            </w:pPr>
            <w:ins w:id="145"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Institutions</w:t>
            </w:r>
          </w:p>
          <w:p w14:paraId="504F46A3" w14:textId="77777777" w:rsidR="009D6580" w:rsidRPr="002A677E" w:rsidRDefault="009D6580" w:rsidP="00822842">
            <w:pPr>
              <w:rPr>
                <w:rFonts w:ascii="Times New Roman" w:hAnsi="Times New Roman"/>
                <w:sz w:val="24"/>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(b)</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Corporates </w:t>
            </w:r>
          </w:p>
          <w:p w14:paraId="699F9BD2"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All exposures to corporates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rsidDel="000306F2" w14:paraId="3D3F8159" w14:textId="77777777" w:rsidTr="00822842">
        <w:trPr>
          <w:del w:id="146" w:author="Author"/>
        </w:trPr>
        <w:tc>
          <w:tcPr>
            <w:tcW w:w="1188" w:type="dxa"/>
          </w:tcPr>
          <w:p w14:paraId="7B6FAE9C" w14:textId="77777777" w:rsidR="009D6580" w:rsidRPr="002A677E" w:rsidDel="000306F2" w:rsidRDefault="009D6580" w:rsidP="00822842">
            <w:pPr>
              <w:rPr>
                <w:del w:id="147" w:author="Author"/>
                <w:rFonts w:ascii="Times New Roman" w:hAnsi="Times New Roman"/>
                <w:sz w:val="24"/>
              </w:rPr>
            </w:pPr>
            <w:del w:id="148" w:author="Author">
              <w:r w:rsidRPr="002A677E" w:rsidDel="000306F2">
                <w:rPr>
                  <w:rFonts w:ascii="Times New Roman" w:hAnsi="Times New Roman"/>
                  <w:sz w:val="24"/>
                </w:rPr>
                <w:delText>0042</w:delText>
              </w:r>
            </w:del>
          </w:p>
        </w:tc>
        <w:tc>
          <w:tcPr>
            <w:tcW w:w="8640" w:type="dxa"/>
          </w:tcPr>
          <w:p w14:paraId="068A8079" w14:textId="77777777" w:rsidR="009D6580" w:rsidRPr="002A677E" w:rsidDel="000306F2" w:rsidRDefault="009D6580" w:rsidP="00822842">
            <w:pPr>
              <w:rPr>
                <w:del w:id="149" w:author="Author"/>
                <w:rFonts w:ascii="Times New Roman" w:hAnsi="Times New Roman"/>
                <w:b/>
                <w:sz w:val="24"/>
                <w:u w:val="single"/>
              </w:rPr>
            </w:pPr>
            <w:del w:id="150" w:author="Author">
              <w:r w:rsidRPr="002A677E" w:rsidDel="000306F2">
                <w:rPr>
                  <w:rFonts w:ascii="Times New Roman" w:hAnsi="Times New Roman"/>
                  <w:b/>
                  <w:sz w:val="24"/>
                  <w:u w:val="single"/>
                </w:rPr>
                <w:delText>Of which: Specialised lending (excl. SL subject under the slotting approach)</w:delText>
              </w:r>
            </w:del>
          </w:p>
          <w:p w14:paraId="0A6F67B8" w14:textId="77777777" w:rsidR="009D6580" w:rsidRPr="002A677E" w:rsidDel="000306F2" w:rsidRDefault="009D6580" w:rsidP="00822842">
            <w:pPr>
              <w:pStyle w:val="ListParagraph"/>
              <w:ind w:left="0"/>
              <w:rPr>
                <w:del w:id="151" w:author="Author"/>
                <w:rFonts w:ascii="Times New Roman" w:hAnsi="Times New Roman"/>
                <w:sz w:val="24"/>
                <w:lang w:eastAsia="de-DE"/>
              </w:rPr>
            </w:pPr>
            <w:del w:id="152" w:author="Author">
              <w:r w:rsidRPr="002A677E" w:rsidDel="000306F2">
                <w:rPr>
                  <w:rFonts w:ascii="Times New Roman" w:hAnsi="Times New Roman"/>
                  <w:sz w:val="24"/>
                  <w:lang w:eastAsia="de-DE"/>
                </w:rPr>
                <w:delText>Article 147(8)</w:delText>
              </w:r>
              <w:r w:rsidDel="000306F2">
                <w:rPr>
                  <w:rFonts w:ascii="Times New Roman" w:hAnsi="Times New Roman"/>
                  <w:sz w:val="24"/>
                  <w:lang w:eastAsia="de-DE"/>
                </w:rPr>
                <w:delText>, p</w:delText>
              </w:r>
              <w:r w:rsidRPr="002A677E" w:rsidDel="000306F2">
                <w:rPr>
                  <w:rFonts w:ascii="Times New Roman" w:hAnsi="Times New Roman"/>
                  <w:bCs/>
                  <w:sz w:val="24"/>
                </w:rPr>
                <w:delText>oint (a)</w:delText>
              </w:r>
              <w:r w:rsidDel="000306F2">
                <w:rPr>
                  <w:rFonts w:ascii="Times New Roman" w:hAnsi="Times New Roman"/>
                  <w:bCs/>
                  <w:sz w:val="24"/>
                </w:rPr>
                <w:delText>,</w:delText>
              </w:r>
              <w:r w:rsidRPr="002A677E" w:rsidDel="000306F2">
                <w:rPr>
                  <w:rFonts w:ascii="Times New Roman" w:hAnsi="Times New Roman"/>
                  <w:bCs/>
                  <w:sz w:val="24"/>
                </w:rPr>
                <w:delText xml:space="preserve"> </w:delText>
              </w:r>
              <w:r w:rsidRPr="001235ED" w:rsidDel="000306F2">
                <w:rPr>
                  <w:rFonts w:ascii="Times New Roman" w:hAnsi="Times New Roman"/>
                  <w:sz w:val="24"/>
                  <w:lang w:val="en-US"/>
                </w:rPr>
                <w:delText>of Regulation (EU) No 575/2013</w:delText>
              </w:r>
            </w:del>
          </w:p>
          <w:p w14:paraId="6EEAB570" w14:textId="77777777" w:rsidR="009D6580" w:rsidRPr="002A677E" w:rsidDel="000306F2" w:rsidRDefault="009D6580" w:rsidP="00822842">
            <w:pPr>
              <w:pStyle w:val="ListParagraph"/>
              <w:ind w:left="0"/>
              <w:rPr>
                <w:del w:id="153" w:author="Author"/>
                <w:rFonts w:ascii="Times New Roman" w:hAnsi="Times New Roman"/>
                <w:sz w:val="24"/>
                <w:lang w:eastAsia="de-DE"/>
              </w:rPr>
            </w:pPr>
            <w:del w:id="154" w:author="Author">
              <w:r w:rsidRPr="002A677E" w:rsidDel="000306F2">
                <w:rPr>
                  <w:rFonts w:ascii="Times New Roman" w:hAnsi="Times New Roman"/>
                  <w:sz w:val="24"/>
                  <w:lang w:eastAsia="de-DE"/>
                </w:rPr>
                <w:delText xml:space="preserve">Data shall not be reported for specialised lending exposures as referred to in Article 153(5) </w:delText>
              </w:r>
              <w:r w:rsidRPr="001235ED" w:rsidDel="000306F2">
                <w:rPr>
                  <w:rFonts w:ascii="Times New Roman" w:hAnsi="Times New Roman"/>
                  <w:sz w:val="24"/>
                  <w:lang w:val="en-US"/>
                </w:rPr>
                <w:delText>of Regulation (EU) No 575/2013</w:delText>
              </w:r>
              <w:r w:rsidRPr="002A677E" w:rsidDel="000306F2">
                <w:rPr>
                  <w:rFonts w:ascii="Times New Roman" w:hAnsi="Times New Roman"/>
                  <w:sz w:val="24"/>
                  <w:lang w:eastAsia="de-DE"/>
                </w:rPr>
                <w:delText>.</w:delText>
              </w:r>
            </w:del>
          </w:p>
        </w:tc>
      </w:tr>
      <w:tr w:rsidR="009D6580" w:rsidRPr="002A677E" w:rsidDel="000306F2" w14:paraId="4FDB05FA" w14:textId="77777777" w:rsidTr="00822842">
        <w:trPr>
          <w:del w:id="155" w:author="Author"/>
        </w:trPr>
        <w:tc>
          <w:tcPr>
            <w:tcW w:w="1188" w:type="dxa"/>
          </w:tcPr>
          <w:p w14:paraId="48521051" w14:textId="77777777" w:rsidR="009D6580" w:rsidRPr="002A677E" w:rsidDel="000306F2" w:rsidRDefault="009D6580" w:rsidP="00822842">
            <w:pPr>
              <w:rPr>
                <w:del w:id="156" w:author="Author"/>
                <w:rFonts w:ascii="Times New Roman" w:hAnsi="Times New Roman"/>
                <w:sz w:val="24"/>
              </w:rPr>
            </w:pPr>
            <w:del w:id="157" w:author="Author">
              <w:r w:rsidRPr="002A677E" w:rsidDel="000306F2">
                <w:rPr>
                  <w:rFonts w:ascii="Times New Roman" w:hAnsi="Times New Roman"/>
                  <w:sz w:val="24"/>
                </w:rPr>
                <w:delText>0045</w:delText>
              </w:r>
            </w:del>
          </w:p>
        </w:tc>
        <w:tc>
          <w:tcPr>
            <w:tcW w:w="8640" w:type="dxa"/>
          </w:tcPr>
          <w:p w14:paraId="0F48DD3A" w14:textId="77777777" w:rsidR="009D6580" w:rsidRPr="002A677E" w:rsidDel="000306F2" w:rsidRDefault="009D6580" w:rsidP="00822842">
            <w:pPr>
              <w:rPr>
                <w:del w:id="158" w:author="Author"/>
                <w:rFonts w:ascii="Times New Roman" w:hAnsi="Times New Roman"/>
                <w:b/>
                <w:sz w:val="24"/>
                <w:u w:val="single"/>
              </w:rPr>
            </w:pPr>
            <w:del w:id="159" w:author="Author">
              <w:r w:rsidRPr="002A677E" w:rsidDel="000306F2">
                <w:rPr>
                  <w:rFonts w:ascii="Times New Roman" w:hAnsi="Times New Roman"/>
                  <w:b/>
                  <w:sz w:val="24"/>
                  <w:u w:val="single"/>
                </w:rPr>
                <w:delText>Of which: Specialised lending under the slotting approach</w:delText>
              </w:r>
            </w:del>
          </w:p>
          <w:p w14:paraId="795BBFD3" w14:textId="77777777" w:rsidR="009D6580" w:rsidRPr="002A677E" w:rsidDel="000306F2" w:rsidRDefault="009D6580" w:rsidP="00822842">
            <w:pPr>
              <w:rPr>
                <w:del w:id="160" w:author="Author"/>
                <w:rFonts w:ascii="Times New Roman" w:hAnsi="Times New Roman"/>
                <w:b/>
                <w:sz w:val="24"/>
                <w:u w:val="single"/>
              </w:rPr>
            </w:pPr>
            <w:del w:id="161" w:author="Author">
              <w:r w:rsidRPr="002A677E" w:rsidDel="000306F2">
                <w:rPr>
                  <w:rFonts w:ascii="Times New Roman" w:hAnsi="Times New Roman"/>
                  <w:sz w:val="24"/>
                  <w:lang w:eastAsia="de-DE"/>
                </w:rPr>
                <w:delText>Article 147(8)</w:delText>
              </w:r>
              <w:r w:rsidDel="000306F2">
                <w:rPr>
                  <w:rFonts w:ascii="Times New Roman" w:hAnsi="Times New Roman"/>
                  <w:sz w:val="24"/>
                  <w:lang w:eastAsia="de-DE"/>
                </w:rPr>
                <w:delText>, p</w:delText>
              </w:r>
              <w:r w:rsidRPr="002A677E" w:rsidDel="000306F2">
                <w:rPr>
                  <w:rFonts w:ascii="Times New Roman" w:hAnsi="Times New Roman"/>
                  <w:sz w:val="24"/>
                </w:rPr>
                <w:delText>oint (a)</w:delText>
              </w:r>
              <w:r w:rsidDel="000306F2">
                <w:rPr>
                  <w:rFonts w:ascii="Times New Roman" w:hAnsi="Times New Roman"/>
                  <w:sz w:val="24"/>
                </w:rPr>
                <w:delText>,</w:delText>
              </w:r>
              <w:r w:rsidRPr="002A677E" w:rsidDel="000306F2">
                <w:rPr>
                  <w:rFonts w:ascii="Times New Roman" w:hAnsi="Times New Roman"/>
                  <w:sz w:val="24"/>
                </w:rPr>
                <w:delText xml:space="preserve"> </w:delText>
              </w:r>
              <w:r w:rsidRPr="002A677E" w:rsidDel="000306F2">
                <w:rPr>
                  <w:rFonts w:ascii="Times New Roman" w:hAnsi="Times New Roman"/>
                  <w:sz w:val="24"/>
                  <w:lang w:eastAsia="de-DE"/>
                </w:rPr>
                <w:delText xml:space="preserve">and Article 153(5) </w:delText>
              </w:r>
              <w:r w:rsidRPr="001235ED" w:rsidDel="000306F2">
                <w:rPr>
                  <w:rFonts w:ascii="Times New Roman" w:hAnsi="Times New Roman"/>
                  <w:sz w:val="24"/>
                  <w:lang w:val="en-US"/>
                </w:rPr>
                <w:delText>of Regulation (EU) No 575/2013</w:delText>
              </w:r>
            </w:del>
          </w:p>
        </w:tc>
      </w:tr>
      <w:tr w:rsidR="009D6580" w:rsidRPr="00E47484" w:rsidDel="00B56773" w14:paraId="13E6D532" w14:textId="3FAB3ED0" w:rsidTr="00822842">
        <w:trPr>
          <w:ins w:id="162" w:author="Author"/>
          <w:del w:id="163" w:author="Author"/>
        </w:trPr>
        <w:tc>
          <w:tcPr>
            <w:tcW w:w="1188" w:type="dxa"/>
            <w:shd w:val="clear" w:color="auto" w:fill="auto"/>
          </w:tcPr>
          <w:p w14:paraId="20811945" w14:textId="661C0FB5" w:rsidR="009D6580" w:rsidRPr="002A677E" w:rsidDel="00B56773" w:rsidRDefault="009D6580" w:rsidP="00822842">
            <w:pPr>
              <w:rPr>
                <w:ins w:id="164" w:author="Author"/>
                <w:del w:id="165" w:author="Author"/>
                <w:rFonts w:ascii="Times New Roman" w:hAnsi="Times New Roman"/>
                <w:sz w:val="24"/>
              </w:rPr>
            </w:pPr>
            <w:ins w:id="166" w:author="Author">
              <w:del w:id="167" w:author="Author">
                <w:r w:rsidRPr="72FDE0D4" w:rsidDel="00B56773">
                  <w:rPr>
                    <w:rFonts w:ascii="Times New Roman" w:hAnsi="Times New Roman"/>
                    <w:sz w:val="24"/>
                  </w:rPr>
                  <w:delText>0046 - 0049</w:delText>
                </w:r>
              </w:del>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3B3308E" w14:textId="245EA2AB" w:rsidR="009D6580" w:rsidDel="00B56773" w:rsidRDefault="009D6580" w:rsidP="00822842">
            <w:pPr>
              <w:rPr>
                <w:ins w:id="168" w:author="Author"/>
                <w:del w:id="169" w:author="Author"/>
                <w:rFonts w:ascii="Times New Roman" w:hAnsi="Times New Roman"/>
                <w:b/>
                <w:sz w:val="24"/>
                <w:u w:val="single"/>
              </w:rPr>
            </w:pPr>
            <w:ins w:id="170" w:author="Author">
              <w:del w:id="171" w:author="Author">
                <w:r w:rsidRPr="00962601" w:rsidDel="00B56773">
                  <w:rPr>
                    <w:rFonts w:ascii="Times New Roman" w:hAnsi="Times New Roman"/>
                    <w:b/>
                    <w:sz w:val="24"/>
                    <w:u w:val="single"/>
                  </w:rPr>
                  <w:delText>Of Which:</w:delText>
                </w:r>
                <w:r w:rsidDel="00B56773">
                  <w:rPr>
                    <w:rFonts w:ascii="Times New Roman" w:hAnsi="Times New Roman"/>
                    <w:b/>
                    <w:sz w:val="24"/>
                    <w:u w:val="single"/>
                  </w:rPr>
                  <w:delText xml:space="preserve"> </w:delText>
                </w:r>
                <w:r w:rsidRPr="00B7761D" w:rsidDel="00B56773">
                  <w:rPr>
                    <w:rFonts w:ascii="Times New Roman" w:hAnsi="Times New Roman"/>
                    <w:b/>
                    <w:sz w:val="24"/>
                    <w:u w:val="single"/>
                  </w:rPr>
                  <w:delText xml:space="preserve">Specialised Lending </w:delText>
                </w:r>
              </w:del>
            </w:ins>
          </w:p>
          <w:p w14:paraId="5C5A6BCF" w14:textId="019B58D3" w:rsidR="009D6580" w:rsidRPr="00E47484" w:rsidDel="00B56773" w:rsidRDefault="009D6580" w:rsidP="00822842">
            <w:pPr>
              <w:rPr>
                <w:ins w:id="172" w:author="Author"/>
                <w:del w:id="173" w:author="Author"/>
                <w:rFonts w:ascii="Times New Roman" w:hAnsi="Times New Roman"/>
                <w:b/>
                <w:sz w:val="24"/>
                <w:u w:val="single"/>
              </w:rPr>
            </w:pPr>
            <w:ins w:id="174" w:author="Author">
              <w:del w:id="175" w:author="Author">
                <w:r w:rsidRPr="002A677E" w:rsidDel="00B56773">
                  <w:rPr>
                    <w:rFonts w:ascii="Times New Roman" w:hAnsi="Times New Roman"/>
                    <w:sz w:val="24"/>
                  </w:rPr>
                  <w:delText>Article 147(2)</w:delText>
                </w:r>
                <w:r w:rsidDel="00B56773">
                  <w:rPr>
                    <w:rFonts w:ascii="Times New Roman" w:hAnsi="Times New Roman"/>
                    <w:sz w:val="24"/>
                  </w:rPr>
                  <w:delText>, p</w:delText>
                </w:r>
                <w:r w:rsidRPr="002A677E" w:rsidDel="00B56773">
                  <w:rPr>
                    <w:rFonts w:ascii="Times New Roman" w:hAnsi="Times New Roman"/>
                    <w:bCs/>
                    <w:sz w:val="24"/>
                  </w:rPr>
                  <w:delText>oint (</w:delText>
                </w:r>
                <w:r w:rsidDel="00B56773">
                  <w:rPr>
                    <w:rFonts w:ascii="Times New Roman" w:hAnsi="Times New Roman"/>
                    <w:bCs/>
                    <w:sz w:val="24"/>
                  </w:rPr>
                  <w:delText>c</w:delText>
                </w:r>
                <w:r w:rsidRPr="002A677E" w:rsidDel="00B56773">
                  <w:rPr>
                    <w:rFonts w:ascii="Times New Roman" w:hAnsi="Times New Roman"/>
                    <w:bCs/>
                    <w:sz w:val="24"/>
                  </w:rPr>
                  <w:delText>)</w:delText>
                </w:r>
                <w:r w:rsidDel="00B56773">
                  <w:rPr>
                    <w:rFonts w:ascii="Times New Roman" w:hAnsi="Times New Roman"/>
                    <w:bCs/>
                    <w:sz w:val="24"/>
                  </w:rPr>
                  <w:delText xml:space="preserve"> (ii),</w:delText>
                </w:r>
                <w:r w:rsidRPr="002A677E" w:rsidDel="00B56773">
                  <w:rPr>
                    <w:rFonts w:ascii="Times New Roman" w:hAnsi="Times New Roman"/>
                    <w:bCs/>
                    <w:sz w:val="24"/>
                  </w:rPr>
                  <w:delText xml:space="preserve"> </w:delText>
                </w:r>
                <w:r w:rsidRPr="001235ED" w:rsidDel="00B56773">
                  <w:rPr>
                    <w:rFonts w:ascii="Times New Roman" w:hAnsi="Times New Roman"/>
                    <w:sz w:val="24"/>
                    <w:lang w:val="en-US"/>
                  </w:rPr>
                  <w:delText>of Regulation (EU) No 575/2013</w:delText>
                </w:r>
                <w:r w:rsidDel="00B56773">
                  <w:rPr>
                    <w:rFonts w:ascii="Times New Roman" w:hAnsi="Times New Roman"/>
                    <w:sz w:val="24"/>
                    <w:lang w:val="en-US"/>
                  </w:rPr>
                  <w:delText xml:space="preserve">. </w:delText>
                </w:r>
                <w:r w:rsidRPr="00B66126" w:rsidDel="00B56773">
                  <w:rPr>
                    <w:rFonts w:ascii="Times New Roman" w:hAnsi="Times New Roman"/>
                    <w:sz w:val="24"/>
                    <w:lang w:val="en-US"/>
                  </w:rPr>
                  <w:delText>1.</w:delText>
                </w:r>
                <w:r w:rsidRPr="00B66126" w:rsidDel="00B56773">
                  <w:rPr>
                    <w:rFonts w:ascii="Times New Roman" w:hAnsi="Times New Roman"/>
                    <w:sz w:val="24"/>
                    <w:lang w:val="en-US"/>
                  </w:rPr>
                  <w:tab/>
                </w:r>
                <w:r w:rsidDel="00B56773">
                  <w:rPr>
                    <w:rFonts w:ascii="Times New Roman" w:hAnsi="Times New Roman"/>
                    <w:sz w:val="24"/>
                    <w:lang w:val="en-US"/>
                  </w:rPr>
                  <w:delText>Institutions shall report the</w:delText>
                </w:r>
                <w:r w:rsidRPr="00B66126" w:rsidDel="00B56773">
                  <w:rPr>
                    <w:rFonts w:ascii="Times New Roman" w:hAnsi="Times New Roman"/>
                    <w:sz w:val="24"/>
                    <w:lang w:val="en-US"/>
                  </w:rPr>
                  <w:delText xml:space="preserve"> types of specialised lending exposures referred to in Article </w:delText>
                </w:r>
                <w:r w:rsidDel="00B56773">
                  <w:rPr>
                    <w:rFonts w:ascii="Times New Roman" w:hAnsi="Times New Roman"/>
                    <w:sz w:val="24"/>
                    <w:lang w:val="en-US"/>
                  </w:rPr>
                  <w:delText>147(8) subpara. 2 in the corresponding row.</w:delText>
                </w:r>
              </w:del>
            </w:ins>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SME</w:t>
            </w:r>
          </w:p>
          <w:p w14:paraId="13819074"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p w14:paraId="6C8F6FE1" w14:textId="77777777" w:rsidR="009D6580" w:rsidRPr="002A677E" w:rsidRDefault="009D6580" w:rsidP="00822842">
            <w:pPr>
              <w:autoSpaceDE w:val="0"/>
              <w:autoSpaceDN w:val="0"/>
              <w:adjustRightInd w:val="0"/>
              <w:spacing w:before="0" w:after="0"/>
              <w:jc w:val="left"/>
              <w:rPr>
                <w:rFonts w:ascii="Times New Roman" w:hAnsi="Times New Roman"/>
                <w:sz w:val="24"/>
                <w:lang w:eastAsia="de-DE"/>
              </w:rPr>
            </w:pPr>
            <w:proofErr w:type="gramStart"/>
            <w:ins w:id="176" w:author="Author">
              <w:r w:rsidRPr="002A677E">
                <w:rPr>
                  <w:rFonts w:ascii="Times New Roman" w:hAnsi="Times New Roman"/>
                  <w:sz w:val="24"/>
                  <w:lang w:eastAsia="de-DE"/>
                </w:rPr>
                <w:t>For the purpose of</w:t>
              </w:r>
              <w:proofErr w:type="gramEnd"/>
              <w:r w:rsidRPr="002A677E">
                <w:rPr>
                  <w:rFonts w:ascii="Times New Roman" w:hAnsi="Times New Roman"/>
                  <w:sz w:val="24"/>
                  <w:lang w:eastAsia="de-DE"/>
                </w:rPr>
                <w:t xml:space="preserve">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 xml:space="preserve">the reporting entities shall use </w:t>
              </w:r>
              <w:r>
                <w:rPr>
                  <w:rFonts w:ascii="Times New Roman" w:hAnsi="Times New Roman"/>
                  <w:sz w:val="24"/>
                  <w:lang w:eastAsia="de-DE"/>
                </w:rPr>
                <w:t xml:space="preserve">the definition </w:t>
              </w:r>
              <w:r w:rsidRPr="002A677E">
                <w:rPr>
                  <w:rFonts w:ascii="Times New Roman" w:hAnsi="Times New Roman"/>
                  <w:sz w:val="24"/>
                  <w:lang w:eastAsia="de-DE"/>
                </w:rPr>
                <w:t xml:space="preserve">of SME </w:t>
              </w:r>
              <w:r>
                <w:rPr>
                  <w:rFonts w:ascii="Times New Roman" w:hAnsi="Times New Roman"/>
                  <w:sz w:val="24"/>
                  <w:lang w:eastAsia="de-DE"/>
                </w:rPr>
                <w:t xml:space="preserve">in 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del w:id="177" w:author="Author">
              <w:r w:rsidRPr="002A677E" w:rsidDel="00BA37A9">
                <w:rPr>
                  <w:rFonts w:ascii="Times New Roman" w:hAnsi="Times New Roman"/>
                  <w:sz w:val="24"/>
                  <w:lang w:eastAsia="de-DE"/>
                </w:rPr>
                <w:delText>Under the IRB approach, the reporting entities shall use their internal definition of SME, as applied in internal risk management processes.</w:delText>
              </w:r>
            </w:del>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ins w:id="178" w:author="Author">
              <w:r>
                <w:rPr>
                  <w:rFonts w:ascii="Times New Roman" w:hAnsi="Times New Roman"/>
                  <w:sz w:val="24"/>
                </w:rPr>
                <w:lastRenderedPageBreak/>
                <w:t>0051</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ins w:id="179" w:author="Author"/>
                <w:rFonts w:ascii="Times New Roman" w:hAnsi="Times New Roman"/>
                <w:b/>
                <w:sz w:val="24"/>
                <w:u w:val="single"/>
              </w:rPr>
            </w:pPr>
            <w:ins w:id="180" w:author="Author">
              <w:r w:rsidRPr="00B7761D">
                <w:rPr>
                  <w:rFonts w:ascii="Times New Roman" w:hAnsi="Times New Roman"/>
                  <w:b/>
                  <w:sz w:val="24"/>
                  <w:u w:val="single"/>
                </w:rPr>
                <w:t>Of Which: Large Corporates</w:t>
              </w:r>
            </w:ins>
          </w:p>
          <w:p w14:paraId="503F359E" w14:textId="77777777" w:rsidR="00B56773" w:rsidRPr="00B56773" w:rsidRDefault="00B56773" w:rsidP="00B56773">
            <w:pPr>
              <w:rPr>
                <w:ins w:id="181" w:author="Author"/>
                <w:rFonts w:ascii="Times New Roman" w:hAnsi="Times New Roman"/>
                <w:bCs/>
                <w:sz w:val="24"/>
              </w:rPr>
            </w:pPr>
            <w:ins w:id="182" w:author="Author">
              <w:r w:rsidRPr="00B56773">
                <w:rPr>
                  <w:rFonts w:ascii="Times New Roman" w:hAnsi="Times New Roman"/>
                  <w:bCs/>
                  <w:sz w:val="24"/>
                </w:rPr>
                <w:t>Article 147(2), point (c), of Regulation (EU) No 575/2013.</w:t>
              </w:r>
            </w:ins>
          </w:p>
          <w:p w14:paraId="23F8CBD6" w14:textId="77777777" w:rsidR="00B56773" w:rsidRPr="00E47484" w:rsidRDefault="00B56773" w:rsidP="007400C4">
            <w:pPr>
              <w:rPr>
                <w:rFonts w:ascii="Times New Roman" w:hAnsi="Times New Roman"/>
                <w:b/>
                <w:sz w:val="24"/>
                <w:u w:val="single"/>
              </w:rPr>
            </w:pPr>
            <w:proofErr w:type="gramStart"/>
            <w:ins w:id="183" w:author="Author">
              <w:r w:rsidRPr="00B56773">
                <w:rPr>
                  <w:rFonts w:ascii="Times New Roman" w:hAnsi="Times New Roman"/>
                  <w:bCs/>
                  <w:sz w:val="24"/>
                </w:rPr>
                <w:t>For the purpose of</w:t>
              </w:r>
              <w:proofErr w:type="gramEnd"/>
              <w:r w:rsidRPr="00B56773">
                <w:rPr>
                  <w:rFonts w:ascii="Times New Roman" w:hAnsi="Times New Roman"/>
                  <w:bCs/>
                  <w:sz w:val="24"/>
                </w:rPr>
                <w:t xml:space="preserve"> classification to this sub-exposure class</w:t>
              </w:r>
              <w:r w:rsidRPr="00B56773" w:rsidDel="00F71C19">
                <w:rPr>
                  <w:rFonts w:ascii="Times New Roman" w:hAnsi="Times New Roman"/>
                  <w:bCs/>
                  <w:sz w:val="24"/>
                </w:rPr>
                <w:t xml:space="preserve"> </w:t>
              </w:r>
              <w:r w:rsidRPr="00B56773">
                <w:rPr>
                  <w:rFonts w:ascii="Times New Roman" w:hAnsi="Times New Roman"/>
                  <w:bCs/>
                  <w:sz w:val="24"/>
                </w:rPr>
                <w:t>the reporting entities shall use the definition of Large Corporate in Article 142 (1), point (5a) of Regulation (EU) No 575/2013.</w:t>
              </w:r>
              <w:r w:rsidRPr="00B56773">
                <w:rPr>
                  <w:rFonts w:ascii="Times New Roman" w:hAnsi="Times New Roman"/>
                  <w:b/>
                  <w:sz w:val="24"/>
                  <w:u w:val="single"/>
                </w:rPr>
                <w:t xml:space="preserve"> </w:t>
              </w:r>
            </w:ins>
          </w:p>
        </w:tc>
      </w:tr>
      <w:tr w:rsidR="00B56773" w:rsidRPr="00E47484" w:rsidDel="000306F2" w14:paraId="58CAAB1D" w14:textId="77777777" w:rsidTr="00B56773">
        <w:trPr>
          <w:ins w:id="18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ins w:id="185" w:author="Author"/>
                <w:rFonts w:ascii="Times New Roman" w:hAnsi="Times New Roman"/>
                <w:sz w:val="24"/>
              </w:rPr>
            </w:pPr>
            <w:ins w:id="186" w:author="Author">
              <w:r>
                <w:rPr>
                  <w:rFonts w:ascii="Times New Roman" w:hAnsi="Times New Roman"/>
                  <w:sz w:val="24"/>
                </w:rPr>
                <w:t>0052</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ins w:id="187" w:author="Author"/>
                <w:rFonts w:ascii="Times New Roman" w:hAnsi="Times New Roman"/>
                <w:b/>
                <w:sz w:val="24"/>
                <w:u w:val="single"/>
              </w:rPr>
            </w:pPr>
            <w:ins w:id="188" w:author="Author">
              <w:r w:rsidRPr="00B7761D">
                <w:rPr>
                  <w:rFonts w:ascii="Times New Roman" w:hAnsi="Times New Roman"/>
                  <w:b/>
                  <w:sz w:val="24"/>
                  <w:u w:val="single"/>
                </w:rPr>
                <w:t>Specialised Lending</w:t>
              </w:r>
            </w:ins>
          </w:p>
          <w:p w14:paraId="510C1D3E" w14:textId="683EFC86" w:rsidR="00B56773" w:rsidRPr="00B56773" w:rsidDel="000306F2" w:rsidRDefault="00B56773" w:rsidP="007400C4">
            <w:pPr>
              <w:rPr>
                <w:ins w:id="189" w:author="Author"/>
                <w:rFonts w:ascii="Times New Roman" w:hAnsi="Times New Roman"/>
                <w:bCs/>
                <w:sz w:val="24"/>
              </w:rPr>
            </w:pPr>
            <w:ins w:id="190" w:author="Author">
              <w:r w:rsidRPr="00B56773">
                <w:rPr>
                  <w:rFonts w:ascii="Times New Roman" w:hAnsi="Times New Roman"/>
                  <w:bCs/>
                  <w:sz w:val="24"/>
                </w:rPr>
                <w:t>Article 147(2), point (c) (ii), of Regulation (EU) No 575/2013. 1.</w:t>
              </w:r>
            </w:ins>
          </w:p>
        </w:tc>
      </w:tr>
      <w:tr w:rsidR="00B56773" w:rsidRPr="00E47484" w14:paraId="36179D5A" w14:textId="77777777" w:rsidTr="00822842">
        <w:trPr>
          <w:ins w:id="191" w:author="Author"/>
        </w:trPr>
        <w:tc>
          <w:tcPr>
            <w:tcW w:w="1188" w:type="dxa"/>
            <w:shd w:val="clear" w:color="auto" w:fill="auto"/>
          </w:tcPr>
          <w:p w14:paraId="7AF18366" w14:textId="6A1B1DDE" w:rsidR="00B56773" w:rsidRPr="72FDE0D4" w:rsidRDefault="00B56773" w:rsidP="00822842">
            <w:pPr>
              <w:rPr>
                <w:ins w:id="192" w:author="Author"/>
                <w:rFonts w:ascii="Times New Roman" w:hAnsi="Times New Roman"/>
                <w:sz w:val="24"/>
              </w:rPr>
            </w:pPr>
            <w:ins w:id="193" w:author="Author">
              <w:r>
                <w:rPr>
                  <w:rFonts w:ascii="Times New Roman" w:hAnsi="Times New Roman"/>
                  <w:sz w:val="24"/>
                </w:rPr>
                <w:t>0053-0056</w:t>
              </w:r>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ins w:id="194" w:author="Author"/>
                <w:rFonts w:ascii="Times New Roman" w:hAnsi="Times New Roman"/>
                <w:b/>
                <w:sz w:val="24"/>
              </w:rPr>
            </w:pPr>
            <w:ins w:id="195" w:author="Author">
              <w:r w:rsidRPr="00B7761D">
                <w:rPr>
                  <w:rFonts w:ascii="Times New Roman" w:hAnsi="Times New Roman"/>
                  <w:b/>
                  <w:sz w:val="24"/>
                  <w:u w:val="single"/>
                </w:rPr>
                <w:t>Specialised Lending</w:t>
              </w:r>
              <w:r w:rsidR="00021099">
                <w:rPr>
                  <w:rFonts w:ascii="Times New Roman" w:hAnsi="Times New Roman"/>
                  <w:b/>
                  <w:sz w:val="24"/>
                  <w:u w:val="single"/>
                </w:rPr>
                <w:t xml:space="preserve"> </w:t>
              </w:r>
              <w:r w:rsidR="00021099" w:rsidRPr="00021099">
                <w:rPr>
                  <w:rFonts w:ascii="Times New Roman" w:hAnsi="Times New Roman"/>
                  <w:b/>
                  <w:sz w:val="24"/>
                  <w:u w:val="single"/>
                </w:rPr>
                <w:t xml:space="preserve">- </w:t>
              </w:r>
              <w:r w:rsidR="00021099" w:rsidRPr="00021099">
                <w:rPr>
                  <w:rFonts w:ascii="Times New Roman" w:hAnsi="Times New Roman"/>
                  <w:b/>
                  <w:sz w:val="24"/>
                </w:rPr>
                <w:t>types of specialised lending exposures</w:t>
              </w:r>
            </w:ins>
          </w:p>
          <w:p w14:paraId="1E4AC942" w14:textId="49F536D6" w:rsidR="00B56773" w:rsidRPr="00F16E4D" w:rsidRDefault="00B56773" w:rsidP="00822842">
            <w:pPr>
              <w:rPr>
                <w:ins w:id="196" w:author="Author"/>
                <w:rFonts w:ascii="Times New Roman" w:hAnsi="Times New Roman"/>
                <w:bCs/>
                <w:sz w:val="24"/>
              </w:rPr>
            </w:pPr>
            <w:ins w:id="197" w:author="Author">
              <w:r w:rsidRPr="00B56773">
                <w:rPr>
                  <w:rFonts w:ascii="Times New Roman" w:hAnsi="Times New Roman"/>
                  <w:bCs/>
                  <w:sz w:val="24"/>
                </w:rPr>
                <w:t>Institutions shall report the types of specialised lending exposures referred to in Article 147(8) subpara</w:t>
              </w:r>
              <w:r>
                <w:rPr>
                  <w:rFonts w:ascii="Times New Roman" w:hAnsi="Times New Roman"/>
                  <w:bCs/>
                  <w:sz w:val="24"/>
                </w:rPr>
                <w:t>graph</w:t>
              </w:r>
              <w:r w:rsidRPr="00B56773">
                <w:rPr>
                  <w:rFonts w:ascii="Times New Roman" w:hAnsi="Times New Roman"/>
                  <w:bCs/>
                  <w:sz w:val="24"/>
                </w:rPr>
                <w:t xml:space="preserve">. 2 in the corresponding </w:t>
              </w:r>
              <w:proofErr w:type="spellStart"/>
              <w:r w:rsidRPr="00B56773">
                <w:rPr>
                  <w:rFonts w:ascii="Times New Roman" w:hAnsi="Times New Roman"/>
                  <w:bCs/>
                  <w:sz w:val="24"/>
                </w:rPr>
                <w:t>row</w:t>
              </w:r>
              <w:proofErr w:type="gramStart"/>
              <w:r>
                <w:rPr>
                  <w:rFonts w:ascii="Times New Roman" w:hAnsi="Times New Roman"/>
                  <w:bCs/>
                  <w:sz w:val="24"/>
                </w:rPr>
                <w:t>:</w:t>
              </w:r>
              <w:r w:rsidRPr="00B56773">
                <w:rPr>
                  <w:rFonts w:ascii="Times New Roman" w:hAnsi="Times New Roman"/>
                  <w:bCs/>
                  <w:sz w:val="24"/>
                </w:rPr>
                <w:t>.</w:t>
              </w:r>
              <w:r w:rsidRPr="00F16E4D">
                <w:rPr>
                  <w:rFonts w:ascii="Times New Roman" w:hAnsi="Times New Roman"/>
                  <w:bCs/>
                  <w:sz w:val="24"/>
                </w:rPr>
                <w:t>Specialised</w:t>
              </w:r>
              <w:proofErr w:type="spellEnd"/>
              <w:proofErr w:type="gramEnd"/>
              <w:r w:rsidRPr="00F16E4D">
                <w:rPr>
                  <w:rFonts w:ascii="Times New Roman" w:hAnsi="Times New Roman"/>
                  <w:bCs/>
                  <w:sz w:val="24"/>
                </w:rPr>
                <w:t xml:space="preserve"> Lending</w:t>
              </w:r>
              <w:r>
                <w:rPr>
                  <w:rFonts w:ascii="Times New Roman" w:hAnsi="Times New Roman"/>
                  <w:bCs/>
                  <w:sz w:val="24"/>
                </w:rPr>
                <w:t xml:space="preserve"> </w:t>
              </w:r>
              <w:r w:rsidRPr="00F16E4D">
                <w:rPr>
                  <w:rFonts w:ascii="Times New Roman" w:hAnsi="Times New Roman"/>
                  <w:bCs/>
                  <w:sz w:val="24"/>
                </w:rPr>
                <w:t>“project finance”, “object finance”, “commodity finance” and “income</w:t>
              </w:r>
              <w:r w:rsidR="00F16E4D">
                <w:rPr>
                  <w:rFonts w:ascii="Times New Roman" w:hAnsi="Times New Roman"/>
                  <w:bCs/>
                  <w:sz w:val="24"/>
                </w:rPr>
                <w:t xml:space="preserve"> </w:t>
              </w:r>
              <w:r w:rsidRPr="00F16E4D">
                <w:rPr>
                  <w:rFonts w:ascii="Times New Roman" w:hAnsi="Times New Roman"/>
                  <w:bCs/>
                  <w:sz w:val="24"/>
                </w:rPr>
                <w:t>producing</w:t>
              </w:r>
              <w:r w:rsidR="00F16E4D">
                <w:rPr>
                  <w:rFonts w:ascii="Times New Roman" w:hAnsi="Times New Roman"/>
                  <w:bCs/>
                  <w:sz w:val="24"/>
                </w:rPr>
                <w:t xml:space="preserve"> </w:t>
              </w:r>
              <w:r w:rsidRPr="00F16E4D">
                <w:rPr>
                  <w:rFonts w:ascii="Times New Roman" w:hAnsi="Times New Roman"/>
                  <w:bCs/>
                  <w:sz w:val="24"/>
                </w:rPr>
                <w:t>real estate” (IPRE).</w:t>
              </w:r>
            </w:ins>
          </w:p>
        </w:tc>
      </w:tr>
      <w:tr w:rsidR="009D6580" w:rsidRPr="00E47484" w14:paraId="1E272EAA" w14:textId="77777777" w:rsidTr="00822842">
        <w:trPr>
          <w:ins w:id="198" w:author="Author"/>
        </w:trPr>
        <w:tc>
          <w:tcPr>
            <w:tcW w:w="1188" w:type="dxa"/>
            <w:shd w:val="clear" w:color="auto" w:fill="auto"/>
          </w:tcPr>
          <w:p w14:paraId="5B01A706" w14:textId="2033B95F" w:rsidR="009D6580" w:rsidRPr="002A677E" w:rsidRDefault="009D6580" w:rsidP="00822842">
            <w:pPr>
              <w:rPr>
                <w:ins w:id="199" w:author="Author"/>
                <w:rFonts w:ascii="Times New Roman" w:hAnsi="Times New Roman"/>
                <w:sz w:val="24"/>
              </w:rPr>
            </w:pPr>
            <w:ins w:id="200" w:author="Author">
              <w:r w:rsidRPr="72FDE0D4">
                <w:rPr>
                  <w:rFonts w:ascii="Times New Roman" w:hAnsi="Times New Roman"/>
                  <w:sz w:val="24"/>
                </w:rPr>
                <w:t>005</w:t>
              </w:r>
              <w:r w:rsidR="00F16E4D">
                <w:rPr>
                  <w:rFonts w:ascii="Times New Roman" w:hAnsi="Times New Roman"/>
                  <w:sz w:val="24"/>
                </w:rPr>
                <w:t>7</w:t>
              </w:r>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ins w:id="201" w:author="Author"/>
                <w:rFonts w:ascii="Times New Roman" w:hAnsi="Times New Roman"/>
                <w:b/>
                <w:sz w:val="24"/>
                <w:u w:val="single"/>
              </w:rPr>
            </w:pPr>
            <w:ins w:id="202" w:author="Author">
              <w:r w:rsidRPr="00B7761D">
                <w:rPr>
                  <w:rFonts w:ascii="Times New Roman" w:hAnsi="Times New Roman"/>
                  <w:b/>
                  <w:sz w:val="24"/>
                  <w:u w:val="single"/>
                </w:rPr>
                <w:t xml:space="preserve">Purchased </w:t>
              </w:r>
              <w:proofErr w:type="gramStart"/>
              <w:r w:rsidRPr="00B7761D">
                <w:rPr>
                  <w:rFonts w:ascii="Times New Roman" w:hAnsi="Times New Roman"/>
                  <w:b/>
                  <w:sz w:val="24"/>
                  <w:u w:val="single"/>
                </w:rPr>
                <w:t>receivables</w:t>
              </w:r>
              <w:proofErr w:type="gramEnd"/>
            </w:ins>
          </w:p>
          <w:p w14:paraId="40628222" w14:textId="77777777" w:rsidR="009D6580" w:rsidRPr="00E47484" w:rsidRDefault="009D6580" w:rsidP="00822842">
            <w:pPr>
              <w:rPr>
                <w:ins w:id="203" w:author="Author"/>
                <w:rFonts w:ascii="Times New Roman" w:hAnsi="Times New Roman"/>
                <w:b/>
                <w:sz w:val="24"/>
                <w:u w:val="single"/>
              </w:rPr>
            </w:pPr>
            <w:ins w:id="204" w:author="Autho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(iii),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tc>
      </w:tr>
      <w:tr w:rsidR="00F16E4D" w:rsidRPr="002A677E" w14:paraId="27B47EEA" w14:textId="77777777" w:rsidTr="00822842">
        <w:trPr>
          <w:ins w:id="205" w:author="Author"/>
        </w:trPr>
        <w:tc>
          <w:tcPr>
            <w:tcW w:w="1188" w:type="dxa"/>
          </w:tcPr>
          <w:p w14:paraId="329ABF25" w14:textId="3906F1E5" w:rsidR="00F16E4D" w:rsidRPr="002A677E" w:rsidRDefault="00F16E4D" w:rsidP="00822842">
            <w:pPr>
              <w:rPr>
                <w:ins w:id="206" w:author="Author"/>
                <w:rFonts w:ascii="Times New Roman" w:hAnsi="Times New Roman"/>
                <w:sz w:val="24"/>
              </w:rPr>
            </w:pPr>
            <w:ins w:id="207" w:author="Author">
              <w:r>
                <w:rPr>
                  <w:rFonts w:ascii="Times New Roman" w:hAnsi="Times New Roman"/>
                  <w:sz w:val="24"/>
                </w:rPr>
                <w:t>0058</w:t>
              </w:r>
            </w:ins>
          </w:p>
        </w:tc>
        <w:tc>
          <w:tcPr>
            <w:tcW w:w="8640" w:type="dxa"/>
          </w:tcPr>
          <w:p w14:paraId="27CFAA09" w14:textId="513D8D7F" w:rsidR="00F16E4D" w:rsidRDefault="00F16E4D" w:rsidP="00822842">
            <w:pPr>
              <w:rPr>
                <w:ins w:id="208" w:author="Author"/>
                <w:rFonts w:ascii="Times New Roman" w:hAnsi="Times New Roman"/>
                <w:b/>
                <w:sz w:val="24"/>
                <w:u w:val="single"/>
              </w:rPr>
            </w:pPr>
            <w:ins w:id="209" w:author="Author">
              <w:r>
                <w:rPr>
                  <w:rFonts w:ascii="Times New Roman" w:hAnsi="Times New Roman"/>
                  <w:b/>
                  <w:sz w:val="24"/>
                  <w:u w:val="single"/>
                </w:rPr>
                <w:t>Other</w:t>
              </w:r>
            </w:ins>
          </w:p>
          <w:p w14:paraId="75A3CB20" w14:textId="69737D7D" w:rsidR="00F16E4D" w:rsidRPr="002A677E" w:rsidRDefault="00F16E4D" w:rsidP="00822842">
            <w:pPr>
              <w:rPr>
                <w:ins w:id="210" w:author="Author"/>
                <w:rFonts w:ascii="Times New Roman" w:hAnsi="Times New Roman"/>
                <w:b/>
                <w:sz w:val="24"/>
                <w:u w:val="single"/>
              </w:rPr>
            </w:pPr>
            <w:ins w:id="211" w:author="Author">
              <w:r w:rsidRPr="72FDE0D4">
                <w:rPr>
                  <w:rFonts w:ascii="Times New Roman" w:hAnsi="Times New Roman"/>
                  <w:sz w:val="24"/>
                  <w:lang w:eastAsia="de-DE"/>
                </w:rPr>
                <w:t xml:space="preserve">Article 147(2), point </w:t>
              </w:r>
              <w:r>
                <w:rPr>
                  <w:rFonts w:ascii="Times New Roman" w:hAnsi="Times New Roman"/>
                  <w:sz w:val="24"/>
                  <w:lang w:eastAsia="de-DE"/>
                </w:rPr>
                <w:t>I</w:t>
              </w:r>
              <w:r w:rsidRPr="72FDE0D4">
                <w:rPr>
                  <w:rFonts w:ascii="Times New Roman" w:hAnsi="Times New Roman"/>
                  <w:sz w:val="24"/>
                  <w:lang w:eastAsia="de-DE"/>
                </w:rPr>
                <w:t>(</w:t>
              </w:r>
              <w:proofErr w:type="spellStart"/>
              <w:r w:rsidRPr="72FDE0D4">
                <w:rPr>
                  <w:rFonts w:ascii="Times New Roman" w:hAnsi="Times New Roman"/>
                  <w:sz w:val="24"/>
                  <w:lang w:eastAsia="de-DE"/>
                </w:rPr>
                <w:t>i</w:t>
              </w:r>
              <w:proofErr w:type="spellEnd"/>
              <w:r w:rsidRPr="72FDE0D4">
                <w:rPr>
                  <w:rFonts w:ascii="Times New Roman" w:hAnsi="Times New Roman"/>
                  <w:sz w:val="24"/>
                  <w:lang w:eastAsia="de-DE"/>
                </w:rPr>
                <w:t xml:space="preserve">), </w:t>
              </w:r>
              <w:r w:rsidRPr="72FDE0D4">
                <w:rPr>
                  <w:rFonts w:ascii="Times New Roman" w:hAnsi="Times New Roman"/>
                  <w:sz w:val="24"/>
                  <w:lang w:val="en-US"/>
                </w:rPr>
                <w:t>of Regulation (EU) No 575/2013</w:t>
              </w:r>
            </w:ins>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Retail</w:t>
            </w:r>
          </w:p>
          <w:p w14:paraId="61F98691" w14:textId="77777777" w:rsidR="009D6580" w:rsidRPr="002A677E" w:rsidRDefault="009D6580" w:rsidP="00822842">
            <w:pPr>
              <w:rPr>
                <w:rFonts w:ascii="Times New Roman" w:hAnsi="Times New Roman"/>
                <w:sz w:val="24"/>
              </w:rPr>
            </w:pPr>
            <w:r w:rsidRPr="002A677E">
              <w:rPr>
                <w:rFonts w:ascii="Times New Roman" w:hAnsi="Times New Roman"/>
                <w:sz w:val="24"/>
                <w:lang w:eastAsia="de-DE"/>
              </w:rPr>
              <w:t xml:space="preserve">All 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ins w:id="212" w:author="Author">
              <w:r>
                <w:rPr>
                  <w:rFonts w:ascii="Times New Roman" w:hAnsi="Times New Roman"/>
                  <w:sz w:val="24"/>
                  <w:lang w:val="en-US"/>
                </w:rPr>
                <w:t>.</w:t>
              </w:r>
            </w:ins>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ins w:id="213" w:author="Author">
              <w:r>
                <w:rPr>
                  <w:rFonts w:ascii="Times New Roman" w:hAnsi="Times New Roman"/>
                  <w:b/>
                  <w:sz w:val="24"/>
                  <w:u w:val="single"/>
                </w:rPr>
                <w:t xml:space="preserve">Of Which: </w:t>
              </w:r>
            </w:ins>
            <w:r w:rsidR="009D6580" w:rsidRPr="002A677E">
              <w:rPr>
                <w:rFonts w:ascii="Times New Roman" w:hAnsi="Times New Roman"/>
                <w:b/>
                <w:sz w:val="24"/>
                <w:u w:val="single"/>
              </w:rPr>
              <w:t xml:space="preserve">Retail – Secured by immovable </w:t>
            </w:r>
            <w:proofErr w:type="gramStart"/>
            <w:r w:rsidR="009D6580" w:rsidRPr="002A677E">
              <w:rPr>
                <w:rFonts w:ascii="Times New Roman" w:hAnsi="Times New Roman"/>
                <w:b/>
                <w:sz w:val="24"/>
                <w:u w:val="single"/>
              </w:rPr>
              <w:t>property</w:t>
            </w:r>
            <w:proofErr w:type="gramEnd"/>
          </w:p>
          <w:p w14:paraId="35B1F6E7" w14:textId="4962CAD8" w:rsidR="00FD0F61" w:rsidRDefault="00FD0F61" w:rsidP="00822842">
            <w:pPr>
              <w:pStyle w:val="ListParagraph"/>
              <w:ind w:left="0"/>
              <w:rPr>
                <w:ins w:id="214" w:author="Author"/>
                <w:rFonts w:ascii="Times New Roman" w:hAnsi="Times New Roman"/>
                <w:sz w:val="24"/>
                <w:lang w:val="en-US"/>
              </w:rPr>
            </w:pPr>
            <w:ins w:id="215" w:author="Autho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ins>
          </w:p>
          <w:p w14:paraId="0AD96DEF" w14:textId="3B354878" w:rsidR="009D6580" w:rsidDel="00FD0F61" w:rsidRDefault="009D6580" w:rsidP="00822842">
            <w:pPr>
              <w:pStyle w:val="ListParagraph"/>
              <w:ind w:left="0"/>
              <w:rPr>
                <w:del w:id="216" w:author="Author"/>
                <w:rFonts w:ascii="Times New Roman" w:hAnsi="Times New Roman"/>
                <w:sz w:val="24"/>
                <w:lang w:eastAsia="de-DE"/>
              </w:rPr>
            </w:pPr>
            <w:del w:id="217" w:author="Author">
              <w:r w:rsidRPr="002A677E" w:rsidDel="00FD0F61">
                <w:rPr>
                  <w:rFonts w:ascii="Times New Roman" w:hAnsi="Times New Roman"/>
                  <w:sz w:val="24"/>
                  <w:lang w:eastAsia="de-DE"/>
                </w:rPr>
                <w:delText xml:space="preserve">Retail exposures as referred to in </w:delText>
              </w:r>
              <w:r w:rsidRPr="002A677E" w:rsidDel="00FD0F61">
                <w:rPr>
                  <w:rFonts w:ascii="Times New Roman" w:hAnsi="Times New Roman"/>
                  <w:sz w:val="24"/>
                </w:rPr>
                <w:delText>Article 147(2)</w:delText>
              </w:r>
              <w:r w:rsidDel="00FD0F61">
                <w:rPr>
                  <w:rFonts w:ascii="Times New Roman" w:hAnsi="Times New Roman"/>
                  <w:sz w:val="24"/>
                </w:rPr>
                <w:delText>, p</w:delText>
              </w:r>
              <w:r w:rsidRPr="002A677E" w:rsidDel="00FD0F61">
                <w:rPr>
                  <w:rFonts w:ascii="Times New Roman" w:hAnsi="Times New Roman"/>
                  <w:bCs/>
                  <w:sz w:val="24"/>
                </w:rPr>
                <w:delText>oint (d)</w:delText>
              </w:r>
              <w:r w:rsidDel="00FD0F61">
                <w:rPr>
                  <w:rFonts w:ascii="Times New Roman" w:hAnsi="Times New Roman"/>
                  <w:bCs/>
                  <w:sz w:val="24"/>
                </w:rPr>
                <w:delText>,</w:delText>
              </w:r>
              <w:r w:rsidRPr="002A677E" w:rsidDel="00FD0F61">
                <w:rPr>
                  <w:rFonts w:ascii="Times New Roman" w:hAnsi="Times New Roman"/>
                  <w:bCs/>
                  <w:sz w:val="24"/>
                </w:rPr>
                <w:delText xml:space="preserve"> </w:delText>
              </w:r>
              <w:r w:rsidRPr="001235ED" w:rsidDel="00FD0F61">
                <w:rPr>
                  <w:rFonts w:ascii="Times New Roman" w:hAnsi="Times New Roman"/>
                  <w:sz w:val="24"/>
                  <w:lang w:val="en-US"/>
                </w:rPr>
                <w:delText>of Regulation (EU) No 575/2013</w:delText>
              </w:r>
            </w:del>
            <w:ins w:id="218" w:author="Author">
              <w:del w:id="219" w:author="Author">
                <w:r w:rsidDel="00FD0F61">
                  <w:rPr>
                    <w:rFonts w:ascii="Times New Roman" w:hAnsi="Times New Roman"/>
                    <w:sz w:val="24"/>
                    <w:lang w:eastAsia="de-DE"/>
                  </w:rPr>
                  <w:delText>.</w:delText>
                </w:r>
              </w:del>
            </w:ins>
            <w:del w:id="220" w:author="Author">
              <w:r w:rsidRPr="002A677E" w:rsidDel="00FD0F61">
                <w:rPr>
                  <w:rFonts w:ascii="Times New Roman" w:hAnsi="Times New Roman"/>
                  <w:sz w:val="24"/>
                  <w:lang w:eastAsia="de-DE"/>
                </w:rPr>
                <w:delText xml:space="preserve"> which are secured by real estate</w:delText>
              </w:r>
            </w:del>
          </w:p>
          <w:p w14:paraId="0CD06107" w14:textId="702128B2" w:rsidR="009D6580" w:rsidRPr="002A677E" w:rsidRDefault="009D6580" w:rsidP="00822842">
            <w:pPr>
              <w:pStyle w:val="ListParagraph"/>
              <w:ind w:left="0"/>
              <w:rPr>
                <w:rFonts w:ascii="Times New Roman" w:hAnsi="Times New Roman"/>
                <w:sz w:val="24"/>
                <w:lang w:eastAsia="de-DE"/>
              </w:rPr>
            </w:pPr>
            <w:del w:id="221" w:author="Author">
              <w:r w:rsidRPr="002A677E" w:rsidDel="00FD0F61">
                <w:rPr>
                  <w:rFonts w:ascii="Times New Roman" w:hAnsi="Times New Roman"/>
                  <w:sz w:val="24"/>
                  <w:lang w:eastAsia="de-DE"/>
                </w:rPr>
                <w:delText>Retail exposures secured by immovable property will be considered any retail exposures secured by immovable property recognised as collateral, regardless of the ratio of the value of collateral to the exposure or of the purpose of the loan.</w:delText>
              </w:r>
            </w:del>
            <w:ins w:id="222" w:author="Author">
              <w:r w:rsidR="00FD0F61">
                <w:rPr>
                  <w:rFonts w:ascii="Times New Roman" w:hAnsi="Times New Roman"/>
                  <w:sz w:val="24"/>
                  <w:lang w:eastAsia="de-DE"/>
                </w:rPr>
                <w:t>.</w:t>
              </w:r>
            </w:ins>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ins w:id="223" w:author="Author">
              <w:r>
                <w:rPr>
                  <w:rFonts w:ascii="Times New Roman" w:hAnsi="Times New Roman"/>
                  <w:b/>
                  <w:sz w:val="24"/>
                  <w:u w:val="single"/>
                </w:rPr>
                <w:t xml:space="preserve">Of Which: </w:t>
              </w:r>
            </w:ins>
            <w:r w:rsidR="009D6580" w:rsidRPr="002A677E">
              <w:rPr>
                <w:rFonts w:ascii="Times New Roman" w:hAnsi="Times New Roman"/>
                <w:b/>
                <w:sz w:val="24"/>
                <w:u w:val="single"/>
              </w:rPr>
              <w:t>SME</w:t>
            </w:r>
          </w:p>
          <w:p w14:paraId="67BFF2AB" w14:textId="318867A0" w:rsidR="009D6580" w:rsidRPr="002A677E" w:rsidRDefault="00FD0F61" w:rsidP="00822842">
            <w:pPr>
              <w:pStyle w:val="ListParagraph"/>
              <w:ind w:left="0"/>
              <w:rPr>
                <w:rFonts w:ascii="Times New Roman" w:hAnsi="Times New Roman"/>
                <w:sz w:val="24"/>
                <w:lang w:eastAsia="de-DE"/>
              </w:rPr>
            </w:pPr>
            <w:ins w:id="224" w:author="Autho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reported under B.6.1 to B.6.4,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r>
                <w:rPr>
                  <w:rFonts w:ascii="Times New Roman" w:hAnsi="Times New Roman"/>
                  <w:sz w:val="24"/>
                  <w:lang w:val="en-US"/>
                </w:rPr>
                <w:t>.</w:t>
              </w:r>
            </w:ins>
            <w:del w:id="225" w:author="Author">
              <w:r w:rsidR="009D6580" w:rsidRPr="002A677E" w:rsidDel="00FD0F61">
                <w:rPr>
                  <w:rFonts w:ascii="Times New Roman" w:hAnsi="Times New Roman"/>
                  <w:sz w:val="24"/>
                  <w:lang w:eastAsia="de-DE"/>
                </w:rPr>
                <w:delText xml:space="preserve">Retail exposures as referred to in </w:delText>
              </w:r>
              <w:r w:rsidR="009D6580" w:rsidRPr="002A677E" w:rsidDel="00FD0F61">
                <w:rPr>
                  <w:rFonts w:ascii="Times New Roman" w:hAnsi="Times New Roman"/>
                  <w:sz w:val="24"/>
                </w:rPr>
                <w:delText>Article 147(2)</w:delText>
              </w:r>
              <w:r w:rsidR="009D6580" w:rsidDel="00FD0F61">
                <w:rPr>
                  <w:rFonts w:ascii="Times New Roman" w:hAnsi="Times New Roman"/>
                  <w:sz w:val="24"/>
                </w:rPr>
                <w:delText>, p</w:delText>
              </w:r>
              <w:r w:rsidR="009D6580" w:rsidRPr="002A677E" w:rsidDel="00FD0F61">
                <w:rPr>
                  <w:rFonts w:ascii="Times New Roman" w:hAnsi="Times New Roman"/>
                  <w:bCs/>
                  <w:sz w:val="24"/>
                </w:rPr>
                <w:delText xml:space="preserve">oint (d) </w:delText>
              </w:r>
            </w:del>
            <w:ins w:id="226" w:author="Author">
              <w:del w:id="227" w:author="Author">
                <w:r w:rsidR="009D6580" w:rsidDel="00FD0F61">
                  <w:rPr>
                    <w:rFonts w:ascii="Times New Roman" w:hAnsi="Times New Roman"/>
                    <w:bCs/>
                    <w:sz w:val="24"/>
                  </w:rPr>
                  <w:delText xml:space="preserve">(ii) </w:delText>
                </w:r>
              </w:del>
            </w:ins>
            <w:del w:id="228" w:author="Author">
              <w:r w:rsidR="009D6580" w:rsidRPr="002A677E" w:rsidDel="00FD0F61">
                <w:rPr>
                  <w:rFonts w:ascii="Times New Roman" w:hAnsi="Times New Roman"/>
                  <w:sz w:val="24"/>
                  <w:lang w:eastAsia="de-DE"/>
                </w:rPr>
                <w:delText xml:space="preserve">and Article 154(3) </w:delText>
              </w:r>
              <w:r w:rsidR="009D6580" w:rsidRPr="001235ED" w:rsidDel="00FD0F61">
                <w:rPr>
                  <w:rFonts w:ascii="Times New Roman" w:hAnsi="Times New Roman"/>
                  <w:sz w:val="24"/>
                  <w:lang w:val="en-US"/>
                </w:rPr>
                <w:delText>of Regulation (EU) No 575/2013</w:delText>
              </w:r>
              <w:r w:rsidR="009D6580" w:rsidRPr="002A677E" w:rsidDel="00FD0F61">
                <w:rPr>
                  <w:rFonts w:ascii="Times New Roman" w:hAnsi="Times New Roman"/>
                  <w:sz w:val="24"/>
                  <w:lang w:eastAsia="de-DE"/>
                </w:rPr>
                <w:delText xml:space="preserve"> which are secured by real estate</w:delText>
              </w:r>
            </w:del>
            <w:ins w:id="229" w:author="Author">
              <w:del w:id="230" w:author="Author">
                <w:r w:rsidR="009D6580" w:rsidDel="00FD0F61">
                  <w:rPr>
                    <w:rFonts w:ascii="Times New Roman" w:hAnsi="Times New Roman"/>
                    <w:sz w:val="24"/>
                    <w:lang w:eastAsia="de-DE"/>
                  </w:rPr>
                  <w:delText xml:space="preserve">fulfill the definition </w:delText>
                </w:r>
                <w:r w:rsidR="009D6580" w:rsidRPr="002A677E" w:rsidDel="00FD0F61">
                  <w:rPr>
                    <w:rFonts w:ascii="Times New Roman" w:hAnsi="Times New Roman"/>
                    <w:sz w:val="24"/>
                    <w:lang w:eastAsia="de-DE"/>
                  </w:rPr>
                  <w:delText xml:space="preserve">of SME </w:delText>
                </w:r>
                <w:r w:rsidR="009D6580" w:rsidDel="00FD0F61">
                  <w:rPr>
                    <w:rFonts w:ascii="Times New Roman" w:hAnsi="Times New Roman"/>
                    <w:sz w:val="24"/>
                    <w:lang w:eastAsia="de-DE"/>
                  </w:rPr>
                  <w:delText xml:space="preserve">in Article 5 (8) </w:delText>
                </w:r>
                <w:r w:rsidR="009D6580" w:rsidRPr="001235ED" w:rsidDel="00FD0F61">
                  <w:rPr>
                    <w:rFonts w:ascii="Times New Roman" w:hAnsi="Times New Roman"/>
                    <w:sz w:val="24"/>
                    <w:lang w:val="en-US"/>
                  </w:rPr>
                  <w:delText>of Regulation (EU) No 575/2013</w:delText>
                </w:r>
                <w:r w:rsidR="009D6580" w:rsidRPr="002A677E" w:rsidDel="00FD0F61">
                  <w:rPr>
                    <w:rFonts w:ascii="Times New Roman" w:hAnsi="Times New Roman"/>
                    <w:sz w:val="24"/>
                    <w:lang w:eastAsia="de-DE"/>
                  </w:rPr>
                  <w:delText>.</w:delText>
                </w:r>
              </w:del>
              <w:r w:rsidR="009D6580" w:rsidRPr="002A677E">
                <w:rPr>
                  <w:rFonts w:ascii="Times New Roman" w:hAnsi="Times New Roman"/>
                  <w:sz w:val="24"/>
                  <w:lang w:eastAsia="de-DE"/>
                </w:rPr>
                <w:t xml:space="preserve"> </w:t>
              </w:r>
            </w:ins>
          </w:p>
        </w:tc>
      </w:tr>
      <w:tr w:rsidR="009D6580" w:rsidRPr="00E47484" w:rsidDel="00EF21B7" w14:paraId="4B1AB896" w14:textId="77777777" w:rsidTr="00822842">
        <w:trPr>
          <w:ins w:id="231" w:author="Author"/>
          <w:del w:id="232" w:author="Author"/>
        </w:trPr>
        <w:tc>
          <w:tcPr>
            <w:tcW w:w="1188" w:type="dxa"/>
            <w:shd w:val="clear" w:color="auto" w:fill="auto"/>
          </w:tcPr>
          <w:p w14:paraId="6AAB4191" w14:textId="77777777" w:rsidR="009D6580" w:rsidRPr="002A677E" w:rsidDel="00EF21B7" w:rsidRDefault="009D6580" w:rsidP="00822842">
            <w:pPr>
              <w:rPr>
                <w:ins w:id="233" w:author="Author"/>
                <w:del w:id="234" w:author="Author"/>
                <w:rFonts w:ascii="Times New Roman" w:hAnsi="Times New Roman"/>
                <w:sz w:val="24"/>
              </w:rPr>
            </w:pPr>
            <w:ins w:id="235" w:author="Author">
              <w:del w:id="236" w:author="Author">
                <w:r w:rsidDel="00EF21B7">
                  <w:rPr>
                    <w:rFonts w:ascii="Times New Roman" w:hAnsi="Times New Roman"/>
                    <w:sz w:val="24"/>
                  </w:rPr>
                  <w:delText>008</w:delText>
                </w:r>
                <w:r w:rsidDel="00BA0E48">
                  <w:rPr>
                    <w:rFonts w:ascii="Times New Roman" w:hAnsi="Times New Roman"/>
                    <w:sz w:val="24"/>
                  </w:rPr>
                  <w:delText>1</w:delText>
                </w:r>
              </w:del>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46FF4C30" w14:textId="77777777" w:rsidR="009D6580" w:rsidRPr="00E47484" w:rsidDel="00EF21B7" w:rsidRDefault="009D6580" w:rsidP="00822842">
            <w:pPr>
              <w:rPr>
                <w:ins w:id="237" w:author="Author"/>
                <w:del w:id="238" w:author="Author"/>
                <w:rFonts w:ascii="Times New Roman" w:hAnsi="Times New Roman"/>
                <w:b/>
                <w:sz w:val="24"/>
                <w:u w:val="single"/>
              </w:rPr>
            </w:pPr>
            <w:ins w:id="239" w:author="Author">
              <w:del w:id="240" w:author="Author">
                <w:r w:rsidRPr="00B7761D" w:rsidDel="00EF21B7">
                  <w:rPr>
                    <w:rFonts w:ascii="Times New Roman" w:hAnsi="Times New Roman"/>
                    <w:b/>
                    <w:sz w:val="24"/>
                    <w:u w:val="single"/>
                  </w:rPr>
                  <w:delText xml:space="preserve">Residential property </w:delText>
                </w:r>
                <w:r w:rsidRPr="00B7761D" w:rsidDel="00BA0E48">
                  <w:rPr>
                    <w:rFonts w:ascii="Times New Roman" w:hAnsi="Times New Roman"/>
                    <w:b/>
                    <w:sz w:val="24"/>
                    <w:u w:val="single"/>
                  </w:rPr>
                  <w:delText>-</w:delText>
                </w:r>
                <w:r w:rsidRPr="00B7761D" w:rsidDel="00EF21B7">
                  <w:rPr>
                    <w:rFonts w:ascii="Times New Roman" w:hAnsi="Times New Roman"/>
                    <w:b/>
                    <w:sz w:val="24"/>
                    <w:u w:val="single"/>
                  </w:rPr>
                  <w:delText xml:space="preserve"> SME</w:delText>
                </w:r>
              </w:del>
            </w:ins>
          </w:p>
        </w:tc>
      </w:tr>
      <w:tr w:rsidR="009D6580" w:rsidRPr="00E47484" w:rsidDel="00BA0E48" w14:paraId="4DC356D3" w14:textId="77777777" w:rsidTr="00822842">
        <w:trPr>
          <w:ins w:id="241" w:author="Author"/>
          <w:del w:id="242" w:author="Author"/>
        </w:trPr>
        <w:tc>
          <w:tcPr>
            <w:tcW w:w="1188" w:type="dxa"/>
            <w:shd w:val="clear" w:color="auto" w:fill="auto"/>
          </w:tcPr>
          <w:p w14:paraId="5B282297" w14:textId="77777777" w:rsidR="009D6580" w:rsidRPr="002A677E" w:rsidDel="00BA0E48" w:rsidRDefault="009D6580" w:rsidP="00822842">
            <w:pPr>
              <w:rPr>
                <w:ins w:id="243" w:author="Author"/>
                <w:del w:id="244" w:author="Author"/>
                <w:rFonts w:ascii="Times New Roman" w:hAnsi="Times New Roman"/>
                <w:sz w:val="24"/>
              </w:rPr>
            </w:pPr>
            <w:ins w:id="245" w:author="Author">
              <w:del w:id="246" w:author="Author">
                <w:r w:rsidDel="00BA0E48">
                  <w:rPr>
                    <w:rFonts w:ascii="Times New Roman" w:hAnsi="Times New Roman"/>
                    <w:sz w:val="24"/>
                  </w:rPr>
                  <w:lastRenderedPageBreak/>
                  <w:delText>0082</w:delText>
                </w:r>
              </w:del>
            </w:ins>
          </w:p>
        </w:tc>
        <w:tc>
          <w:tcPr>
            <w:tcW w:w="8640" w:type="dxa"/>
            <w:tcBorders>
              <w:top w:val="nil"/>
              <w:left w:val="single" w:sz="4" w:space="0" w:color="auto"/>
              <w:bottom w:val="single" w:sz="4" w:space="0" w:color="auto"/>
              <w:right w:val="single" w:sz="4" w:space="0" w:color="auto"/>
            </w:tcBorders>
            <w:shd w:val="clear" w:color="auto" w:fill="auto"/>
            <w:vAlign w:val="center"/>
          </w:tcPr>
          <w:p w14:paraId="2DC3DB5D" w14:textId="77777777" w:rsidR="009D6580" w:rsidRPr="00E47484" w:rsidDel="00BA0E48" w:rsidRDefault="009D6580" w:rsidP="00822842">
            <w:pPr>
              <w:rPr>
                <w:ins w:id="247" w:author="Author"/>
                <w:del w:id="248" w:author="Author"/>
                <w:rFonts w:ascii="Times New Roman" w:hAnsi="Times New Roman"/>
                <w:b/>
                <w:sz w:val="24"/>
                <w:u w:val="single"/>
              </w:rPr>
            </w:pPr>
            <w:ins w:id="249" w:author="Author">
              <w:del w:id="250" w:author="Author">
                <w:r w:rsidRPr="00B7761D" w:rsidDel="00BA0E48">
                  <w:rPr>
                    <w:rFonts w:ascii="Times New Roman" w:hAnsi="Times New Roman"/>
                    <w:b/>
                    <w:sz w:val="24"/>
                    <w:u w:val="single"/>
                  </w:rPr>
                  <w:delText>Commercial property - SME</w:delText>
                </w:r>
              </w:del>
            </w:ins>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ins w:id="251" w:author="Author">
              <w:r>
                <w:rPr>
                  <w:rFonts w:ascii="Times New Roman" w:hAnsi="Times New Roman"/>
                  <w:b/>
                  <w:sz w:val="24"/>
                  <w:u w:val="single"/>
                </w:rPr>
                <w:t xml:space="preserve">Of Which: </w:t>
              </w:r>
            </w:ins>
            <w:r w:rsidR="009D6580" w:rsidRPr="00E47484">
              <w:rPr>
                <w:rFonts w:ascii="Times New Roman" w:hAnsi="Times New Roman"/>
                <w:b/>
                <w:sz w:val="24"/>
                <w:u w:val="single"/>
              </w:rPr>
              <w:t>non-SME</w:t>
            </w:r>
          </w:p>
          <w:p w14:paraId="68647661" w14:textId="272EAD03" w:rsidR="00837F98" w:rsidRDefault="00837F98" w:rsidP="00234FB5">
            <w:pPr>
              <w:pStyle w:val="ListParagraph"/>
              <w:autoSpaceDE w:val="0"/>
              <w:autoSpaceDN w:val="0"/>
              <w:adjustRightInd w:val="0"/>
              <w:spacing w:before="0" w:after="0"/>
              <w:ind w:left="0"/>
              <w:jc w:val="left"/>
              <w:rPr>
                <w:ins w:id="252" w:author="Author"/>
                <w:rFonts w:ascii="Times New Roman" w:hAnsi="Times New Roman"/>
                <w:sz w:val="24"/>
                <w:lang w:val="en-US"/>
              </w:rPr>
            </w:pPr>
            <w:ins w:id="253" w:author="Autho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reported under B.6.1 to B.6.4,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r>
                <w:rPr>
                  <w:rFonts w:ascii="Times New Roman" w:hAnsi="Times New Roman"/>
                  <w:sz w:val="24"/>
                  <w:lang w:val="en-US"/>
                </w:rPr>
                <w:t>.</w:t>
              </w:r>
            </w:ins>
          </w:p>
          <w:p w14:paraId="34F371DC" w14:textId="4168B13E" w:rsidR="009D6580" w:rsidRPr="00D10012" w:rsidRDefault="009D6580" w:rsidP="00822842">
            <w:pPr>
              <w:pStyle w:val="ListParagraph"/>
              <w:ind w:left="0"/>
              <w:rPr>
                <w:rFonts w:ascii="Times New Roman" w:hAnsi="Times New Roman"/>
                <w:bCs/>
                <w:sz w:val="24"/>
              </w:rPr>
            </w:pPr>
            <w:del w:id="254" w:author="Author">
              <w:r w:rsidRPr="00D10012" w:rsidDel="00837F98">
                <w:rPr>
                  <w:rFonts w:ascii="Times New Roman" w:hAnsi="Times New Roman"/>
                  <w:bCs/>
                  <w:sz w:val="24"/>
                </w:rPr>
                <w:delText>Retail exposures as referred to in Article 147(2), point (d)</w:delText>
              </w:r>
            </w:del>
            <w:ins w:id="255" w:author="Author">
              <w:del w:id="256" w:author="Author">
                <w:r w:rsidDel="00837F98">
                  <w:rPr>
                    <w:rFonts w:ascii="Times New Roman" w:hAnsi="Times New Roman"/>
                    <w:bCs/>
                    <w:sz w:val="24"/>
                  </w:rPr>
                  <w:delText xml:space="preserve"> (ii)</w:delText>
                </w:r>
              </w:del>
            </w:ins>
            <w:del w:id="257" w:author="Author">
              <w:r w:rsidRPr="00D10012" w:rsidDel="00837F98">
                <w:rPr>
                  <w:rFonts w:ascii="Times New Roman" w:hAnsi="Times New Roman"/>
                  <w:bCs/>
                  <w:sz w:val="24"/>
                </w:rPr>
                <w:delText xml:space="preserve">, </w:delText>
              </w:r>
              <w:r w:rsidRPr="00B7761D" w:rsidDel="00837F98">
                <w:rPr>
                  <w:rFonts w:ascii="Times New Roman" w:hAnsi="Times New Roman"/>
                  <w:bCs/>
                  <w:sz w:val="24"/>
                </w:rPr>
                <w:delText>of Regulation (EU) No 575/2013</w:delText>
              </w:r>
              <w:r w:rsidRPr="00D10012" w:rsidDel="00837F98">
                <w:rPr>
                  <w:rFonts w:ascii="Times New Roman" w:hAnsi="Times New Roman"/>
                  <w:bCs/>
                  <w:sz w:val="24"/>
                </w:rPr>
                <w:delText xml:space="preserve"> which are secured by real estate</w:delText>
              </w:r>
            </w:del>
            <w:ins w:id="258" w:author="Author">
              <w:del w:id="259" w:author="Author">
                <w:r w:rsidDel="00837F98">
                  <w:rPr>
                    <w:rFonts w:ascii="Times New Roman" w:hAnsi="Times New Roman"/>
                    <w:bCs/>
                    <w:sz w:val="24"/>
                  </w:rPr>
                  <w:delText>not reported under row 0080.</w:delText>
                </w:r>
              </w:del>
            </w:ins>
          </w:p>
        </w:tc>
      </w:tr>
      <w:tr w:rsidR="00910F63" w:rsidRPr="002A677E" w14:paraId="22110EE2" w14:textId="77777777" w:rsidTr="00910F63">
        <w:trPr>
          <w:ins w:id="260"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ins w:id="261" w:author="Author"/>
                <w:rFonts w:ascii="Times New Roman" w:hAnsi="Times New Roman"/>
                <w:sz w:val="24"/>
              </w:rPr>
            </w:pPr>
            <w:ins w:id="262" w:author="Author">
              <w:r>
                <w:rPr>
                  <w:rFonts w:ascii="Times New Roman" w:hAnsi="Times New Roman"/>
                  <w:sz w:val="24"/>
                </w:rPr>
                <w:t>0095</w:t>
              </w:r>
            </w:ins>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ins w:id="263" w:author="Author"/>
                <w:rFonts w:ascii="Times New Roman" w:hAnsi="Times New Roman"/>
                <w:b/>
                <w:sz w:val="24"/>
                <w:u w:val="single"/>
              </w:rPr>
            </w:pPr>
            <w:ins w:id="264" w:author="Author">
              <w:r w:rsidRPr="002A677E">
                <w:rPr>
                  <w:rFonts w:ascii="Times New Roman" w:hAnsi="Times New Roman"/>
                  <w:b/>
                  <w:sz w:val="24"/>
                  <w:u w:val="single"/>
                </w:rPr>
                <w:t xml:space="preserve">Secured by </w:t>
              </w:r>
              <w:r>
                <w:rPr>
                  <w:rFonts w:ascii="Times New Roman" w:hAnsi="Times New Roman"/>
                  <w:b/>
                  <w:sz w:val="24"/>
                  <w:u w:val="single"/>
                </w:rPr>
                <w:t xml:space="preserve">residential real </w:t>
              </w:r>
              <w:proofErr w:type="gramStart"/>
              <w:r>
                <w:rPr>
                  <w:rFonts w:ascii="Times New Roman" w:hAnsi="Times New Roman"/>
                  <w:b/>
                  <w:sz w:val="24"/>
                  <w:u w:val="single"/>
                </w:rPr>
                <w:t>estate</w:t>
              </w:r>
              <w:proofErr w:type="gramEnd"/>
            </w:ins>
          </w:p>
          <w:p w14:paraId="3B8B837D" w14:textId="77777777" w:rsidR="00910F63" w:rsidRPr="00910F63" w:rsidRDefault="00910F63" w:rsidP="00910F63">
            <w:pPr>
              <w:rPr>
                <w:ins w:id="265" w:author="Author"/>
                <w:rFonts w:ascii="Times New Roman" w:hAnsi="Times New Roman"/>
                <w:bCs/>
                <w:sz w:val="24"/>
              </w:rPr>
            </w:pPr>
            <w:ins w:id="266" w:author="Author">
              <w:r w:rsidRPr="00910F63">
                <w:rPr>
                  <w:rFonts w:ascii="Times New Roman" w:hAnsi="Times New Roman"/>
                  <w:bCs/>
                  <w:sz w:val="24"/>
                </w:rPr>
                <w:t>Retail exposures as referred to in Article 147(2), point (d) (ii), of Regulation (EU) No 575/2013.</w:t>
              </w:r>
            </w:ins>
          </w:p>
          <w:p w14:paraId="7240267A" w14:textId="77777777" w:rsidR="00910F63" w:rsidRPr="002A677E" w:rsidRDefault="00910F63" w:rsidP="007400C4">
            <w:pPr>
              <w:rPr>
                <w:ins w:id="267" w:author="Author"/>
                <w:rFonts w:ascii="Times New Roman" w:hAnsi="Times New Roman"/>
                <w:b/>
                <w:sz w:val="24"/>
                <w:u w:val="single"/>
              </w:rPr>
            </w:pPr>
            <w:ins w:id="268" w:author="Author">
              <w:r w:rsidRPr="00910F63">
                <w:rPr>
                  <w:rFonts w:ascii="Times New Roman" w:hAnsi="Times New Roman"/>
                  <w:bCs/>
                  <w:sz w:val="24"/>
                </w:rPr>
                <w:t>Retail exposures secured by residential real estate will be considered any retail exposures secured by residential real estate recognised as collateral, regardless of the ratio of the value of collateral to the exposure or of the purpose of the loan.</w:t>
              </w:r>
            </w:ins>
          </w:p>
        </w:tc>
      </w:tr>
      <w:tr w:rsidR="009D6580" w:rsidRPr="00E47484" w:rsidDel="00D10012" w14:paraId="69DD5C1E" w14:textId="77777777" w:rsidTr="00822842">
        <w:trPr>
          <w:ins w:id="269" w:author="Author"/>
          <w:del w:id="270" w:author="Author"/>
        </w:trPr>
        <w:tc>
          <w:tcPr>
            <w:tcW w:w="1188" w:type="dxa"/>
            <w:shd w:val="clear" w:color="auto" w:fill="auto"/>
          </w:tcPr>
          <w:p w14:paraId="63743B60" w14:textId="77777777" w:rsidR="009D6580" w:rsidRPr="002A677E" w:rsidDel="00D10012" w:rsidRDefault="009D6580" w:rsidP="00822842">
            <w:pPr>
              <w:rPr>
                <w:ins w:id="271" w:author="Author"/>
                <w:del w:id="272" w:author="Author"/>
                <w:rFonts w:ascii="Times New Roman" w:hAnsi="Times New Roman"/>
                <w:sz w:val="24"/>
              </w:rPr>
            </w:pPr>
            <w:ins w:id="273" w:author="Author">
              <w:del w:id="274" w:author="Author">
                <w:r w:rsidDel="00D10012">
                  <w:rPr>
                    <w:rFonts w:ascii="Times New Roman" w:hAnsi="Times New Roman"/>
                    <w:sz w:val="24"/>
                  </w:rPr>
                  <w:delText>0091</w:delText>
                </w:r>
              </w:del>
            </w:ins>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D16AC4F" w14:textId="77777777" w:rsidR="009D6580" w:rsidRPr="00E47484" w:rsidDel="00D10012" w:rsidRDefault="009D6580" w:rsidP="00822842">
            <w:pPr>
              <w:rPr>
                <w:ins w:id="275" w:author="Author"/>
                <w:del w:id="276" w:author="Author"/>
                <w:rFonts w:ascii="Times New Roman" w:hAnsi="Times New Roman"/>
                <w:b/>
                <w:sz w:val="24"/>
                <w:u w:val="single"/>
              </w:rPr>
            </w:pPr>
            <w:ins w:id="277" w:author="Author">
              <w:del w:id="278" w:author="Author">
                <w:r w:rsidRPr="00B7761D" w:rsidDel="00D10012">
                  <w:rPr>
                    <w:rFonts w:ascii="Times New Roman" w:hAnsi="Times New Roman"/>
                    <w:b/>
                    <w:sz w:val="24"/>
                    <w:u w:val="single"/>
                  </w:rPr>
                  <w:delText>Residential property - Non-SME</w:delText>
                </w:r>
              </w:del>
            </w:ins>
          </w:p>
        </w:tc>
      </w:tr>
      <w:tr w:rsidR="009D6580" w:rsidRPr="00E47484" w:rsidDel="00D10012" w14:paraId="6AE0AEFB" w14:textId="77777777" w:rsidTr="00822842">
        <w:trPr>
          <w:ins w:id="279" w:author="Author"/>
          <w:del w:id="280" w:author="Author"/>
        </w:trPr>
        <w:tc>
          <w:tcPr>
            <w:tcW w:w="1188" w:type="dxa"/>
            <w:shd w:val="clear" w:color="auto" w:fill="auto"/>
          </w:tcPr>
          <w:p w14:paraId="6C23C9D5" w14:textId="77777777" w:rsidR="009D6580" w:rsidRPr="002A677E" w:rsidDel="00D10012" w:rsidRDefault="009D6580" w:rsidP="00822842">
            <w:pPr>
              <w:rPr>
                <w:ins w:id="281" w:author="Author"/>
                <w:del w:id="282" w:author="Author"/>
                <w:rFonts w:ascii="Times New Roman" w:hAnsi="Times New Roman"/>
                <w:sz w:val="24"/>
              </w:rPr>
            </w:pPr>
            <w:ins w:id="283" w:author="Author">
              <w:del w:id="284" w:author="Author">
                <w:r w:rsidDel="00D10012">
                  <w:rPr>
                    <w:rFonts w:ascii="Times New Roman" w:hAnsi="Times New Roman"/>
                    <w:sz w:val="24"/>
                  </w:rPr>
                  <w:delText>0092</w:delText>
                </w:r>
              </w:del>
            </w:ins>
          </w:p>
        </w:tc>
        <w:tc>
          <w:tcPr>
            <w:tcW w:w="8640" w:type="dxa"/>
            <w:tcBorders>
              <w:top w:val="nil"/>
              <w:left w:val="single" w:sz="4" w:space="0" w:color="auto"/>
              <w:bottom w:val="single" w:sz="4" w:space="0" w:color="auto"/>
              <w:right w:val="single" w:sz="4" w:space="0" w:color="auto"/>
            </w:tcBorders>
            <w:shd w:val="clear" w:color="auto" w:fill="auto"/>
            <w:vAlign w:val="center"/>
          </w:tcPr>
          <w:p w14:paraId="3402CF8A" w14:textId="77777777" w:rsidR="009D6580" w:rsidRPr="00E47484" w:rsidDel="00D10012" w:rsidRDefault="009D6580" w:rsidP="00822842">
            <w:pPr>
              <w:rPr>
                <w:ins w:id="285" w:author="Author"/>
                <w:del w:id="286" w:author="Author"/>
                <w:rFonts w:ascii="Times New Roman" w:hAnsi="Times New Roman"/>
                <w:b/>
                <w:sz w:val="24"/>
                <w:u w:val="single"/>
              </w:rPr>
            </w:pPr>
            <w:ins w:id="287" w:author="Author">
              <w:del w:id="288" w:author="Author">
                <w:r w:rsidRPr="00B7761D" w:rsidDel="00D10012">
                  <w:rPr>
                    <w:rFonts w:ascii="Times New Roman" w:hAnsi="Times New Roman"/>
                    <w:b/>
                    <w:sz w:val="24"/>
                    <w:u w:val="single"/>
                  </w:rPr>
                  <w:delText>Commercial property - Non-SME</w:delText>
                </w:r>
              </w:del>
            </w:ins>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640" w:type="dxa"/>
          </w:tcPr>
          <w:p w14:paraId="1B160106" w14:textId="086A2D23" w:rsidR="009D6580" w:rsidRPr="002A677E" w:rsidRDefault="009D6580" w:rsidP="00822842">
            <w:pPr>
              <w:rPr>
                <w:rFonts w:ascii="Times New Roman" w:hAnsi="Times New Roman"/>
                <w:b/>
                <w:sz w:val="24"/>
                <w:u w:val="single"/>
              </w:rPr>
            </w:pPr>
            <w:del w:id="289" w:author="Author">
              <w:r w:rsidRPr="002A677E" w:rsidDel="00B56773">
                <w:rPr>
                  <w:rFonts w:ascii="Times New Roman" w:hAnsi="Times New Roman"/>
                  <w:b/>
                  <w:sz w:val="24"/>
                  <w:u w:val="single"/>
                </w:rPr>
                <w:delText xml:space="preserve">Retail – </w:delText>
              </w:r>
            </w:del>
            <w:r w:rsidRPr="002A677E">
              <w:rPr>
                <w:rFonts w:ascii="Times New Roman" w:hAnsi="Times New Roman"/>
                <w:b/>
                <w:sz w:val="24"/>
                <w:u w:val="single"/>
              </w:rPr>
              <w:t>Qualifying revolving</w:t>
            </w:r>
          </w:p>
          <w:p w14:paraId="363209C3"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ins w:id="290" w:author="Author">
              <w:r>
                <w:rPr>
                  <w:rFonts w:ascii="Times New Roman" w:hAnsi="Times New Roman"/>
                  <w:bCs/>
                  <w:sz w:val="24"/>
                </w:rPr>
                <w:t xml:space="preserve"> (</w:t>
              </w:r>
              <w:proofErr w:type="spellStart"/>
              <w:r>
                <w:rPr>
                  <w:rFonts w:ascii="Times New Roman" w:hAnsi="Times New Roman"/>
                  <w:bCs/>
                  <w:sz w:val="24"/>
                </w:rPr>
                <w:t>i</w:t>
              </w:r>
              <w:proofErr w:type="spellEnd"/>
              <w:r>
                <w:rPr>
                  <w:rFonts w:ascii="Times New Roman" w:hAnsi="Times New Roman"/>
                  <w:bCs/>
                  <w:sz w:val="24"/>
                </w:rPr>
                <w:t>)</w:t>
              </w:r>
            </w:ins>
            <w:r w:rsidRPr="002A677E">
              <w:rPr>
                <w:rFonts w:ascii="Times New Roman" w:hAnsi="Times New Roman"/>
                <w:bCs/>
                <w:sz w:val="24"/>
              </w:rPr>
              <w:t xml:space="preserve"> </w:t>
            </w:r>
            <w:r w:rsidRPr="002A677E">
              <w:rPr>
                <w:rFonts w:ascii="Times New Roman" w:hAnsi="Times New Roman"/>
                <w:sz w:val="24"/>
                <w:lang w:eastAsia="de-DE"/>
              </w:rPr>
              <w:t xml:space="preserve">in conjunction with Article 154(4) </w:t>
            </w:r>
            <w:r w:rsidRPr="001235ED">
              <w:rPr>
                <w:rFonts w:ascii="Times New Roman" w:hAnsi="Times New Roman"/>
                <w:sz w:val="24"/>
                <w:lang w:val="en-US"/>
              </w:rPr>
              <w:t>of Regulation (EU) No 575/2013</w:t>
            </w:r>
          </w:p>
        </w:tc>
      </w:tr>
      <w:tr w:rsidR="009D6580" w:rsidRPr="002A677E" w14:paraId="26D0338D" w14:textId="77777777" w:rsidTr="00822842">
        <w:trPr>
          <w:ins w:id="291" w:author="Author"/>
        </w:trPr>
        <w:tc>
          <w:tcPr>
            <w:tcW w:w="1188" w:type="dxa"/>
          </w:tcPr>
          <w:p w14:paraId="6DA4B8E6" w14:textId="77777777" w:rsidR="009D6580" w:rsidRPr="002A677E" w:rsidRDefault="009D6580" w:rsidP="00822842">
            <w:pPr>
              <w:rPr>
                <w:ins w:id="292" w:author="Author"/>
                <w:rFonts w:ascii="Times New Roman" w:hAnsi="Times New Roman"/>
                <w:sz w:val="24"/>
              </w:rPr>
            </w:pPr>
            <w:ins w:id="293" w:author="Author">
              <w:r>
                <w:rPr>
                  <w:rFonts w:ascii="Times New Roman" w:hAnsi="Times New Roman"/>
                  <w:sz w:val="24"/>
                </w:rPr>
                <w:t>0105</w:t>
              </w:r>
            </w:ins>
          </w:p>
        </w:tc>
        <w:tc>
          <w:tcPr>
            <w:tcW w:w="8640" w:type="dxa"/>
          </w:tcPr>
          <w:p w14:paraId="63563096" w14:textId="485ECEE6" w:rsidR="009D6580" w:rsidRDefault="009D6580" w:rsidP="00822842">
            <w:pPr>
              <w:rPr>
                <w:ins w:id="294" w:author="Author"/>
                <w:rFonts w:ascii="Times New Roman" w:hAnsi="Times New Roman"/>
                <w:b/>
                <w:sz w:val="24"/>
                <w:u w:val="single"/>
              </w:rPr>
            </w:pPr>
            <w:ins w:id="295" w:author="Author">
              <w:r w:rsidRPr="00B7761D">
                <w:rPr>
                  <w:rFonts w:ascii="Times New Roman" w:hAnsi="Times New Roman"/>
                  <w:b/>
                  <w:sz w:val="24"/>
                  <w:u w:val="single"/>
                </w:rPr>
                <w:t xml:space="preserve">Purchased </w:t>
              </w:r>
              <w:proofErr w:type="gramStart"/>
              <w:r w:rsidRPr="00B7761D">
                <w:rPr>
                  <w:rFonts w:ascii="Times New Roman" w:hAnsi="Times New Roman"/>
                  <w:b/>
                  <w:sz w:val="24"/>
                  <w:u w:val="single"/>
                </w:rPr>
                <w:t>receivables</w:t>
              </w:r>
              <w:proofErr w:type="gramEnd"/>
            </w:ins>
          </w:p>
          <w:p w14:paraId="7C92CD05" w14:textId="77777777" w:rsidR="009D6580" w:rsidRPr="00B7761D" w:rsidRDefault="009D6580" w:rsidP="00822842">
            <w:pPr>
              <w:rPr>
                <w:ins w:id="296" w:author="Author"/>
                <w:rFonts w:cs="Calibri"/>
                <w:sz w:val="18"/>
                <w:szCs w:val="18"/>
              </w:rPr>
            </w:pPr>
            <w:ins w:id="297" w:author="Autho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(iii)</w:t>
              </w:r>
              <w:r w:rsidRPr="002A677E">
                <w:rPr>
                  <w:rFonts w:ascii="Times New Roman" w:hAnsi="Times New Roman"/>
                  <w:bCs/>
                  <w:sz w:val="24"/>
                </w:rPr>
                <w:t xml:space="preserve"> </w:t>
              </w:r>
              <w:r w:rsidRPr="001235ED">
                <w:rPr>
                  <w:rFonts w:ascii="Times New Roman" w:hAnsi="Times New Roman"/>
                  <w:sz w:val="24"/>
                  <w:lang w:val="en-US"/>
                </w:rPr>
                <w:t>of Regulation (EU) No 575/2013</w:t>
              </w:r>
            </w:ins>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Other Retail</w:t>
            </w:r>
          </w:p>
          <w:p w14:paraId="6BB335AD" w14:textId="667377B4"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ins w:id="298" w:author="Author">
              <w:r w:rsidR="005E7811">
                <w:rPr>
                  <w:rFonts w:ascii="Times New Roman" w:hAnsi="Times New Roman"/>
                  <w:bCs/>
                  <w:sz w:val="24"/>
                </w:rPr>
                <w:t xml:space="preserve"> (iv)</w:t>
              </w:r>
            </w:ins>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del w:id="299" w:author="Author">
              <w:r w:rsidRPr="002A677E" w:rsidDel="005E7811">
                <w:rPr>
                  <w:rFonts w:ascii="Times New Roman" w:hAnsi="Times New Roman"/>
                  <w:sz w:val="24"/>
                  <w:lang w:eastAsia="de-DE"/>
                </w:rPr>
                <w:delText xml:space="preserve"> which are not reported in rows 0070 – 010</w:delText>
              </w:r>
            </w:del>
            <w:ins w:id="300" w:author="Author">
              <w:del w:id="301" w:author="Author">
                <w:r w:rsidDel="005E7811">
                  <w:rPr>
                    <w:rFonts w:ascii="Times New Roman" w:hAnsi="Times New Roman"/>
                    <w:sz w:val="24"/>
                    <w:lang w:eastAsia="de-DE"/>
                  </w:rPr>
                  <w:delText>5</w:delText>
                </w:r>
              </w:del>
              <w:r>
                <w:rPr>
                  <w:rFonts w:ascii="Times New Roman" w:hAnsi="Times New Roman"/>
                  <w:sz w:val="24"/>
                  <w:lang w:eastAsia="de-DE"/>
                </w:rPr>
                <w:t>.</w:t>
              </w:r>
            </w:ins>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ins w:id="302" w:author="Author">
              <w:r>
                <w:rPr>
                  <w:rFonts w:ascii="Times New Roman" w:hAnsi="Times New Roman"/>
                  <w:b/>
                  <w:sz w:val="24"/>
                  <w:u w:val="single"/>
                </w:rPr>
                <w:t xml:space="preserve">Of which: </w:t>
              </w:r>
            </w:ins>
            <w:r w:rsidR="009D6580" w:rsidRPr="002A677E">
              <w:rPr>
                <w:rFonts w:ascii="Times New Roman" w:hAnsi="Times New Roman"/>
                <w:b/>
                <w:sz w:val="24"/>
                <w:u w:val="single"/>
              </w:rPr>
              <w:t>SME</w:t>
            </w:r>
          </w:p>
          <w:p w14:paraId="28CE96BD" w14:textId="62BF11E9"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Other retail exposures</w:t>
            </w:r>
            <w:ins w:id="303" w:author="Author">
              <w:r w:rsidR="005E7811">
                <w:rPr>
                  <w:rFonts w:ascii="Times New Roman" w:hAnsi="Times New Roman"/>
                  <w:sz w:val="24"/>
                  <w:lang w:eastAsia="de-DE"/>
                </w:rPr>
                <w:t xml:space="preserve"> </w:t>
              </w:r>
              <w:r w:rsidR="005E7811" w:rsidRPr="002A677E">
                <w:rPr>
                  <w:rFonts w:ascii="Times New Roman" w:hAnsi="Times New Roman"/>
                  <w:sz w:val="24"/>
                  <w:lang w:eastAsia="de-DE"/>
                </w:rPr>
                <w:t xml:space="preserve">as referred to in </w:t>
              </w:r>
              <w:r w:rsidR="005E7811" w:rsidRPr="002A677E">
                <w:rPr>
                  <w:rFonts w:ascii="Times New Roman" w:hAnsi="Times New Roman"/>
                  <w:sz w:val="24"/>
                </w:rPr>
                <w:t>Article 147(2)</w:t>
              </w:r>
              <w:r w:rsidR="005E7811">
                <w:rPr>
                  <w:rFonts w:ascii="Times New Roman" w:hAnsi="Times New Roman"/>
                  <w:sz w:val="24"/>
                </w:rPr>
                <w:t>, p</w:t>
              </w:r>
              <w:r w:rsidR="005E7811" w:rsidRPr="002A677E">
                <w:rPr>
                  <w:rFonts w:ascii="Times New Roman" w:hAnsi="Times New Roman"/>
                  <w:bCs/>
                  <w:sz w:val="24"/>
                </w:rPr>
                <w:t>oint (d)</w:t>
              </w:r>
              <w:r w:rsidR="005E7811">
                <w:rPr>
                  <w:rFonts w:ascii="Times New Roman" w:hAnsi="Times New Roman"/>
                  <w:bCs/>
                  <w:sz w:val="24"/>
                </w:rPr>
                <w:t xml:space="preserve"> (iv),</w:t>
              </w:r>
              <w:r w:rsidR="005E7811" w:rsidRPr="002A677E">
                <w:rPr>
                  <w:rFonts w:ascii="Times New Roman" w:hAnsi="Times New Roman"/>
                  <w:bCs/>
                  <w:sz w:val="24"/>
                </w:rPr>
                <w:t xml:space="preserve"> </w:t>
              </w:r>
              <w:r w:rsidR="005E7811" w:rsidRPr="001235ED">
                <w:rPr>
                  <w:rFonts w:ascii="Times New Roman" w:hAnsi="Times New Roman"/>
                  <w:sz w:val="24"/>
                  <w:lang w:val="en-US"/>
                </w:rPr>
                <w:t>of Regulation (EU) No 575/2013</w:t>
              </w:r>
              <w:r w:rsidR="00837F98">
                <w:rPr>
                  <w:rFonts w:ascii="Times New Roman" w:hAnsi="Times New Roman"/>
                  <w:sz w:val="24"/>
                  <w:lang w:eastAsia="de-DE"/>
                </w:rPr>
                <w:t>, in conjunction with</w:t>
              </w:r>
            </w:ins>
            <w:del w:id="304" w:author="Author">
              <w:r w:rsidRPr="002A677E" w:rsidDel="00837F98">
                <w:rPr>
                  <w:rFonts w:ascii="Times New Roman" w:hAnsi="Times New Roman"/>
                  <w:sz w:val="24"/>
                  <w:lang w:eastAsia="de-DE"/>
                </w:rPr>
                <w:delText xml:space="preserve"> </w:delText>
              </w:r>
            </w:del>
            <w:ins w:id="305" w:author="Author">
              <w:del w:id="306" w:author="Author">
                <w:r w:rsidRPr="002A677E" w:rsidDel="00837F98">
                  <w:rPr>
                    <w:rFonts w:ascii="Times New Roman" w:hAnsi="Times New Roman"/>
                    <w:sz w:val="24"/>
                    <w:lang w:eastAsia="de-DE"/>
                  </w:rPr>
                  <w:delText xml:space="preserve">which </w:delText>
                </w:r>
                <w:r w:rsidDel="00837F98">
                  <w:rPr>
                    <w:rFonts w:ascii="Times New Roman" w:hAnsi="Times New Roman"/>
                    <w:sz w:val="24"/>
                    <w:lang w:eastAsia="de-DE"/>
                  </w:rPr>
                  <w:delText xml:space="preserve"> the definition </w:delText>
                </w:r>
                <w:r w:rsidRPr="002A677E" w:rsidDel="00837F98">
                  <w:rPr>
                    <w:rFonts w:ascii="Times New Roman" w:hAnsi="Times New Roman"/>
                    <w:sz w:val="24"/>
                    <w:lang w:eastAsia="de-DE"/>
                  </w:rPr>
                  <w:delText xml:space="preserve">of SME </w:delText>
                </w:r>
                <w:r w:rsidDel="00837F98">
                  <w:rPr>
                    <w:rFonts w:ascii="Times New Roman" w:hAnsi="Times New Roman"/>
                    <w:sz w:val="24"/>
                    <w:lang w:eastAsia="de-DE"/>
                  </w:rPr>
                  <w:delText xml:space="preserve">in </w:delText>
                </w:r>
              </w:del>
              <w:r w:rsidR="00837F98">
                <w:rPr>
                  <w:rFonts w:ascii="Times New Roman" w:hAnsi="Times New Roman"/>
                  <w:sz w:val="24"/>
                  <w:lang w:eastAsia="de-DE"/>
                </w:rPr>
                <w:t xml:space="preserve"> </w:t>
              </w:r>
              <w:r>
                <w:rPr>
                  <w:rFonts w:ascii="Times New Roman" w:hAnsi="Times New Roman"/>
                  <w:sz w:val="24"/>
                  <w:lang w:eastAsia="de-DE"/>
                </w:rPr>
                <w:t xml:space="preserve">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del w:id="307" w:author="Author">
              <w:r w:rsidRPr="002A677E" w:rsidDel="002C69C5">
                <w:rPr>
                  <w:rFonts w:ascii="Times New Roman" w:hAnsi="Times New Roman"/>
                  <w:sz w:val="24"/>
                  <w:lang w:eastAsia="de-DE"/>
                </w:rPr>
                <w:delText xml:space="preserve">to SMEs as referred to in </w:delText>
              </w:r>
              <w:r w:rsidRPr="002A677E" w:rsidDel="002C69C5">
                <w:rPr>
                  <w:rFonts w:ascii="Times New Roman" w:hAnsi="Times New Roman"/>
                  <w:sz w:val="24"/>
                </w:rPr>
                <w:delText>Article 147(2)</w:delText>
              </w:r>
              <w:r w:rsidDel="002C69C5">
                <w:rPr>
                  <w:rFonts w:ascii="Times New Roman" w:hAnsi="Times New Roman"/>
                  <w:sz w:val="24"/>
                </w:rPr>
                <w:delText>, p</w:delText>
              </w:r>
              <w:r w:rsidRPr="002A677E" w:rsidDel="002C69C5">
                <w:rPr>
                  <w:rFonts w:ascii="Times New Roman" w:hAnsi="Times New Roman"/>
                  <w:bCs/>
                  <w:sz w:val="24"/>
                </w:rPr>
                <w:delText>oint (d)</w:delText>
              </w:r>
              <w:r w:rsidDel="002C69C5">
                <w:rPr>
                  <w:rFonts w:ascii="Times New Roman" w:hAnsi="Times New Roman"/>
                  <w:bCs/>
                  <w:sz w:val="24"/>
                </w:rPr>
                <w:delText>,</w:delText>
              </w:r>
              <w:r w:rsidRPr="002A677E" w:rsidDel="002C69C5">
                <w:rPr>
                  <w:rFonts w:ascii="Times New Roman" w:hAnsi="Times New Roman"/>
                  <w:bCs/>
                  <w:sz w:val="24"/>
                </w:rPr>
                <w:delText xml:space="preserve"> </w:delText>
              </w:r>
              <w:r w:rsidRPr="001235ED" w:rsidDel="002C69C5">
                <w:rPr>
                  <w:rFonts w:ascii="Times New Roman" w:hAnsi="Times New Roman"/>
                  <w:sz w:val="24"/>
                  <w:lang w:val="en-US"/>
                </w:rPr>
                <w:delText>of Regulation (EU) No 575/2013</w:delText>
              </w:r>
            </w:del>
          </w:p>
        </w:tc>
      </w:tr>
      <w:tr w:rsidR="009D6580" w:rsidRPr="002A677E" w:rsidDel="00837F98" w14:paraId="5AE99398" w14:textId="05740228" w:rsidTr="00822842">
        <w:trPr>
          <w:ins w:id="308" w:author="Author"/>
          <w:del w:id="309" w:author="Author"/>
        </w:trPr>
        <w:tc>
          <w:tcPr>
            <w:tcW w:w="1188" w:type="dxa"/>
          </w:tcPr>
          <w:p w14:paraId="0EA8A103" w14:textId="71C73144" w:rsidR="009D6580" w:rsidRPr="002A677E" w:rsidDel="00837F98" w:rsidRDefault="009D6580" w:rsidP="00822842">
            <w:pPr>
              <w:rPr>
                <w:ins w:id="310" w:author="Author"/>
                <w:del w:id="311" w:author="Author"/>
                <w:rFonts w:ascii="Times New Roman" w:hAnsi="Times New Roman"/>
                <w:sz w:val="24"/>
              </w:rPr>
            </w:pPr>
            <w:ins w:id="312" w:author="Author">
              <w:del w:id="313" w:author="Author">
                <w:r w:rsidRPr="002A677E" w:rsidDel="00837F98">
                  <w:rPr>
                    <w:rFonts w:ascii="Times New Roman" w:hAnsi="Times New Roman"/>
                    <w:sz w:val="24"/>
                  </w:rPr>
                  <w:delText>01</w:delText>
                </w:r>
                <w:r w:rsidDel="00837F98">
                  <w:rPr>
                    <w:rFonts w:ascii="Times New Roman" w:hAnsi="Times New Roman"/>
                    <w:sz w:val="24"/>
                  </w:rPr>
                  <w:delText>21</w:delText>
                </w:r>
              </w:del>
            </w:ins>
          </w:p>
        </w:tc>
        <w:tc>
          <w:tcPr>
            <w:tcW w:w="8640" w:type="dxa"/>
          </w:tcPr>
          <w:p w14:paraId="7635A463" w14:textId="79C6875A" w:rsidR="009D6580" w:rsidDel="00837F98" w:rsidRDefault="009D6580" w:rsidP="00822842">
            <w:pPr>
              <w:rPr>
                <w:ins w:id="314" w:author="Author"/>
                <w:del w:id="315" w:author="Author"/>
                <w:rFonts w:ascii="Times New Roman" w:hAnsi="Times New Roman"/>
                <w:b/>
                <w:sz w:val="24"/>
                <w:u w:val="single"/>
              </w:rPr>
            </w:pPr>
            <w:ins w:id="316" w:author="Author">
              <w:del w:id="317" w:author="Author">
                <w:r w:rsidDel="00837F98">
                  <w:rPr>
                    <w:rFonts w:ascii="Times New Roman" w:hAnsi="Times New Roman"/>
                    <w:b/>
                    <w:sz w:val="24"/>
                    <w:u w:val="single"/>
                  </w:rPr>
                  <w:delText xml:space="preserve">Of which: </w:delText>
                </w:r>
                <w:r w:rsidRPr="004D7F22" w:rsidDel="00837F98">
                  <w:rPr>
                    <w:rFonts w:ascii="Times New Roman" w:hAnsi="Times New Roman"/>
                    <w:b/>
                    <w:sz w:val="24"/>
                    <w:u w:val="single"/>
                  </w:rPr>
                  <w:delText>Secured by commercial real estate</w:delText>
                </w:r>
              </w:del>
            </w:ins>
          </w:p>
          <w:p w14:paraId="02F061EE" w14:textId="6B24FFBE" w:rsidR="009D6580" w:rsidRPr="002A677E" w:rsidDel="00837F98" w:rsidRDefault="009D6580" w:rsidP="00822842">
            <w:pPr>
              <w:rPr>
                <w:ins w:id="318" w:author="Author"/>
                <w:del w:id="319" w:author="Author"/>
                <w:rFonts w:ascii="Times New Roman" w:hAnsi="Times New Roman"/>
                <w:b/>
                <w:sz w:val="24"/>
                <w:u w:val="single"/>
              </w:rPr>
            </w:pPr>
            <w:ins w:id="320" w:author="Author">
              <w:del w:id="321" w:author="Author">
                <w:r w:rsidRPr="002A677E" w:rsidDel="00837F98">
                  <w:rPr>
                    <w:rFonts w:ascii="Times New Roman" w:hAnsi="Times New Roman"/>
                    <w:sz w:val="24"/>
                    <w:lang w:eastAsia="de-DE"/>
                  </w:rPr>
                  <w:delText xml:space="preserve">Other retail exposures </w:delText>
                </w:r>
                <w:r w:rsidDel="00837F98">
                  <w:rPr>
                    <w:rFonts w:ascii="Times New Roman" w:hAnsi="Times New Roman"/>
                    <w:sz w:val="24"/>
                    <w:lang w:eastAsia="de-DE"/>
                  </w:rPr>
                  <w:delText>reported in row 0120</w:delText>
                </w:r>
                <w:r w:rsidRPr="002A677E" w:rsidDel="00837F98">
                  <w:rPr>
                    <w:rFonts w:ascii="Times New Roman" w:hAnsi="Times New Roman"/>
                    <w:sz w:val="24"/>
                    <w:lang w:eastAsia="de-DE"/>
                  </w:rPr>
                  <w:delText xml:space="preserve"> which are </w:delText>
                </w:r>
                <w:r w:rsidDel="00837F98">
                  <w:rPr>
                    <w:rFonts w:ascii="Times New Roman" w:hAnsi="Times New Roman"/>
                    <w:sz w:val="24"/>
                    <w:lang w:eastAsia="de-DE"/>
                  </w:rPr>
                  <w:delText>secured by commercial real estate as defined in</w:delText>
                </w:r>
                <w:r w:rsidRPr="002A677E" w:rsidDel="00837F98">
                  <w:rPr>
                    <w:rFonts w:ascii="Times New Roman" w:hAnsi="Times New Roman"/>
                    <w:sz w:val="24"/>
                    <w:lang w:eastAsia="de-DE"/>
                  </w:rPr>
                  <w:delText xml:space="preserve"> Article </w:delText>
                </w:r>
                <w:r w:rsidDel="00837F98">
                  <w:rPr>
                    <w:rFonts w:ascii="Times New Roman" w:hAnsi="Times New Roman"/>
                    <w:sz w:val="24"/>
                    <w:lang w:eastAsia="de-DE"/>
                  </w:rPr>
                  <w:delText xml:space="preserve">4 (1), point </w:delText>
                </w:r>
                <w:r w:rsidRPr="002A677E" w:rsidDel="00837F98">
                  <w:rPr>
                    <w:rFonts w:ascii="Times New Roman" w:hAnsi="Times New Roman"/>
                    <w:sz w:val="24"/>
                    <w:lang w:eastAsia="de-DE"/>
                  </w:rPr>
                  <w:delText>(</w:delText>
                </w:r>
                <w:r w:rsidDel="00837F98">
                  <w:rPr>
                    <w:rFonts w:ascii="Times New Roman" w:hAnsi="Times New Roman"/>
                    <w:sz w:val="24"/>
                    <w:lang w:eastAsia="de-DE"/>
                  </w:rPr>
                  <w:delText>75a</w:delText>
                </w:r>
                <w:r w:rsidRPr="002A677E" w:rsidDel="00837F98">
                  <w:rPr>
                    <w:rFonts w:ascii="Times New Roman" w:hAnsi="Times New Roman"/>
                    <w:sz w:val="24"/>
                    <w:lang w:eastAsia="de-DE"/>
                  </w:rPr>
                  <w:delText xml:space="preserve">) </w:delText>
                </w:r>
                <w:r w:rsidRPr="001235ED" w:rsidDel="00837F98">
                  <w:rPr>
                    <w:rFonts w:ascii="Times New Roman" w:hAnsi="Times New Roman"/>
                    <w:sz w:val="24"/>
                    <w:lang w:val="en-US"/>
                  </w:rPr>
                  <w:delText>of Regulation (EU) No 575/2013</w:delText>
                </w:r>
                <w:r w:rsidDel="00837F98">
                  <w:rPr>
                    <w:rFonts w:ascii="Times New Roman" w:hAnsi="Times New Roman"/>
                    <w:sz w:val="24"/>
                    <w:lang w:val="en-US"/>
                  </w:rPr>
                  <w:delText>.</w:delText>
                </w:r>
                <w:r w:rsidDel="00837F98">
                  <w:rPr>
                    <w:rFonts w:ascii="Times New Roman" w:hAnsi="Times New Roman"/>
                    <w:sz w:val="24"/>
                    <w:lang w:eastAsia="de-DE"/>
                  </w:rPr>
                  <w:delText xml:space="preserve"> </w:delText>
                </w:r>
              </w:del>
            </w:ins>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sidRPr="002A677E">
              <w:rPr>
                <w:rFonts w:ascii="Times New Roman" w:hAnsi="Times New Roman"/>
                <w:sz w:val="24"/>
              </w:rPr>
              <w:t>0130</w:t>
            </w:r>
          </w:p>
        </w:tc>
        <w:tc>
          <w:tcPr>
            <w:tcW w:w="8640" w:type="dxa"/>
          </w:tcPr>
          <w:p w14:paraId="40BDF108" w14:textId="2B96A314" w:rsidR="009D6580" w:rsidRPr="002A677E" w:rsidRDefault="00837F98" w:rsidP="00822842">
            <w:pPr>
              <w:rPr>
                <w:rFonts w:ascii="Times New Roman" w:hAnsi="Times New Roman"/>
                <w:b/>
                <w:sz w:val="24"/>
                <w:u w:val="single"/>
              </w:rPr>
            </w:pPr>
            <w:ins w:id="322" w:author="Author">
              <w:r>
                <w:rPr>
                  <w:rFonts w:ascii="Times New Roman" w:hAnsi="Times New Roman"/>
                  <w:b/>
                  <w:sz w:val="24"/>
                  <w:u w:val="single"/>
                </w:rPr>
                <w:t xml:space="preserve">Of Which: </w:t>
              </w:r>
            </w:ins>
            <w:r w:rsidR="009D6580" w:rsidRPr="002A677E">
              <w:rPr>
                <w:rFonts w:ascii="Times New Roman" w:hAnsi="Times New Roman"/>
                <w:b/>
                <w:sz w:val="24"/>
                <w:u w:val="single"/>
              </w:rPr>
              <w:t>non-SME</w:t>
            </w:r>
          </w:p>
          <w:p w14:paraId="51D486B6" w14:textId="48E21710" w:rsidR="009D6580" w:rsidRPr="002A677E" w:rsidRDefault="00837F98" w:rsidP="00822842">
            <w:pPr>
              <w:rPr>
                <w:rFonts w:ascii="Times New Roman" w:hAnsi="Times New Roman"/>
                <w:sz w:val="24"/>
              </w:rPr>
            </w:pPr>
            <w:ins w:id="323" w:author="Author">
              <w:r w:rsidRPr="002A677E">
                <w:rPr>
                  <w:rFonts w:ascii="Times New Roman" w:hAnsi="Times New Roman"/>
                  <w:sz w:val="24"/>
                  <w:lang w:eastAsia="de-DE"/>
                </w:rPr>
                <w:t>Other retail exposures</w:t>
              </w:r>
              <w:r>
                <w:rPr>
                  <w:rFonts w:ascii="Times New Roman" w:hAnsi="Times New Roman"/>
                  <w:sz w:val="24"/>
                  <w:lang w:eastAsia="de-DE"/>
                </w:rPr>
                <w:t xml:space="preserve"> </w:t>
              </w:r>
              <w:r w:rsidRPr="002A677E">
                <w:rPr>
                  <w:rFonts w:ascii="Times New Roman" w:hAnsi="Times New Roman"/>
                  <w:sz w:val="24"/>
                  <w:lang w:eastAsia="de-DE"/>
                </w:rPr>
                <w:t xml:space="preserve">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(iv),</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Article 5 (8) </w:t>
              </w:r>
              <w:r w:rsidRPr="001235ED">
                <w:rPr>
                  <w:rFonts w:ascii="Times New Roman" w:hAnsi="Times New Roman"/>
                  <w:sz w:val="24"/>
                  <w:lang w:val="en-US"/>
                </w:rPr>
                <w:t xml:space="preserve">of Regulation (EU) No </w:t>
              </w:r>
              <w:r w:rsidRPr="001235ED">
                <w:rPr>
                  <w:rFonts w:ascii="Times New Roman" w:hAnsi="Times New Roman"/>
                  <w:sz w:val="24"/>
                  <w:lang w:val="en-US"/>
                </w:rPr>
                <w:lastRenderedPageBreak/>
                <w:t>575/2013</w:t>
              </w:r>
              <w:r w:rsidRPr="002A677E">
                <w:rPr>
                  <w:rFonts w:ascii="Times New Roman" w:hAnsi="Times New Roman"/>
                  <w:sz w:val="24"/>
                  <w:lang w:eastAsia="de-DE"/>
                </w:rPr>
                <w:t>.</w:t>
              </w:r>
            </w:ins>
            <w:del w:id="324" w:author="Author">
              <w:r w:rsidR="009D6580" w:rsidRPr="002A677E" w:rsidDel="00837F98">
                <w:rPr>
                  <w:rFonts w:ascii="Times New Roman" w:hAnsi="Times New Roman"/>
                  <w:sz w:val="24"/>
                  <w:lang w:eastAsia="de-DE"/>
                </w:rPr>
                <w:delText>Other retail exposures</w:delText>
              </w:r>
            </w:del>
            <w:ins w:id="325" w:author="Author">
              <w:del w:id="326" w:author="Author">
                <w:r w:rsidR="009D6580" w:rsidDel="00837F98">
                  <w:rPr>
                    <w:rFonts w:ascii="Times New Roman" w:hAnsi="Times New Roman"/>
                    <w:sz w:val="24"/>
                    <w:lang w:eastAsia="de-DE"/>
                  </w:rPr>
                  <w:delText xml:space="preserve"> </w:delText>
                </w:r>
              </w:del>
            </w:ins>
            <w:del w:id="327" w:author="Author">
              <w:r w:rsidR="009D6580" w:rsidRPr="002A677E" w:rsidDel="00837F98">
                <w:rPr>
                  <w:rFonts w:ascii="Times New Roman" w:hAnsi="Times New Roman"/>
                  <w:sz w:val="24"/>
                  <w:lang w:eastAsia="de-DE"/>
                </w:rPr>
                <w:delText xml:space="preserve"> to individuals as referred to in Article 147(2)</w:delText>
              </w:r>
              <w:r w:rsidR="009D6580" w:rsidDel="00837F98">
                <w:rPr>
                  <w:rFonts w:ascii="Times New Roman" w:hAnsi="Times New Roman"/>
                  <w:sz w:val="24"/>
                  <w:lang w:eastAsia="de-DE"/>
                </w:rPr>
                <w:delText>, p</w:delText>
              </w:r>
              <w:r w:rsidR="009D6580" w:rsidRPr="002A677E" w:rsidDel="00837F98">
                <w:rPr>
                  <w:rFonts w:ascii="Times New Roman" w:hAnsi="Times New Roman"/>
                  <w:sz w:val="24"/>
                  <w:lang w:eastAsia="de-DE"/>
                </w:rPr>
                <w:delText>oint (d)</w:delText>
              </w:r>
              <w:r w:rsidR="009D6580" w:rsidDel="00837F98">
                <w:rPr>
                  <w:rFonts w:ascii="Times New Roman" w:hAnsi="Times New Roman"/>
                  <w:sz w:val="24"/>
                  <w:lang w:eastAsia="de-DE"/>
                </w:rPr>
                <w:delText>,</w:delText>
              </w:r>
              <w:r w:rsidR="009D6580" w:rsidRPr="002A677E" w:rsidDel="00837F98">
                <w:rPr>
                  <w:rFonts w:ascii="Times New Roman" w:hAnsi="Times New Roman"/>
                  <w:sz w:val="24"/>
                  <w:lang w:eastAsia="de-DE"/>
                </w:rPr>
                <w:delText xml:space="preserve"> </w:delText>
              </w:r>
              <w:r w:rsidR="009D6580" w:rsidRPr="001235ED" w:rsidDel="00837F98">
                <w:rPr>
                  <w:rFonts w:ascii="Times New Roman" w:hAnsi="Times New Roman"/>
                  <w:sz w:val="24"/>
                  <w:lang w:val="en-US"/>
                </w:rPr>
                <w:delText>of Regulation (EU) No 575/2013</w:delText>
              </w:r>
            </w:del>
            <w:ins w:id="328" w:author="Author">
              <w:del w:id="329" w:author="Author">
                <w:r w:rsidR="009D6580" w:rsidDel="00837F98">
                  <w:rPr>
                    <w:rFonts w:ascii="Times New Roman" w:hAnsi="Times New Roman"/>
                    <w:sz w:val="24"/>
                    <w:lang w:eastAsia="de-DE"/>
                  </w:rPr>
                  <w:delText xml:space="preserve">not reported under row 0120. </w:delText>
                </w:r>
              </w:del>
            </w:ins>
          </w:p>
        </w:tc>
      </w:tr>
      <w:tr w:rsidR="009D6580" w:rsidRPr="002A677E" w:rsidDel="00837F98" w14:paraId="69722CAA" w14:textId="64FB5138" w:rsidTr="00822842">
        <w:trPr>
          <w:ins w:id="330" w:author="Author"/>
          <w:del w:id="331" w:author="Author"/>
        </w:trPr>
        <w:tc>
          <w:tcPr>
            <w:tcW w:w="1188" w:type="dxa"/>
          </w:tcPr>
          <w:p w14:paraId="11E7369D" w14:textId="7B6086B2" w:rsidR="009D6580" w:rsidRPr="002A677E" w:rsidDel="00837F98" w:rsidRDefault="009D6580" w:rsidP="00822842">
            <w:pPr>
              <w:rPr>
                <w:ins w:id="332" w:author="Author"/>
                <w:del w:id="333" w:author="Author"/>
                <w:rFonts w:ascii="Times New Roman" w:hAnsi="Times New Roman"/>
                <w:sz w:val="24"/>
              </w:rPr>
            </w:pPr>
            <w:ins w:id="334" w:author="Author">
              <w:del w:id="335" w:author="Author">
                <w:r w:rsidRPr="002A677E" w:rsidDel="00837F98">
                  <w:rPr>
                    <w:rFonts w:ascii="Times New Roman" w:hAnsi="Times New Roman"/>
                    <w:sz w:val="24"/>
                  </w:rPr>
                  <w:lastRenderedPageBreak/>
                  <w:delText>01</w:delText>
                </w:r>
                <w:r w:rsidDel="00837F98">
                  <w:rPr>
                    <w:rFonts w:ascii="Times New Roman" w:hAnsi="Times New Roman"/>
                    <w:sz w:val="24"/>
                  </w:rPr>
                  <w:delText>31</w:delText>
                </w:r>
              </w:del>
            </w:ins>
          </w:p>
        </w:tc>
        <w:tc>
          <w:tcPr>
            <w:tcW w:w="8640" w:type="dxa"/>
          </w:tcPr>
          <w:p w14:paraId="6E26E0D3" w14:textId="05CD817B" w:rsidR="009D6580" w:rsidDel="00837F98" w:rsidRDefault="009D6580" w:rsidP="00822842">
            <w:pPr>
              <w:rPr>
                <w:ins w:id="336" w:author="Author"/>
                <w:del w:id="337" w:author="Author"/>
                <w:rFonts w:ascii="Times New Roman" w:hAnsi="Times New Roman"/>
                <w:b/>
                <w:sz w:val="24"/>
                <w:u w:val="single"/>
              </w:rPr>
            </w:pPr>
            <w:ins w:id="338" w:author="Author">
              <w:del w:id="339" w:author="Author">
                <w:r w:rsidDel="00837F98">
                  <w:rPr>
                    <w:rFonts w:ascii="Times New Roman" w:hAnsi="Times New Roman"/>
                    <w:b/>
                    <w:sz w:val="24"/>
                    <w:u w:val="single"/>
                  </w:rPr>
                  <w:delText xml:space="preserve">Of which: </w:delText>
                </w:r>
                <w:r w:rsidRPr="004D7F22" w:rsidDel="00837F98">
                  <w:rPr>
                    <w:rFonts w:ascii="Times New Roman" w:hAnsi="Times New Roman"/>
                    <w:b/>
                    <w:sz w:val="24"/>
                    <w:u w:val="single"/>
                  </w:rPr>
                  <w:delText>Secured by commercial real estate</w:delText>
                </w:r>
              </w:del>
            </w:ins>
          </w:p>
          <w:p w14:paraId="648BFCE8" w14:textId="030B5653" w:rsidR="009D6580" w:rsidRPr="002A677E" w:rsidDel="00837F98" w:rsidRDefault="009D6580" w:rsidP="00822842">
            <w:pPr>
              <w:rPr>
                <w:ins w:id="340" w:author="Author"/>
                <w:del w:id="341" w:author="Author"/>
                <w:rFonts w:ascii="Times New Roman" w:hAnsi="Times New Roman"/>
                <w:b/>
                <w:sz w:val="24"/>
                <w:u w:val="single"/>
              </w:rPr>
            </w:pPr>
            <w:ins w:id="342" w:author="Author">
              <w:del w:id="343" w:author="Author">
                <w:r w:rsidRPr="002A677E" w:rsidDel="00837F98">
                  <w:rPr>
                    <w:rFonts w:ascii="Times New Roman" w:hAnsi="Times New Roman"/>
                    <w:sz w:val="24"/>
                    <w:lang w:eastAsia="de-DE"/>
                  </w:rPr>
                  <w:delText xml:space="preserve">Other retail exposures </w:delText>
                </w:r>
                <w:r w:rsidDel="00837F98">
                  <w:rPr>
                    <w:rFonts w:ascii="Times New Roman" w:hAnsi="Times New Roman"/>
                    <w:sz w:val="24"/>
                    <w:lang w:eastAsia="de-DE"/>
                  </w:rPr>
                  <w:delText>reported in row 0130</w:delText>
                </w:r>
                <w:r w:rsidRPr="002A677E" w:rsidDel="00837F98">
                  <w:rPr>
                    <w:rFonts w:ascii="Times New Roman" w:hAnsi="Times New Roman"/>
                    <w:sz w:val="24"/>
                    <w:lang w:eastAsia="de-DE"/>
                  </w:rPr>
                  <w:delText xml:space="preserve"> which are </w:delText>
                </w:r>
                <w:r w:rsidDel="00837F98">
                  <w:rPr>
                    <w:rFonts w:ascii="Times New Roman" w:hAnsi="Times New Roman"/>
                    <w:sz w:val="24"/>
                    <w:lang w:eastAsia="de-DE"/>
                  </w:rPr>
                  <w:delText>secured by commercial real estate as defined in</w:delText>
                </w:r>
                <w:r w:rsidRPr="002A677E" w:rsidDel="00837F98">
                  <w:rPr>
                    <w:rFonts w:ascii="Times New Roman" w:hAnsi="Times New Roman"/>
                    <w:sz w:val="24"/>
                    <w:lang w:eastAsia="de-DE"/>
                  </w:rPr>
                  <w:delText xml:space="preserve"> Article </w:delText>
                </w:r>
                <w:r w:rsidDel="00837F98">
                  <w:rPr>
                    <w:rFonts w:ascii="Times New Roman" w:hAnsi="Times New Roman"/>
                    <w:sz w:val="24"/>
                    <w:lang w:eastAsia="de-DE"/>
                  </w:rPr>
                  <w:delText xml:space="preserve">4 (1), point </w:delText>
                </w:r>
                <w:r w:rsidRPr="002A677E" w:rsidDel="00837F98">
                  <w:rPr>
                    <w:rFonts w:ascii="Times New Roman" w:hAnsi="Times New Roman"/>
                    <w:sz w:val="24"/>
                    <w:lang w:eastAsia="de-DE"/>
                  </w:rPr>
                  <w:delText>(</w:delText>
                </w:r>
                <w:r w:rsidDel="00837F98">
                  <w:rPr>
                    <w:rFonts w:ascii="Times New Roman" w:hAnsi="Times New Roman"/>
                    <w:sz w:val="24"/>
                    <w:lang w:eastAsia="de-DE"/>
                  </w:rPr>
                  <w:delText>75a</w:delText>
                </w:r>
                <w:r w:rsidRPr="002A677E" w:rsidDel="00837F98">
                  <w:rPr>
                    <w:rFonts w:ascii="Times New Roman" w:hAnsi="Times New Roman"/>
                    <w:sz w:val="24"/>
                    <w:lang w:eastAsia="de-DE"/>
                  </w:rPr>
                  <w:delText xml:space="preserve">) </w:delText>
                </w:r>
                <w:r w:rsidRPr="001235ED" w:rsidDel="00837F98">
                  <w:rPr>
                    <w:rFonts w:ascii="Times New Roman" w:hAnsi="Times New Roman"/>
                    <w:sz w:val="24"/>
                    <w:lang w:val="en-US"/>
                  </w:rPr>
                  <w:delText>of Regulation (EU) No 575/2013</w:delText>
                </w:r>
                <w:r w:rsidDel="00837F98">
                  <w:rPr>
                    <w:rFonts w:ascii="Times New Roman" w:hAnsi="Times New Roman"/>
                    <w:sz w:val="24"/>
                    <w:lang w:val="en-US"/>
                  </w:rPr>
                  <w:delText>.</w:delText>
                </w:r>
                <w:r w:rsidDel="00837F98">
                  <w:rPr>
                    <w:rFonts w:ascii="Times New Roman" w:hAnsi="Times New Roman"/>
                    <w:sz w:val="24"/>
                    <w:lang w:eastAsia="de-DE"/>
                  </w:rPr>
                  <w:delText xml:space="preserve"> </w:delText>
                </w:r>
              </w:del>
            </w:ins>
          </w:p>
        </w:tc>
      </w:tr>
      <w:tr w:rsidR="009D6580" w:rsidRPr="002A677E" w14:paraId="70A29A85" w14:textId="77777777" w:rsidTr="00822842">
        <w:trPr>
          <w:ins w:id="344" w:author="Author"/>
        </w:trPr>
        <w:tc>
          <w:tcPr>
            <w:tcW w:w="1188" w:type="dxa"/>
          </w:tcPr>
          <w:p w14:paraId="5C287489" w14:textId="77777777" w:rsidR="009D6580" w:rsidRPr="002A677E" w:rsidRDefault="009D6580" w:rsidP="00822842">
            <w:pPr>
              <w:rPr>
                <w:ins w:id="345" w:author="Author"/>
                <w:rFonts w:ascii="Times New Roman" w:hAnsi="Times New Roman"/>
                <w:sz w:val="24"/>
              </w:rPr>
            </w:pPr>
            <w:ins w:id="346" w:author="Author">
              <w:r>
                <w:rPr>
                  <w:rFonts w:ascii="Times New Roman" w:hAnsi="Times New Roman"/>
                  <w:sz w:val="24"/>
                </w:rPr>
                <w:t>0132</w:t>
              </w:r>
            </w:ins>
          </w:p>
        </w:tc>
        <w:tc>
          <w:tcPr>
            <w:tcW w:w="8640" w:type="dxa"/>
          </w:tcPr>
          <w:p w14:paraId="170B9280" w14:textId="77777777" w:rsidR="009D6580" w:rsidRPr="002A677E" w:rsidRDefault="009D6580" w:rsidP="00822842">
            <w:pPr>
              <w:rPr>
                <w:ins w:id="347" w:author="Author"/>
                <w:rStyle w:val="InstructionsTabelleberschrift"/>
                <w:rFonts w:ascii="Times New Roman" w:hAnsi="Times New Roman"/>
                <w:sz w:val="24"/>
              </w:rPr>
            </w:pPr>
            <w:ins w:id="348" w:author="Author">
              <w:r w:rsidRPr="002A677E">
                <w:rPr>
                  <w:rStyle w:val="InstructionsTabelleberschrift"/>
                  <w:rFonts w:ascii="Times New Roman" w:hAnsi="Times New Roman"/>
                  <w:sz w:val="24"/>
                </w:rPr>
                <w:t>Collective investments undertakings (CIU)</w:t>
              </w:r>
            </w:ins>
          </w:p>
          <w:p w14:paraId="31FFED1A" w14:textId="77777777" w:rsidR="009D6580" w:rsidRPr="002A677E" w:rsidDel="005E7811" w:rsidRDefault="009D6580" w:rsidP="00822842">
            <w:pPr>
              <w:rPr>
                <w:ins w:id="349" w:author="Author"/>
                <w:del w:id="350" w:author="Author"/>
                <w:rFonts w:ascii="Times New Roman" w:hAnsi="Times New Roman"/>
                <w:bCs/>
                <w:sz w:val="24"/>
              </w:rPr>
            </w:pPr>
            <w:ins w:id="351" w:author="Author">
              <w:r w:rsidRPr="002A677E">
                <w:rPr>
                  <w:rFonts w:ascii="Times New Roman" w:hAnsi="Times New Roman"/>
                  <w:sz w:val="24"/>
                </w:rPr>
                <w:t xml:space="preserve">Article </w:t>
              </w:r>
              <w:r w:rsidRPr="2BEE1747">
                <w:rPr>
                  <w:rFonts w:ascii="Times New Roman" w:hAnsi="Times New Roman"/>
                  <w:sz w:val="24"/>
                  <w:lang w:eastAsia="de-DE"/>
                </w:rPr>
                <w:t>147(2),</w:t>
              </w:r>
              <w:r>
                <w:rPr>
                  <w:rFonts w:ascii="Times New Roman" w:hAnsi="Times New Roman"/>
                  <w:sz w:val="24"/>
                </w:rPr>
                <w:t xml:space="preserve"> p</w:t>
              </w:r>
              <w:r w:rsidRPr="002A677E">
                <w:rPr>
                  <w:rFonts w:ascii="Times New Roman" w:hAnsi="Times New Roman"/>
                  <w:sz w:val="24"/>
                </w:rPr>
                <w:t>oint (</w:t>
              </w:r>
              <w:r w:rsidRPr="2BEE1747">
                <w:rPr>
                  <w:rFonts w:ascii="Times New Roman" w:hAnsi="Times New Roman"/>
                  <w:sz w:val="24"/>
                  <w:lang w:eastAsia="de-DE"/>
                </w:rPr>
                <w:t>e1</w:t>
              </w:r>
              <w:r>
                <w:rPr>
                  <w:rFonts w:ascii="Times New Roman" w:hAnsi="Times New Roman"/>
                  <w:sz w:val="24"/>
                  <w:lang w:eastAsia="de-DE"/>
                </w:rPr>
                <w:t>)</w:t>
              </w:r>
              <w:r>
                <w:rPr>
                  <w:lang w:eastAsia="de-DE"/>
                </w:rPr>
                <w:t xml:space="preserve"> </w:t>
              </w:r>
              <w:r w:rsidRPr="001235ED">
                <w:rPr>
                  <w:rFonts w:ascii="Times New Roman" w:hAnsi="Times New Roman"/>
                  <w:sz w:val="24"/>
                  <w:lang w:val="en-US"/>
                </w:rPr>
                <w:t>of Regulation (EU) No 575/2013</w:t>
              </w:r>
            </w:ins>
          </w:p>
          <w:p w14:paraId="4237C58D" w14:textId="326485C5" w:rsidR="009D6580" w:rsidRDefault="009D6580" w:rsidP="00822842">
            <w:pPr>
              <w:rPr>
                <w:ins w:id="352" w:author="Author"/>
                <w:rFonts w:ascii="Times New Roman" w:hAnsi="Times New Roman"/>
                <w:b/>
                <w:sz w:val="24"/>
                <w:u w:val="single"/>
              </w:rPr>
            </w:pPr>
          </w:p>
        </w:tc>
      </w:tr>
      <w:tr w:rsidR="009D6580" w:rsidRPr="002A677E" w14:paraId="72EBDFDD" w14:textId="77777777" w:rsidTr="00822842">
        <w:trPr>
          <w:ins w:id="353" w:author="Author"/>
        </w:trPr>
        <w:tc>
          <w:tcPr>
            <w:tcW w:w="1188" w:type="dxa"/>
          </w:tcPr>
          <w:p w14:paraId="290EDA87" w14:textId="77777777" w:rsidR="009D6580" w:rsidRPr="002A677E" w:rsidRDefault="009D6580" w:rsidP="00822842">
            <w:pPr>
              <w:rPr>
                <w:ins w:id="354" w:author="Author"/>
                <w:rFonts w:ascii="Times New Roman" w:hAnsi="Times New Roman"/>
                <w:sz w:val="24"/>
              </w:rPr>
            </w:pPr>
            <w:ins w:id="355" w:author="Author">
              <w:r>
                <w:rPr>
                  <w:rFonts w:ascii="Times New Roman" w:hAnsi="Times New Roman"/>
                  <w:sz w:val="24"/>
                </w:rPr>
                <w:t>0133</w:t>
              </w:r>
            </w:ins>
          </w:p>
        </w:tc>
        <w:tc>
          <w:tcPr>
            <w:tcW w:w="8640" w:type="dxa"/>
          </w:tcPr>
          <w:p w14:paraId="39E22A69" w14:textId="77777777" w:rsidR="009D6580" w:rsidRPr="002A677E" w:rsidRDefault="009D6580" w:rsidP="00822842">
            <w:pPr>
              <w:rPr>
                <w:ins w:id="356" w:author="Author"/>
                <w:rStyle w:val="InstructionsTabelleberschrift"/>
                <w:rFonts w:ascii="Times New Roman" w:hAnsi="Times New Roman"/>
                <w:sz w:val="24"/>
              </w:rPr>
            </w:pPr>
            <w:ins w:id="357" w:author="Author">
              <w:r w:rsidRPr="002A677E">
                <w:rPr>
                  <w:rStyle w:val="InstructionsTabelleberschrift"/>
                  <w:rFonts w:ascii="Times New Roman" w:hAnsi="Times New Roman"/>
                  <w:sz w:val="24"/>
                </w:rPr>
                <w:t xml:space="preserve">Look-through </w:t>
              </w:r>
              <w:proofErr w:type="gramStart"/>
              <w:r w:rsidRPr="002A677E">
                <w:rPr>
                  <w:rStyle w:val="InstructionsTabelleberschrift"/>
                  <w:rFonts w:ascii="Times New Roman" w:hAnsi="Times New Roman"/>
                  <w:sz w:val="24"/>
                </w:rPr>
                <w:t>approach</w:t>
              </w:r>
              <w:proofErr w:type="gramEnd"/>
            </w:ins>
          </w:p>
          <w:p w14:paraId="3481CEEB" w14:textId="77777777" w:rsidR="009D6580" w:rsidRDefault="009D6580" w:rsidP="00822842">
            <w:pPr>
              <w:rPr>
                <w:ins w:id="358" w:author="Author"/>
                <w:rFonts w:ascii="Times New Roman" w:hAnsi="Times New Roman"/>
                <w:b/>
                <w:sz w:val="24"/>
                <w:u w:val="single"/>
              </w:rPr>
            </w:pPr>
            <w:ins w:id="359" w:author="Author">
              <w:r w:rsidRPr="002A677E">
                <w:rPr>
                  <w:rStyle w:val="InstructionsTabelleberschrift"/>
                  <w:rFonts w:ascii="Times New Roman" w:hAnsi="Times New Roman"/>
                  <w:b w:val="0"/>
                  <w:sz w:val="24"/>
                  <w:u w:val="none"/>
                </w:rPr>
                <w:t>Same definition as for row 0</w:t>
              </w:r>
              <w:r>
                <w:rPr>
                  <w:rStyle w:val="InstructionsTabelleberschrift"/>
                  <w:rFonts w:ascii="Times New Roman" w:hAnsi="Times New Roman"/>
                  <w:b w:val="0"/>
                  <w:sz w:val="24"/>
                  <w:u w:val="none"/>
                </w:rPr>
                <w:t>190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ins>
          </w:p>
        </w:tc>
      </w:tr>
      <w:tr w:rsidR="009D6580" w:rsidRPr="002A677E" w14:paraId="6520599F" w14:textId="77777777" w:rsidTr="00822842">
        <w:trPr>
          <w:ins w:id="360" w:author="Author"/>
        </w:trPr>
        <w:tc>
          <w:tcPr>
            <w:tcW w:w="1188" w:type="dxa"/>
          </w:tcPr>
          <w:p w14:paraId="5DF820F6" w14:textId="77777777" w:rsidR="009D6580" w:rsidRPr="002A677E" w:rsidRDefault="009D6580" w:rsidP="00822842">
            <w:pPr>
              <w:rPr>
                <w:ins w:id="361" w:author="Author"/>
                <w:rFonts w:ascii="Times New Roman" w:hAnsi="Times New Roman"/>
                <w:sz w:val="24"/>
              </w:rPr>
            </w:pPr>
            <w:ins w:id="362" w:author="Author">
              <w:r>
                <w:rPr>
                  <w:rFonts w:ascii="Times New Roman" w:hAnsi="Times New Roman"/>
                  <w:sz w:val="24"/>
                </w:rPr>
                <w:t>0134</w:t>
              </w:r>
            </w:ins>
          </w:p>
        </w:tc>
        <w:tc>
          <w:tcPr>
            <w:tcW w:w="8640" w:type="dxa"/>
          </w:tcPr>
          <w:p w14:paraId="13156AFE" w14:textId="77777777" w:rsidR="009D6580" w:rsidRPr="002A677E" w:rsidRDefault="009D6580" w:rsidP="00822842">
            <w:pPr>
              <w:rPr>
                <w:ins w:id="363" w:author="Author"/>
                <w:rStyle w:val="InstructionsTabelleberschrift"/>
                <w:rFonts w:ascii="Times New Roman" w:hAnsi="Times New Roman"/>
                <w:sz w:val="24"/>
              </w:rPr>
            </w:pPr>
            <w:ins w:id="364" w:author="Author">
              <w:r w:rsidRPr="002A677E">
                <w:rPr>
                  <w:rStyle w:val="InstructionsTabelleberschrift"/>
                  <w:rFonts w:ascii="Times New Roman" w:hAnsi="Times New Roman"/>
                  <w:sz w:val="24"/>
                </w:rPr>
                <w:t xml:space="preserve">Mandate-based </w:t>
              </w:r>
              <w:proofErr w:type="gramStart"/>
              <w:r w:rsidRPr="002A677E">
                <w:rPr>
                  <w:rStyle w:val="InstructionsTabelleberschrift"/>
                  <w:rFonts w:ascii="Times New Roman" w:hAnsi="Times New Roman"/>
                  <w:sz w:val="24"/>
                </w:rPr>
                <w:t>approach</w:t>
              </w:r>
              <w:proofErr w:type="gramEnd"/>
            </w:ins>
          </w:p>
          <w:p w14:paraId="37B63BC9" w14:textId="77777777" w:rsidR="009D6580" w:rsidRDefault="009D6580" w:rsidP="00822842">
            <w:pPr>
              <w:rPr>
                <w:ins w:id="365" w:author="Author"/>
                <w:rFonts w:ascii="Times New Roman" w:hAnsi="Times New Roman"/>
                <w:b/>
                <w:sz w:val="24"/>
                <w:u w:val="single"/>
              </w:rPr>
            </w:pPr>
            <w:ins w:id="366" w:author="Author">
              <w:r w:rsidRPr="002A677E">
                <w:rPr>
                  <w:rStyle w:val="InstructionsTabelleberschrift"/>
                  <w:rFonts w:ascii="Times New Roman" w:hAnsi="Times New Roman"/>
                  <w:b w:val="0"/>
                  <w:sz w:val="24"/>
                  <w:u w:val="none"/>
                </w:rPr>
                <w:t>Same definition as for row 02</w:t>
              </w:r>
              <w:r>
                <w:rPr>
                  <w:rStyle w:val="InstructionsTabelleberschrift"/>
                  <w:rFonts w:ascii="Times New Roman" w:hAnsi="Times New Roman"/>
                  <w:b w:val="0"/>
                  <w:sz w:val="24"/>
                  <w:u w:val="none"/>
                </w:rPr>
                <w:t>00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ins>
          </w:p>
        </w:tc>
      </w:tr>
      <w:tr w:rsidR="009D6580" w:rsidRPr="002A677E" w14:paraId="57B2C532" w14:textId="77777777" w:rsidTr="00822842">
        <w:trPr>
          <w:ins w:id="367" w:author="Author"/>
        </w:trPr>
        <w:tc>
          <w:tcPr>
            <w:tcW w:w="1188" w:type="dxa"/>
          </w:tcPr>
          <w:p w14:paraId="251B0D2B" w14:textId="77777777" w:rsidR="009D6580" w:rsidRPr="002A677E" w:rsidRDefault="009D6580" w:rsidP="00822842">
            <w:pPr>
              <w:rPr>
                <w:ins w:id="368" w:author="Author"/>
                <w:rFonts w:ascii="Times New Roman" w:hAnsi="Times New Roman"/>
                <w:sz w:val="24"/>
              </w:rPr>
            </w:pPr>
            <w:ins w:id="369" w:author="Author">
              <w:r>
                <w:rPr>
                  <w:rFonts w:ascii="Times New Roman" w:hAnsi="Times New Roman"/>
                  <w:sz w:val="24"/>
                </w:rPr>
                <w:t>0135</w:t>
              </w:r>
            </w:ins>
          </w:p>
        </w:tc>
        <w:tc>
          <w:tcPr>
            <w:tcW w:w="8640" w:type="dxa"/>
          </w:tcPr>
          <w:p w14:paraId="19D4ED63" w14:textId="77777777" w:rsidR="009D6580" w:rsidRPr="002A677E" w:rsidRDefault="009D6580" w:rsidP="00822842">
            <w:pPr>
              <w:rPr>
                <w:ins w:id="370" w:author="Author"/>
                <w:rStyle w:val="InstructionsTabelleberschrift"/>
                <w:rFonts w:ascii="Times New Roman" w:hAnsi="Times New Roman"/>
                <w:sz w:val="24"/>
              </w:rPr>
            </w:pPr>
            <w:ins w:id="371" w:author="Author">
              <w:r w:rsidRPr="002A677E">
                <w:rPr>
                  <w:rStyle w:val="InstructionsTabelleberschrift"/>
                  <w:rFonts w:ascii="Times New Roman" w:hAnsi="Times New Roman"/>
                  <w:sz w:val="24"/>
                </w:rPr>
                <w:t>Fall-back approach</w:t>
              </w:r>
            </w:ins>
          </w:p>
          <w:p w14:paraId="18A39C60" w14:textId="77777777" w:rsidR="009D6580" w:rsidRDefault="009D6580" w:rsidP="00822842">
            <w:pPr>
              <w:rPr>
                <w:ins w:id="372" w:author="Author"/>
                <w:rFonts w:ascii="Times New Roman" w:hAnsi="Times New Roman"/>
                <w:b/>
                <w:sz w:val="24"/>
                <w:u w:val="single"/>
              </w:rPr>
            </w:pPr>
            <w:ins w:id="373" w:author="Author">
              <w:r w:rsidRPr="002A677E">
                <w:rPr>
                  <w:rStyle w:val="InstructionsTabelleberschrift"/>
                  <w:rFonts w:ascii="Times New Roman" w:hAnsi="Times New Roman"/>
                  <w:b w:val="0"/>
                  <w:sz w:val="24"/>
                  <w:u w:val="none"/>
                </w:rPr>
                <w:t>Same definition as for row 02</w:t>
              </w:r>
              <w:r>
                <w:rPr>
                  <w:rStyle w:val="InstructionsTabelleberschrift"/>
                  <w:rFonts w:ascii="Times New Roman" w:hAnsi="Times New Roman"/>
                  <w:b w:val="0"/>
                  <w:sz w:val="24"/>
                  <w:u w:val="none"/>
                </w:rPr>
                <w:t>10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ins>
          </w:p>
        </w:tc>
      </w:tr>
      <w:bookmarkEnd w:id="118"/>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Equity</w:t>
            </w:r>
          </w:p>
          <w:p w14:paraId="1A033F11"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de-DE"/>
              </w:rPr>
              <w:t>Equity exposures as referred to in Article 147(2)</w:t>
            </w:r>
            <w:r>
              <w:rPr>
                <w:rFonts w:ascii="Times New Roman" w:hAnsi="Times New Roman"/>
                <w:sz w:val="24"/>
                <w:lang w:eastAsia="de-DE"/>
              </w:rPr>
              <w:t>, p</w:t>
            </w:r>
            <w:r w:rsidRPr="002A677E">
              <w:rPr>
                <w:rFonts w:ascii="Times New Roman" w:hAnsi="Times New Roman"/>
                <w:sz w:val="24"/>
                <w:lang w:eastAsia="de-DE"/>
              </w:rPr>
              <w:t>oint (e)</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Total exposures</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374" w:name="_Toc360188366"/>
      <w:bookmarkStart w:id="375" w:name="_Toc473560917"/>
      <w:bookmarkStart w:id="376" w:name="_Toc151714421"/>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09.04 – Breakdown of credit exposures relevant for the calculation of the countercyclical buffer by country and institution-specific countercyclical buffer rate</w:t>
      </w:r>
      <w:r w:rsidRPr="002A677E" w:rsidDel="00D82B60">
        <w:rPr>
          <w:rFonts w:ascii="Times New Roman" w:hAnsi="Times New Roman" w:cs="Times New Roman"/>
          <w:sz w:val="24"/>
          <w:lang w:val="en-GB"/>
        </w:rPr>
        <w:t xml:space="preserve"> </w:t>
      </w:r>
      <w:bookmarkEnd w:id="374"/>
      <w:r w:rsidRPr="002A677E">
        <w:rPr>
          <w:rFonts w:ascii="Times New Roman" w:hAnsi="Times New Roman" w:cs="Times New Roman"/>
          <w:sz w:val="24"/>
          <w:lang w:val="en-GB"/>
        </w:rPr>
        <w:t>(CCB)</w:t>
      </w:r>
      <w:bookmarkEnd w:id="375"/>
      <w:bookmarkEnd w:id="376"/>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377" w:name="_Toc360188367"/>
      <w:bookmarkStart w:id="378" w:name="_Toc473560918"/>
      <w:bookmarkStart w:id="379" w:name="_Toc151714422"/>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377"/>
      <w:bookmarkEnd w:id="378"/>
      <w:bookmarkEnd w:id="379"/>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ins w:id="380" w:author="Author">
        <w:r>
          <w:rPr>
            <w:noProof/>
          </w:rPr>
          <w:t>88</w:t>
        </w:r>
      </w:ins>
      <w:r>
        <w:fldChar w:fldCharType="end"/>
      </w:r>
      <w:r w:rsidRPr="002A677E">
        <w:t>.</w:t>
      </w:r>
      <w:r w:rsidRPr="002A677E">
        <w:tab/>
        <w:t>This template aims at receiving more information regarding the elements of the institution-specific countercyclical capital buffer. The information required refers to the own funds requirements determined in accordance with</w:t>
      </w:r>
      <w:r>
        <w:t xml:space="preserve"> </w:t>
      </w:r>
      <w:r w:rsidRPr="002A677E">
        <w:t xml:space="preserve">Part Three, Title II and Title IV </w:t>
      </w:r>
      <w:r w:rsidRPr="001235ED">
        <w:rPr>
          <w:lang w:val="en-US"/>
        </w:rPr>
        <w:t>of Regulation (EU) No 575/2013</w:t>
      </w:r>
      <w:r w:rsidRPr="002A677E">
        <w:t xml:space="preserve"> and the geographical location for credit exposures, securitisation exposures and trading book exposures relevant for the calculation of the institution-specific countercyclical capital buffer (CCB) in accordance with Article 140 of Directive 2013/36/EU (relevant credit exposures).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ins w:id="381" w:author="Author">
        <w:r>
          <w:rPr>
            <w:noProof/>
          </w:rPr>
          <w:t>89</w:t>
        </w:r>
      </w:ins>
      <w:r>
        <w:fldChar w:fldCharType="end"/>
      </w:r>
      <w:r w:rsidRPr="002A677E">
        <w:t>.</w:t>
      </w:r>
      <w:r w:rsidRPr="002A677E">
        <w:tab/>
        <w:t xml:space="preserve">Information in template C 09.04 shall be reported for the ‘Total’ of relevant credit exposures across all jurisdictions where those exposures are located and individually for each of the jurisdictions in which relevant credit exposures are located. The total figures as well as the information of each jurisdiction shall be reported in a separate dimension.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ins w:id="382" w:author="Author">
        <w:r>
          <w:rPr>
            <w:noProof/>
          </w:rPr>
          <w:t>90</w:t>
        </w:r>
      </w:ins>
      <w:r>
        <w:fldChar w:fldCharType="end"/>
      </w:r>
      <w:r w:rsidRPr="002A677E">
        <w:t>.</w:t>
      </w:r>
      <w:r w:rsidRPr="002A677E">
        <w:tab/>
        <w:t>The threshold set in Article 5(5) of this Implementing Regulation shall not apply for the reporting of this breakdown.</w:t>
      </w:r>
    </w:p>
    <w:bookmarkStart w:id="383" w:name="_Hlk151650982"/>
    <w:p w14:paraId="710781F7" w14:textId="77777777" w:rsidR="009D6580" w:rsidRPr="002A677E" w:rsidRDefault="009D6580" w:rsidP="009D6580">
      <w:pPr>
        <w:pStyle w:val="InstructionsText2"/>
        <w:numPr>
          <w:ilvl w:val="0"/>
          <w:numId w:val="0"/>
        </w:numPr>
        <w:ind w:left="993"/>
      </w:pPr>
      <w:r>
        <w:lastRenderedPageBreak/>
        <w:fldChar w:fldCharType="begin"/>
      </w:r>
      <w:r>
        <w:instrText>seq paragraphs</w:instrText>
      </w:r>
      <w:r>
        <w:fldChar w:fldCharType="separate"/>
      </w:r>
      <w:ins w:id="384" w:author="Author">
        <w:r>
          <w:rPr>
            <w:noProof/>
          </w:rPr>
          <w:t>91</w:t>
        </w:r>
      </w:ins>
      <w:r>
        <w:fldChar w:fldCharType="end"/>
      </w:r>
      <w:r w:rsidRPr="002A677E">
        <w:t>.</w:t>
      </w:r>
      <w:r w:rsidRPr="002A677E">
        <w:tab/>
      </w:r>
      <w:proofErr w:type="gramStart"/>
      <w:r w:rsidRPr="002A677E">
        <w:t>In order to</w:t>
      </w:r>
      <w:proofErr w:type="gramEnd"/>
      <w:r w:rsidRPr="002A677E">
        <w:t xml:space="preserve"> determine the geographical location, the exposures shall be allocated on an immediate obligor basis as provided for in Commission Delegated Regulation (EU) No 1152/2014</w:t>
      </w:r>
      <w:r w:rsidRPr="002A677E">
        <w:footnoteReference w:id="1"/>
      </w:r>
      <w:r w:rsidRPr="002A677E">
        <w:t>. Therefore, CRM techniques shall not change the allocation of an exposure to its geographical location for the purpose of reporting information set out in this template.</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385" w:name="_Toc360188368"/>
      <w:bookmarkStart w:id="386" w:name="_Toc473560919"/>
      <w:bookmarkStart w:id="387" w:name="_Toc151714423"/>
      <w:bookmarkEnd w:id="383"/>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 xml:space="preserve">Instructions concerning specific </w:t>
      </w:r>
      <w:proofErr w:type="gramStart"/>
      <w:r w:rsidRPr="002A677E">
        <w:rPr>
          <w:rFonts w:ascii="Times New Roman" w:hAnsi="Times New Roman" w:cs="Times New Roman"/>
          <w:sz w:val="24"/>
          <w:lang w:val="en-GB"/>
        </w:rPr>
        <w:t>positions</w:t>
      </w:r>
      <w:bookmarkEnd w:id="385"/>
      <w:bookmarkEnd w:id="386"/>
      <w:bookmarkEnd w:id="387"/>
      <w:proofErr w:type="gramEnd"/>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sidRPr="002A677E">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4EDF6439" w14:textId="77777777" w:rsidR="009D6580" w:rsidRPr="002A677E" w:rsidRDefault="009D6580" w:rsidP="00822842">
            <w:pPr>
              <w:rPr>
                <w:rFonts w:ascii="Times New Roman" w:hAnsi="Times New Roman"/>
                <w:b/>
                <w:sz w:val="24"/>
                <w:u w:val="single"/>
              </w:rPr>
            </w:pPr>
            <w:r w:rsidRPr="002A677E">
              <w:rPr>
                <w:rFonts w:ascii="Times New Roman" w:hAnsi="Times New Roman"/>
                <w:bCs/>
                <w:sz w:val="24"/>
                <w:lang w:eastAsia="de-DE"/>
              </w:rPr>
              <w:t>The value of the relevant credit exposures and their associated own-funds requirements determined in accordance with the instructions for the respective row.</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sidRPr="002A677E">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394356B2"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This information shall only be reported for the country of residence of the institution (the jurisdiction corresponding to its home Member State) and the ‘Total’ of all countries. </w:t>
            </w:r>
          </w:p>
          <w:p w14:paraId="6761B5E4"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sidRPr="002A677E">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516A26FA"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Relevant credit exposures as referred to in Article 140(4)</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sidRPr="002A677E">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Exposure value under the Standardised approach</w:t>
            </w:r>
          </w:p>
          <w:p w14:paraId="0EA1DD75"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Exposure value calculated in accordance with Article 111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xml:space="preserve"> </w:t>
            </w:r>
            <w:r w:rsidRPr="002A677E">
              <w:rPr>
                <w:rFonts w:ascii="Times New Roman" w:hAnsi="Times New Roman"/>
                <w:sz w:val="24"/>
              </w:rPr>
              <w:t>point (a)</w:t>
            </w:r>
            <w:r>
              <w:rPr>
                <w:rFonts w:ascii="Times New Roman" w:hAnsi="Times New Roman"/>
                <w:sz w:val="24"/>
              </w:rPr>
              <w:t>,</w:t>
            </w:r>
            <w:r w:rsidRPr="002A677E">
              <w:rPr>
                <w:rFonts w:ascii="Times New Roman" w:hAnsi="Times New Roman"/>
                <w:sz w:val="24"/>
              </w:rPr>
              <w:t xml:space="preserve"> of Directive 2013/36/EU. </w:t>
            </w:r>
          </w:p>
          <w:p w14:paraId="72B986ED"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The exposure value of securitisation positions in the banking book shall be excluded from this row and reported in row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Exposure value under the IRB approach</w:t>
            </w:r>
          </w:p>
          <w:p w14:paraId="3F80BC36"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 xml:space="preserve">Exposure value calculated in accordance with Article 166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xml:space="preserve"> </w:t>
            </w:r>
            <w:r w:rsidRPr="002A677E">
              <w:rPr>
                <w:rFonts w:ascii="Times New Roman" w:hAnsi="Times New Roman"/>
                <w:sz w:val="24"/>
              </w:rPr>
              <w:t>point (a)</w:t>
            </w:r>
            <w:r>
              <w:rPr>
                <w:rFonts w:ascii="Times New Roman" w:hAnsi="Times New Roman"/>
                <w:sz w:val="24"/>
              </w:rPr>
              <w:t>,</w:t>
            </w:r>
            <w:r w:rsidRPr="002A677E">
              <w:rPr>
                <w:rFonts w:ascii="Times New Roman" w:hAnsi="Times New Roman"/>
                <w:sz w:val="24"/>
              </w:rPr>
              <w:t xml:space="preserve"> of Directive 2013/36/EU. </w:t>
            </w:r>
          </w:p>
          <w:p w14:paraId="48C130F1"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exposure value of securitisation positions in the banking book shall be excluded from this row and reported in row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0030-0040</w:t>
            </w:r>
          </w:p>
        </w:tc>
        <w:tc>
          <w:tcPr>
            <w:tcW w:w="8131" w:type="dxa"/>
          </w:tcPr>
          <w:p w14:paraId="369D850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54050F98"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Sum of long and short positions of trading book exposures for Standardised approach</w:t>
            </w:r>
          </w:p>
          <w:p w14:paraId="5F803AC4"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in accordance with Article 327 </w:t>
            </w:r>
            <w:r w:rsidRPr="001235ED">
              <w:rPr>
                <w:rFonts w:ascii="Times New Roman" w:hAnsi="Times New Roman"/>
                <w:sz w:val="24"/>
                <w:lang w:val="en-US"/>
              </w:rPr>
              <w:t>of Regulation (EU) No 575/2013</w:t>
            </w:r>
            <w:r w:rsidRPr="002A677E">
              <w:rPr>
                <w:rFonts w:ascii="Times New Roman" w:hAnsi="Times New Roman"/>
                <w:sz w:val="24"/>
              </w:rPr>
              <w:t xml:space="preserve"> of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subject to own funds requirements under Part Three, Title IV, Chapter 2</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 xml:space="preserve">exposures to debt instruments other than </w:t>
            </w:r>
            <w:proofErr w:type="gramStart"/>
            <w:r w:rsidRPr="002A677E">
              <w:rPr>
                <w:rFonts w:ascii="Times New Roman" w:hAnsi="Times New Roman"/>
                <w:sz w:val="24"/>
              </w:rPr>
              <w:t>securitisation;</w:t>
            </w:r>
            <w:proofErr w:type="gramEnd"/>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 xml:space="preserve">exposures to securitisation positions in the trading </w:t>
            </w:r>
            <w:proofErr w:type="gramStart"/>
            <w:r w:rsidRPr="002A677E">
              <w:rPr>
                <w:rFonts w:ascii="Times New Roman" w:hAnsi="Times New Roman"/>
                <w:sz w:val="24"/>
              </w:rPr>
              <w:t>book;</w:t>
            </w:r>
            <w:proofErr w:type="gramEnd"/>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 xml:space="preserve">exposures to correlation trading </w:t>
            </w:r>
            <w:proofErr w:type="gramStart"/>
            <w:r w:rsidRPr="002A677E">
              <w:rPr>
                <w:rFonts w:ascii="Times New Roman" w:hAnsi="Times New Roman"/>
                <w:sz w:val="24"/>
              </w:rPr>
              <w:t>portfolios;</w:t>
            </w:r>
            <w:proofErr w:type="gramEnd"/>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 xml:space="preserve">exposures to equity </w:t>
            </w:r>
            <w:proofErr w:type="gramStart"/>
            <w:r w:rsidRPr="002A677E">
              <w:rPr>
                <w:rFonts w:ascii="Times New Roman" w:hAnsi="Times New Roman"/>
                <w:sz w:val="24"/>
              </w:rPr>
              <w:t>securities;</w:t>
            </w:r>
            <w:proofErr w:type="gramEnd"/>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Pr="002A677E">
              <w:rPr>
                <w:rFonts w:ascii="Times New Roman" w:hAnsi="Times New Roman"/>
                <w:sz w:val="24"/>
              </w:rPr>
              <w:t xml:space="preserve">exposures to CIUs where capital requirements are calculated in accordance with Article 348 </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131" w:type="dxa"/>
          </w:tcPr>
          <w:p w14:paraId="7989891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models</w:t>
            </w:r>
          </w:p>
          <w:p w14:paraId="2C5D070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For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subject to own funds requirements under Part Three, Title IV, Chapters 2 and 5 </w:t>
            </w:r>
            <w:r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Pr="002A677E">
              <w:rPr>
                <w:rFonts w:ascii="Times New Roman" w:hAnsi="Times New Roman"/>
                <w:sz w:val="24"/>
              </w:rPr>
              <w:t>Fair value of non-derivative positions, that represent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determined in accordance with Article 104 </w:t>
            </w:r>
            <w:r w:rsidRPr="001235ED">
              <w:rPr>
                <w:rFonts w:ascii="Times New Roman" w:hAnsi="Times New Roman"/>
                <w:sz w:val="24"/>
                <w:lang w:val="en-US"/>
              </w:rPr>
              <w:t>of Regulation (EU) No 575/2013</w:t>
            </w:r>
            <w:r w:rsidRPr="002A677E">
              <w:rPr>
                <w:rFonts w:ascii="Times New Roman" w:hAnsi="Times New Roman"/>
                <w:sz w:val="24"/>
              </w:rPr>
              <w:t>.</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Pr="002A677E">
              <w:rPr>
                <w:rFonts w:ascii="Times New Roman" w:hAnsi="Times New Roman"/>
                <w:sz w:val="24"/>
              </w:rPr>
              <w:t>Notional value of derivatives, that represent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4B3C8407" w14:textId="77777777" w:rsidR="009D6580" w:rsidRPr="002A677E" w:rsidRDefault="009D6580" w:rsidP="00822842">
            <w:pPr>
              <w:rPr>
                <w:rFonts w:ascii="Times New Roman" w:hAnsi="Times New Roman"/>
                <w:sz w:val="24"/>
              </w:rPr>
            </w:pPr>
            <w:r w:rsidRPr="002A677E">
              <w:rPr>
                <w:rFonts w:ascii="Times New Roman" w:hAnsi="Times New Roman"/>
                <w:sz w:val="24"/>
              </w:rPr>
              <w:t xml:space="preserve">Exposure value calculated in accordance with Article 248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sidRPr="002A677E">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78C29612"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sum of rows 0080, 0090 and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Credit risk </w:t>
            </w:r>
          </w:p>
          <w:p w14:paraId="4126D1D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Own funds requirements calculated in accordance with Part Three, Title II, Chapters 1 to </w:t>
            </w:r>
            <w:proofErr w:type="gramStart"/>
            <w:r w:rsidRPr="002A677E">
              <w:rPr>
                <w:rFonts w:ascii="Times New Roman" w:hAnsi="Times New Roman"/>
                <w:sz w:val="24"/>
              </w:rPr>
              <w:t>4</w:t>
            </w:r>
            <w:proofErr w:type="gramEnd"/>
            <w:r w:rsidRPr="002A677E">
              <w:rPr>
                <w:rFonts w:ascii="Times New Roman" w:hAnsi="Times New Roman"/>
                <w:sz w:val="24"/>
              </w:rPr>
              <w:t xml:space="preserve"> and Chapter 6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w:t>
            </w:r>
            <w:r w:rsidRPr="002A677E">
              <w:rPr>
                <w:rFonts w:ascii="Times New Roman" w:hAnsi="Times New Roman"/>
                <w:sz w:val="24"/>
              </w:rPr>
              <w:lastRenderedPageBreak/>
              <w:t>exposures as referred to in Article 140(4)</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 in the country in question.</w:t>
            </w:r>
          </w:p>
          <w:p w14:paraId="094DA9D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Own fund requirements for securitisation positions in the banking book shall be excluded from this row and reported in row 0100.</w:t>
            </w:r>
          </w:p>
          <w:p w14:paraId="037A1499"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own-funds requirements are 8</w:t>
            </w:r>
            <w:r>
              <w:rPr>
                <w:rFonts w:ascii="Times New Roman" w:hAnsi="Times New Roman"/>
                <w:sz w:val="24"/>
              </w:rPr>
              <w:t xml:space="preserve"> </w:t>
            </w:r>
            <w:r w:rsidRPr="002A677E">
              <w:rPr>
                <w:rFonts w:ascii="Times New Roman" w:hAnsi="Times New Roman"/>
                <w:sz w:val="24"/>
              </w:rPr>
              <w:t xml:space="preserve">% of the risk-weighted exposure amount determined in accordance with Part Three, Title II, Chapters 1 to </w:t>
            </w:r>
            <w:proofErr w:type="gramStart"/>
            <w:r w:rsidRPr="002A677E">
              <w:rPr>
                <w:rFonts w:ascii="Times New Roman" w:hAnsi="Times New Roman"/>
                <w:sz w:val="24"/>
              </w:rPr>
              <w:t>4</w:t>
            </w:r>
            <w:proofErr w:type="gramEnd"/>
            <w:r w:rsidRPr="002A677E">
              <w:rPr>
                <w:rFonts w:ascii="Times New Roman" w:hAnsi="Times New Roman"/>
                <w:sz w:val="24"/>
              </w:rPr>
              <w:t xml:space="preserve"> and Chapter 6 </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0090</w:t>
            </w:r>
          </w:p>
        </w:tc>
        <w:tc>
          <w:tcPr>
            <w:tcW w:w="8131" w:type="dxa"/>
          </w:tcPr>
          <w:p w14:paraId="4922C90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Market risk </w:t>
            </w:r>
          </w:p>
          <w:p w14:paraId="5686B88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Own funds requirements calculated in accordance with Part Three, Title IV, Chapter 2</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for specific risk, or in accordance with of </w:t>
            </w:r>
            <w:proofErr w:type="spellStart"/>
            <w:r w:rsidRPr="002A677E">
              <w:rPr>
                <w:rFonts w:ascii="Times New Roman" w:hAnsi="Times New Roman"/>
                <w:sz w:val="24"/>
              </w:rPr>
              <w:t>of</w:t>
            </w:r>
            <w:proofErr w:type="spellEnd"/>
            <w:r w:rsidRPr="002A677E">
              <w:rPr>
                <w:rFonts w:ascii="Times New Roman" w:hAnsi="Times New Roman"/>
                <w:sz w:val="24"/>
              </w:rPr>
              <w:t xml:space="preserve"> Part Three, Title IV, Chapter 5</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incremental default and migration risk for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in the country in question. </w:t>
            </w:r>
          </w:p>
          <w:p w14:paraId="09611817"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shall include, among others, the own fund requirements for securitisation positions calculated in accordance with Part Three, Title IV, Chapter 2 </w:t>
            </w:r>
            <w:r w:rsidRPr="001235ED">
              <w:rPr>
                <w:rFonts w:ascii="Times New Roman" w:hAnsi="Times New Roman"/>
                <w:sz w:val="24"/>
                <w:lang w:val="en-US"/>
              </w:rPr>
              <w:t>of Regulation (EU) No 575/2013</w:t>
            </w:r>
            <w:r w:rsidRPr="002A677E">
              <w:rPr>
                <w:rFonts w:ascii="Times New Roman" w:hAnsi="Times New Roman"/>
                <w:sz w:val="24"/>
              </w:rPr>
              <w:t xml:space="preserve"> and the own funds requirements for exposures to Collective Investment Undertakings determined in accordance with Article 348 of that Regulation.</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131" w:type="dxa"/>
          </w:tcPr>
          <w:p w14:paraId="45D3AC3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Securitisation positions in the banking book</w:t>
            </w:r>
          </w:p>
          <w:p w14:paraId="6483412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Own funds requirements calculated in accordance with Part Three, Title II, Chapter 5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of Directive 2013/36/EU in the country in question.</w:t>
            </w:r>
          </w:p>
          <w:p w14:paraId="1A6665D5"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own-funds requirements are 8</w:t>
            </w:r>
            <w:r>
              <w:rPr>
                <w:rFonts w:ascii="Times New Roman" w:hAnsi="Times New Roman"/>
                <w:sz w:val="24"/>
              </w:rPr>
              <w:t xml:space="preserve"> </w:t>
            </w:r>
            <w:r w:rsidRPr="002A677E">
              <w:rPr>
                <w:rFonts w:ascii="Times New Roman" w:hAnsi="Times New Roman"/>
                <w:sz w:val="24"/>
              </w:rPr>
              <w:t>% of the risk-weighted exposure amount calculated in accordance with Part Three, Title II, Chapter 5</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3D7B8904" w14:textId="77777777" w:rsidR="009D6580" w:rsidRPr="002A677E" w:rsidRDefault="009D6580" w:rsidP="00822842">
            <w:pPr>
              <w:rPr>
                <w:rFonts w:ascii="Times New Roman" w:hAnsi="Times New Roman"/>
                <w:sz w:val="24"/>
              </w:rPr>
            </w:pPr>
            <w:r w:rsidRPr="002A677E">
              <w:rPr>
                <w:rFonts w:ascii="Times New Roman" w:hAnsi="Times New Roman"/>
                <w:sz w:val="24"/>
              </w:rPr>
              <w:t>The weight applied to the countercyclical buffer rate in each country shall be calculated as a ratio of own fund requirements, determined as follows:</w:t>
            </w:r>
          </w:p>
          <w:p w14:paraId="47443D03" w14:textId="77777777" w:rsidR="009D6580" w:rsidRPr="002A677E" w:rsidRDefault="009D6580" w:rsidP="00822842">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 xml:space="preserve">Numerator: The total own funds requirements that relate to the relevant credit exposures in the country in question [r0070; c0010; country </w:t>
            </w:r>
            <w:proofErr w:type="gramStart"/>
            <w:r w:rsidRPr="002A677E">
              <w:rPr>
                <w:rFonts w:ascii="Times New Roman" w:hAnsi="Times New Roman"/>
                <w:sz w:val="24"/>
              </w:rPr>
              <w:t>sheet ]</w:t>
            </w:r>
            <w:proofErr w:type="gramEnd"/>
            <w:r w:rsidRPr="002A677E">
              <w:rPr>
                <w:rFonts w:ascii="Times New Roman" w:hAnsi="Times New Roman"/>
                <w:sz w:val="24"/>
              </w:rPr>
              <w:t xml:space="preserve">, </w:t>
            </w:r>
          </w:p>
          <w:p w14:paraId="1FE57EC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Denominator: The total own funds requirements that relate to all credit exposures relevant for the calculation of the countercyclical buffer as referred to in Article 140(4) of Directive 2013/36/EU [r0070; c0010; ’Total’].</w:t>
            </w:r>
          </w:p>
          <w:p w14:paraId="423D2DDF"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sidRPr="002A677E">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256AAB4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Countercyclical capital buffer rate set for the country in question by the Designated Authority of that country in accordance with Articles 136, 137, 139, Article 140(2)</w:t>
            </w:r>
            <w:r>
              <w:rPr>
                <w:rFonts w:ascii="Times New Roman" w:hAnsi="Times New Roman"/>
                <w:sz w:val="24"/>
              </w:rPr>
              <w:t>, p</w:t>
            </w:r>
            <w:r w:rsidRPr="002A677E">
              <w:rPr>
                <w:rFonts w:ascii="Times New Roman" w:hAnsi="Times New Roman"/>
                <w:sz w:val="24"/>
              </w:rPr>
              <w:t>oints (a) and (c)</w:t>
            </w:r>
            <w:r>
              <w:rPr>
                <w:rFonts w:ascii="Times New Roman" w:hAnsi="Times New Roman"/>
                <w:sz w:val="24"/>
              </w:rPr>
              <w:t>,</w:t>
            </w:r>
            <w:r w:rsidRPr="002A677E">
              <w:rPr>
                <w:rFonts w:ascii="Times New Roman" w:hAnsi="Times New Roman"/>
                <w:sz w:val="24"/>
              </w:rPr>
              <w:t xml:space="preserve"> and Article 140(3)</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p w14:paraId="08387A1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This row shall be left empty when no countercyclical buffer rate was set for the country in question by the Designated Authority of that country.</w:t>
            </w:r>
          </w:p>
          <w:p w14:paraId="79AF7A0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5BEA0E1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shall not be reported for the ‘Total’ of all countries.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0130</w:t>
            </w:r>
          </w:p>
        </w:tc>
        <w:tc>
          <w:tcPr>
            <w:tcW w:w="8131" w:type="dxa"/>
          </w:tcPr>
          <w:p w14:paraId="1301D1B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applicable for the country of the institution</w:t>
            </w:r>
          </w:p>
          <w:p w14:paraId="47D66D49"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Countercyclical capital buffer rate applicable for the country in question which was set by the Designated Authority of the country of residence of the institution, in accordance with Articles 137, 138, 139 and Article 140(2)</w:t>
            </w:r>
            <w:r>
              <w:rPr>
                <w:rFonts w:ascii="Times New Roman" w:hAnsi="Times New Roman"/>
                <w:sz w:val="24"/>
              </w:rPr>
              <w:t>, p</w:t>
            </w:r>
            <w:r w:rsidRPr="002A677E">
              <w:rPr>
                <w:rFonts w:ascii="Times New Roman" w:hAnsi="Times New Roman"/>
                <w:sz w:val="24"/>
              </w:rPr>
              <w:t>oint (b) and Article 140(3)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 Countercyclical capital buffer rates that are not yet applicable at the reporting reference date shall not be reported.</w:t>
            </w:r>
          </w:p>
          <w:p w14:paraId="082B584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Countercyclical capital buffer rate applicable in the country of the institution shall not be reported for the ‘Total’ of all countries.</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253E0547"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calculated in accordance with Article 140(1) of Directive 2013/36/EU. </w:t>
            </w:r>
          </w:p>
          <w:p w14:paraId="575D2B3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The institution-specific countercyclical capital buffer rate shall be calculated as the weighted average of the countercyclical buffer rates that apply in the jurisdictions where the relevant credit exposures of the institution are located or are applied for the purposes of Article 140 by virtue of Article 139</w:t>
            </w:r>
            <w:r>
              <w:rPr>
                <w:rFonts w:ascii="Times New Roman" w:hAnsi="Times New Roman"/>
                <w:sz w:val="24"/>
              </w:rPr>
              <w:t>, p</w:t>
            </w:r>
            <w:r w:rsidRPr="002A677E">
              <w:rPr>
                <w:rFonts w:ascii="Times New Roman" w:hAnsi="Times New Roman"/>
                <w:sz w:val="24"/>
              </w:rPr>
              <w:t xml:space="preserve">aragraphs 2 or 3 of Directive 2013/36/EU. The relevant countercyclical buffer rate shall </w:t>
            </w:r>
            <w:proofErr w:type="gramStart"/>
            <w:r w:rsidRPr="002A677E">
              <w:rPr>
                <w:rFonts w:ascii="Times New Roman" w:hAnsi="Times New Roman"/>
                <w:sz w:val="24"/>
              </w:rPr>
              <w:t>reported</w:t>
            </w:r>
            <w:proofErr w:type="gramEnd"/>
            <w:r w:rsidRPr="002A677E">
              <w:rPr>
                <w:rFonts w:ascii="Times New Roman" w:hAnsi="Times New Roman"/>
                <w:sz w:val="24"/>
              </w:rPr>
              <w:t xml:space="preserve"> in [r0120; c0020; country sheet], or [r0130; c0020; country sheet], as applicable.</w:t>
            </w:r>
          </w:p>
          <w:p w14:paraId="2C4ECBB2" w14:textId="77777777" w:rsidR="009D6580" w:rsidRPr="002A677E" w:rsidRDefault="009D6580" w:rsidP="00822842">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shall be the share of own funds requirements in total own funds </w:t>
            </w:r>
            <w:proofErr w:type="gramStart"/>
            <w:r w:rsidRPr="002A677E">
              <w:rPr>
                <w:rFonts w:ascii="Times New Roman" w:hAnsi="Times New Roman"/>
                <w:sz w:val="24"/>
              </w:rPr>
              <w:t>requirements, and</w:t>
            </w:r>
            <w:proofErr w:type="gramEnd"/>
            <w:r w:rsidRPr="002A677E">
              <w:rPr>
                <w:rFonts w:ascii="Times New Roman" w:hAnsi="Times New Roman"/>
                <w:sz w:val="24"/>
              </w:rPr>
              <w:t xml:space="preserve"> shall be reported in [r0110; c0020; country sheet]. </w:t>
            </w:r>
          </w:p>
          <w:p w14:paraId="65E93DC9"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institution-specific countercyclical capital buffer rate shall only be reported for the ‘Total’ of all countries and not for each country separately.</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sidRPr="002A677E">
              <w:rPr>
                <w:rFonts w:ascii="Times New Roman" w:hAnsi="Times New Roman"/>
                <w:sz w:val="24"/>
              </w:rPr>
              <w:t>0150 - 0160</w:t>
            </w:r>
          </w:p>
        </w:tc>
        <w:tc>
          <w:tcPr>
            <w:tcW w:w="8131" w:type="dxa"/>
          </w:tcPr>
          <w:p w14:paraId="13A71A3D"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Use of the 2</w:t>
            </w:r>
            <w:r>
              <w:rPr>
                <w:rFonts w:ascii="Times New Roman" w:hAnsi="Times New Roman"/>
                <w:b/>
                <w:bCs/>
                <w:sz w:val="24"/>
                <w:u w:val="single"/>
                <w:lang w:eastAsia="de-DE"/>
              </w:rPr>
              <w:t xml:space="preserve"> </w:t>
            </w:r>
            <w:r w:rsidRPr="002A677E">
              <w:rPr>
                <w:rFonts w:ascii="Times New Roman" w:hAnsi="Times New Roman"/>
                <w:b/>
                <w:bCs/>
                <w:sz w:val="24"/>
                <w:u w:val="single"/>
                <w:lang w:eastAsia="de-DE"/>
              </w:rPr>
              <w:t>% threshold</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Pr="002A677E">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Commission Delegated Regulation (EU) No 1152/2014, foreign general credit risk exposures, the aggregate of which does not exceed 2</w:t>
            </w:r>
            <w:r>
              <w:rPr>
                <w:rFonts w:ascii="Times New Roman" w:hAnsi="Times New Roman"/>
                <w:sz w:val="24"/>
              </w:rPr>
              <w:t xml:space="preserve"> </w:t>
            </w:r>
            <w:r w:rsidRPr="002A677E">
              <w:rPr>
                <w:rFonts w:ascii="Times New Roman" w:hAnsi="Times New Roman"/>
                <w:sz w:val="24"/>
              </w:rPr>
              <w:t>% of the aggregate of the general credit, trading book and securitisation exposures of that institution, may be allocated to the institutions’ home member state. The aggregate of the general credit, trading book and securitisation exposures shall be calculated by excluding the general credit exposures located in accordance with Article 2(5)</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and Article 2(4) of Commission Delegated Regulation (EU) No 1152/2014.</w:t>
            </w:r>
          </w:p>
          <w:p w14:paraId="53DCDD6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If the institution makes use of this derogation, it shall indicate ‘y’ in the template for the jurisdiction corresponding to its home Member State and for the ‘Total’ of all countries.</w:t>
            </w:r>
          </w:p>
          <w:p w14:paraId="5B2597B2"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13ED02AA"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 1152/2014, institutions may allocate trading book exposures to their home Member State where the total trading book exposures do not exceed 2</w:t>
            </w:r>
            <w:r>
              <w:rPr>
                <w:rFonts w:ascii="Times New Roman" w:hAnsi="Times New Roman"/>
                <w:sz w:val="24"/>
              </w:rPr>
              <w:t xml:space="preserve"> </w:t>
            </w:r>
            <w:r w:rsidRPr="002A677E">
              <w:rPr>
                <w:rFonts w:ascii="Times New Roman" w:hAnsi="Times New Roman"/>
                <w:sz w:val="24"/>
              </w:rPr>
              <w:t>% of their total general credit, trading book and securitisation exposures.</w:t>
            </w:r>
          </w:p>
          <w:p w14:paraId="068BDCF9" w14:textId="77777777" w:rsidR="009D6580" w:rsidRPr="002A677E" w:rsidRDefault="009D6580" w:rsidP="00822842">
            <w:pPr>
              <w:rPr>
                <w:rFonts w:ascii="Times New Roman" w:hAnsi="Times New Roman"/>
                <w:sz w:val="24"/>
              </w:rPr>
            </w:pPr>
            <w:r w:rsidRPr="002A677E">
              <w:rPr>
                <w:rFonts w:ascii="Times New Roman" w:hAnsi="Times New Roman"/>
                <w:sz w:val="24"/>
              </w:rPr>
              <w:t>If the institution makes use of this derogation, it shall indicate ‘y’ in the template for the jurisdiction corresponding to its home Member State and for the ‘Total’ of all countries.</w:t>
            </w:r>
          </w:p>
          <w:p w14:paraId="3EA8EC30"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117723"/>
    <w:rsid w:val="001A2CA7"/>
    <w:rsid w:val="001C4FB9"/>
    <w:rsid w:val="0020657D"/>
    <w:rsid w:val="00234FB5"/>
    <w:rsid w:val="00381D02"/>
    <w:rsid w:val="003C36D5"/>
    <w:rsid w:val="003D18F9"/>
    <w:rsid w:val="005644CB"/>
    <w:rsid w:val="005B37F0"/>
    <w:rsid w:val="005E7811"/>
    <w:rsid w:val="00631623"/>
    <w:rsid w:val="0064771D"/>
    <w:rsid w:val="00681B25"/>
    <w:rsid w:val="007F4E89"/>
    <w:rsid w:val="00837F98"/>
    <w:rsid w:val="00910F63"/>
    <w:rsid w:val="009860C5"/>
    <w:rsid w:val="009D6580"/>
    <w:rsid w:val="00A6002C"/>
    <w:rsid w:val="00A931D0"/>
    <w:rsid w:val="00AA39E5"/>
    <w:rsid w:val="00AF2BE6"/>
    <w:rsid w:val="00B3003C"/>
    <w:rsid w:val="00B56773"/>
    <w:rsid w:val="00B71F25"/>
    <w:rsid w:val="00BA13AD"/>
    <w:rsid w:val="00BD78A5"/>
    <w:rsid w:val="00C04862"/>
    <w:rsid w:val="00DB2358"/>
    <w:rsid w:val="00DD798A"/>
    <w:rsid w:val="00E26A9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x-non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en-US"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en-US"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9D6580"/>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en-GB"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168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2.xml><?xml version="1.0" encoding="utf-8"?>
<ds:datastoreItem xmlns:ds="http://schemas.openxmlformats.org/officeDocument/2006/customXml" ds:itemID="{D807B733-63FB-4B45-BE77-AE5F6D52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4216</Words>
  <Characters>24496</Characters>
  <Application>Microsoft Office Word</Application>
  <DocSecurity>0</DocSecurity>
  <Lines>471</Lines>
  <Paragraphs>152</Paragraphs>
  <ScaleCrop>false</ScaleCrop>
  <Company/>
  <LinksUpToDate>false</LinksUpToDate>
  <CharactersWithSpaces>28560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2024-06-04T09:58:00Z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