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24973533"/>
        <w:docPartObj>
          <w:docPartGallery w:val="Cover Pages"/>
          <w:docPartUnique/>
        </w:docPartObj>
      </w:sdtPr>
      <w:sdtEndPr/>
      <w:sdtContent>
        <w:p w14:paraId="6AC98CE8" w14:textId="77777777" w:rsidR="00B43E07" w:rsidRPr="00AF5F13" w:rsidRDefault="00B43E07" w:rsidP="00B43E07"/>
        <w:tbl>
          <w:tblPr>
            <w:tblW w:w="0" w:type="auto"/>
            <w:tblCellMar>
              <w:top w:w="85" w:type="dxa"/>
              <w:bottom w:w="85" w:type="dxa"/>
            </w:tblCellMar>
            <w:tblLook w:val="04A0" w:firstRow="1" w:lastRow="0" w:firstColumn="1" w:lastColumn="0" w:noHBand="0" w:noVBand="1"/>
          </w:tblPr>
          <w:tblGrid>
            <w:gridCol w:w="4536"/>
          </w:tblGrid>
          <w:tr w:rsidR="00B43E07" w:rsidRPr="00AF5F13" w14:paraId="2A3831DD" w14:textId="77777777" w:rsidTr="00F72CE0">
            <w:tc>
              <w:tcPr>
                <w:tcW w:w="4536" w:type="dxa"/>
                <w:tcBorders>
                  <w:bottom w:val="single" w:sz="4" w:space="0" w:color="A6A6A6" w:themeColor="background1" w:themeShade="A6"/>
                </w:tcBorders>
                <w:shd w:val="clear" w:color="auto" w:fill="auto"/>
              </w:tcPr>
              <w:p w14:paraId="512F9A1D" w14:textId="5E2FCED4" w:rsidR="00B43E07" w:rsidRPr="00F72CE0" w:rsidRDefault="0016099C" w:rsidP="00993B1E">
                <w:pPr>
                  <w:rPr>
                    <w:lang w:val="fr-FR"/>
                  </w:rPr>
                </w:pPr>
                <w:r w:rsidRPr="00AF5F13">
                  <w:fldChar w:fldCharType="begin">
                    <w:ffData>
                      <w:name w:val=""/>
                      <w:enabled/>
                      <w:calcOnExit w:val="0"/>
                      <w:textInput>
                        <w:default w:val="EBA/GL/2021/16"/>
                      </w:textInput>
                    </w:ffData>
                  </w:fldChar>
                </w:r>
                <w:r w:rsidRPr="00AF5F13">
                  <w:instrText xml:space="preserve"> FORMTEXT </w:instrText>
                </w:r>
                <w:r w:rsidRPr="00AF5F13">
                  <w:fldChar w:fldCharType="separate"/>
                </w:r>
                <w:r w:rsidRPr="00AF5F13">
                  <w:t>EBA/GL/2021/16</w:t>
                </w:r>
                <w:r w:rsidRPr="00AF5F13">
                  <w:fldChar w:fldCharType="end"/>
                </w:r>
                <w:r w:rsidR="00F72CE0">
                  <w:rPr>
                    <w:lang w:val="fr-FR"/>
                  </w:rPr>
                  <w:t xml:space="preserve"> </w:t>
                </w:r>
                <w:r w:rsidR="00F72CE0" w:rsidRPr="00F72CE0">
                  <w:rPr>
                    <w:lang w:val="fr-FR"/>
                  </w:rPr>
                  <w:t>(Verżjoni konsolidata)</w:t>
                </w:r>
              </w:p>
            </w:tc>
          </w:tr>
          <w:tr w:rsidR="00B43E07" w:rsidRPr="00AF5F13" w14:paraId="7BE67091" w14:textId="77777777" w:rsidTr="00F72CE0">
            <w:tc>
              <w:tcPr>
                <w:tcW w:w="4536" w:type="dxa"/>
                <w:tcBorders>
                  <w:top w:val="single" w:sz="4" w:space="0" w:color="A6A6A6" w:themeColor="background1" w:themeShade="A6"/>
                  <w:bottom w:val="single" w:sz="4" w:space="0" w:color="A6A6A6" w:themeColor="background1" w:themeShade="A6"/>
                </w:tcBorders>
                <w:shd w:val="clear" w:color="auto" w:fill="auto"/>
              </w:tcPr>
              <w:p w14:paraId="48DDB145" w14:textId="2F1042FC" w:rsidR="00B43E07" w:rsidRPr="00AF5F13" w:rsidRDefault="00FE052B" w:rsidP="00993B1E">
                <w:r w:rsidRPr="00AF5F13">
                  <w:t>16 ta’ Diċembru 2021</w:t>
                </w:r>
              </w:p>
            </w:tc>
          </w:tr>
          <w:tr w:rsidR="00B43E07" w:rsidRPr="00AF5F13" w14:paraId="13E40F7F" w14:textId="77777777" w:rsidTr="00F72CE0">
            <w:tc>
              <w:tcPr>
                <w:tcW w:w="4536" w:type="dxa"/>
                <w:tcBorders>
                  <w:top w:val="single" w:sz="4" w:space="0" w:color="A6A6A6" w:themeColor="background1" w:themeShade="A6"/>
                </w:tcBorders>
                <w:shd w:val="clear" w:color="auto" w:fill="auto"/>
              </w:tcPr>
              <w:p w14:paraId="527955F9" w14:textId="77777777" w:rsidR="00B43E07" w:rsidRPr="00AF5F13" w:rsidRDefault="00B43E07" w:rsidP="00993B1E"/>
            </w:tc>
          </w:tr>
        </w:tbl>
        <w:p w14:paraId="22CDCAA2" w14:textId="77777777" w:rsidR="00F72CE0" w:rsidRDefault="00F72CE0" w:rsidP="00735BEE">
          <w:pPr>
            <w:rPr>
              <w:rFonts w:ascii="Wingdings" w:eastAsia="Wingdings" w:hAnsi="Wingdings" w:cs="Wingdings"/>
              <w:color w:val="E98E31" w:themeColor="background2"/>
            </w:rPr>
          </w:pPr>
        </w:p>
        <w:p w14:paraId="6E53BD6C" w14:textId="77777777" w:rsidR="00F72CE0" w:rsidRDefault="00F72CE0" w:rsidP="00735BEE">
          <w:pPr>
            <w:rPr>
              <w:rFonts w:ascii="Wingdings" w:eastAsia="Wingdings" w:hAnsi="Wingdings" w:cs="Wingdings"/>
              <w:color w:val="E98E31" w:themeColor="background2"/>
            </w:rPr>
          </w:pPr>
        </w:p>
        <w:p w14:paraId="2F332D0A" w14:textId="1D96DB96" w:rsidR="00B43E07" w:rsidRPr="00F72CE0" w:rsidRDefault="00735BEE" w:rsidP="00F72CE0">
          <w:pPr>
            <w:rPr>
              <w:rFonts w:ascii="Calibri" w:hAnsi="Calibri" w:cs="Calibri"/>
              <w:sz w:val="20"/>
              <w:szCs w:val="18"/>
            </w:rPr>
          </w:pPr>
          <w:r w:rsidRPr="00142D2E">
            <w:rPr>
              <w:rFonts w:ascii="Wingdings" w:eastAsia="Wingdings" w:hAnsi="Wingdings" w:cs="Wingdings"/>
              <w:color w:val="E98E31" w:themeColor="background2"/>
            </w:rPr>
            <w:t>Ú</w:t>
          </w:r>
          <w:r w:rsidRPr="00142D2E">
            <w:rPr>
              <w:rFonts w:ascii="Calibri" w:hAnsi="Calibri" w:cs="Calibri"/>
              <w:color w:val="E98E31" w:themeColor="background2"/>
            </w:rPr>
            <w:t>O</w:t>
          </w:r>
        </w:p>
        <w:tbl>
          <w:tblPr>
            <w:tblStyle w:val="TableGrid"/>
            <w:tblW w:w="0" w:type="auto"/>
            <w:tblBorders>
              <w:bottom w:val="none" w:sz="0" w:space="0" w:color="auto"/>
              <w:insideH w:val="none" w:sz="0" w:space="0" w:color="auto"/>
            </w:tblBorders>
            <w:tblLook w:val="04A0" w:firstRow="1" w:lastRow="0" w:firstColumn="1" w:lastColumn="0" w:noHBand="0" w:noVBand="1"/>
          </w:tblPr>
          <w:tblGrid>
            <w:gridCol w:w="8781"/>
          </w:tblGrid>
          <w:tr w:rsidR="00B43E07" w:rsidRPr="00AF5F13" w14:paraId="7ACA5F70" w14:textId="77777777" w:rsidTr="00993B1E">
            <w:trPr>
              <w:cnfStyle w:val="100000000000" w:firstRow="1" w:lastRow="0" w:firstColumn="0" w:lastColumn="0" w:oddVBand="0" w:evenVBand="0" w:oddHBand="0" w:evenHBand="0" w:firstRowFirstColumn="0" w:firstRowLastColumn="0" w:lastRowFirstColumn="0" w:lastRowLastColumn="0"/>
              <w:trHeight w:val="4073"/>
            </w:trPr>
            <w:tc>
              <w:tcPr>
                <w:tcW w:w="8781" w:type="dxa"/>
                <w:tcBorders>
                  <w:top w:val="none" w:sz="0" w:space="0" w:color="auto"/>
                  <w:left w:val="none" w:sz="0" w:space="0" w:color="auto"/>
                  <w:bottom w:val="none" w:sz="0" w:space="0" w:color="auto"/>
                  <w:right w:val="none" w:sz="0" w:space="0" w:color="auto"/>
                  <w:tl2br w:val="none" w:sz="0" w:space="0" w:color="auto"/>
                  <w:tr2bl w:val="none" w:sz="0" w:space="0" w:color="auto"/>
                </w:tcBorders>
                <w:tcMar>
                  <w:left w:w="0" w:type="dxa"/>
                  <w:right w:w="0" w:type="dxa"/>
                </w:tcMar>
                <w:vAlign w:val="bottom"/>
              </w:tcPr>
              <w:p w14:paraId="5953B16C" w14:textId="148D606E" w:rsidR="00B43E07" w:rsidRPr="00AF5F13" w:rsidRDefault="00A81586" w:rsidP="00ED039A">
                <w:pPr>
                  <w:pStyle w:val="Contenttitle"/>
                </w:pPr>
                <w:r w:rsidRPr="00AF5F13">
                  <w:t>Linji gwida</w:t>
                </w:r>
              </w:p>
            </w:tc>
          </w:tr>
          <w:tr w:rsidR="00B43E07" w:rsidRPr="00AF5F13" w14:paraId="60A6CC42" w14:textId="77777777" w:rsidTr="00993B1E">
            <w:tc>
              <w:tcPr>
                <w:tcW w:w="8781" w:type="dxa"/>
                <w:tcMar>
                  <w:left w:w="0" w:type="dxa"/>
                  <w:right w:w="0" w:type="dxa"/>
                </w:tcMar>
                <w:vAlign w:val="top"/>
              </w:tcPr>
              <w:p w14:paraId="40BC3869" w14:textId="0BB17277" w:rsidR="00ED039A" w:rsidRPr="00E13476" w:rsidRDefault="00AE440A" w:rsidP="009C050A">
                <w:pPr>
                  <w:spacing w:before="240" w:after="120" w:line="276" w:lineRule="auto"/>
                  <w:jc w:val="both"/>
                  <w:rPr>
                    <w:color w:val="2F5772"/>
                    <w:sz w:val="28"/>
                    <w:szCs w:val="28"/>
                    <w:lang w:val="mt-MT"/>
                  </w:rPr>
                </w:pPr>
                <w:r w:rsidRPr="00E13476">
                  <w:rPr>
                    <w:rFonts w:asciiTheme="majorHAnsi" w:hAnsiTheme="majorHAnsi"/>
                    <w:bCs/>
                    <w:color w:val="2F5773" w:themeColor="text2"/>
                    <w:sz w:val="28"/>
                    <w:szCs w:val="28"/>
                    <w:lang w:val="mt-MT"/>
                  </w:rPr>
                  <w:t>Dwar il-karatteristiċi ta’ approċċ ibbażat fuq ir-riskju għall-ġlieda kontra l-ħasil tal-flus u s-superviżjoni tal-finanzjament tat-terroriżmu, u l-passi li għandhom jittieħdu meta titwettaq is-superviżjoni bbażata fuq is-sensittività għar-riskju skont l-Artikolu 48(10) tad-Direttiva (UE) 2015/849 (li temenda l-Linji Gwida Konġunti ESAs/2016/72)</w:t>
                </w:r>
              </w:p>
              <w:p w14:paraId="0FCCDD34" w14:textId="77777777" w:rsidR="00ED039A" w:rsidRPr="00E13476" w:rsidRDefault="00ED039A" w:rsidP="00ED039A">
                <w:pPr>
                  <w:pStyle w:val="BodyText"/>
                  <w:numPr>
                    <w:ilvl w:val="0"/>
                    <w:numId w:val="0"/>
                  </w:numPr>
                  <w:spacing w:before="10"/>
                  <w:ind w:left="714"/>
                  <w:rPr>
                    <w:sz w:val="28"/>
                    <w:szCs w:val="28"/>
                    <w:lang w:val="mt-MT"/>
                  </w:rPr>
                </w:pPr>
              </w:p>
              <w:p w14:paraId="414ECB30" w14:textId="0BA224A9" w:rsidR="00ED039A" w:rsidRPr="000B41B7" w:rsidRDefault="00AF4CBA" w:rsidP="0016099C">
                <w:pPr>
                  <w:spacing w:before="240" w:after="120" w:line="276" w:lineRule="auto"/>
                  <w:jc w:val="both"/>
                  <w:rPr>
                    <w:rFonts w:asciiTheme="majorHAnsi" w:eastAsiaTheme="majorEastAsia" w:hAnsiTheme="majorHAnsi" w:cstheme="majorBidi"/>
                    <w:b/>
                    <w:color w:val="2F5773" w:themeColor="text2"/>
                    <w:spacing w:val="5"/>
                    <w:kern w:val="28"/>
                    <w:sz w:val="28"/>
                    <w:szCs w:val="28"/>
                  </w:rPr>
                </w:pPr>
                <w:r w:rsidRPr="000B41B7">
                  <w:rPr>
                    <w:rFonts w:asciiTheme="majorHAnsi" w:hAnsiTheme="majorHAnsi"/>
                    <w:b/>
                    <w:color w:val="2F5773" w:themeColor="text2"/>
                    <w:sz w:val="28"/>
                    <w:szCs w:val="28"/>
                  </w:rPr>
                  <w:t>Il-Linji Gwida dwar is-Superviżjoni bbażata fuq ir-Riskju</w:t>
                </w:r>
              </w:p>
              <w:p w14:paraId="322F6C17" w14:textId="77777777" w:rsidR="00B43E07" w:rsidRDefault="00B43E07" w:rsidP="00993B1E"/>
              <w:tbl>
                <w:tblPr>
                  <w:tblStyle w:val="EBAtable"/>
                  <w:tblW w:w="8704" w:type="dxa"/>
                  <w:tblLook w:val="04A0" w:firstRow="1" w:lastRow="0" w:firstColumn="1" w:lastColumn="0" w:noHBand="0" w:noVBand="1"/>
                </w:tblPr>
                <w:tblGrid>
                  <w:gridCol w:w="4352"/>
                  <w:gridCol w:w="4352"/>
                </w:tblGrid>
                <w:tr w:rsidR="00F72CE0" w:rsidRPr="00E736F1" w14:paraId="25793F6F" w14:textId="77777777" w:rsidTr="002C1072">
                  <w:trPr>
                    <w:cnfStyle w:val="100000000000" w:firstRow="1" w:lastRow="0" w:firstColumn="0" w:lastColumn="0" w:oddVBand="0" w:evenVBand="0" w:oddHBand="0" w:evenHBand="0" w:firstRowFirstColumn="0" w:firstRowLastColumn="0" w:lastRowFirstColumn="0" w:lastRowLastColumn="0"/>
                    <w:trHeight w:val="300"/>
                  </w:trPr>
                  <w:tc>
                    <w:tcPr>
                      <w:tcW w:w="4352" w:type="dxa"/>
                      <w:tcBorders>
                        <w:top w:val="single" w:sz="12" w:space="0" w:color="auto"/>
                        <w:left w:val="single" w:sz="12" w:space="0" w:color="auto"/>
                      </w:tcBorders>
                    </w:tcPr>
                    <w:p w14:paraId="50AB2971" w14:textId="77777777" w:rsidR="00F72CE0" w:rsidRDefault="00F72CE0" w:rsidP="00F72CE0">
                      <w:pPr>
                        <w:rPr>
                          <w:lang w:eastAsia="en-GB"/>
                        </w:rPr>
                      </w:pPr>
                    </w:p>
                    <w:p w14:paraId="5161AD4A" w14:textId="77777777" w:rsidR="00F72CE0" w:rsidRDefault="00F72CE0" w:rsidP="00F72CE0">
                      <w:pPr>
                        <w:rPr>
                          <w:lang w:eastAsia="en-GB"/>
                        </w:rPr>
                      </w:pPr>
                    </w:p>
                    <w:p w14:paraId="2B41D689" w14:textId="77777777" w:rsidR="00F72CE0" w:rsidRPr="00E736F1" w:rsidRDefault="00F72CE0" w:rsidP="00F72CE0">
                      <w:pPr>
                        <w:rPr>
                          <w:lang w:eastAsia="en-GB"/>
                        </w:rPr>
                      </w:pPr>
                    </w:p>
                  </w:tc>
                  <w:tc>
                    <w:tcPr>
                      <w:tcW w:w="4352" w:type="dxa"/>
                      <w:tcBorders>
                        <w:top w:val="single" w:sz="12" w:space="0" w:color="auto"/>
                        <w:right w:val="single" w:sz="12" w:space="0" w:color="auto"/>
                      </w:tcBorders>
                    </w:tcPr>
                    <w:p w14:paraId="17D019C4" w14:textId="5011AF9A" w:rsidR="00F72CE0" w:rsidRPr="00F72CE0" w:rsidRDefault="00F72CE0" w:rsidP="00F72CE0">
                      <w:pPr>
                        <w:rPr>
                          <w:rFonts w:ascii="Calibri" w:hAnsi="Calibri" w:cs="Calibri"/>
                          <w:color w:val="000000"/>
                          <w:szCs w:val="22"/>
                          <w:lang w:val="fr-FR"/>
                        </w:rPr>
                      </w:pPr>
                      <w:r>
                        <w:rPr>
                          <w:rFonts w:ascii="Calibri" w:hAnsi="Calibri" w:cs="Calibri"/>
                          <w:color w:val="000000"/>
                          <w:szCs w:val="22"/>
                        </w:rPr>
                        <w:t>Data tal-applikazzjoni</w:t>
                      </w:r>
                    </w:p>
                  </w:tc>
                </w:tr>
                <w:tr w:rsidR="00F72CE0" w:rsidRPr="00E736F1" w14:paraId="2A744247" w14:textId="77777777" w:rsidTr="002C1072">
                  <w:trPr>
                    <w:trHeight w:val="300"/>
                  </w:trPr>
                  <w:tc>
                    <w:tcPr>
                      <w:tcW w:w="4352" w:type="dxa"/>
                      <w:tcBorders>
                        <w:left w:val="single" w:sz="12" w:space="0" w:color="auto"/>
                      </w:tcBorders>
                    </w:tcPr>
                    <w:p w14:paraId="378346E3" w14:textId="77777777" w:rsidR="00F72CE0" w:rsidRPr="00E736F1" w:rsidRDefault="00F72CE0" w:rsidP="00F72CE0">
                      <w:pPr>
                        <w:rPr>
                          <w:lang w:eastAsia="en-GB"/>
                        </w:rPr>
                      </w:pPr>
                      <w:r w:rsidRPr="009A525B">
                        <w:rPr>
                          <w:rFonts w:ascii="Wingdings" w:eastAsia="Wingdings" w:hAnsi="Wingdings" w:cs="Wingdings"/>
                          <w:color w:val="E98E31" w:themeColor="background2"/>
                          <w:lang w:eastAsia="en-GB"/>
                        </w:rPr>
                        <w:t>Ø</w:t>
                      </w:r>
                      <w:r w:rsidRPr="009A525B">
                        <w:rPr>
                          <w:color w:val="E98E31" w:themeColor="background2"/>
                          <w:lang w:eastAsia="en-GB"/>
                        </w:rPr>
                        <w:t>O</w:t>
                      </w:r>
                    </w:p>
                  </w:tc>
                  <w:tc>
                    <w:tcPr>
                      <w:tcW w:w="4352" w:type="dxa"/>
                      <w:tcBorders>
                        <w:right w:val="single" w:sz="12" w:space="0" w:color="auto"/>
                      </w:tcBorders>
                    </w:tcPr>
                    <w:p w14:paraId="424349D5" w14:textId="77777777" w:rsidR="00F72CE0" w:rsidRPr="00E736F1" w:rsidRDefault="00F72CE0" w:rsidP="00F72CE0">
                      <w:pPr>
                        <w:rPr>
                          <w:lang w:eastAsia="en-GB"/>
                        </w:rPr>
                      </w:pPr>
                      <w:r>
                        <w:rPr>
                          <w:lang w:eastAsia="en-GB"/>
                        </w:rPr>
                        <w:t>04.07.2022</w:t>
                      </w:r>
                    </w:p>
                  </w:tc>
                </w:tr>
                <w:tr w:rsidR="00F72CE0" w:rsidRPr="00E736F1" w14:paraId="72FD3933" w14:textId="77777777" w:rsidTr="002C1072">
                  <w:trPr>
                    <w:trHeight w:val="300"/>
                  </w:trPr>
                  <w:tc>
                    <w:tcPr>
                      <w:tcW w:w="4352" w:type="dxa"/>
                      <w:tcBorders>
                        <w:left w:val="single" w:sz="12" w:space="0" w:color="auto"/>
                      </w:tcBorders>
                    </w:tcPr>
                    <w:p w14:paraId="491F65B9" w14:textId="78E6B56A" w:rsidR="00F72CE0" w:rsidRPr="00F72CE0" w:rsidRDefault="00F72CE0" w:rsidP="00F72CE0">
                      <w:pPr>
                        <w:rPr>
                          <w:rFonts w:ascii="Calibri" w:hAnsi="Calibri" w:cs="Calibri"/>
                          <w:color w:val="000000"/>
                          <w:szCs w:val="22"/>
                          <w:lang w:val="fr-FR"/>
                        </w:rPr>
                      </w:pPr>
                      <w:r>
                        <w:rPr>
                          <w:rFonts w:ascii="Calibri" w:hAnsi="Calibri" w:cs="Calibri"/>
                          <w:color w:val="000000"/>
                          <w:szCs w:val="22"/>
                        </w:rPr>
                        <w:t>Emendat bi:</w:t>
                      </w:r>
                    </w:p>
                  </w:tc>
                  <w:tc>
                    <w:tcPr>
                      <w:tcW w:w="4352" w:type="dxa"/>
                      <w:tcBorders>
                        <w:right w:val="single" w:sz="12" w:space="0" w:color="auto"/>
                      </w:tcBorders>
                    </w:tcPr>
                    <w:p w14:paraId="548E526E" w14:textId="77777777" w:rsidR="00F72CE0" w:rsidRPr="00E736F1" w:rsidRDefault="00F72CE0" w:rsidP="00F72CE0">
                      <w:pPr>
                        <w:rPr>
                          <w:lang w:eastAsia="en-GB"/>
                        </w:rPr>
                      </w:pPr>
                    </w:p>
                  </w:tc>
                </w:tr>
                <w:tr w:rsidR="00F72CE0" w:rsidRPr="00E736F1" w14:paraId="05FF174B" w14:textId="77777777" w:rsidTr="002C1072">
                  <w:trPr>
                    <w:trHeight w:val="300"/>
                  </w:trPr>
                  <w:tc>
                    <w:tcPr>
                      <w:tcW w:w="4352" w:type="dxa"/>
                      <w:tcBorders>
                        <w:left w:val="single" w:sz="12" w:space="0" w:color="auto"/>
                      </w:tcBorders>
                    </w:tcPr>
                    <w:p w14:paraId="7788414D" w14:textId="77777777" w:rsidR="00F72CE0" w:rsidRPr="00673077" w:rsidRDefault="00F72CE0" w:rsidP="00F72CE0">
                      <w:pPr>
                        <w:rPr>
                          <w:color w:val="E98E31" w:themeColor="background2"/>
                        </w:rPr>
                      </w:pPr>
                      <w:r w:rsidRPr="00C94FB9">
                        <w:rPr>
                          <w:rFonts w:ascii="Wingdings" w:eastAsia="Wingdings" w:hAnsi="Wingdings" w:cs="Wingdings"/>
                          <w:color w:val="E98E31" w:themeColor="background2"/>
                        </w:rPr>
                        <w:t>Ø</w:t>
                      </w:r>
                      <w:r w:rsidRPr="00C94FB9">
                        <w:rPr>
                          <w:color w:val="E98E31" w:themeColor="background2"/>
                        </w:rPr>
                        <w:t>A</w:t>
                      </w:r>
                      <w:r>
                        <w:rPr>
                          <w:color w:val="E98E31" w:themeColor="background2"/>
                        </w:rPr>
                        <w:t xml:space="preserve">1 </w:t>
                      </w:r>
                      <w:r w:rsidRPr="000A7C37">
                        <w:rPr>
                          <w:color w:val="000000" w:themeColor="text1"/>
                        </w:rPr>
                        <w:t>EBA/GL/2023/</w:t>
                      </w:r>
                      <w:r>
                        <w:rPr>
                          <w:color w:val="000000" w:themeColor="text1"/>
                        </w:rPr>
                        <w:t>07</w:t>
                      </w:r>
                    </w:p>
                  </w:tc>
                  <w:tc>
                    <w:tcPr>
                      <w:tcW w:w="4352" w:type="dxa"/>
                      <w:tcBorders>
                        <w:right w:val="single" w:sz="12" w:space="0" w:color="auto"/>
                      </w:tcBorders>
                    </w:tcPr>
                    <w:p w14:paraId="413E16D7" w14:textId="5F2E3155" w:rsidR="00F72CE0" w:rsidRPr="00F72CE0" w:rsidRDefault="00F72CE0" w:rsidP="00F72CE0">
                      <w:pPr>
                        <w:rPr>
                          <w:rFonts w:ascii="Calibri" w:hAnsi="Calibri" w:cs="Calibri"/>
                          <w:color w:val="000000"/>
                          <w:szCs w:val="22"/>
                        </w:rPr>
                      </w:pPr>
                      <w:r>
                        <w:rPr>
                          <w:rFonts w:ascii="Calibri" w:hAnsi="Calibri" w:cs="Calibri"/>
                          <w:color w:val="000000"/>
                          <w:szCs w:val="22"/>
                        </w:rPr>
                        <w:t>3</w:t>
                      </w:r>
                      <w:r>
                        <w:rPr>
                          <w:rFonts w:ascii="Calibri" w:hAnsi="Calibri" w:cs="Calibri"/>
                          <w:color w:val="000000"/>
                          <w:szCs w:val="22"/>
                          <w:lang w:val="fr-FR"/>
                        </w:rPr>
                        <w:t>0</w:t>
                      </w:r>
                      <w:r>
                        <w:rPr>
                          <w:rFonts w:ascii="Calibri" w:hAnsi="Calibri" w:cs="Calibri"/>
                          <w:color w:val="000000"/>
                          <w:szCs w:val="22"/>
                        </w:rPr>
                        <w:t xml:space="preserve"> ta’ Diċembru 2024</w:t>
                      </w:r>
                    </w:p>
                  </w:tc>
                </w:tr>
                <w:tr w:rsidR="00F72CE0" w:rsidRPr="00E736F1" w14:paraId="784A4F32" w14:textId="77777777" w:rsidTr="002C1072">
                  <w:trPr>
                    <w:trHeight w:val="58"/>
                  </w:trPr>
                  <w:tc>
                    <w:tcPr>
                      <w:tcW w:w="4352" w:type="dxa"/>
                      <w:tcBorders>
                        <w:left w:val="single" w:sz="12" w:space="0" w:color="auto"/>
                        <w:bottom w:val="single" w:sz="12" w:space="0" w:color="auto"/>
                      </w:tcBorders>
                    </w:tcPr>
                    <w:p w14:paraId="262D3BEA" w14:textId="77777777" w:rsidR="00F72CE0" w:rsidRPr="00E736F1" w:rsidRDefault="00F72CE0" w:rsidP="00F72CE0">
                      <w:pPr>
                        <w:rPr>
                          <w:color w:val="E98E31" w:themeColor="background2"/>
                          <w:lang w:eastAsia="en-GB"/>
                        </w:rPr>
                      </w:pPr>
                      <w:r w:rsidRPr="00C94FB9">
                        <w:rPr>
                          <w:rFonts w:ascii="Wingdings" w:eastAsia="Wingdings" w:hAnsi="Wingdings" w:cs="Wingdings"/>
                          <w:color w:val="E98E31" w:themeColor="background2"/>
                        </w:rPr>
                        <w:t>Ø</w:t>
                      </w:r>
                      <w:r>
                        <w:rPr>
                          <w:color w:val="E98E31" w:themeColor="background2"/>
                        </w:rPr>
                        <w:t xml:space="preserve">C1 </w:t>
                      </w:r>
                      <w:r w:rsidRPr="000A7C37">
                        <w:rPr>
                          <w:color w:val="000000" w:themeColor="text1"/>
                        </w:rPr>
                        <w:t>EBA/</w:t>
                      </w:r>
                      <w:r>
                        <w:rPr>
                          <w:color w:val="000000" w:themeColor="text1"/>
                        </w:rPr>
                        <w:t>Corrigendum</w:t>
                      </w:r>
                      <w:r w:rsidRPr="000A7C37">
                        <w:rPr>
                          <w:color w:val="000000" w:themeColor="text1"/>
                        </w:rPr>
                        <w:t>/2023/</w:t>
                      </w:r>
                      <w:r>
                        <w:rPr>
                          <w:color w:val="000000" w:themeColor="text1"/>
                        </w:rPr>
                        <w:t>01</w:t>
                      </w:r>
                    </w:p>
                  </w:tc>
                  <w:tc>
                    <w:tcPr>
                      <w:tcW w:w="4352" w:type="dxa"/>
                      <w:tcBorders>
                        <w:bottom w:val="single" w:sz="12" w:space="0" w:color="auto"/>
                        <w:right w:val="single" w:sz="12" w:space="0" w:color="auto"/>
                      </w:tcBorders>
                    </w:tcPr>
                    <w:p w14:paraId="3060452B" w14:textId="77777777" w:rsidR="00F72CE0" w:rsidRPr="00E736F1" w:rsidRDefault="00F72CE0" w:rsidP="00F72CE0">
                      <w:r>
                        <w:t>--------------------------</w:t>
                      </w:r>
                    </w:p>
                  </w:tc>
                </w:tr>
              </w:tbl>
              <w:p w14:paraId="0B268AC8" w14:textId="60528831" w:rsidR="00F72CE0" w:rsidRPr="00AF5F13" w:rsidRDefault="00F72CE0" w:rsidP="00993B1E"/>
            </w:tc>
          </w:tr>
        </w:tbl>
        <w:p w14:paraId="79F6E341" w14:textId="77777777" w:rsidR="00C568D1" w:rsidRPr="00AF5F13" w:rsidRDefault="00C568D1" w:rsidP="00B43E07">
          <w:pPr>
            <w:sectPr w:rsidR="00C568D1" w:rsidRPr="00AF5F13" w:rsidSect="00E17858">
              <w:headerReference w:type="even" r:id="rId8"/>
              <w:headerReference w:type="default" r:id="rId9"/>
              <w:footerReference w:type="even" r:id="rId10"/>
              <w:footerReference w:type="default" r:id="rId11"/>
              <w:headerReference w:type="first" r:id="rId12"/>
              <w:footerReference w:type="first" r:id="rId13"/>
              <w:pgSz w:w="11910" w:h="16840"/>
              <w:pgMar w:top="1985" w:right="1420" w:bottom="840" w:left="1701" w:header="720" w:footer="720" w:gutter="0"/>
              <w:cols w:space="720"/>
            </w:sectPr>
          </w:pPr>
        </w:p>
        <w:p w14:paraId="0F79284E" w14:textId="77777777" w:rsidR="00B43E07" w:rsidRPr="00AF5F13" w:rsidRDefault="00F72CE0" w:rsidP="00B43E07"/>
      </w:sdtContent>
    </w:sdt>
    <w:p w14:paraId="5B9EBDDD" w14:textId="77777777" w:rsidR="00DE0EC0" w:rsidRPr="00AF5F13" w:rsidRDefault="00DE0EC0">
      <w:pPr>
        <w:rPr>
          <w:rFonts w:asciiTheme="majorHAnsi" w:eastAsiaTheme="majorEastAsia" w:hAnsiTheme="majorHAnsi" w:cstheme="majorBidi"/>
          <w:bCs/>
          <w:color w:val="2F5773" w:themeColor="text2"/>
          <w:sz w:val="32"/>
        </w:rPr>
      </w:pPr>
      <w:r w:rsidRPr="00AF5F13">
        <w:br w:type="page"/>
      </w:r>
    </w:p>
    <w:p w14:paraId="73E6ABC3" w14:textId="77777777" w:rsidR="00C568D1" w:rsidRPr="00AF5F13" w:rsidRDefault="00C568D1" w:rsidP="00B43E07">
      <w:pPr>
        <w:pStyle w:val="Titlelevel2"/>
        <w:rPr>
          <w:lang w:val="en-GB"/>
        </w:rPr>
        <w:sectPr w:rsidR="00C568D1" w:rsidRPr="00AF5F13" w:rsidSect="00C42013">
          <w:type w:val="continuous"/>
          <w:pgSz w:w="11910" w:h="16840"/>
          <w:pgMar w:top="1985" w:right="1200" w:bottom="840" w:left="1480" w:header="720" w:footer="720" w:gutter="0"/>
          <w:cols w:num="2" w:space="720" w:equalWidth="0">
            <w:col w:w="2912" w:space="331"/>
            <w:col w:w="5987"/>
          </w:cols>
        </w:sectPr>
      </w:pPr>
    </w:p>
    <w:p w14:paraId="1CCC6B7A" w14:textId="77777777" w:rsidR="00B43E07" w:rsidRPr="00AF5F13" w:rsidRDefault="00B43E07" w:rsidP="009C050A">
      <w:pPr>
        <w:pStyle w:val="Numberedtilelevel1"/>
        <w:numPr>
          <w:ilvl w:val="0"/>
          <w:numId w:val="12"/>
        </w:numPr>
        <w:ind w:left="567" w:hanging="567"/>
      </w:pPr>
      <w:r w:rsidRPr="00AF5F13">
        <w:lastRenderedPageBreak/>
        <w:t>Obbligi ta’ konformità u ta’ rapportar</w:t>
      </w:r>
    </w:p>
    <w:p w14:paraId="6943DE17" w14:textId="2E61CCE1" w:rsidR="00B43E07" w:rsidRPr="00AF5F13" w:rsidRDefault="00B43E07" w:rsidP="009C050A">
      <w:pPr>
        <w:pStyle w:val="Titlelevel2"/>
        <w:ind w:left="567" w:hanging="567"/>
      </w:pPr>
      <w:r w:rsidRPr="00AF5F13">
        <w:t>L-istatus ta’ dawn il-linji gwida</w:t>
      </w:r>
    </w:p>
    <w:p w14:paraId="6BAC1017" w14:textId="78FD91DA" w:rsidR="00B43E07" w:rsidRPr="00AF5F13" w:rsidRDefault="00B43E07" w:rsidP="009C050A">
      <w:pPr>
        <w:pStyle w:val="body"/>
        <w:numPr>
          <w:ilvl w:val="0"/>
          <w:numId w:val="10"/>
        </w:numPr>
        <w:ind w:left="340" w:hanging="340"/>
      </w:pPr>
      <w:r w:rsidRPr="00AF5F13">
        <w:t>Dan id-dokument jinkludi linji gwida maħruġa skont l-Artikolu 16 tar-Regolament (UE) Nru 1093/2010</w:t>
      </w:r>
      <w:r w:rsidRPr="00AF5F13">
        <w:rPr>
          <w:rStyle w:val="FootnoteReference"/>
          <w:lang w:val="en-GB"/>
        </w:rPr>
        <w:footnoteReference w:id="2"/>
      </w:r>
      <w:r w:rsidRPr="00AF5F13">
        <w:t>. Skont l-Artikolu 16(3) tar-Regolament (UE) Nru 1093/2010, l-awtoritajiet kompetenti u l-istituzzjonijiet finanzjarji għandhom jagħmlu kull sforz biex ikunu konformi mal-linji gwida.</w:t>
      </w:r>
    </w:p>
    <w:p w14:paraId="42F2263C" w14:textId="77777777" w:rsidR="00B43E07" w:rsidRPr="00AF5F13" w:rsidRDefault="00B43E07" w:rsidP="009C050A">
      <w:pPr>
        <w:pStyle w:val="body"/>
        <w:numPr>
          <w:ilvl w:val="0"/>
          <w:numId w:val="10"/>
        </w:numPr>
        <w:ind w:left="340" w:hanging="340"/>
      </w:pPr>
      <w:r w:rsidRPr="00AF5F13">
        <w:t>Il-linji gwida jistabbilixxu l-fehma tal-EBA fir-rigward tal-prattiki superviżorji adegwati fi ħdan is-Sistema Ewropea ta’ Superviżjoni Finanzjarja jew dwar kif id-dritt tal-Unjoni għandu jiġi applikat f’qasam partikolari. L-awtoritajiet kompetenti kif definiti fl-Artikolu 4(2) tar-Regolament (UE) Nru 1093/2010 li għalihom japplikaw il-linji gwida għandhom ikunu konformi billi jinkorporawhom fil-prattiki superviżorji tagħhom kif xieraq (eż. billi jemendaw il-qafas legali tagħhom jew il-proċessi superviżorji tagħhom), inkluż meta l-linji gwida huma diretti primarjament lejn l-istituzzjonijiet.</w:t>
      </w:r>
    </w:p>
    <w:p w14:paraId="5EB1AA94" w14:textId="77777777" w:rsidR="00B43E07" w:rsidRPr="00AF5F13" w:rsidRDefault="00B43E07" w:rsidP="009C050A">
      <w:pPr>
        <w:pStyle w:val="Titlelevel2"/>
        <w:ind w:left="340" w:hanging="340"/>
      </w:pPr>
      <w:r w:rsidRPr="00AF5F13">
        <w:t>Rekwiżiti ta’ rapportar</w:t>
      </w:r>
    </w:p>
    <w:p w14:paraId="60E9E759" w14:textId="048A4ED5" w:rsidR="00B43E07" w:rsidRPr="00AF5F13" w:rsidRDefault="00B43E07" w:rsidP="009C050A">
      <w:pPr>
        <w:pStyle w:val="body"/>
        <w:numPr>
          <w:ilvl w:val="0"/>
          <w:numId w:val="10"/>
        </w:numPr>
        <w:ind w:left="340" w:hanging="340"/>
      </w:pPr>
      <w:r w:rsidRPr="00AF5F13">
        <w:t xml:space="preserve">Skont l-Artikolu 16(3) tar-Regolament (UE) Nru 1093/2010, l-awtoritajiet kompetenti għandhom jinnotifikaw lill-EBA jekk jikkonformawx, jew jekk humiex beħsiebhom jikkonformaw ma’ dawn il-linji gwida jew inkella bir-raġunijiet għan-nuqqas ta’ konformità, sa </w:t>
      </w:r>
      <w:r w:rsidR="003A423D">
        <w:t>30.05.2022</w:t>
      </w:r>
      <w:r w:rsidRPr="00AF5F13">
        <w:t>. Fin-nuqqas ta’ kwalunkwe notifika sa din l-iskadenza, l-awtoritajiet kompetenti se jiġu kkunsidrati mill-EBA bħala mhux konformi. In-notifiki għandhom jintbagħtu billi tiġi sottomessa l-formola pprovduta fuq is-sit web tal-EBA bir-referenza “EBA/GL/2021/16”. In-notifiki għandhom jiġu sottomessi minn persuni b’awtorità xierqa biex jirrapportaw il-konformità f’isem l-awtoritajiet kompetenti tagħhom. Kwalunkwe bidla fl-istatus ta’ konformità għandha tiġi rrapportata wkoll lill-EBA.</w:t>
      </w:r>
    </w:p>
    <w:p w14:paraId="085D3DA4" w14:textId="77777777" w:rsidR="00B43E07" w:rsidRPr="00AF5F13" w:rsidRDefault="00B43E07" w:rsidP="009C050A">
      <w:pPr>
        <w:pStyle w:val="body"/>
        <w:numPr>
          <w:ilvl w:val="0"/>
          <w:numId w:val="10"/>
        </w:numPr>
        <w:ind w:left="340" w:hanging="340"/>
      </w:pPr>
      <w:r w:rsidRPr="00AF5F13">
        <w:t>In-notifiki se jiġu ppubblikati fuq is-sit web tal-EBA, f’konformità mal-Artikolu 16(3).</w:t>
      </w:r>
    </w:p>
    <w:p w14:paraId="7C127D2A" w14:textId="77777777" w:rsidR="00B43E07" w:rsidRPr="00AF5F13" w:rsidRDefault="00B43E07" w:rsidP="00B43E07">
      <w:pPr>
        <w:pStyle w:val="Titlelevel2"/>
      </w:pPr>
      <w:r w:rsidRPr="00AF5F13">
        <w:br w:type="page"/>
      </w:r>
    </w:p>
    <w:p w14:paraId="6C58A420" w14:textId="77777777" w:rsidR="00B43E07" w:rsidRPr="00AF5F13" w:rsidRDefault="00B43E07" w:rsidP="00DE0EC0">
      <w:pPr>
        <w:pStyle w:val="Numberedtilelevel1"/>
        <w:ind w:left="0"/>
      </w:pPr>
      <w:r w:rsidRPr="00AF5F13">
        <w:lastRenderedPageBreak/>
        <w:t>Suġġett, kamp ta’ applikazzjoni u definizzjonijiet</w:t>
      </w:r>
    </w:p>
    <w:p w14:paraId="1F9D40CF" w14:textId="77777777" w:rsidR="00B43E07" w:rsidRPr="00AF5F13" w:rsidRDefault="00B43E07" w:rsidP="00B43E07">
      <w:pPr>
        <w:pStyle w:val="Titlelevel2"/>
      </w:pPr>
      <w:r w:rsidRPr="00AF5F13">
        <w:t>Suġġett</w:t>
      </w:r>
    </w:p>
    <w:p w14:paraId="52C22C6F" w14:textId="7E2F8D5D" w:rsidR="00735BEE" w:rsidRPr="00735BEE" w:rsidRDefault="00735BEE" w:rsidP="00735BEE">
      <w:pPr>
        <w:widowControl w:val="0"/>
        <w:tabs>
          <w:tab w:val="left" w:pos="790"/>
        </w:tabs>
        <w:autoSpaceDE w:val="0"/>
        <w:autoSpaceDN w:val="0"/>
        <w:spacing w:before="166" w:line="276" w:lineRule="auto"/>
        <w:jc w:val="both"/>
        <w:rPr>
          <w:rStyle w:val="normaltextrun"/>
        </w:rPr>
      </w:pPr>
      <w:bookmarkStart w:id="0" w:name="_Hlk149126575"/>
      <w:r w:rsidRPr="00735BEE">
        <w:rPr>
          <w:rFonts w:ascii="Wingdings" w:eastAsia="Wingdings" w:hAnsi="Wingdings" w:cs="Wingdings"/>
          <w:color w:val="E98E31" w:themeColor="background2"/>
          <w:spacing w:val="-1"/>
          <w:lang w:val="en-US"/>
        </w:rPr>
        <w:t>Ú</w:t>
      </w:r>
      <w:bookmarkEnd w:id="0"/>
      <w:r w:rsidRPr="00735BEE">
        <w:rPr>
          <w:color w:val="E98E31" w:themeColor="background2"/>
          <w:spacing w:val="-1"/>
          <w:lang w:val="en-US"/>
        </w:rPr>
        <w:t>A1</w:t>
      </w:r>
    </w:p>
    <w:p w14:paraId="6ECC0F4D" w14:textId="6261B745" w:rsidR="00AE440A" w:rsidRDefault="001F40E9" w:rsidP="009C050A">
      <w:pPr>
        <w:pStyle w:val="ListParagraph"/>
        <w:widowControl w:val="0"/>
        <w:numPr>
          <w:ilvl w:val="0"/>
          <w:numId w:val="10"/>
        </w:numPr>
        <w:tabs>
          <w:tab w:val="left" w:pos="790"/>
        </w:tabs>
        <w:autoSpaceDE w:val="0"/>
        <w:autoSpaceDN w:val="0"/>
        <w:spacing w:before="166" w:line="276" w:lineRule="auto"/>
        <w:jc w:val="both"/>
      </w:pPr>
      <w:r w:rsidRPr="00F57386">
        <w:rPr>
          <w:rStyle w:val="normaltextrun"/>
          <w:shd w:val="clear" w:color="auto" w:fill="FFFFFF"/>
        </w:rPr>
        <w:t>Dawn il-linji gwida jispeċifikaw, f’konformità mal-Artikolu 48(10) tad-Direttiva (UE) 2015/849</w:t>
      </w:r>
      <w:r w:rsidRPr="00F57386">
        <w:rPr>
          <w:rStyle w:val="normaltextrun"/>
          <w:shd w:val="clear" w:color="auto" w:fill="FFFFFF"/>
        </w:rPr>
        <w:footnoteReference w:id="3"/>
      </w:r>
      <w:r w:rsidRPr="00F57386">
        <w:rPr>
          <w:rStyle w:val="normaltextrun"/>
          <w:shd w:val="clear" w:color="auto" w:fill="FFFFFF"/>
        </w:rPr>
        <w:t xml:space="preserve"> u l-Artikolu 36(3) tar-Regolament (UE) 2023/1113</w:t>
      </w:r>
      <w:r w:rsidRPr="00F57386">
        <w:rPr>
          <w:rStyle w:val="normaltextrun"/>
          <w:shd w:val="clear" w:color="auto" w:fill="FFFFFF"/>
          <w:vertAlign w:val="superscript"/>
        </w:rPr>
        <w:footnoteReference w:id="4"/>
      </w:r>
      <w:r w:rsidRPr="00F57386">
        <w:rPr>
          <w:rStyle w:val="normaltextrun"/>
          <w:shd w:val="clear" w:color="auto" w:fill="FFFFFF"/>
        </w:rPr>
        <w:t xml:space="preserve"> il-karatteristiċi ta’ approċċ ibbażat fuq ir-riskju għas-superviżjoni tal-ġlieda kontra l-ħasil tal-flus u l-finanzjament tat-terroriżmu (AML/CFT) u l-passi li l-awtoritajiet kompetenti għandhom jieħdu meta jwettqu superviżjoni tal-AML/CFT ibbażata fuq is-sensittività għar-riskju</w:t>
      </w:r>
      <w:r w:rsidR="00AE440A" w:rsidRPr="00AF5F13">
        <w:t>.</w:t>
      </w:r>
    </w:p>
    <w:p w14:paraId="59C0BC8A" w14:textId="09B98E84" w:rsidR="00735BEE" w:rsidRPr="00AF5F13" w:rsidRDefault="00735BEE" w:rsidP="00735BEE">
      <w:pPr>
        <w:widowControl w:val="0"/>
        <w:tabs>
          <w:tab w:val="left" w:pos="790"/>
        </w:tabs>
        <w:autoSpaceDE w:val="0"/>
        <w:autoSpaceDN w:val="0"/>
        <w:spacing w:before="166" w:line="276" w:lineRule="auto"/>
        <w:jc w:val="both"/>
      </w:pPr>
      <w:r w:rsidRPr="00735BEE">
        <w:rPr>
          <w:rFonts w:ascii="Wingdings" w:eastAsia="Wingdings" w:hAnsi="Wingdings" w:cs="Wingdings"/>
          <w:color w:val="E98E31" w:themeColor="background2"/>
          <w:spacing w:val="-1"/>
          <w:szCs w:val="22"/>
          <w:lang w:val="en-US"/>
        </w:rPr>
        <w:t>Ú</w:t>
      </w:r>
      <w:r w:rsidRPr="00735BEE">
        <w:rPr>
          <w:color w:val="E98E31" w:themeColor="background2"/>
        </w:rPr>
        <w:t>O</w:t>
      </w:r>
    </w:p>
    <w:p w14:paraId="2573EF77" w14:textId="77777777" w:rsidR="00B43E07" w:rsidRPr="00AF5F13" w:rsidRDefault="00B43E07" w:rsidP="00B43E07">
      <w:pPr>
        <w:pStyle w:val="Titlelevel2"/>
      </w:pPr>
      <w:r w:rsidRPr="00AF5F13">
        <w:t>Kamp ta’ applikazzjoni</w:t>
      </w:r>
    </w:p>
    <w:p w14:paraId="6BB670AF" w14:textId="1F6D5478" w:rsidR="00AE440A" w:rsidRPr="00AF5F13" w:rsidRDefault="00AE440A" w:rsidP="009C050A">
      <w:pPr>
        <w:pStyle w:val="ListParagraph"/>
        <w:widowControl w:val="0"/>
        <w:numPr>
          <w:ilvl w:val="0"/>
          <w:numId w:val="10"/>
        </w:numPr>
        <w:tabs>
          <w:tab w:val="left" w:pos="789"/>
          <w:tab w:val="left" w:pos="790"/>
        </w:tabs>
        <w:autoSpaceDE w:val="0"/>
        <w:autoSpaceDN w:val="0"/>
        <w:spacing w:before="119" w:line="276" w:lineRule="auto"/>
        <w:jc w:val="both"/>
      </w:pPr>
      <w:r w:rsidRPr="00AF5F13">
        <w:t>L-awtoritajiet kompetenti għandhom japplikaw dawn il-linji gwida meta jfasslu, jimplimentaw, jirrevedu u jtejbu l-mudell ibbażat fuq ir-riskju (Mudell RBS) tal-AML/CFT tagħhom stess.</w:t>
      </w:r>
    </w:p>
    <w:p w14:paraId="160EE6A7" w14:textId="77777777" w:rsidR="00B43E07" w:rsidRPr="00AF5F13" w:rsidRDefault="00B43E07" w:rsidP="009C050A">
      <w:pPr>
        <w:pStyle w:val="Titlelevel2"/>
      </w:pPr>
      <w:r w:rsidRPr="00AF5F13">
        <w:t>Destinatarji</w:t>
      </w:r>
    </w:p>
    <w:p w14:paraId="54B36391" w14:textId="404E49FF" w:rsidR="00512343" w:rsidRPr="00AF5F13" w:rsidRDefault="00512343" w:rsidP="009C050A">
      <w:pPr>
        <w:pStyle w:val="ListParagraph"/>
        <w:widowControl w:val="0"/>
        <w:numPr>
          <w:ilvl w:val="0"/>
          <w:numId w:val="10"/>
        </w:numPr>
        <w:tabs>
          <w:tab w:val="left" w:pos="790"/>
        </w:tabs>
        <w:autoSpaceDE w:val="0"/>
        <w:autoSpaceDN w:val="0"/>
        <w:spacing w:before="165" w:line="276" w:lineRule="auto"/>
        <w:jc w:val="both"/>
      </w:pPr>
      <w:r w:rsidRPr="00AF5F13">
        <w:t>Dawn il-linji gwida huma indirizzati lill-awtoritajiet kompetenti kif definiti fl-Artikoli 4(2)(iii) tar-Regolament (UE) Nru 1093/2010.</w:t>
      </w:r>
    </w:p>
    <w:p w14:paraId="00FF95C9" w14:textId="77777777" w:rsidR="00B43E07" w:rsidRPr="00AF5F13" w:rsidRDefault="00B43E07" w:rsidP="00B43E07">
      <w:pPr>
        <w:pStyle w:val="Titlelevel2"/>
      </w:pPr>
      <w:r w:rsidRPr="00AF5F13">
        <w:t>Definizzjonijiet</w:t>
      </w:r>
    </w:p>
    <w:p w14:paraId="5A2761EB" w14:textId="33E4569A" w:rsidR="00735BEE" w:rsidRDefault="00735BEE" w:rsidP="00735BEE">
      <w:pPr>
        <w:pStyle w:val="body"/>
        <w:spacing w:after="240"/>
      </w:pPr>
      <w:r w:rsidRPr="00955223">
        <w:rPr>
          <w:rFonts w:ascii="Wingdings" w:eastAsia="Wingdings" w:hAnsi="Wingdings" w:cs="Wingdings"/>
          <w:color w:val="E98E31" w:themeColor="background2"/>
          <w:spacing w:val="-1"/>
          <w:szCs w:val="22"/>
          <w:lang w:val="en-US"/>
        </w:rPr>
        <w:t>Ú</w:t>
      </w:r>
      <w:r w:rsidRPr="002B14E5">
        <w:rPr>
          <w:color w:val="E98E31" w:themeColor="background2"/>
          <w:spacing w:val="-1"/>
          <w:lang w:val="en-US"/>
        </w:rPr>
        <w:t>A1</w:t>
      </w:r>
    </w:p>
    <w:p w14:paraId="77A43689" w14:textId="3FCC9CD2" w:rsidR="00C568D1" w:rsidRDefault="001F40E9" w:rsidP="00517844">
      <w:pPr>
        <w:pStyle w:val="body"/>
        <w:numPr>
          <w:ilvl w:val="0"/>
          <w:numId w:val="10"/>
        </w:numPr>
        <w:spacing w:after="240"/>
        <w:ind w:left="357" w:hanging="357"/>
      </w:pPr>
      <w:r w:rsidRPr="00F57386">
        <w:t>Sakemm ma jkunx speċifikat mod ieħor, it-termini użati u definiti fid-Direttiva (UE) 2015/849 u fir-Regolament (UE) 2023/1113 għandhom l-istess tifsira fil-linji gwida. Barra minn hekk, għall-finijiet ta’ dawn il-linji gwida, japplikaw id-definizzjonijiet li ġejjin</w:t>
      </w:r>
      <w:r w:rsidR="00B43E07" w:rsidRPr="00AF5F13">
        <w:t xml:space="preserve">: </w:t>
      </w:r>
    </w:p>
    <w:p w14:paraId="27A8E93A" w14:textId="066340A7" w:rsidR="00735BEE" w:rsidRPr="00AF5F13" w:rsidRDefault="00735BEE" w:rsidP="00735BEE">
      <w:pPr>
        <w:widowControl w:val="0"/>
        <w:tabs>
          <w:tab w:val="left" w:pos="1802"/>
        </w:tabs>
        <w:spacing w:before="100" w:after="60" w:line="276" w:lineRule="auto"/>
        <w:ind w:right="232"/>
        <w:jc w:val="both"/>
      </w:pPr>
      <w:r w:rsidRPr="00735BEE">
        <w:rPr>
          <w:rFonts w:ascii="Wingdings" w:eastAsia="Wingdings" w:hAnsi="Wingdings" w:cs="Wingdings"/>
          <w:color w:val="E98E31" w:themeColor="background2"/>
          <w:spacing w:val="-1"/>
          <w:szCs w:val="22"/>
          <w:lang w:val="en-US"/>
        </w:rPr>
        <w:t>Ú</w:t>
      </w:r>
      <w:r w:rsidRPr="00735BEE">
        <w:rPr>
          <w:color w:val="E98E31" w:themeColor="background2"/>
          <w:spacing w:val="-1"/>
          <w:lang w:val="en-US"/>
        </w:rPr>
        <w:t>O</w:t>
      </w:r>
    </w:p>
    <w:tbl>
      <w:tblPr>
        <w:tblStyle w:val="TableGrid"/>
        <w:tblW w:w="8789" w:type="dxa"/>
        <w:tblInd w:w="-5" w:type="dxa"/>
        <w:tblBorders>
          <w:bottom w:val="none" w:sz="0" w:space="0" w:color="auto"/>
          <w:insideH w:val="none" w:sz="0" w:space="0" w:color="auto"/>
        </w:tblBorders>
        <w:tblLayout w:type="fixed"/>
        <w:tblLook w:val="04A0" w:firstRow="1" w:lastRow="0" w:firstColumn="1" w:lastColumn="0" w:noHBand="0" w:noVBand="1"/>
      </w:tblPr>
      <w:tblGrid>
        <w:gridCol w:w="2127"/>
        <w:gridCol w:w="6662"/>
      </w:tblGrid>
      <w:tr w:rsidR="00AF5F13" w:rsidRPr="00AF5F13" w14:paraId="06C1A743" w14:textId="77777777" w:rsidTr="00F52CCE">
        <w:trPr>
          <w:cnfStyle w:val="100000000000" w:firstRow="1" w:lastRow="0" w:firstColumn="0" w:lastColumn="0" w:oddVBand="0" w:evenVBand="0" w:oddHBand="0" w:evenHBand="0" w:firstRowFirstColumn="0" w:firstRowLastColumn="0" w:lastRowFirstColumn="0" w:lastRowLastColumn="0"/>
        </w:trPr>
        <w:tc>
          <w:tcPr>
            <w:tcW w:w="2127" w:type="dxa"/>
            <w:tcBorders>
              <w:bottom w:val="none" w:sz="0" w:space="0" w:color="auto"/>
            </w:tcBorders>
          </w:tcPr>
          <w:p w14:paraId="5EE64A99" w14:textId="77777777" w:rsidR="00AF5F13" w:rsidRPr="005E5F40" w:rsidRDefault="00AF5F13" w:rsidP="004D193D">
            <w:pPr>
              <w:spacing w:after="240"/>
              <w:rPr>
                <w:lang w:val="mt-MT"/>
              </w:rPr>
            </w:pPr>
            <w:r w:rsidRPr="005E5F40">
              <w:rPr>
                <w:b/>
                <w:lang w:val="mt-MT"/>
              </w:rPr>
              <w:t>Approċċ ibbażat fuq ir-riskju (RBA)</w:t>
            </w:r>
          </w:p>
        </w:tc>
        <w:tc>
          <w:tcPr>
            <w:tcW w:w="6662" w:type="dxa"/>
            <w:tcBorders>
              <w:bottom w:val="none" w:sz="0" w:space="0" w:color="auto"/>
            </w:tcBorders>
          </w:tcPr>
          <w:p w14:paraId="43C8BB2E" w14:textId="77777777" w:rsidR="00AF5F13" w:rsidRPr="005E5F40" w:rsidRDefault="00AF5F13" w:rsidP="00866C8B">
            <w:pPr>
              <w:spacing w:after="240"/>
              <w:jc w:val="both"/>
              <w:rPr>
                <w:lang w:val="mt-MT"/>
              </w:rPr>
            </w:pPr>
            <w:r w:rsidRPr="005E5F40">
              <w:rPr>
                <w:lang w:val="mt-MT"/>
              </w:rPr>
              <w:t xml:space="preserve">tfisser approċċ li permezz tiegħu l-awtoritajiet kompetenti u s-suġġetti tal-valutazzjoni jidentifikaw, jivvalutaw u jifhmu r-riskji ta’ ML/TF li </w:t>
            </w:r>
            <w:r w:rsidRPr="005E5F40">
              <w:rPr>
                <w:lang w:val="mt-MT"/>
              </w:rPr>
              <w:lastRenderedPageBreak/>
              <w:t>għalihom huma esposti s-suġġetti tal-valutazzjoni u jieħdu miżuri tal-AML/CFT li huma proporzjonati ma’ dawk ir-riskji.</w:t>
            </w:r>
          </w:p>
        </w:tc>
      </w:tr>
      <w:tr w:rsidR="00AF5F13" w:rsidRPr="00AF5F13" w14:paraId="59B87652" w14:textId="77777777" w:rsidTr="00F52CCE">
        <w:tc>
          <w:tcPr>
            <w:tcW w:w="2127" w:type="dxa"/>
          </w:tcPr>
          <w:p w14:paraId="4E3A56C2" w14:textId="77777777" w:rsidR="00AF5F13" w:rsidRPr="005E5F40" w:rsidRDefault="00AF5F13" w:rsidP="00866C8B">
            <w:pPr>
              <w:spacing w:after="240"/>
              <w:jc w:val="both"/>
              <w:rPr>
                <w:lang w:val="mt-MT"/>
              </w:rPr>
            </w:pPr>
            <w:r w:rsidRPr="005E5F40">
              <w:rPr>
                <w:b/>
                <w:lang w:val="mt-MT"/>
              </w:rPr>
              <w:lastRenderedPageBreak/>
              <w:t>Fatturi ta’ riskju ta’ ML/TF</w:t>
            </w:r>
          </w:p>
        </w:tc>
        <w:tc>
          <w:tcPr>
            <w:tcW w:w="6662" w:type="dxa"/>
          </w:tcPr>
          <w:p w14:paraId="2F1F2AC4" w14:textId="77777777" w:rsidR="00AF5F13" w:rsidRPr="005E5F40" w:rsidRDefault="00AF5F13" w:rsidP="00866C8B">
            <w:pPr>
              <w:spacing w:after="240"/>
              <w:jc w:val="both"/>
              <w:rPr>
                <w:lang w:val="mt-MT"/>
              </w:rPr>
            </w:pPr>
            <w:r w:rsidRPr="005E5F40">
              <w:rPr>
                <w:lang w:val="mt-MT"/>
              </w:rPr>
              <w:t>tfisser varjabbli li, waħedhom jew flimkien, jistgħu jżidu jew inaqqsu r-riskju ta’ ML/TF.</w:t>
            </w:r>
          </w:p>
        </w:tc>
      </w:tr>
      <w:tr w:rsidR="00AF5F13" w:rsidRPr="00AF5F13" w14:paraId="55317E0A" w14:textId="77777777" w:rsidTr="004D193D">
        <w:tc>
          <w:tcPr>
            <w:tcW w:w="2127" w:type="dxa"/>
          </w:tcPr>
          <w:p w14:paraId="14A00ED2" w14:textId="77777777" w:rsidR="00AF5F13" w:rsidRPr="005E5F40" w:rsidRDefault="00AF5F13" w:rsidP="00866C8B">
            <w:pPr>
              <w:pStyle w:val="ListParagraph"/>
              <w:spacing w:before="119" w:line="276" w:lineRule="auto"/>
              <w:ind w:left="0" w:right="-8"/>
              <w:jc w:val="both"/>
              <w:rPr>
                <w:rFonts w:asciiTheme="minorHAnsi" w:hAnsiTheme="minorHAnsi" w:cstheme="minorHAnsi"/>
                <w:lang w:val="mt-MT"/>
              </w:rPr>
            </w:pPr>
            <w:r w:rsidRPr="005E5F40">
              <w:rPr>
                <w:rFonts w:asciiTheme="minorHAnsi" w:hAnsiTheme="minorHAnsi"/>
                <w:b/>
                <w:lang w:val="mt-MT"/>
              </w:rPr>
              <w:t>Għodod ta’ superviżjoni</w:t>
            </w:r>
          </w:p>
        </w:tc>
        <w:tc>
          <w:tcPr>
            <w:tcW w:w="6662" w:type="dxa"/>
          </w:tcPr>
          <w:p w14:paraId="5B653866" w14:textId="77777777" w:rsidR="00AF5F13" w:rsidRPr="005E5F40" w:rsidRDefault="00AF5F13" w:rsidP="00866C8B">
            <w:pPr>
              <w:pStyle w:val="ListParagraph"/>
              <w:spacing w:before="119" w:line="276" w:lineRule="auto"/>
              <w:ind w:left="0" w:right="-8"/>
              <w:jc w:val="both"/>
              <w:rPr>
                <w:rFonts w:asciiTheme="minorHAnsi" w:hAnsiTheme="minorHAnsi" w:cstheme="minorHAnsi"/>
                <w:lang w:val="mt-MT"/>
              </w:rPr>
            </w:pPr>
            <w:r w:rsidRPr="005E5F40">
              <w:rPr>
                <w:rFonts w:asciiTheme="minorHAnsi" w:hAnsiTheme="minorHAnsi"/>
                <w:lang w:val="mt-MT"/>
              </w:rPr>
              <w:t>tfisser il-miżuri superviżorji kollha li l-awtoritajiet kompetenti jistgħu jieħdu biex jiżguraw il-konformità mis-suġġetti tal-valutazzjoni mal-obbligi tal-AML/CFT tagħhom.</w:t>
            </w:r>
          </w:p>
        </w:tc>
      </w:tr>
      <w:tr w:rsidR="00AF5F13" w:rsidRPr="00AF5F13" w14:paraId="396BB297" w14:textId="77777777" w:rsidTr="004D193D">
        <w:tc>
          <w:tcPr>
            <w:tcW w:w="2127" w:type="dxa"/>
          </w:tcPr>
          <w:p w14:paraId="66BD2F6E" w14:textId="77777777" w:rsidR="00AF5F13" w:rsidRPr="005E5F40" w:rsidRDefault="00AF5F13" w:rsidP="00866C8B">
            <w:pPr>
              <w:spacing w:after="240" w:line="273" w:lineRule="auto"/>
              <w:jc w:val="both"/>
              <w:rPr>
                <w:lang w:val="mt-MT"/>
              </w:rPr>
            </w:pPr>
            <w:r w:rsidRPr="005E5F40">
              <w:rPr>
                <w:b/>
                <w:lang w:val="mt-MT"/>
              </w:rPr>
              <w:t>Mudell RBS</w:t>
            </w:r>
          </w:p>
        </w:tc>
        <w:tc>
          <w:tcPr>
            <w:tcW w:w="6662" w:type="dxa"/>
          </w:tcPr>
          <w:p w14:paraId="02D17B16" w14:textId="77777777" w:rsidR="00AF5F13" w:rsidRPr="005E5F40" w:rsidRDefault="00AF5F13" w:rsidP="00866C8B">
            <w:pPr>
              <w:spacing w:after="240" w:line="273" w:lineRule="auto"/>
              <w:jc w:val="both"/>
              <w:rPr>
                <w:rFonts w:eastAsiaTheme="minorHAnsi" w:cstheme="minorHAnsi"/>
                <w:szCs w:val="22"/>
                <w:lang w:val="mt-MT"/>
              </w:rPr>
            </w:pPr>
            <w:r w:rsidRPr="005E5F40">
              <w:rPr>
                <w:lang w:val="mt-MT"/>
              </w:rPr>
              <w:t>tirreferi għas-sett kollu ta’ proċeduri, proċessi u mekkaniżmi li l-awtoritajiet kompetenti jużaw biex jeżerċitaw is-setgħat superviżorji tal-AML/CFT tagħhom b’mod li jkun proporzjonat mar-riskji ta’ ML/TF identifikati.</w:t>
            </w:r>
          </w:p>
        </w:tc>
      </w:tr>
      <w:tr w:rsidR="00AF5F13" w:rsidRPr="00AF5F13" w14:paraId="3B551778" w14:textId="77777777" w:rsidTr="004D193D">
        <w:tc>
          <w:tcPr>
            <w:tcW w:w="2127" w:type="dxa"/>
          </w:tcPr>
          <w:p w14:paraId="73AF1C27" w14:textId="77777777" w:rsidR="00AF5F13" w:rsidRPr="005E5F40" w:rsidRDefault="00AF5F13" w:rsidP="00866C8B">
            <w:pPr>
              <w:spacing w:before="160" w:after="240" w:line="264" w:lineRule="auto"/>
              <w:jc w:val="both"/>
              <w:rPr>
                <w:lang w:val="mt-MT"/>
              </w:rPr>
            </w:pPr>
            <w:r w:rsidRPr="005E5F40">
              <w:rPr>
                <w:b/>
                <w:lang w:val="mt-MT"/>
              </w:rPr>
              <w:t>Profil tar-riskju</w:t>
            </w:r>
          </w:p>
        </w:tc>
        <w:tc>
          <w:tcPr>
            <w:tcW w:w="6662" w:type="dxa"/>
          </w:tcPr>
          <w:p w14:paraId="1FD7F816" w14:textId="77777777" w:rsidR="00AF5F13" w:rsidRPr="005E5F40" w:rsidRDefault="00AF5F13" w:rsidP="00866C8B">
            <w:pPr>
              <w:spacing w:before="160" w:after="240" w:line="264" w:lineRule="auto"/>
              <w:jc w:val="both"/>
              <w:rPr>
                <w:lang w:val="mt-MT"/>
              </w:rPr>
            </w:pPr>
            <w:r w:rsidRPr="005E5F40">
              <w:rPr>
                <w:lang w:val="mt-MT"/>
              </w:rPr>
              <w:t>tirreferi għall-karatteristiċi ġenerali tar-riskju ta’ ML/TF assoċjat mas-suġġett tal-valutazzjoni jew settur/subsettur, inkluż it-tip u l-livell ta’ riskju.</w:t>
            </w:r>
          </w:p>
        </w:tc>
      </w:tr>
      <w:tr w:rsidR="00AF5F13" w:rsidRPr="00AF5F13" w14:paraId="711470F1" w14:textId="77777777" w:rsidTr="004D193D">
        <w:tc>
          <w:tcPr>
            <w:tcW w:w="2127" w:type="dxa"/>
          </w:tcPr>
          <w:p w14:paraId="4A722844" w14:textId="77777777" w:rsidR="00AF5F13" w:rsidRPr="005E5F40" w:rsidRDefault="00AF5F13" w:rsidP="00866C8B">
            <w:pPr>
              <w:spacing w:after="240"/>
              <w:rPr>
                <w:rFonts w:cstheme="minorHAnsi"/>
                <w:b/>
                <w:color w:val="000000" w:themeColor="text1"/>
                <w:szCs w:val="22"/>
                <w:lang w:val="mt-MT"/>
              </w:rPr>
            </w:pPr>
            <w:r w:rsidRPr="005E5F40">
              <w:rPr>
                <w:b/>
                <w:lang w:val="mt-MT"/>
              </w:rPr>
              <w:t>Raggruppament</w:t>
            </w:r>
          </w:p>
        </w:tc>
        <w:tc>
          <w:tcPr>
            <w:tcW w:w="6662" w:type="dxa"/>
          </w:tcPr>
          <w:p w14:paraId="187F9218" w14:textId="77777777" w:rsidR="00AF5F13" w:rsidRPr="005E5F40" w:rsidRDefault="00AF5F13" w:rsidP="00866C8B">
            <w:pPr>
              <w:spacing w:after="240"/>
              <w:rPr>
                <w:rFonts w:eastAsiaTheme="minorHAnsi" w:cstheme="minorHAnsi"/>
                <w:szCs w:val="22"/>
                <w:lang w:val="mt-MT"/>
              </w:rPr>
            </w:pPr>
            <w:r w:rsidRPr="005E5F40">
              <w:rPr>
                <w:lang w:val="mt-MT"/>
              </w:rPr>
              <w:t>tfisser żewġ istituzzjonijiet ta’ kreditu jew istituzzjonijiet finanzjarji jew aktar f’settur b’karatteristiċi u skopertura simili għall-istess livelli ta’ riskju ta’ ML/TF.</w:t>
            </w:r>
          </w:p>
        </w:tc>
      </w:tr>
      <w:tr w:rsidR="00AF5F13" w:rsidRPr="00AF5F13" w14:paraId="6B8EB2D5" w14:textId="77777777" w:rsidTr="004D193D">
        <w:tc>
          <w:tcPr>
            <w:tcW w:w="2127" w:type="dxa"/>
          </w:tcPr>
          <w:p w14:paraId="383DBFAB" w14:textId="77777777" w:rsidR="00AF5F13" w:rsidRPr="005E5F40" w:rsidRDefault="00AF5F13" w:rsidP="00866C8B">
            <w:pPr>
              <w:spacing w:after="240"/>
              <w:rPr>
                <w:b/>
                <w:position w:val="1"/>
                <w:lang w:val="mt-MT"/>
              </w:rPr>
            </w:pPr>
            <w:r w:rsidRPr="005E5F40">
              <w:rPr>
                <w:b/>
                <w:color w:val="000000" w:themeColor="text1"/>
                <w:szCs w:val="22"/>
                <w:lang w:val="mt-MT"/>
              </w:rPr>
              <w:t>Redditi tal-AML/CFT</w:t>
            </w:r>
          </w:p>
        </w:tc>
        <w:tc>
          <w:tcPr>
            <w:tcW w:w="6662" w:type="dxa"/>
          </w:tcPr>
          <w:p w14:paraId="33EECF2D" w14:textId="77777777" w:rsidR="00AF5F13" w:rsidRPr="005E5F40" w:rsidRDefault="00AF5F13" w:rsidP="00866C8B">
            <w:pPr>
              <w:spacing w:after="240"/>
              <w:rPr>
                <w:rFonts w:eastAsiaTheme="minorHAnsi" w:cstheme="minorHAnsi"/>
                <w:szCs w:val="22"/>
                <w:lang w:val="mt-MT"/>
              </w:rPr>
            </w:pPr>
            <w:r w:rsidRPr="005E5F40">
              <w:rPr>
                <w:lang w:val="mt-MT"/>
              </w:rPr>
              <w:t xml:space="preserve">tfisser talbiet regolari jew </w:t>
            </w:r>
            <w:r w:rsidRPr="005E5F40">
              <w:rPr>
                <w:i/>
                <w:iCs/>
                <w:lang w:val="mt-MT"/>
              </w:rPr>
              <w:t>ad hoc</w:t>
            </w:r>
            <w:r w:rsidRPr="005E5F40">
              <w:rPr>
                <w:lang w:val="mt-MT"/>
              </w:rPr>
              <w:t xml:space="preserve"> mill-awtoritajiet kompetenti lis-suġġetti tal-valutazzjoni għal </w:t>
            </w:r>
            <w:r w:rsidRPr="005E5F40">
              <w:rPr>
                <w:i/>
                <w:iCs/>
                <w:lang w:val="mt-MT"/>
              </w:rPr>
              <w:t>data</w:t>
            </w:r>
            <w:r w:rsidRPr="005E5F40">
              <w:rPr>
                <w:lang w:val="mt-MT"/>
              </w:rPr>
              <w:t xml:space="preserve"> kwantitattiva jew/u kwalitattiva u informazzjoni relatata mal-indikaturi tar-riskju ta’ ML/TF ewlenin.</w:t>
            </w:r>
          </w:p>
        </w:tc>
      </w:tr>
      <w:tr w:rsidR="00AF5F13" w:rsidRPr="00AF5F13" w14:paraId="0765C183" w14:textId="77777777" w:rsidTr="004D193D">
        <w:tc>
          <w:tcPr>
            <w:tcW w:w="2127" w:type="dxa"/>
          </w:tcPr>
          <w:p w14:paraId="5C6F8C24" w14:textId="77777777" w:rsidR="00AF5F13" w:rsidRPr="005E5F40" w:rsidRDefault="00AF5F13" w:rsidP="00866C8B">
            <w:pPr>
              <w:spacing w:after="240"/>
              <w:rPr>
                <w:rFonts w:cstheme="minorHAnsi"/>
                <w:b/>
                <w:color w:val="000000" w:themeColor="text1"/>
                <w:szCs w:val="22"/>
                <w:lang w:val="mt-MT"/>
              </w:rPr>
            </w:pPr>
            <w:r w:rsidRPr="005E5F40">
              <w:rPr>
                <w:b/>
                <w:color w:val="000000" w:themeColor="text1"/>
                <w:szCs w:val="22"/>
                <w:lang w:val="mt-MT"/>
              </w:rPr>
              <w:t>Redditi tal-AML/CFT</w:t>
            </w:r>
          </w:p>
        </w:tc>
        <w:tc>
          <w:tcPr>
            <w:tcW w:w="6662" w:type="dxa"/>
          </w:tcPr>
          <w:p w14:paraId="3E60172C" w14:textId="77777777" w:rsidR="00AF5F13" w:rsidRPr="005E5F40" w:rsidRDefault="00AF5F13" w:rsidP="00866C8B">
            <w:pPr>
              <w:spacing w:after="240"/>
              <w:rPr>
                <w:rFonts w:eastAsiaTheme="minorHAnsi" w:cstheme="minorHAnsi"/>
                <w:szCs w:val="22"/>
                <w:lang w:val="mt-MT"/>
              </w:rPr>
            </w:pPr>
            <w:r w:rsidRPr="005E5F40">
              <w:rPr>
                <w:lang w:val="mt-MT"/>
              </w:rPr>
              <w:t xml:space="preserve">tfisser talbiet regolari jew </w:t>
            </w:r>
            <w:r w:rsidRPr="005E5F40">
              <w:rPr>
                <w:i/>
                <w:iCs/>
                <w:lang w:val="mt-MT"/>
              </w:rPr>
              <w:t>ad hoc</w:t>
            </w:r>
            <w:r w:rsidRPr="005E5F40">
              <w:rPr>
                <w:lang w:val="mt-MT"/>
              </w:rPr>
              <w:t xml:space="preserve"> mill-awtoritajiet kompetenti lis-suġġetti tal-valutazzjoni għal </w:t>
            </w:r>
            <w:r w:rsidRPr="005E5F40">
              <w:rPr>
                <w:i/>
                <w:iCs/>
                <w:lang w:val="mt-MT"/>
              </w:rPr>
              <w:t>data</w:t>
            </w:r>
            <w:r w:rsidRPr="005E5F40">
              <w:rPr>
                <w:lang w:val="mt-MT"/>
              </w:rPr>
              <w:t xml:space="preserve"> kwantitattiva jew/u kwalitattiva u informazzjoni relatata mal-indikaturi tar-riskju ta’ ML/TF ewlenin.</w:t>
            </w:r>
          </w:p>
        </w:tc>
      </w:tr>
      <w:tr w:rsidR="00AF5F13" w:rsidRPr="00AF5F13" w14:paraId="4714C51A" w14:textId="77777777" w:rsidTr="004D193D">
        <w:tc>
          <w:tcPr>
            <w:tcW w:w="2127" w:type="dxa"/>
          </w:tcPr>
          <w:p w14:paraId="65BD7FDA" w14:textId="77777777" w:rsidR="00AF5F13" w:rsidRPr="005E5F40" w:rsidRDefault="00AF5F13" w:rsidP="00866C8B">
            <w:pPr>
              <w:spacing w:after="240"/>
              <w:jc w:val="both"/>
              <w:rPr>
                <w:rFonts w:eastAsiaTheme="minorHAnsi" w:cstheme="minorHAnsi"/>
                <w:szCs w:val="22"/>
                <w:lang w:val="mt-MT"/>
              </w:rPr>
            </w:pPr>
            <w:r w:rsidRPr="005E5F40">
              <w:rPr>
                <w:b/>
                <w:szCs w:val="22"/>
                <w:lang w:val="mt-MT"/>
              </w:rPr>
              <w:t>Rieżami mhux fuq il-post</w:t>
            </w:r>
          </w:p>
        </w:tc>
        <w:tc>
          <w:tcPr>
            <w:tcW w:w="6662" w:type="dxa"/>
          </w:tcPr>
          <w:p w14:paraId="31DEB00E" w14:textId="77777777" w:rsidR="00AF5F13" w:rsidRPr="005E5F40" w:rsidRDefault="00AF5F13" w:rsidP="00866C8B">
            <w:pPr>
              <w:spacing w:after="240"/>
              <w:jc w:val="both"/>
              <w:rPr>
                <w:rFonts w:eastAsiaTheme="minorHAnsi" w:cstheme="minorHAnsi"/>
                <w:szCs w:val="22"/>
                <w:lang w:val="mt-MT"/>
              </w:rPr>
            </w:pPr>
            <w:r w:rsidRPr="005E5F40">
              <w:rPr>
                <w:lang w:val="mt-MT"/>
              </w:rPr>
              <w:t>tfisser rieżami komprensiv tal-politiki u l-proċeduri tal-AML/CFT tas-suġġetti tal-valutazzjoni, li mhux qed isir fil-bini tas-suġġetti tal-valutazzjoni.</w:t>
            </w:r>
          </w:p>
        </w:tc>
      </w:tr>
      <w:tr w:rsidR="00AF5F13" w:rsidRPr="00AF5F13" w14:paraId="0F912189" w14:textId="77777777" w:rsidTr="004D193D">
        <w:tc>
          <w:tcPr>
            <w:tcW w:w="2127" w:type="dxa"/>
          </w:tcPr>
          <w:p w14:paraId="02DA633F" w14:textId="77777777" w:rsidR="00AF5F13" w:rsidRPr="005E5F40" w:rsidRDefault="00AF5F13" w:rsidP="00866C8B">
            <w:pPr>
              <w:spacing w:after="240"/>
              <w:jc w:val="both"/>
              <w:rPr>
                <w:rFonts w:cstheme="minorHAnsi"/>
                <w:szCs w:val="22"/>
                <w:lang w:val="mt-MT"/>
              </w:rPr>
            </w:pPr>
            <w:r w:rsidRPr="005E5F40">
              <w:rPr>
                <w:b/>
                <w:szCs w:val="22"/>
                <w:lang w:val="mt-MT"/>
              </w:rPr>
              <w:t>Riskju emerġenti</w:t>
            </w:r>
          </w:p>
        </w:tc>
        <w:tc>
          <w:tcPr>
            <w:tcW w:w="6662" w:type="dxa"/>
          </w:tcPr>
          <w:p w14:paraId="0F1E117A" w14:textId="77777777" w:rsidR="00AF5F13" w:rsidRPr="005E5F40" w:rsidRDefault="00AF5F13" w:rsidP="00866C8B">
            <w:pPr>
              <w:spacing w:after="240"/>
              <w:jc w:val="both"/>
              <w:rPr>
                <w:rFonts w:cstheme="minorHAnsi"/>
                <w:szCs w:val="22"/>
                <w:lang w:val="mt-MT"/>
              </w:rPr>
            </w:pPr>
            <w:r w:rsidRPr="005E5F40">
              <w:rPr>
                <w:lang w:val="mt-MT"/>
              </w:rPr>
              <w:t>tfisser riskju li qatt ma ġie identifikat qabel jew riskju eżistenti li żdied b’mod sinifikanti.</w:t>
            </w:r>
          </w:p>
        </w:tc>
      </w:tr>
      <w:tr w:rsidR="00AF5F13" w:rsidRPr="00AF5F13" w14:paraId="3A8D005A" w14:textId="77777777" w:rsidTr="004D193D">
        <w:tc>
          <w:tcPr>
            <w:tcW w:w="2127" w:type="dxa"/>
          </w:tcPr>
          <w:p w14:paraId="4DC02F54" w14:textId="77777777" w:rsidR="00AF5F13" w:rsidRPr="005E5F40" w:rsidRDefault="00AF5F13" w:rsidP="00866C8B">
            <w:pPr>
              <w:pStyle w:val="body"/>
              <w:spacing w:before="0" w:after="240"/>
              <w:rPr>
                <w:b/>
                <w:lang w:val="mt-MT"/>
              </w:rPr>
            </w:pPr>
            <w:r w:rsidRPr="005E5F40">
              <w:rPr>
                <w:b/>
                <w:lang w:val="mt-MT"/>
              </w:rPr>
              <w:t xml:space="preserve">Riskju inerenti </w:t>
            </w:r>
          </w:p>
        </w:tc>
        <w:tc>
          <w:tcPr>
            <w:tcW w:w="6662" w:type="dxa"/>
          </w:tcPr>
          <w:p w14:paraId="60E489F2" w14:textId="77777777" w:rsidR="00AF5F13" w:rsidRPr="005E5F40" w:rsidRDefault="00AF5F13" w:rsidP="00866C8B">
            <w:pPr>
              <w:pStyle w:val="body"/>
              <w:spacing w:before="0" w:after="240"/>
              <w:rPr>
                <w:b/>
                <w:lang w:val="mt-MT"/>
              </w:rPr>
            </w:pPr>
            <w:r w:rsidRPr="005E5F40">
              <w:rPr>
                <w:lang w:val="mt-MT"/>
              </w:rPr>
              <w:t>tirreferi għal-livell ta’ riskju ta’ ML/TF preżenti f’suġġett tal-valutazzjoni jew settur qabel ma jiġu applikati miżuri ta’ mitigazzjoni.</w:t>
            </w:r>
          </w:p>
        </w:tc>
      </w:tr>
      <w:tr w:rsidR="00AF5F13" w:rsidRPr="00AF5F13" w14:paraId="13E73177" w14:textId="77777777" w:rsidTr="004D193D">
        <w:tc>
          <w:tcPr>
            <w:tcW w:w="2127" w:type="dxa"/>
          </w:tcPr>
          <w:p w14:paraId="4E5344B3" w14:textId="77777777" w:rsidR="00AF5F13" w:rsidRPr="005E5F40" w:rsidRDefault="00AF5F13" w:rsidP="00866C8B">
            <w:pPr>
              <w:spacing w:after="240" w:line="264" w:lineRule="auto"/>
              <w:jc w:val="both"/>
              <w:rPr>
                <w:b/>
                <w:lang w:val="mt-MT"/>
              </w:rPr>
            </w:pPr>
            <w:r w:rsidRPr="005E5F40">
              <w:rPr>
                <w:b/>
                <w:lang w:val="mt-MT"/>
              </w:rPr>
              <w:t>Riskju residwu</w:t>
            </w:r>
          </w:p>
        </w:tc>
        <w:tc>
          <w:tcPr>
            <w:tcW w:w="6662" w:type="dxa"/>
          </w:tcPr>
          <w:p w14:paraId="6B7F7638" w14:textId="77777777" w:rsidR="00AF5F13" w:rsidRPr="005E5F40" w:rsidRDefault="00AF5F13" w:rsidP="00866C8B">
            <w:pPr>
              <w:spacing w:after="240" w:line="264" w:lineRule="auto"/>
              <w:jc w:val="both"/>
              <w:rPr>
                <w:b/>
                <w:lang w:val="mt-MT"/>
              </w:rPr>
            </w:pPr>
            <w:r w:rsidRPr="005E5F40">
              <w:rPr>
                <w:lang w:val="mt-MT"/>
              </w:rPr>
              <w:t>tfisser il-livell ta’ riskju li jibqa’ wara li jiġu applikati s-sistemi u l-kontrolli tal-AML/CFT biex jiġi indirizzat ir-riskju inerenti.</w:t>
            </w:r>
          </w:p>
        </w:tc>
      </w:tr>
      <w:tr w:rsidR="00AF5F13" w:rsidRPr="00AF5F13" w14:paraId="4D61E3FE" w14:textId="77777777" w:rsidTr="004D193D">
        <w:tc>
          <w:tcPr>
            <w:tcW w:w="2127" w:type="dxa"/>
          </w:tcPr>
          <w:p w14:paraId="27616418" w14:textId="77777777" w:rsidR="00AF5F13" w:rsidRPr="005E5F40" w:rsidRDefault="00AF5F13" w:rsidP="00866C8B">
            <w:pPr>
              <w:spacing w:after="240" w:line="264" w:lineRule="auto"/>
              <w:jc w:val="both"/>
              <w:rPr>
                <w:b/>
                <w:lang w:val="mt-MT"/>
              </w:rPr>
            </w:pPr>
            <w:r w:rsidRPr="005E5F40">
              <w:rPr>
                <w:b/>
                <w:lang w:val="mt-MT"/>
              </w:rPr>
              <w:t>Riskju ta’ ML/TF</w:t>
            </w:r>
          </w:p>
        </w:tc>
        <w:tc>
          <w:tcPr>
            <w:tcW w:w="6662" w:type="dxa"/>
          </w:tcPr>
          <w:p w14:paraId="5E49B998" w14:textId="77777777" w:rsidR="00AF5F13" w:rsidRPr="005E5F40" w:rsidRDefault="00AF5F13" w:rsidP="00866C8B">
            <w:pPr>
              <w:spacing w:after="240" w:line="264" w:lineRule="auto"/>
              <w:jc w:val="both"/>
              <w:rPr>
                <w:rFonts w:ascii="Symbol" w:hAnsi="Symbol" w:hint="eastAsia"/>
                <w:lang w:val="mt-MT"/>
              </w:rPr>
            </w:pPr>
            <w:r w:rsidRPr="005E5F40">
              <w:rPr>
                <w:lang w:val="mt-MT"/>
              </w:rPr>
              <w:t>tfisser il-probabbiltà u l-impatt li jseħħu ML/TF.</w:t>
            </w:r>
          </w:p>
        </w:tc>
      </w:tr>
      <w:tr w:rsidR="00AF5F13" w:rsidRPr="00AF5F13" w14:paraId="5021679B" w14:textId="77777777" w:rsidTr="004D193D">
        <w:tc>
          <w:tcPr>
            <w:tcW w:w="2127" w:type="dxa"/>
          </w:tcPr>
          <w:p w14:paraId="3F747711" w14:textId="77777777" w:rsidR="00AF5F13" w:rsidRPr="005E5F40" w:rsidRDefault="00AF5F13" w:rsidP="00866C8B">
            <w:pPr>
              <w:spacing w:after="240"/>
              <w:jc w:val="both"/>
              <w:rPr>
                <w:rFonts w:eastAsiaTheme="minorHAnsi" w:cstheme="minorHAnsi"/>
                <w:szCs w:val="22"/>
                <w:lang w:val="mt-MT"/>
              </w:rPr>
            </w:pPr>
            <w:r w:rsidRPr="005E5F40">
              <w:rPr>
                <w:b/>
                <w:color w:val="000000" w:themeColor="text1"/>
                <w:szCs w:val="22"/>
                <w:lang w:val="mt-MT"/>
              </w:rPr>
              <w:t>Spezzjoni fuq il-post b’kamp ta’ applikazzjoni sħiħ</w:t>
            </w:r>
          </w:p>
        </w:tc>
        <w:tc>
          <w:tcPr>
            <w:tcW w:w="6662" w:type="dxa"/>
          </w:tcPr>
          <w:p w14:paraId="7208A150" w14:textId="77777777" w:rsidR="00AF5F13" w:rsidRPr="005E5F40" w:rsidRDefault="00AF5F13" w:rsidP="00866C8B">
            <w:pPr>
              <w:spacing w:after="240"/>
              <w:jc w:val="both"/>
              <w:rPr>
                <w:rFonts w:eastAsiaTheme="minorHAnsi" w:cstheme="minorHAnsi"/>
                <w:szCs w:val="22"/>
                <w:lang w:val="mt-MT"/>
              </w:rPr>
            </w:pPr>
            <w:r w:rsidRPr="005E5F40">
              <w:rPr>
                <w:lang w:val="mt-MT"/>
              </w:rPr>
              <w:t>tfisser rieżami komprensiv tas-sistemi u l-kontrolli kollha tal-AML/CFT implimentati mis-suġġetti tal-valutazzjoni jew mil-linji tan-negozju tagħhom, li jsir fil-bini tas-suġġett tal-valutazzjoni.</w:t>
            </w:r>
          </w:p>
        </w:tc>
      </w:tr>
      <w:tr w:rsidR="00AF5F13" w:rsidRPr="00AF5F13" w14:paraId="74DC34C3" w14:textId="77777777" w:rsidTr="004D193D">
        <w:tc>
          <w:tcPr>
            <w:tcW w:w="2127" w:type="dxa"/>
          </w:tcPr>
          <w:p w14:paraId="6EFF0435" w14:textId="4E785BB0" w:rsidR="00AF5F13" w:rsidRPr="005E5F40" w:rsidRDefault="00AF5F13" w:rsidP="00AF5F13">
            <w:pPr>
              <w:spacing w:after="240"/>
              <w:jc w:val="both"/>
              <w:rPr>
                <w:b/>
                <w:color w:val="000000" w:themeColor="text1"/>
                <w:szCs w:val="22"/>
                <w:lang w:val="mt-MT"/>
              </w:rPr>
            </w:pPr>
            <w:r w:rsidRPr="005E5F40">
              <w:rPr>
                <w:b/>
                <w:lang w:val="mt-MT"/>
              </w:rPr>
              <w:lastRenderedPageBreak/>
              <w:t xml:space="preserve">Spezzjoni </w:t>
            </w:r>
            <w:r w:rsidRPr="005E5F40">
              <w:rPr>
                <w:b/>
                <w:i/>
                <w:iCs/>
                <w:lang w:val="mt-MT"/>
              </w:rPr>
              <w:t>ad hoc</w:t>
            </w:r>
            <w:r w:rsidRPr="005E5F40">
              <w:rPr>
                <w:b/>
                <w:lang w:val="mt-MT"/>
              </w:rPr>
              <w:t xml:space="preserve"> </w:t>
            </w:r>
          </w:p>
        </w:tc>
        <w:tc>
          <w:tcPr>
            <w:tcW w:w="6662" w:type="dxa"/>
          </w:tcPr>
          <w:p w14:paraId="48515FFC" w14:textId="7A625A88" w:rsidR="00AF5F13" w:rsidRPr="005E5F40" w:rsidRDefault="00AF5F13" w:rsidP="00AF5F13">
            <w:pPr>
              <w:spacing w:after="240"/>
              <w:jc w:val="both"/>
              <w:rPr>
                <w:lang w:val="mt-MT"/>
              </w:rPr>
            </w:pPr>
            <w:r w:rsidRPr="005E5F40">
              <w:rPr>
                <w:lang w:val="mt-MT"/>
              </w:rPr>
              <w:t>tfisser rieżami li jiġi skattat minn avveniment speċifiku jew riskju ta’ ML/TF</w:t>
            </w:r>
          </w:p>
        </w:tc>
      </w:tr>
      <w:tr w:rsidR="00AF5F13" w:rsidRPr="00AF5F13" w14:paraId="2BB89039" w14:textId="77777777" w:rsidTr="004D193D">
        <w:tc>
          <w:tcPr>
            <w:tcW w:w="2127" w:type="dxa"/>
          </w:tcPr>
          <w:p w14:paraId="2C9094BA" w14:textId="77777777" w:rsidR="00AF5F13" w:rsidRPr="005E5F40" w:rsidRDefault="00AF5F13" w:rsidP="00866C8B">
            <w:pPr>
              <w:spacing w:after="240"/>
              <w:jc w:val="both"/>
              <w:rPr>
                <w:rFonts w:eastAsiaTheme="minorHAnsi" w:cstheme="minorHAnsi"/>
                <w:szCs w:val="22"/>
                <w:lang w:val="mt-MT"/>
              </w:rPr>
            </w:pPr>
            <w:r w:rsidRPr="005E5F40">
              <w:rPr>
                <w:b/>
                <w:szCs w:val="22"/>
                <w:lang w:val="mt-MT"/>
              </w:rPr>
              <w:t>Spezzjoni ta’ segwitu</w:t>
            </w:r>
            <w:r w:rsidRPr="005E5F40">
              <w:rPr>
                <w:lang w:val="mt-MT"/>
              </w:rPr>
              <w:t xml:space="preserve"> </w:t>
            </w:r>
          </w:p>
        </w:tc>
        <w:tc>
          <w:tcPr>
            <w:tcW w:w="6662" w:type="dxa"/>
          </w:tcPr>
          <w:p w14:paraId="41A6813B" w14:textId="77777777" w:rsidR="00AF5F13" w:rsidRPr="005E5F40" w:rsidRDefault="00AF5F13" w:rsidP="00866C8B">
            <w:pPr>
              <w:spacing w:after="240"/>
              <w:jc w:val="both"/>
              <w:rPr>
                <w:rFonts w:cstheme="minorHAnsi"/>
                <w:b/>
                <w:color w:val="000000" w:themeColor="text1"/>
                <w:szCs w:val="22"/>
                <w:lang w:val="mt-MT"/>
              </w:rPr>
            </w:pPr>
            <w:r w:rsidRPr="005E5F40">
              <w:rPr>
                <w:lang w:val="mt-MT"/>
              </w:rPr>
              <w:t>tfisser rieżami, li sservi biex jivvaluta jekk id-dgħufijiet f’suġġetti tal-valutazzjoni tas-sistemi AML/CFT u l-qafas ta’ kontrolli identifikati matul spezzjoni jew rieżami preċedenti ġewx ikkoreġuti.</w:t>
            </w:r>
          </w:p>
        </w:tc>
      </w:tr>
      <w:tr w:rsidR="00AF5F13" w:rsidRPr="00AF5F13" w14:paraId="4160D83D" w14:textId="77777777" w:rsidTr="004D193D">
        <w:tc>
          <w:tcPr>
            <w:tcW w:w="2127" w:type="dxa"/>
          </w:tcPr>
          <w:p w14:paraId="6281A1BD" w14:textId="77777777" w:rsidR="00AF5F13" w:rsidRPr="005E5F40" w:rsidRDefault="00AF5F13" w:rsidP="00866C8B">
            <w:pPr>
              <w:jc w:val="both"/>
              <w:rPr>
                <w:rFonts w:eastAsiaTheme="minorHAnsi" w:cstheme="minorHAnsi"/>
                <w:szCs w:val="22"/>
                <w:lang w:val="mt-MT"/>
              </w:rPr>
            </w:pPr>
            <w:r w:rsidRPr="005E5F40">
              <w:rPr>
                <w:b/>
                <w:szCs w:val="22"/>
                <w:lang w:val="mt-MT"/>
              </w:rPr>
              <w:t>Spezzjoni tematika</w:t>
            </w:r>
          </w:p>
        </w:tc>
        <w:tc>
          <w:tcPr>
            <w:tcW w:w="6662" w:type="dxa"/>
          </w:tcPr>
          <w:p w14:paraId="2226B0FF" w14:textId="77777777" w:rsidR="00AF5F13" w:rsidRPr="005E5F40" w:rsidRDefault="00AF5F13" w:rsidP="00866C8B">
            <w:pPr>
              <w:jc w:val="both"/>
              <w:rPr>
                <w:rFonts w:eastAsiaTheme="minorHAnsi" w:cstheme="minorHAnsi"/>
                <w:szCs w:val="22"/>
                <w:lang w:val="mt-MT"/>
              </w:rPr>
            </w:pPr>
            <w:r w:rsidRPr="005E5F40">
              <w:rPr>
                <w:lang w:val="mt-MT"/>
              </w:rPr>
              <w:t>tfisser rieżami ta’ għadd ta’ suġġetti tal-valutazzjonijiet li jiffukaw fuq aspett speċifiku wieħed jew fuq ftit aspetti tas-sistemi u l-kontrolli tal-AML/CFT ta’ dawn is-suġġetti tal-valutazzjonijiet.</w:t>
            </w:r>
          </w:p>
        </w:tc>
      </w:tr>
      <w:tr w:rsidR="00AF5F13" w:rsidRPr="00AF5F13" w14:paraId="16EB511A" w14:textId="77777777" w:rsidTr="004D193D">
        <w:tc>
          <w:tcPr>
            <w:tcW w:w="2127" w:type="dxa"/>
          </w:tcPr>
          <w:p w14:paraId="3B547F71" w14:textId="77777777" w:rsidR="00AF5F13" w:rsidRPr="005E5F40" w:rsidRDefault="00AF5F13" w:rsidP="004D193D">
            <w:pPr>
              <w:pStyle w:val="ListParagraph"/>
              <w:spacing w:before="119" w:after="240" w:line="276" w:lineRule="auto"/>
              <w:ind w:left="0" w:right="-8"/>
              <w:rPr>
                <w:lang w:val="mt-MT"/>
              </w:rPr>
            </w:pPr>
            <w:r w:rsidRPr="005E5F40">
              <w:rPr>
                <w:b/>
                <w:lang w:val="mt-MT"/>
              </w:rPr>
              <w:t>Suġġett tal-valutazzjoni</w:t>
            </w:r>
          </w:p>
        </w:tc>
        <w:tc>
          <w:tcPr>
            <w:tcW w:w="6662" w:type="dxa"/>
          </w:tcPr>
          <w:p w14:paraId="33A9DF61" w14:textId="77777777" w:rsidR="00AF5F13" w:rsidRPr="005E5F40" w:rsidRDefault="00AF5F13" w:rsidP="00866C8B">
            <w:pPr>
              <w:pStyle w:val="ListParagraph"/>
              <w:spacing w:before="119" w:after="240" w:line="276" w:lineRule="auto"/>
              <w:ind w:left="0" w:right="-8"/>
              <w:jc w:val="both"/>
              <w:rPr>
                <w:rFonts w:asciiTheme="minorHAnsi" w:hAnsiTheme="minorHAnsi" w:cstheme="minorHAnsi"/>
                <w:b/>
                <w:lang w:val="mt-MT"/>
              </w:rPr>
            </w:pPr>
            <w:r w:rsidRPr="005E5F40">
              <w:rPr>
                <w:lang w:val="mt-MT"/>
              </w:rPr>
              <w:t>tfisser istituzzjoni ta’ kreditu jew istituzzjoni finanzjarja jew raggruppament, kategorizzati skont il-kriterji stabbiliti mill-awtoritajiet kompetenti.</w:t>
            </w:r>
          </w:p>
        </w:tc>
      </w:tr>
      <w:tr w:rsidR="00AF5F13" w:rsidRPr="00AF5F13" w14:paraId="278A2138" w14:textId="77777777" w:rsidTr="004D193D">
        <w:tc>
          <w:tcPr>
            <w:tcW w:w="2127" w:type="dxa"/>
          </w:tcPr>
          <w:p w14:paraId="5C930326" w14:textId="77777777" w:rsidR="00AF5F13" w:rsidRPr="005E5F40" w:rsidRDefault="00AF5F13" w:rsidP="00866C8B">
            <w:pPr>
              <w:spacing w:before="121" w:line="273" w:lineRule="auto"/>
              <w:jc w:val="both"/>
              <w:rPr>
                <w:position w:val="1"/>
                <w:lang w:val="mt-MT"/>
              </w:rPr>
            </w:pPr>
            <w:r w:rsidRPr="005E5F40">
              <w:rPr>
                <w:b/>
                <w:lang w:val="mt-MT"/>
              </w:rPr>
              <w:t>Theddida</w:t>
            </w:r>
          </w:p>
        </w:tc>
        <w:tc>
          <w:tcPr>
            <w:tcW w:w="6662" w:type="dxa"/>
          </w:tcPr>
          <w:p w14:paraId="0EECA532" w14:textId="77777777" w:rsidR="00AF5F13" w:rsidRPr="005E5F40" w:rsidRDefault="00AF5F13" w:rsidP="00866C8B">
            <w:pPr>
              <w:spacing w:before="121" w:line="273" w:lineRule="auto"/>
              <w:jc w:val="both"/>
              <w:rPr>
                <w:lang w:val="mt-MT"/>
              </w:rPr>
            </w:pPr>
            <w:r w:rsidRPr="005E5F40">
              <w:rPr>
                <w:lang w:val="mt-MT"/>
              </w:rPr>
              <w:t>tfisser il-ħsara potenzjali kkawżata minn kriminali, terroristi jew gruppi terroristiċi u l-faċilitaturi tagħhom, permezz tal-attivitajiet ML jew TF tal-passat, tal-preżent u tal-futur tagħhom.</w:t>
            </w:r>
          </w:p>
        </w:tc>
      </w:tr>
      <w:tr w:rsidR="00AF5F13" w:rsidRPr="00AF5F13" w14:paraId="0572151B" w14:textId="77777777" w:rsidTr="004D193D">
        <w:tc>
          <w:tcPr>
            <w:tcW w:w="2127" w:type="dxa"/>
          </w:tcPr>
          <w:p w14:paraId="792921B4" w14:textId="77777777" w:rsidR="00AF5F13" w:rsidRPr="005E5F40" w:rsidRDefault="00AF5F13" w:rsidP="00866C8B">
            <w:pPr>
              <w:pStyle w:val="body"/>
              <w:spacing w:before="0" w:after="240"/>
              <w:jc w:val="left"/>
              <w:rPr>
                <w:rFonts w:cstheme="minorHAnsi"/>
                <w:lang w:val="mt-MT"/>
              </w:rPr>
            </w:pPr>
            <w:r w:rsidRPr="005E5F40">
              <w:rPr>
                <w:b/>
                <w:lang w:val="mt-MT"/>
              </w:rPr>
              <w:t>Tneħħija tar-riskji</w:t>
            </w:r>
            <w:r w:rsidRPr="005E5F40">
              <w:rPr>
                <w:lang w:val="mt-MT"/>
              </w:rPr>
              <w:t xml:space="preserve"> </w:t>
            </w:r>
          </w:p>
        </w:tc>
        <w:tc>
          <w:tcPr>
            <w:tcW w:w="6662" w:type="dxa"/>
          </w:tcPr>
          <w:p w14:paraId="39FEF7B8" w14:textId="77777777" w:rsidR="00AF5F13" w:rsidRPr="005E5F40" w:rsidRDefault="00AF5F13" w:rsidP="00866C8B">
            <w:pPr>
              <w:pStyle w:val="body"/>
              <w:spacing w:before="0" w:after="240"/>
              <w:jc w:val="left"/>
              <w:rPr>
                <w:rFonts w:cstheme="minorHAnsi"/>
                <w:lang w:val="mt-MT"/>
              </w:rPr>
            </w:pPr>
            <w:r w:rsidRPr="005E5F40">
              <w:rPr>
                <w:lang w:val="mt-MT"/>
              </w:rPr>
              <w:t>tfisser rifjut li wieħed jidħol fi, jew deċiżjoni li jittermina, relazzjonijiet ta’ negozju ma’ klijenti individwali jew kategoriji ta’ klijenti assoċjati ma’ riskju ML/TF ogħla, jew li jirrifjuta li jwettaq tranżazzjonijiet b’riskju ta’ ML/TF ogħla.</w:t>
            </w:r>
          </w:p>
        </w:tc>
      </w:tr>
    </w:tbl>
    <w:p w14:paraId="41C59F8F" w14:textId="4AD806A3" w:rsidR="00A72208" w:rsidRPr="00AF5F13" w:rsidRDefault="00A72208" w:rsidP="00A72208">
      <w:pPr>
        <w:ind w:left="3374" w:hanging="2977"/>
        <w:sectPr w:rsidR="00A72208" w:rsidRPr="00AF5F13" w:rsidSect="00DE6FAC">
          <w:type w:val="continuous"/>
          <w:pgSz w:w="11910" w:h="16840"/>
          <w:pgMar w:top="1985" w:right="1420" w:bottom="840" w:left="1701" w:header="720" w:footer="720" w:gutter="0"/>
          <w:cols w:space="720"/>
        </w:sectPr>
      </w:pPr>
    </w:p>
    <w:p w14:paraId="468B5217" w14:textId="77777777" w:rsidR="00B43E07" w:rsidRPr="00AF5F13" w:rsidRDefault="00B43E07" w:rsidP="0086423A">
      <w:pPr>
        <w:pStyle w:val="Numberedtilelevel1"/>
        <w:ind w:left="0"/>
      </w:pPr>
      <w:r w:rsidRPr="00AF5F13">
        <w:lastRenderedPageBreak/>
        <w:t>Implimentazzjoni</w:t>
      </w:r>
    </w:p>
    <w:p w14:paraId="69D91106" w14:textId="77777777" w:rsidR="00B43E07" w:rsidRPr="00AF5F13" w:rsidRDefault="00B43E07" w:rsidP="00B43E07">
      <w:pPr>
        <w:pStyle w:val="Titlelevel2"/>
      </w:pPr>
      <w:r w:rsidRPr="00AF5F13">
        <w:t>Data ta’ applikazzjoni</w:t>
      </w:r>
    </w:p>
    <w:p w14:paraId="46CC94CB" w14:textId="2D3D58E7" w:rsidR="00FA34B4" w:rsidRPr="00AF5F13" w:rsidRDefault="00C733A0" w:rsidP="00FA34B4">
      <w:pPr>
        <w:pStyle w:val="body"/>
        <w:numPr>
          <w:ilvl w:val="0"/>
          <w:numId w:val="10"/>
        </w:numPr>
      </w:pPr>
      <w:r w:rsidRPr="00AF5F13">
        <w:t>Dawn il-Linji Gwida japplikaw tliet xhur wara l-pubblikazzjoni fil-lingwi uffiċjali kollha tal-UE</w:t>
      </w:r>
      <w:r w:rsidR="003A423D" w:rsidRPr="00E13476">
        <w:t xml:space="preserve"> [</w:t>
      </w:r>
      <w:r w:rsidR="003A423D">
        <w:t>30.0</w:t>
      </w:r>
      <w:r w:rsidR="003A423D" w:rsidRPr="00E13476">
        <w:t>6</w:t>
      </w:r>
      <w:r w:rsidR="003A423D">
        <w:t>.2022</w:t>
      </w:r>
      <w:r w:rsidR="003A423D" w:rsidRPr="00E13476">
        <w:t>]</w:t>
      </w:r>
      <w:r w:rsidRPr="00AF5F13">
        <w:t xml:space="preserve">. </w:t>
      </w:r>
    </w:p>
    <w:p w14:paraId="28637F0F" w14:textId="2B9D3E1E" w:rsidR="00B43E07" w:rsidRPr="00AF5F13" w:rsidRDefault="00B43E07" w:rsidP="00B43E07">
      <w:pPr>
        <w:pStyle w:val="Titlelevel2"/>
      </w:pPr>
      <w:r w:rsidRPr="00AF5F13">
        <w:t>Tħassir</w:t>
      </w:r>
    </w:p>
    <w:p w14:paraId="0C0E30C1" w14:textId="4A64DF90" w:rsidR="00B43E07" w:rsidRPr="00AF5F13" w:rsidRDefault="00B43E07" w:rsidP="00EC596C">
      <w:pPr>
        <w:pStyle w:val="body"/>
        <w:numPr>
          <w:ilvl w:val="0"/>
          <w:numId w:val="10"/>
        </w:numPr>
      </w:pPr>
      <w:r w:rsidRPr="00AF5F13">
        <w:t>Il-linji gwida li ġejjin huma mħassra b’effett mid-data tal-applikazzjoni.</w:t>
      </w:r>
    </w:p>
    <w:p w14:paraId="76103C3D" w14:textId="4C154C16" w:rsidR="008A55BB" w:rsidRPr="00AF5F13" w:rsidRDefault="008A55BB" w:rsidP="008A55BB">
      <w:pPr>
        <w:pStyle w:val="body"/>
        <w:ind w:left="360"/>
      </w:pPr>
      <w:r w:rsidRPr="00AF5F13">
        <w:t>Linji Gwida Konġunti dwar il-karatteristiċi ta’ approċċ ibbażat fuq ir-riskju għall-ġlieda kontra l-ħasil tal-flus u s-superviżjoni tal-finanzjament tat-terroriżmu, u l-passi li għandhom jittieħdu meta titwettaq is-superviżjoni bbażata fuq is-sensittività għar-riskju (ESAs/2016/72)</w:t>
      </w:r>
    </w:p>
    <w:p w14:paraId="2A2973B0" w14:textId="018D158B" w:rsidR="008A55BB" w:rsidRPr="00AF5F13" w:rsidRDefault="008A55BB">
      <w:r w:rsidRPr="00AF5F13">
        <w:br w:type="page"/>
      </w:r>
    </w:p>
    <w:p w14:paraId="1347EF52" w14:textId="77777777" w:rsidR="00B43E07" w:rsidRPr="00AF5F13" w:rsidRDefault="00905139" w:rsidP="00235461">
      <w:pPr>
        <w:pStyle w:val="Numberedtilelevel1"/>
        <w:ind w:left="0"/>
      </w:pPr>
      <w:r w:rsidRPr="00AF5F13">
        <w:rPr>
          <w:color w:val="2F5772"/>
        </w:rPr>
        <w:lastRenderedPageBreak/>
        <w:t>Linji gwida</w:t>
      </w:r>
    </w:p>
    <w:p w14:paraId="49B4E219" w14:textId="1AE168E9" w:rsidR="00905139" w:rsidRPr="00AF5F13" w:rsidRDefault="00905139" w:rsidP="00BF2FD9">
      <w:pPr>
        <w:pStyle w:val="Numberedtitlelevel2"/>
      </w:pPr>
      <w:r w:rsidRPr="00AF5F13">
        <w:t xml:space="preserve">L-implimentazzjoni tal-Mudell RBS </w:t>
      </w:r>
    </w:p>
    <w:p w14:paraId="3B52B399" w14:textId="77777777" w:rsidR="000A1C82" w:rsidRPr="00AF5F13" w:rsidRDefault="00F339A7" w:rsidP="00D173E4">
      <w:pPr>
        <w:pStyle w:val="Numberedtitlelevel3"/>
        <w:ind w:left="828" w:hanging="431"/>
      </w:pPr>
      <w:r w:rsidRPr="00AF5F13">
        <w:t xml:space="preserve">Kunsiderazzjonijiet ġenerali </w:t>
      </w:r>
    </w:p>
    <w:p w14:paraId="6EC0B83D" w14:textId="54828511" w:rsidR="00F339A7" w:rsidRPr="00AF5F13" w:rsidRDefault="00F339A7" w:rsidP="00EC596C">
      <w:pPr>
        <w:pStyle w:val="body"/>
        <w:numPr>
          <w:ilvl w:val="0"/>
          <w:numId w:val="10"/>
        </w:numPr>
      </w:pPr>
      <w:r w:rsidRPr="00AF5F13">
        <w:t>L-awtoritajiet kompetenti għandhom japplikaw l-erba’ passi li ġejjin bħala parti minn mudell RBS tal-AML/CFT effettiv:</w:t>
      </w:r>
    </w:p>
    <w:p w14:paraId="7268FD2F" w14:textId="77777777" w:rsidR="00F339A7" w:rsidRPr="00AF5F13"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AF5F13">
        <w:t>Pass 1 – L-identifikazzjoni tal-fatturi ta’ riskju ta’ ML/TF;</w:t>
      </w:r>
    </w:p>
    <w:p w14:paraId="40C5EC2F" w14:textId="2E37AF86" w:rsidR="00F339A7" w:rsidRPr="00AF5F13"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AF5F13">
        <w:t>Pass 2 – Il-valutazzjoni tar-riskju;</w:t>
      </w:r>
    </w:p>
    <w:p w14:paraId="0402A783" w14:textId="2955730F" w:rsidR="00F339A7" w:rsidRPr="00AF5F13"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AF5F13">
        <w:t>Pass 3 – Is-superviżjoni tal-AML/CFT; u</w:t>
      </w:r>
    </w:p>
    <w:p w14:paraId="74E0F74C" w14:textId="4E2BD5F3" w:rsidR="00F339A7" w:rsidRPr="00AF5F13"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AF5F13">
        <w:t>Pass 4 – Il-monitoraġġ u r-rieżami tal-Mudell RBS.</w:t>
      </w:r>
    </w:p>
    <w:p w14:paraId="757C0CFA" w14:textId="013E67A0" w:rsidR="00F339A7" w:rsidRPr="00AF5F13" w:rsidRDefault="00F339A7" w:rsidP="00EC596C">
      <w:pPr>
        <w:pStyle w:val="body"/>
        <w:numPr>
          <w:ilvl w:val="0"/>
          <w:numId w:val="10"/>
        </w:numPr>
      </w:pPr>
      <w:r w:rsidRPr="00AF5F13">
        <w:t>L-awtoritajiet kompetenti għandhom jinnotaw li s-superviżjoni bbażata fuq ir-riskju ma tkunx eżerċizzju ta’ darba, iżda proċess kontinwu u ċikliku.</w:t>
      </w:r>
    </w:p>
    <w:p w14:paraId="330AC217" w14:textId="02BB9A68" w:rsidR="00F339A7" w:rsidRPr="00AF5F13" w:rsidRDefault="00F339A7" w:rsidP="00EC596C">
      <w:pPr>
        <w:pStyle w:val="body"/>
        <w:numPr>
          <w:ilvl w:val="0"/>
          <w:numId w:val="10"/>
        </w:numPr>
      </w:pPr>
      <w:r w:rsidRPr="00AF5F13">
        <w:t>L-awtoritajiet kompetenti għandhom jimplimentaw il-kunsiderazzjonijiet ġenerali stabbiliti fil-paragrafi 11 u 12 ta’ dawn il-linji gwida tul il-mudell RBS tagħhom.</w:t>
      </w:r>
    </w:p>
    <w:p w14:paraId="3EC4BC28" w14:textId="77777777" w:rsidR="00F339A7" w:rsidRPr="00AF5F13" w:rsidRDefault="00F339A7" w:rsidP="00D173E4">
      <w:pPr>
        <w:pStyle w:val="Numberedtitlelevel3"/>
        <w:ind w:left="828" w:hanging="431"/>
      </w:pPr>
      <w:r w:rsidRPr="00AF5F13">
        <w:t>Proporzjonalità</w:t>
      </w:r>
    </w:p>
    <w:p w14:paraId="1C730F2B" w14:textId="77777777" w:rsidR="00F339A7" w:rsidRPr="00AF5F13" w:rsidRDefault="00F339A7" w:rsidP="00EC596C">
      <w:pPr>
        <w:pStyle w:val="body"/>
        <w:numPr>
          <w:ilvl w:val="0"/>
          <w:numId w:val="10"/>
        </w:numPr>
      </w:pPr>
      <w:r w:rsidRPr="00AF5F13">
        <w:t>L-awtoritajiet kompetenti għandhom ikunu proporzjonati fis-superviżjoni tagħhom tas-suġġetti tal-valutazzjoni għall-finijiet tal-AML/CFT. Il-limitu tal-informazzjoni mitluba u l-frekwenza u l-intensità tal-impenn superviżorju u d-djalogu ma’ suġġett tal-valutazzjoni għandhom ikunu proporzjonati mar-riskju ta’ ML/TF identifikat.</w:t>
      </w:r>
    </w:p>
    <w:p w14:paraId="44202F68" w14:textId="7B28AEF3" w:rsidR="00F339A7" w:rsidRPr="00AF5F13" w:rsidRDefault="00F339A7" w:rsidP="00D173E4">
      <w:pPr>
        <w:pStyle w:val="body"/>
        <w:numPr>
          <w:ilvl w:val="0"/>
          <w:numId w:val="10"/>
        </w:numPr>
      </w:pPr>
      <w:r w:rsidRPr="00AF5F13">
        <w:t>L-awtoritajiet kompetenti għandhom jirrikonoxxu li d-daqs jew l-importanza sistemika ta’ suġġett tal-valutazzjoni ma jistgħux, waħedhom, ikunu indikattivi tal-punt li fih ikun hemm esponiment għal riskju ta’ ML/TF; istituzzjonijiet ta’ kreditu jew istituzzjonijiet finanzjarji żgħar li mhumiex sistematikament importanti jistgħu madankollu jippreżentaw riskju ta’ ML/TF għoli.</w:t>
      </w:r>
    </w:p>
    <w:p w14:paraId="21C78013" w14:textId="77777777" w:rsidR="00F339A7" w:rsidRPr="00AF5F13" w:rsidRDefault="00F339A7" w:rsidP="00D173E4">
      <w:pPr>
        <w:pStyle w:val="Numberedtitlelevel3"/>
        <w:ind w:left="828" w:hanging="431"/>
      </w:pPr>
      <w:r w:rsidRPr="00AF5F13">
        <w:t>Suġġetti tal-valutazzjoni</w:t>
      </w:r>
    </w:p>
    <w:p w14:paraId="7D8923D4" w14:textId="55B5EB03" w:rsidR="00F339A7" w:rsidRPr="00AF5F13" w:rsidRDefault="00DC0167" w:rsidP="00EC596C">
      <w:pPr>
        <w:pStyle w:val="body"/>
        <w:numPr>
          <w:ilvl w:val="0"/>
          <w:numId w:val="10"/>
        </w:numPr>
      </w:pPr>
      <w:r w:rsidRPr="00AF5F13">
        <w:t>L-awtoritajiet kompetenti għandhom jidentifikaw dawk l-istituzzjonijiet ta’ kreditu jew l-istituzzjonijiet finanzjarji f’kull settur li jikkondividu ammont suffiċjenti ta’ karatteristiċi simili biex jiġġustifikaw li jiġu raggruppati f’raggruppament wieħed. Il-karatteristiċi kondiviżi għandhom jinkludu l-istess livell ta’ riskju li huma esposti għalih, fost l-oħrajn, id-daqs tagħhom, in-natura tan-negozju tagħhom, it-tip ta’ klijenti li jaqdu, iż-żona ġeografika li joperaw fiha jew l-attività u l-kanali tal-konsenja tagħhom. Għal istituzzjonijiet ta’ kreditu jew istituzzjonijiet finanzjarji raggruppati, il-proċess RBS jista’ jitwettaq fil-livell kollettiv tar-raggruppament innifsu, minflok fil-livell ta’ kull istituzzjoni ta’ kreditu jew istituzzjoni finanzjarja individwali fi ħdan dak ir-raggruppament.</w:t>
      </w:r>
    </w:p>
    <w:p w14:paraId="11306E6F" w14:textId="721F3410" w:rsidR="00F339A7" w:rsidRPr="00AF5F13" w:rsidRDefault="00F339A7" w:rsidP="00EC596C">
      <w:pPr>
        <w:pStyle w:val="body"/>
        <w:numPr>
          <w:ilvl w:val="0"/>
          <w:numId w:val="10"/>
        </w:numPr>
      </w:pPr>
      <w:r w:rsidRPr="00AF5F13">
        <w:lastRenderedPageBreak/>
        <w:t>Sabiex jiġu identifikati dawk l-istituzzjonijiet ta’ kreditu jew istituzzjonijiet finanzjarji li jistgħu jappartjenu għall-istess raggruppament, l-awtoritajiet kompetenti għandhom jirreferu għall-mudell tan-negozju tagħhom, il-valutazzjoni tar-riskju settorjali, il-valutazzjonijiet tar-riskju ta’ istituzzjonijiet ta’ kreditu jew istituzzjonijiet finanzjarji individwali kif ukoll sorsi rilevanti oħra ta’ informazzjoni kif stabbilit fil-paragrafi 30 u 31 ta’ dawn il-linji gwida, inkluża l-informazzjoni miġbura bħala riżultat tal-attivitajiet superviżorji tagħhom.</w:t>
      </w:r>
    </w:p>
    <w:p w14:paraId="0A0959E4" w14:textId="37724B55" w:rsidR="00F339A7" w:rsidRDefault="00532A7D" w:rsidP="00EC596C">
      <w:pPr>
        <w:pStyle w:val="body"/>
        <w:numPr>
          <w:ilvl w:val="0"/>
          <w:numId w:val="10"/>
        </w:numPr>
      </w:pPr>
      <w:r w:rsidRPr="00AF5F13">
        <w:t>L-awtoritajiet kompetenti għandhom jikkunsidraw jekk humiex se jindirizzaw istituzzjonijiet ta’ kreditu jew istituzzjonijiet finanzjarji fl-istess settur li jiffurmaw parti mill-istess grupp finanzjarju domestiku bħala “suġġett tal-valutazzjoni” wieħed.</w:t>
      </w:r>
    </w:p>
    <w:p w14:paraId="36C0BC8B" w14:textId="1B0DF0F9" w:rsidR="00735BEE" w:rsidRPr="00AF5F13" w:rsidRDefault="00735BEE" w:rsidP="00735BEE">
      <w:pPr>
        <w:pStyle w:val="body"/>
      </w:pPr>
      <w:r w:rsidRPr="004C5656">
        <w:rPr>
          <w:rFonts w:ascii="Wingdings" w:eastAsia="Wingdings" w:hAnsi="Wingdings" w:cs="Wingdings"/>
          <w:color w:val="E98E31" w:themeColor="background2"/>
          <w:lang w:val="en-US"/>
        </w:rPr>
        <w:t>Ú</w:t>
      </w:r>
      <w:r w:rsidRPr="00581A28">
        <w:rPr>
          <w:color w:val="E98E31" w:themeColor="background2"/>
          <w:spacing w:val="-1"/>
          <w:lang w:val="en-US"/>
        </w:rPr>
        <w:t>A1</w:t>
      </w:r>
    </w:p>
    <w:p w14:paraId="23CA30D5" w14:textId="43EE6C82" w:rsidR="00F339A7" w:rsidRDefault="00AA548B" w:rsidP="00EC596C">
      <w:pPr>
        <w:pStyle w:val="body"/>
        <w:numPr>
          <w:ilvl w:val="0"/>
          <w:numId w:val="10"/>
        </w:numPr>
      </w:pPr>
      <w:r w:rsidRPr="00F57386">
        <w:t>Jekk awtorità kompetenti tkun taf, jew ikollha raġunijiet raġonevoli biex tissuspetta, li r-riskju assoċjat ma’ istituzzjoni ta’ kreditu jew istituzzjoni finanzjarja individwali f’raggruppament ivarja b’mod sinifikanti minn dak li huwa assoċjat ma’ istituzzjonijiet ta’ kreditu jew istituzzjonijiet finanzjarji oħrajn f’dak ir-raggruppament, l-awtorità kompetenti għandha tneħħi dik l-istituzzjoni ta’ kreditu jew istituzzjoni finanzjarja mir-raggruppament u tivvalutaha b’mod individwali, jew bħala parti minn raggruppament differenti ta’ istituzzjonijiet ta’ kreditu jew istituzzjonijiet finanzjarji, li huma esposti għal livell ta’ riskju ta’ ML/TF simili. It-tneħħija minn raggruppament għandha tinkludi, fost l-oħrajn, ċirkostanzi fejn:</w:t>
      </w:r>
    </w:p>
    <w:p w14:paraId="07D29A23" w14:textId="77777777" w:rsidR="00AA548B" w:rsidRPr="00F57386" w:rsidRDefault="00AA548B" w:rsidP="00AA548B">
      <w:pPr>
        <w:pStyle w:val="ListParagraph"/>
        <w:widowControl w:val="0"/>
        <w:numPr>
          <w:ilvl w:val="0"/>
          <w:numId w:val="99"/>
        </w:numPr>
        <w:tabs>
          <w:tab w:val="left" w:pos="462"/>
        </w:tabs>
        <w:autoSpaceDE w:val="0"/>
        <w:autoSpaceDN w:val="0"/>
        <w:spacing w:before="1" w:line="276" w:lineRule="auto"/>
        <w:ind w:right="134"/>
        <w:jc w:val="both"/>
      </w:pPr>
      <w:r w:rsidRPr="00F57386">
        <w:t>l-istituzzjoni ta’ kreditu jew l-istituzzjoni finanzjarja tkun proprjetà benefiċjarja ta’ individwi li hemm dubju dwar l-integrità tagħhom minħabba tħassib dwar ML/TF; jew</w:t>
      </w:r>
    </w:p>
    <w:p w14:paraId="4EAA935F" w14:textId="77777777" w:rsidR="00AA548B" w:rsidRDefault="00AA548B" w:rsidP="00AA548B">
      <w:pPr>
        <w:pStyle w:val="ListParagraph"/>
        <w:widowControl w:val="0"/>
        <w:numPr>
          <w:ilvl w:val="0"/>
          <w:numId w:val="99"/>
        </w:numPr>
        <w:tabs>
          <w:tab w:val="left" w:pos="462"/>
        </w:tabs>
        <w:autoSpaceDE w:val="0"/>
        <w:autoSpaceDN w:val="0"/>
        <w:spacing w:before="1" w:line="276" w:lineRule="auto"/>
        <w:ind w:right="134"/>
        <w:jc w:val="both"/>
      </w:pPr>
      <w:r w:rsidRPr="00F57386">
        <w:t>il-qafas ta’ kontroll intern tal-istituzzjoni ta’ kreditu jew tal-istituzzjoni finanzjarja jkun nieqes u jkollu impatt fuq il-klassifikazzjoni tar-riskju residwu tal-istituzzjoni ta’ kreditu jew tal-istituzzjoni finanzjarja; jew</w:t>
      </w:r>
    </w:p>
    <w:p w14:paraId="0F16DC1F" w14:textId="1D7AE18B" w:rsidR="00AA548B" w:rsidRDefault="00AA548B" w:rsidP="00AA548B">
      <w:pPr>
        <w:pStyle w:val="ListParagraph"/>
        <w:widowControl w:val="0"/>
        <w:numPr>
          <w:ilvl w:val="0"/>
          <w:numId w:val="99"/>
        </w:numPr>
        <w:tabs>
          <w:tab w:val="left" w:pos="462"/>
        </w:tabs>
        <w:autoSpaceDE w:val="0"/>
        <w:autoSpaceDN w:val="0"/>
        <w:spacing w:before="1" w:line="276" w:lineRule="auto"/>
        <w:ind w:right="134"/>
        <w:jc w:val="both"/>
      </w:pPr>
      <w:r w:rsidRPr="00F57386">
        <w:t>l-istituzzjoni ta’ kreditu jew l-istituzzjoni finanzjarja tkun introduċiet bidliet sinifikanti fil-prodotti jew fis-servizzi tagħha, jew tista’ tkun ikkombinat dawk il-bidliet ma’ bidliet fil-kanali ta’ distribuzzjoni, fil-bażi tal-klijenti tagħha jew f’żoni ġeografiċi differenti fejn jiġu fornuti s-servizzi jew il-prodotti</w:t>
      </w:r>
      <w:r>
        <w:t>.</w:t>
      </w:r>
    </w:p>
    <w:p w14:paraId="57674612" w14:textId="77777777" w:rsidR="00AA548B" w:rsidRPr="00F57386" w:rsidRDefault="00AA548B" w:rsidP="00AA548B">
      <w:pPr>
        <w:tabs>
          <w:tab w:val="left" w:pos="462"/>
        </w:tabs>
        <w:spacing w:before="1" w:line="276" w:lineRule="auto"/>
        <w:ind w:left="462" w:right="134"/>
        <w:jc w:val="both"/>
      </w:pPr>
      <w:r w:rsidRPr="00F57386">
        <w:t>Meta jivvalutaw dawn il-punti, l-awtoritajiet kompetenti għandhom jikkunsidraw il-valutazzjonijiet tal-idoneità magħmula skont l-oqfsa prudenzjali, b’mod partikolari, fejn applikabbli, il-valutazzjonijiet fir-rigward tal-idoneità tal-membri tal-korp ta’ ġestjoni u tal-kapijiet tal-funzjonijiet ta’ kontroll intern, inklużi dawk il-valutazzjonijiet magħmula skont il-linji gwida konġunti tal-ESMA u tal-EBA dwar “kompetenza u idoneità”</w:t>
      </w:r>
      <w:r w:rsidRPr="00F57386">
        <w:rPr>
          <w:rStyle w:val="FootnoteReference"/>
        </w:rPr>
        <w:footnoteReference w:id="5"/>
      </w:r>
      <w:r w:rsidRPr="00F57386">
        <w:t xml:space="preserve"> u l-Linji Gwida tal-EBA dwar il-governanza interna</w:t>
      </w:r>
      <w:r w:rsidRPr="00F57386">
        <w:rPr>
          <w:rStyle w:val="FootnoteReference"/>
        </w:rPr>
        <w:footnoteReference w:id="6"/>
      </w:r>
      <w:r w:rsidRPr="00F57386">
        <w:t>.</w:t>
      </w:r>
    </w:p>
    <w:p w14:paraId="11049A70" w14:textId="44E8E93B" w:rsidR="00AA548B" w:rsidRDefault="00AA548B" w:rsidP="00512BE4">
      <w:pPr>
        <w:tabs>
          <w:tab w:val="left" w:pos="462"/>
        </w:tabs>
        <w:spacing w:before="1" w:line="276" w:lineRule="auto"/>
        <w:ind w:left="462" w:right="134"/>
        <w:jc w:val="both"/>
      </w:pPr>
      <w:r w:rsidRPr="00F57386">
        <w:t>Fil-każ ta’ fornituri ta’ servizzi tal-kriptoassi, l-awtoritajiet kompetenti għandhom jikkunsidraw li japplikaw it-Taqsimiet 1, 2, 3 u 5 tat-Titolu II, it-Taqsima 6 tat-Titolu III, it-</w:t>
      </w:r>
      <w:r w:rsidRPr="00F57386">
        <w:lastRenderedPageBreak/>
        <w:t>Taqsimiet 8 u 9 tat-Titolu IV u t-Titolu V tal-Linji Gwida tal-EBA dwar il-governanza interna għad-ditti ta’ investiment</w:t>
      </w:r>
      <w:r w:rsidRPr="00F57386">
        <w:rPr>
          <w:rStyle w:val="FootnoteReference"/>
        </w:rPr>
        <w:footnoteReference w:id="7"/>
      </w:r>
      <w:r w:rsidRPr="00F57386">
        <w:t xml:space="preserve"> għall-finijiet tal-AML/CFT.</w:t>
      </w:r>
      <w:r w:rsidRPr="00F57386">
        <w:rPr>
          <w:rStyle w:val="FootnoteReference"/>
        </w:rPr>
        <w:footnoteReference w:id="8"/>
      </w:r>
      <w:r w:rsidRPr="00F57386">
        <w:t>”</w:t>
      </w:r>
    </w:p>
    <w:p w14:paraId="36485D04" w14:textId="5C649F0E" w:rsidR="00735BEE" w:rsidRPr="00AF5F13" w:rsidRDefault="00735BEE" w:rsidP="00735BEE">
      <w:pPr>
        <w:widowControl w:val="0"/>
        <w:tabs>
          <w:tab w:val="left" w:pos="1802"/>
        </w:tabs>
        <w:spacing w:before="100" w:after="60" w:line="276" w:lineRule="auto"/>
        <w:ind w:right="232"/>
        <w:jc w:val="both"/>
      </w:pPr>
      <w:r w:rsidRPr="004C5656">
        <w:rPr>
          <w:rFonts w:ascii="Wingdings" w:eastAsia="Wingdings" w:hAnsi="Wingdings" w:cs="Wingdings"/>
          <w:color w:val="E98E31" w:themeColor="background2"/>
          <w:lang w:val="en-US"/>
        </w:rPr>
        <w:t>Ú</w:t>
      </w:r>
      <w:r w:rsidRPr="00581A28">
        <w:rPr>
          <w:color w:val="E98E31" w:themeColor="background2"/>
          <w:spacing w:val="-1"/>
          <w:lang w:val="en-US"/>
        </w:rPr>
        <w:t>O</w:t>
      </w:r>
    </w:p>
    <w:p w14:paraId="1EC02D47" w14:textId="4E1DB08A" w:rsidR="0010112A" w:rsidRPr="00AF5F13" w:rsidRDefault="0010112A" w:rsidP="00D173E4">
      <w:pPr>
        <w:pStyle w:val="Numberedtitlelevel3"/>
        <w:ind w:left="828" w:hanging="431"/>
      </w:pPr>
      <w:r w:rsidRPr="00AF5F13">
        <w:t>Kooperazzjoni</w:t>
      </w:r>
    </w:p>
    <w:p w14:paraId="4D95C4B9" w14:textId="1E36AD02" w:rsidR="0010112A" w:rsidRDefault="0010112A" w:rsidP="00EC596C">
      <w:pPr>
        <w:pStyle w:val="body"/>
        <w:numPr>
          <w:ilvl w:val="0"/>
          <w:numId w:val="10"/>
        </w:numPr>
      </w:pPr>
      <w:r w:rsidRPr="00AF5F13">
        <w:t>Jenħtieġ li l-awtoritajiet kompetenti jikkooperaw u jiskambjaw l-informazzjoni rilevanti kollha ma’ xulxin u ma’ partijiet ikkonċernati oħra, inklużi s-superviżuri prudenzjali, l-unitajiet tal-intelligence finanzjarja, l-awtoritajiet tat-taxxa, l-aġenziji tal-infurzar tal-liġi, l-awtoritajiet ġudizzjarji u s-superviżuri tal-AML/CFT ta’ pajjiżi terzi biex jiżguraw is-superviżjoni effettiva tal-AML/CFT tas-suġġetti tal-valutazzjoni. L-informazzjoni rilevanti kollha għandha tiġi skambjata mingħajr dewmien. Meta s-suġġetti tal-valutazzjoni joperaw fuq bażi transkonfinali, tali kooperazzjoni għandha tkopri l-awtoritajiet kompetenti ta’ Stati Membri oħrajn u fejn ikun rilevanti, l-awtoritajiet kompetenti ta’ pajjiżi terzi.</w:t>
      </w:r>
    </w:p>
    <w:p w14:paraId="3297F42D" w14:textId="0A7F4302" w:rsidR="00735BEE" w:rsidRPr="00AF5F13" w:rsidRDefault="00735BEE" w:rsidP="00735BEE">
      <w:pPr>
        <w:pStyle w:val="body"/>
      </w:pPr>
      <w:r w:rsidRPr="00136375">
        <w:rPr>
          <w:rFonts w:ascii="Wingdings" w:eastAsia="Wingdings" w:hAnsi="Wingdings" w:cs="Wingdings"/>
          <w:color w:val="E98E31" w:themeColor="background2"/>
          <w:spacing w:val="-1"/>
        </w:rPr>
        <w:t>Ú</w:t>
      </w:r>
      <w:r>
        <w:rPr>
          <w:color w:val="E98E31" w:themeColor="background2"/>
          <w:spacing w:val="-1"/>
        </w:rPr>
        <w:t>C</w:t>
      </w:r>
      <w:r w:rsidRPr="00136375">
        <w:rPr>
          <w:color w:val="E98E31" w:themeColor="background2"/>
          <w:spacing w:val="-1"/>
        </w:rPr>
        <w:t>1</w:t>
      </w:r>
    </w:p>
    <w:p w14:paraId="3910D034" w14:textId="73DF3E77" w:rsidR="0010112A" w:rsidRDefault="00C2456C" w:rsidP="00EC596C">
      <w:pPr>
        <w:pStyle w:val="body"/>
        <w:numPr>
          <w:ilvl w:val="0"/>
          <w:numId w:val="10"/>
        </w:numPr>
      </w:pPr>
      <w:r w:rsidRPr="00381D0B">
        <w:t>Sabiex jikkooperaw u jiskambjaw l-informazzjoni b’mod effettiv, l-awtoritajiet kompetenti għandhom japplikaw il-miżuri u l-għodod kollha ta’ kooperazzjoni u koordinazzjoni għad-dispożizzjoni tagħhom, inklużi dawk li l-awtoritajiet kompetenti kienu meħtieġa jistabbilixxu f’konformità mad-Direttiva (UE) 2015/849. L-awtoritajiet kompetenti għandhom jiżguraw l-affidabbiltà u l-kontinwità ta’ dawn il-miżuri u l-għodod biex jimminimizzaw ir-riskju ta’ nuqqas ta’ informazzjoni potenzjali. B’mod partikolari, l-awtoritajiet kompetenti għandhom jirreferu għal-Linji gwida konġunti tal-ASE dwar il-kooperazzjoni u l-iskambju ta’ informazzjoni għall-fini tad-Direttiva (UE) 2015/849 bejn l-awtoritajiet kompetenti li jissorveljaw l-istituzzjonijiet ta’ kreditu u finanzjarji,</w:t>
      </w:r>
      <w:r w:rsidRPr="00381D0B">
        <w:rPr>
          <w:rStyle w:val="FootnoteReference"/>
        </w:rPr>
        <w:footnoteReference w:id="9"/>
      </w:r>
      <w:r w:rsidRPr="00381D0B">
        <w:t xml:space="preserve"> il-Linji Gwida tal-EBA dwar il-kooperazzjoni u l-informazzjoni bejn is-superviżuri prudenzjali u tal-AML/CFT u l-unitajiet tal-intelligence finanzjarja skont id-Direttiva (UE) </w:t>
      </w:r>
      <w:r w:rsidRPr="000A290A">
        <w:rPr>
          <w:bCs/>
        </w:rPr>
        <w:t>2013/36</w:t>
      </w:r>
      <w:r w:rsidRPr="00381D0B">
        <w:rPr>
          <w:rStyle w:val="FootnoteReference"/>
          <w:b/>
          <w:bCs/>
        </w:rPr>
        <w:footnoteReference w:id="10"/>
      </w:r>
      <w:r w:rsidRPr="00381D0B">
        <w:t xml:space="preserve"> u l-Ftehim Multilaterali bejn il-Bank Ċentrali Ewropew u l-awtoritajiet kompetenti nazzjonali skont l-Artikolu 57a(2)(b) tad-Direttiva (UE) 2015/849.</w:t>
      </w:r>
      <w:r w:rsidRPr="00381D0B">
        <w:rPr>
          <w:rStyle w:val="FootnoteReference"/>
          <w:spacing w:val="-2"/>
        </w:rPr>
        <w:footnoteReference w:id="11"/>
      </w:r>
      <w:r w:rsidRPr="00381D0B">
        <w:t>”</w:t>
      </w:r>
    </w:p>
    <w:p w14:paraId="566C592F" w14:textId="15A646F4" w:rsidR="00735BEE" w:rsidRPr="00AF5F13" w:rsidRDefault="00735BEE" w:rsidP="00735BEE">
      <w:pPr>
        <w:pStyle w:val="body"/>
      </w:pPr>
      <w:r w:rsidRPr="00136375">
        <w:rPr>
          <w:rFonts w:ascii="Wingdings" w:eastAsia="Wingdings" w:hAnsi="Wingdings" w:cs="Wingdings"/>
          <w:color w:val="E98E31" w:themeColor="background2"/>
          <w:spacing w:val="-1"/>
        </w:rPr>
        <w:t>Ú</w:t>
      </w:r>
      <w:r>
        <w:rPr>
          <w:color w:val="E98E31" w:themeColor="background2"/>
          <w:spacing w:val="-1"/>
        </w:rPr>
        <w:t>A1</w:t>
      </w:r>
    </w:p>
    <w:p w14:paraId="55101C4D" w14:textId="0EC96AFA" w:rsidR="0010112A" w:rsidRDefault="00661C8D" w:rsidP="00EC596C">
      <w:pPr>
        <w:pStyle w:val="body"/>
        <w:numPr>
          <w:ilvl w:val="0"/>
          <w:numId w:val="10"/>
        </w:numPr>
      </w:pPr>
      <w:r w:rsidRPr="00F57386">
        <w:t xml:space="preserve">L-awtoritajiet kompetenti għandhom jikkunsidraw l-objettiv tal-kooperazzjoni u l-iskambju ta’ informazzjoni tagħhom ma’ partijiet ikkonċernati oħra, u abbażi ta’ dan jiddeterminaw l-iżjed mod effettiv għal din il-kooperazzjoni, hekk kif l-istess approċċ jaf ma jkunx xieraq fiċ-ċirkostanzi </w:t>
      </w:r>
      <w:r w:rsidRPr="00F57386">
        <w:lastRenderedPageBreak/>
        <w:t>kollha. L-awtoritajiet kompetenti għandhom b’mod partikolari jiżguraw li jikkooperaw b’mod effettiv ma’ dawk l-awtoritajiet li huma responsabbli għat-twettiq u s-superviżjoni prudenzjali tal-istess suġġett tal-valutazzjoni</w:t>
      </w:r>
      <w:r w:rsidR="0010112A" w:rsidRPr="00AF5F13">
        <w:t>.</w:t>
      </w:r>
    </w:p>
    <w:p w14:paraId="6019AC4B" w14:textId="391C8CBF" w:rsidR="00735BEE" w:rsidRDefault="00735BEE" w:rsidP="00735BEE">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197DAB8C" w14:textId="1F2FC9E4" w:rsidR="00512BE4" w:rsidRPr="00AF5F13" w:rsidRDefault="001F1C7A" w:rsidP="00EC596C">
      <w:pPr>
        <w:pStyle w:val="body"/>
        <w:numPr>
          <w:ilvl w:val="0"/>
          <w:numId w:val="10"/>
        </w:numPr>
      </w:pPr>
      <w:r w:rsidRPr="00AF5F13">
        <w:t>Meta jikkooperaw u jiskambjaw informazzjoni ma’ partijiet ikkonċernati oħra, inklużi aġenziji tal-infurzar tal-liġi, awtoritajiet tat-taxxa, u korpi jew aġenziji oħra, l-awtoritajiet kompetenti għandhom jagħmlu dan sa fejn ikun possibbli skont il-liġi nazzjonali. L-awtoritajiet kompetenti għandhom ifittxu li jiskambjaw informazzjoni mal-awtoritajiet tat-taxxa lokali dwar diversi reati u mekkaniżmi tat-taxxa, li jgħinu lill-awtorità kompetenti tivvaluta r-riskji ML li jirriżultaw li għalihom jistgħu jkunu esposti s-suġġetti tal-valutazzjoni jew is-setturi. Tista’ wkoll tiskambja informazzjoni dwar azzjonijiet preventivi possibbli f’dan il-qasam</w:t>
      </w:r>
      <w:r w:rsidR="0038409B">
        <w:t xml:space="preserve">. </w:t>
      </w:r>
    </w:p>
    <w:p w14:paraId="27562A58" w14:textId="1C6D0BBC" w:rsidR="00905139" w:rsidRPr="00AF5F13" w:rsidRDefault="00CE14AE" w:rsidP="00BF2FD9">
      <w:pPr>
        <w:pStyle w:val="Numberedtitlelevel2"/>
      </w:pPr>
      <w:r w:rsidRPr="00AF5F13">
        <w:t>Pass 1 – L-identifikazzjoni tal-fatturi ta’ riskju u ta’ mitigazzjoni</w:t>
      </w:r>
    </w:p>
    <w:p w14:paraId="2FA33927" w14:textId="77777777" w:rsidR="00905139" w:rsidRPr="00AF5F13" w:rsidRDefault="00905139" w:rsidP="00037139">
      <w:pPr>
        <w:pStyle w:val="Numberedtitlelevel3"/>
      </w:pPr>
      <w:r w:rsidRPr="00AF5F13">
        <w:t>Kunsiderazzjonijiet ġenerali</w:t>
      </w:r>
    </w:p>
    <w:p w14:paraId="32F13CCB" w14:textId="6F611C31" w:rsidR="00C3237B" w:rsidRPr="00AF5F13" w:rsidRDefault="00905139" w:rsidP="00EC596C">
      <w:pPr>
        <w:pStyle w:val="body"/>
        <w:numPr>
          <w:ilvl w:val="0"/>
          <w:numId w:val="10"/>
        </w:numPr>
      </w:pPr>
      <w:r w:rsidRPr="00AF5F13">
        <w:t>L-awtoritajiet kompetenti għandhom jidentifikaw u jifhmu l-fatturi ta’ riskju li se jaffettwaw l-esponiment ta’ kull settur u suġġett tal-valutazzjoni għar-riskji ta’ ML/TF. Għal dan il-għan, l-awtoritajiet kompetenti għandhom jużaw sorsi ta’ informazzjoni differenti pprovduti fil-Linja Gwida 4.2.2 u jimpenjaw ruħhom ukoll b’mod attiv mas-settur u ma’ awtoritajiet kompetenti oħra fejn rilevanti, kif stabbilit fil-Linji Gwida 4.1.4. u 4.4.9.</w:t>
      </w:r>
    </w:p>
    <w:p w14:paraId="23F6E6A1" w14:textId="327268B1" w:rsidR="00CE14AE" w:rsidRPr="00AF5F13" w:rsidRDefault="00905139" w:rsidP="00EC596C">
      <w:pPr>
        <w:pStyle w:val="body"/>
        <w:numPr>
          <w:ilvl w:val="0"/>
          <w:numId w:val="10"/>
        </w:numPr>
      </w:pPr>
      <w:r w:rsidRPr="00AF5F13">
        <w:t>Meta jidentifikaw fatturi ta’ riskju ta’ ML/TF, l-awtoritajiet kompetenti għandhom jużaw il-linji gwida konġunti tal-EBA dwar il-fatturi ta’ riskju ML/TF dwar id-diliġenza dovuta tal-klijenti u l-fatturi li l-istituzzjonijiet ta’ kreditu u finanzjarji għandhom jikkunsidraw meta jivvalutaw ir-riskju tal-ħasil tal-flus u l-finanzjament tat-terroriżmu assoċjat ma’ relazzjonijiet ta’ negozju individwali u tranżazzjonijiet okkażjonali skont l-Artikoli 17 u 18(4) tad-Direttiva (UE) 2015/849.</w:t>
      </w:r>
      <w:r w:rsidR="00667482" w:rsidRPr="00AF5F13">
        <w:rPr>
          <w:rStyle w:val="FootnoteReference"/>
          <w:lang w:val="en-GB"/>
        </w:rPr>
        <w:footnoteReference w:id="12"/>
      </w:r>
    </w:p>
    <w:p w14:paraId="51FA6C27" w14:textId="240C47F3" w:rsidR="00905139" w:rsidRPr="00AF5F13" w:rsidRDefault="00905139" w:rsidP="00EC596C">
      <w:pPr>
        <w:pStyle w:val="body"/>
        <w:numPr>
          <w:ilvl w:val="0"/>
          <w:numId w:val="10"/>
        </w:numPr>
      </w:pPr>
      <w:r w:rsidRPr="00AF5F13">
        <w:t>Fejn is-suġġetti tal-valutazzjoni jkunu raggruppamenti, l-awtoritajiet kompetenti għandhom jidentifikaw fatturi rilevanti abbażi ta’ dawk elenkati fil-paragrafi 44 u 45, sabiex jikkaratterizzaw ir-raggruppament bħala unità sħiħa. Dan għandu jippermetti lill-awtoritajiet kompetenti biex jiġġustifikaw id-deċiżjonijiet tagħhom dwar il-profil tar-riskju li huma jassenjaw lir-raggruppament. L-awtoritajiet kompetenti għandhom jikkunsidraw ukoll ir-riżultati ta’ azzjonijiet superviżorji preċedenti fir-rigward tas-suġġetti tal-valutazzjoni inklużi f’dak ir-raggruppament.</w:t>
      </w:r>
    </w:p>
    <w:p w14:paraId="0F1400D1" w14:textId="77777777" w:rsidR="005A2C8E" w:rsidRPr="00AF5F13" w:rsidRDefault="005A2C8E" w:rsidP="00EC596C">
      <w:pPr>
        <w:pStyle w:val="body"/>
        <w:numPr>
          <w:ilvl w:val="0"/>
          <w:numId w:val="10"/>
        </w:numPr>
      </w:pPr>
      <w:r w:rsidRPr="00AF5F13">
        <w:t xml:space="preserve">Meta suġġett tal-valutazzjoni jiġi ssorveljat minn diversi awtoritajiet kompetenti fi Stat Membru partikolari, dawk l-awtoritajiet kompetenti għandhom jikkooperaw u jiskambjaw informazzjoni </w:t>
      </w:r>
      <w:r w:rsidRPr="00AF5F13">
        <w:lastRenderedPageBreak/>
        <w:t>dwar dak is-suġġett tal-valutazzjoni sabiex jiżviluppaw fehim komuni tal-iskopertura għar-riskju tiegħu.</w:t>
      </w:r>
    </w:p>
    <w:p w14:paraId="0D7013F1" w14:textId="6257C6E6" w:rsidR="005A2C8E" w:rsidRPr="00AF5F13" w:rsidRDefault="005A2C8E" w:rsidP="00EC596C">
      <w:pPr>
        <w:pStyle w:val="body"/>
        <w:numPr>
          <w:ilvl w:val="0"/>
          <w:numId w:val="10"/>
        </w:numPr>
      </w:pPr>
      <w:r w:rsidRPr="00AF5F13">
        <w:t>Il-firxa u t-tip ta’ informazzjoni mitluba mill-awtoritajiet kompetenti biex jidentifikaw il-fatturi ta’ riskju u l-fatturi mitiganti għandhom ikunu proporzjonati man-natura u d-daqs, fejn magħrufa, tal-attivitajiet kummerċjali tas-suġġetti tal-valutazzjoni. Għandu jitqies ukoll il-profil tar-riskju tas-suġġetti tal-valutazzjoni kif ġie ddeterminat abbażi tal-valutazzjonijiet tar-riskju preċedenti, jekk ikun hemm, u l-kuntest li fih jopera s-suġġett tal-valutazzjoni, bħan-natura tas-settur li għalih jappartjeni s-suġġett tal-valutazzjoni. L-awtoritajiet kompetenti għandhom jikkunsidraw jistabbilixxu:</w:t>
      </w:r>
    </w:p>
    <w:p w14:paraId="1FB9B901" w14:textId="5C7645B0" w:rsidR="005A2C8E" w:rsidRPr="00AF5F13" w:rsidRDefault="005A2C8E" w:rsidP="00EC596C">
      <w:pPr>
        <w:pStyle w:val="ListParagraph"/>
        <w:widowControl w:val="0"/>
        <w:numPr>
          <w:ilvl w:val="1"/>
          <w:numId w:val="16"/>
        </w:numPr>
        <w:tabs>
          <w:tab w:val="left" w:pos="941"/>
          <w:tab w:val="left" w:pos="942"/>
        </w:tabs>
        <w:autoSpaceDE w:val="0"/>
        <w:autoSpaceDN w:val="0"/>
        <w:spacing w:before="160" w:line="273" w:lineRule="auto"/>
        <w:ind w:right="222"/>
        <w:jc w:val="both"/>
      </w:pPr>
      <w:r w:rsidRPr="00AF5F13">
        <w:t xml:space="preserve"> liema informazzjoni se jeħtieġu dejjem fir-rigward tas-suġġetti tal-valutazzjoni u jeħtieġu informazzjoni simili għal suġġetti tal-valutazzjoni komparabbli;</w:t>
      </w:r>
    </w:p>
    <w:p w14:paraId="32FB1489" w14:textId="77777777" w:rsidR="005A2C8E" w:rsidRPr="00AF5F13" w:rsidRDefault="005A2C8E" w:rsidP="00EC596C">
      <w:pPr>
        <w:pStyle w:val="ListParagraph"/>
        <w:widowControl w:val="0"/>
        <w:numPr>
          <w:ilvl w:val="1"/>
          <w:numId w:val="16"/>
        </w:numPr>
        <w:tabs>
          <w:tab w:val="left" w:pos="941"/>
          <w:tab w:val="left" w:pos="942"/>
        </w:tabs>
        <w:autoSpaceDE w:val="0"/>
        <w:autoSpaceDN w:val="0"/>
        <w:spacing w:before="160" w:line="273" w:lineRule="auto"/>
        <w:ind w:right="222"/>
        <w:jc w:val="both"/>
      </w:pPr>
      <w:r w:rsidRPr="00AF5F13">
        <w:t xml:space="preserve">fejn u kif se jiksbu din l-informazzjoni; u </w:t>
      </w:r>
    </w:p>
    <w:p w14:paraId="654F95F2" w14:textId="3D7ECEA2" w:rsidR="005A2C8E" w:rsidRPr="00AF5F13" w:rsidRDefault="00C93791" w:rsidP="00EC596C">
      <w:pPr>
        <w:pStyle w:val="ListParagraph"/>
        <w:widowControl w:val="0"/>
        <w:numPr>
          <w:ilvl w:val="1"/>
          <w:numId w:val="16"/>
        </w:numPr>
        <w:tabs>
          <w:tab w:val="left" w:pos="941"/>
          <w:tab w:val="left" w:pos="942"/>
        </w:tabs>
        <w:autoSpaceDE w:val="0"/>
        <w:autoSpaceDN w:val="0"/>
        <w:spacing w:before="160" w:line="273" w:lineRule="auto"/>
        <w:ind w:right="222"/>
        <w:jc w:val="both"/>
      </w:pPr>
      <w:r w:rsidRPr="00AF5F13">
        <w:t>liema tip ta’ informazzjoni se tagħti lok għal talba aktar estensiva u fid-dettall.</w:t>
      </w:r>
    </w:p>
    <w:p w14:paraId="39385E60" w14:textId="77777777" w:rsidR="00905139" w:rsidRPr="00AF5F13" w:rsidRDefault="00905139" w:rsidP="001C2168">
      <w:pPr>
        <w:pStyle w:val="Numberedtitlelevel3"/>
      </w:pPr>
      <w:r w:rsidRPr="00AF5F13">
        <w:t>Sorsi ta’ informazzjoni</w:t>
      </w:r>
    </w:p>
    <w:p w14:paraId="42894D36" w14:textId="2FEFA2FE" w:rsidR="00905139" w:rsidRPr="00AF5F13" w:rsidRDefault="00905139" w:rsidP="00EC596C">
      <w:pPr>
        <w:pStyle w:val="body"/>
        <w:numPr>
          <w:ilvl w:val="0"/>
          <w:numId w:val="10"/>
        </w:numPr>
      </w:pPr>
      <w:r w:rsidRPr="00AF5F13">
        <w:t>L-awtoritajiet kompetenti għandhom jidentifikaw il-fatturi ta’ riskju fir-rigward tas-setturi, is-subsetturi, jekk rilevanti, u s-suġġetti tal-valutazzjoni abbażi ta’ informazzjoni minn varjetà ta’ sorsi. L-awtoritajiet kompetenti għandhom jiddeterminaw it-tip u n-numru ta’ dawn is-sorsi fuq bażi ta’ sensittività għar-riskju. L-awtoritajiet kompetenti għandhom jiżguraw li jkollhom aċċess għal sorsi ta’ informazzjoni xierqa u jieħdu passi, fejn ikun meħtieġ, biex itejbuhom. L-awtoritajiet kompetenti għandhom jiżguraw ukoll li jkunu implimentaw proċessi u proċeduri għall-ġbir tad-</w:t>
      </w:r>
      <w:r w:rsidRPr="00AF5F13">
        <w:rPr>
          <w:i/>
          <w:iCs/>
        </w:rPr>
        <w:t>data</w:t>
      </w:r>
      <w:r w:rsidRPr="00AF5F13">
        <w:t xml:space="preserve"> meħtieġa.</w:t>
      </w:r>
    </w:p>
    <w:p w14:paraId="2863DD45" w14:textId="21FC4039" w:rsidR="00905139" w:rsidRDefault="00905139" w:rsidP="00EC596C">
      <w:pPr>
        <w:pStyle w:val="body"/>
        <w:numPr>
          <w:ilvl w:val="0"/>
          <w:numId w:val="10"/>
        </w:numPr>
      </w:pPr>
      <w:r w:rsidRPr="00AF5F13">
        <w:t>Is-sorsi ta’ informazzjoni li l-awtoritajiet kompetenti għandhom dejjem jikkunsidraw jinkludu:</w:t>
      </w:r>
    </w:p>
    <w:p w14:paraId="653895DC" w14:textId="46D9F9E1" w:rsidR="00735BEE" w:rsidRPr="00AF5F13" w:rsidRDefault="00735BEE" w:rsidP="00735BEE">
      <w:pPr>
        <w:pStyle w:val="body"/>
      </w:pPr>
      <w:r w:rsidRPr="00136375">
        <w:rPr>
          <w:rFonts w:ascii="Wingdings" w:eastAsia="Wingdings" w:hAnsi="Wingdings" w:cs="Wingdings"/>
          <w:color w:val="E98E31" w:themeColor="background2"/>
          <w:spacing w:val="-1"/>
        </w:rPr>
        <w:t>Ú</w:t>
      </w:r>
      <w:r>
        <w:rPr>
          <w:color w:val="E98E31" w:themeColor="background2"/>
          <w:spacing w:val="-1"/>
        </w:rPr>
        <w:t>C1</w:t>
      </w:r>
    </w:p>
    <w:p w14:paraId="1A2C72F1" w14:textId="174CB19C" w:rsidR="00905139" w:rsidRPr="00AF5F13" w:rsidRDefault="007367E7" w:rsidP="00661C8D">
      <w:pPr>
        <w:pStyle w:val="Style1"/>
        <w:numPr>
          <w:ilvl w:val="1"/>
          <w:numId w:val="100"/>
        </w:numPr>
      </w:pPr>
      <w:r w:rsidRPr="00AF5F13">
        <w:t>il-valutazzjoni tar-riskju sovranazzjonali tal-Kummissjoni Ewropea ppubblikata skont l-Artikolu 6(1) tad-Direttiva (UE) 2015/849;</w:t>
      </w:r>
    </w:p>
    <w:p w14:paraId="364236FB" w14:textId="4A96C5A6" w:rsidR="00905139" w:rsidRPr="00AF5F13" w:rsidRDefault="007367E7" w:rsidP="00D173E4">
      <w:pPr>
        <w:pStyle w:val="ListParagraph"/>
        <w:widowControl w:val="0"/>
        <w:numPr>
          <w:ilvl w:val="1"/>
          <w:numId w:val="14"/>
        </w:numPr>
        <w:tabs>
          <w:tab w:val="left" w:pos="941"/>
          <w:tab w:val="left" w:pos="942"/>
        </w:tabs>
        <w:autoSpaceDE w:val="0"/>
        <w:autoSpaceDN w:val="0"/>
        <w:spacing w:before="160" w:line="274" w:lineRule="auto"/>
        <w:ind w:left="714" w:right="221" w:hanging="357"/>
        <w:jc w:val="both"/>
      </w:pPr>
      <w:r w:rsidRPr="00AF5F13">
        <w:t>l-Opinjoni tal-EBA dwar ir-riskju ML/TF li jaffettwa s-settur finanzjarju tal-Unjoni ppubblikata skont l-Artikolu 6(5) tad-Direttiva (UE) 2015/849;</w:t>
      </w:r>
    </w:p>
    <w:p w14:paraId="25441433" w14:textId="1529563C" w:rsidR="00905139" w:rsidRPr="00AF5F13" w:rsidRDefault="00905139" w:rsidP="00EC596C">
      <w:pPr>
        <w:pStyle w:val="ListParagraph"/>
        <w:widowControl w:val="0"/>
        <w:numPr>
          <w:ilvl w:val="1"/>
          <w:numId w:val="14"/>
        </w:numPr>
        <w:tabs>
          <w:tab w:val="left" w:pos="942"/>
        </w:tabs>
        <w:autoSpaceDE w:val="0"/>
        <w:autoSpaceDN w:val="0"/>
        <w:spacing w:before="126" w:line="276" w:lineRule="auto"/>
        <w:ind w:right="218"/>
        <w:jc w:val="both"/>
      </w:pPr>
      <w:r w:rsidRPr="00AF5F13">
        <w:t>il-valutazzjoni nazzjonali tar-riskju (NRA) tal-Istat Membru u ta’ Stati Membri oħrajn kif imsemmi fl-Artikolu 7(1) tad-Direttiva (UE) 2015/849;</w:t>
      </w:r>
    </w:p>
    <w:p w14:paraId="3FC7BA46" w14:textId="6DDE08F8" w:rsidR="00905139" w:rsidRPr="00AF5F13"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AF5F13">
        <w:t>Atti Delegati adottati mill-Kummissjoni Ewropea kif imsemmi fl-Artikolu 9(2) tad-Direttiva (UE) 2015/849;</w:t>
      </w:r>
    </w:p>
    <w:p w14:paraId="6C41EFC9" w14:textId="77777777" w:rsidR="00905139" w:rsidRPr="00AF5F13" w:rsidRDefault="00905139" w:rsidP="00EC596C">
      <w:pPr>
        <w:pStyle w:val="ListParagraph"/>
        <w:widowControl w:val="0"/>
        <w:numPr>
          <w:ilvl w:val="1"/>
          <w:numId w:val="14"/>
        </w:numPr>
        <w:tabs>
          <w:tab w:val="left" w:pos="942"/>
        </w:tabs>
        <w:autoSpaceDE w:val="0"/>
        <w:autoSpaceDN w:val="0"/>
        <w:spacing w:before="126" w:line="276" w:lineRule="auto"/>
        <w:ind w:right="218"/>
        <w:jc w:val="both"/>
      </w:pPr>
      <w:r w:rsidRPr="00AF5F13">
        <w:t>gvernijiet nazzjonali u barranin;</w:t>
      </w:r>
    </w:p>
    <w:p w14:paraId="3898E27D" w14:textId="7A0B15BD" w:rsidR="00905139" w:rsidRPr="00AF5F13" w:rsidRDefault="007367E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AF5F13">
        <w:t>l-eżiti tal-valutazzjonijiet tar-riskju tal-EBA kif imsemmi fl-Artikolu 9a tar-Regolament (UE) Nru 1093/2010;</w:t>
      </w:r>
    </w:p>
    <w:p w14:paraId="5C35A19C" w14:textId="164DF969" w:rsidR="00905139" w:rsidRPr="00AF5F13" w:rsidRDefault="009E5680"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AF5F13">
        <w:t>awtoritajiet kompetenti oħrajn;</w:t>
      </w:r>
    </w:p>
    <w:p w14:paraId="1085D376" w14:textId="4865ED76" w:rsidR="00905139" w:rsidRPr="00AF5F13"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AF5F13">
        <w:lastRenderedPageBreak/>
        <w:t>awtoritajiet superviżorji tal-AML/CFT f’pajjiżi terzi;</w:t>
      </w:r>
    </w:p>
    <w:p w14:paraId="790E1E05" w14:textId="0953AA2D" w:rsidR="00905139" w:rsidRPr="00AF5F13"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AF5F13">
        <w:t>l-awtoritajiet superviżorji responsabbli mis-superviżjoni tal-konformità tas-suġġetti tal-valutazzjoni mar-rekwiżiti prudenzjali, inklużi l-awtoritajiet kompetenti kif definiti fil-punti (2) (i) u (viii) tal-Artikolu 4 tar-Regolament (UE) Nru 1093/2010, fil-punti (2) (i) tal-Artikolu 4 tar-Regolament (UE) Nru 1094/2010, u fil-punti (3) (i) tal-Artikolu 4 tar-Regolament (UE) Nru 1095/2010;</w:t>
      </w:r>
    </w:p>
    <w:p w14:paraId="2DA2A2F3" w14:textId="59CA372A" w:rsidR="00905139" w:rsidRPr="00AF5F13"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AF5F13">
        <w:t>l-unitajiet tal-intelligence finanzjarja (FIUs);</w:t>
      </w:r>
    </w:p>
    <w:p w14:paraId="535204F1" w14:textId="3DB31E00" w:rsidR="00905139" w:rsidRPr="00AF5F13"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AF5F13">
        <w:t>aġenziji tal-infurzar tal-liġi, fejn mhux esklużi mil-liġi applikabbli;</w:t>
      </w:r>
    </w:p>
    <w:p w14:paraId="0C946207" w14:textId="16909170" w:rsidR="007E0FF1" w:rsidRPr="00AF5F13"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AF5F13">
        <w:t>l-awtoritajiet tat-taxxa, fejn mhux esklużi mil-liġi applikabbli; u</w:t>
      </w:r>
    </w:p>
    <w:p w14:paraId="33815D2B" w14:textId="5C623BB4" w:rsidR="007E0FF1" w:rsidRDefault="007E0FF1" w:rsidP="00592AFF">
      <w:pPr>
        <w:pStyle w:val="Style1"/>
      </w:pPr>
      <w:r w:rsidRPr="00AF5F13">
        <w:t>kulleġġi tal-AML/CFT, stabbiliti f’konformità mal-Linji Gwida Konġunti tal-ASE dwar il-kooperazzjoni u skambju ta’ informazzjoni għall-finijiet tad-Direttiva (UE) 2015/849 bejn l-awtoritajiet kompetenti li jissorveljaw istituzzjonijiet ta’ kreditu u dawk finanzjarji (“Il-Linji Gwida tal-Kulleġġi tal-AML/CFT”)</w:t>
      </w:r>
      <w:r w:rsidR="002F75CA" w:rsidRPr="00AF5F13">
        <w:rPr>
          <w:rStyle w:val="FootnoteReference"/>
          <w:rFonts w:cstheme="minorHAnsi"/>
        </w:rPr>
        <w:footnoteReference w:id="13"/>
      </w:r>
      <w:r w:rsidRPr="00AF5F13">
        <w:t>, fejn stabbiliti.</w:t>
      </w:r>
    </w:p>
    <w:p w14:paraId="3F9943E1" w14:textId="34CE7FEE" w:rsidR="00735BEE" w:rsidRPr="00AF5F13" w:rsidRDefault="00735BEE" w:rsidP="00735BEE">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04DFFE0F" w14:textId="77777777" w:rsidR="00905139" w:rsidRPr="00AF5F13" w:rsidRDefault="00905139" w:rsidP="00EC596C">
      <w:pPr>
        <w:pStyle w:val="body"/>
        <w:numPr>
          <w:ilvl w:val="0"/>
          <w:numId w:val="10"/>
        </w:numPr>
      </w:pPr>
      <w:r w:rsidRPr="00AF5F13">
        <w:t>Sorsi oħrajn ta’ informazzjoni li l-awtoritajiet kompetenti jistgħu jikkunsidraw, jinkludu:</w:t>
      </w:r>
    </w:p>
    <w:p w14:paraId="20224B36" w14:textId="0C895CE7" w:rsidR="009303F2" w:rsidRPr="00AF5F13" w:rsidRDefault="007367E7"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AF5F13">
        <w:t>il-bażi tad-</w:t>
      </w:r>
      <w:r w:rsidRPr="00AF5F13">
        <w:rPr>
          <w:i/>
          <w:iCs/>
        </w:rPr>
        <w:t>data</w:t>
      </w:r>
      <w:r w:rsidRPr="00AF5F13">
        <w:t xml:space="preserve"> ċentrali tal-AML/CFT tal-EBA kif imsemmi fl-Artikolu 9a(1) u (3) tar-Regolament (UE) Nru 1093/2010, meta l-informazzjoni ssir disponibbli għall-awtorità kompetenti;</w:t>
      </w:r>
    </w:p>
    <w:p w14:paraId="5EAC0E36" w14:textId="1B92B461" w:rsidR="004E2EBB" w:rsidRPr="00AF5F13" w:rsidRDefault="004E2EBB"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AF5F13">
        <w:t>kulleġġi ta’ superviżuri prudenzjali, stabbiliti f’konformità mal-Artikolu 51 jew 116 tad-Direttiva (UE) 2019/878 u mar-Regolament ta’ Implimentazzjoni tal-Kummissjoni (UE) 2016/99 tas-16 ta’ Ottubru 2015 dwar il-funzjonament operattiv tal-kulleġġi ta’ superviżuri, u r-Regolament Delegat tal-Kummissjoni (UE) 2016/98 tas-16 ta’ Ottubru 2015 dwar il-kundizzjonijiet ġenerali għall-funzjonament tal-kulleġġi tas-superviżuri, fejn stabbilit;</w:t>
      </w:r>
    </w:p>
    <w:p w14:paraId="09AA2548" w14:textId="5F73D257" w:rsidR="00905139" w:rsidRPr="00AF5F13"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AF5F13">
        <w:t>korpi industrijali, inkluż informazzjoni miġbura bħala parti minn sħubijiet pubbliċi-privati, jekk disponibbli, bħal tipoloġiji u informazzjoni dwar riskji emerġenti;</w:t>
      </w:r>
    </w:p>
    <w:p w14:paraId="5F64F1B4" w14:textId="77777777" w:rsidR="00905139" w:rsidRPr="00AF5F13"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AF5F13">
        <w:t>is-soċjetà ċivili bħal indiċijiet dwar il-perċezzjoni tal-korruzzjoni;</w:t>
      </w:r>
    </w:p>
    <w:p w14:paraId="3E996939" w14:textId="661EA090" w:rsidR="00905139" w:rsidRPr="00AF5F13"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AF5F13">
        <w:t>korpi li jistabbilixxu standards internazzjonali jew sovranazzjonali, bħal evalwazzjonijiet reċiproki tar-reġimi tal-AML/CFT, tal-ġlieda kontra l-korruzzjoni u tat-taxxa tal-pajjiżi;</w:t>
      </w:r>
    </w:p>
    <w:p w14:paraId="79288A81" w14:textId="397F76D7" w:rsidR="00A60C9C" w:rsidRPr="00AF5F13" w:rsidRDefault="00A60C9C" w:rsidP="00807AB5">
      <w:pPr>
        <w:pStyle w:val="ListParagraph"/>
        <w:widowControl w:val="0"/>
        <w:numPr>
          <w:ilvl w:val="1"/>
          <w:numId w:val="15"/>
        </w:numPr>
        <w:tabs>
          <w:tab w:val="left" w:pos="941"/>
          <w:tab w:val="left" w:pos="942"/>
        </w:tabs>
        <w:autoSpaceDE w:val="0"/>
        <w:autoSpaceDN w:val="0"/>
        <w:spacing w:before="160" w:line="273" w:lineRule="auto"/>
        <w:ind w:right="222"/>
        <w:jc w:val="both"/>
      </w:pPr>
      <w:r w:rsidRPr="00AF5F13">
        <w:t>informazzjoni minn sorsi miftuħa kredibbli u affidabbli, bħal rapporti f’gazzetti ta’ reputazzjoni tajba;</w:t>
      </w:r>
    </w:p>
    <w:p w14:paraId="5C534D14" w14:textId="77777777" w:rsidR="00905139" w:rsidRPr="00AF5F13"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AF5F13">
        <w:t>organizzazzjonijiet kummerċjali ta’ reputazzjoni tajba bħal rapporti ta’ riskju u ta’ intelligence;</w:t>
      </w:r>
    </w:p>
    <w:p w14:paraId="02C0CD17" w14:textId="0CBDB90D" w:rsidR="00905139" w:rsidRPr="00AF5F13"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AF5F13">
        <w:t>rapporti ta’ żvelar ta’ informazzjoni protetta;</w:t>
      </w:r>
    </w:p>
    <w:p w14:paraId="39889025" w14:textId="40029E69" w:rsidR="00905139" w:rsidRPr="00AF5F13" w:rsidRDefault="00C808D8"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AF5F13">
        <w:lastRenderedPageBreak/>
        <w:t>informazzjoni minn istituzzjonijiet akkademiċi; jew</w:t>
      </w:r>
    </w:p>
    <w:p w14:paraId="43B3D8AB" w14:textId="53271D4D" w:rsidR="00240364" w:rsidRDefault="00905139" w:rsidP="00240364">
      <w:pPr>
        <w:pStyle w:val="ListParagraph"/>
        <w:tabs>
          <w:tab w:val="left" w:pos="462"/>
        </w:tabs>
        <w:spacing w:before="1" w:line="360" w:lineRule="auto"/>
        <w:ind w:left="360" w:right="134"/>
        <w:jc w:val="both"/>
      </w:pPr>
      <w:r w:rsidRPr="00AF5F13">
        <w:t>ir-rapporti tal-awdituri esterni fir-rigward tas-suġġett tal-valutazzjoni, fejn dawn ikunu disponibbli.</w:t>
      </w:r>
      <w:r w:rsidR="00240364" w:rsidRPr="00240364">
        <w:t xml:space="preserve"> </w:t>
      </w:r>
    </w:p>
    <w:p w14:paraId="1E9BF428" w14:textId="5FF26C8F" w:rsidR="00735BEE" w:rsidRDefault="00735BEE" w:rsidP="00735BEE">
      <w:pPr>
        <w:tabs>
          <w:tab w:val="left" w:pos="462"/>
        </w:tabs>
        <w:spacing w:before="1" w:line="360" w:lineRule="auto"/>
        <w:ind w:right="134"/>
        <w:jc w:val="both"/>
      </w:pPr>
      <w:r w:rsidRPr="00735BEE">
        <w:rPr>
          <w:rFonts w:ascii="Wingdings" w:eastAsia="Wingdings" w:hAnsi="Wingdings" w:cs="Wingdings"/>
          <w:color w:val="E98E31" w:themeColor="background2"/>
          <w:spacing w:val="-1"/>
        </w:rPr>
        <w:t>Ú</w:t>
      </w:r>
      <w:r w:rsidRPr="00735BEE">
        <w:rPr>
          <w:color w:val="E98E31" w:themeColor="background2"/>
          <w:spacing w:val="-1"/>
        </w:rPr>
        <w:t>A1</w:t>
      </w:r>
    </w:p>
    <w:p w14:paraId="2F067E0C" w14:textId="77777777" w:rsidR="00240364" w:rsidRDefault="00240364" w:rsidP="00240364">
      <w:pPr>
        <w:pStyle w:val="ListParagraph"/>
        <w:tabs>
          <w:tab w:val="left" w:pos="462"/>
        </w:tabs>
        <w:spacing w:before="1" w:line="360" w:lineRule="auto"/>
        <w:ind w:left="360" w:right="134"/>
        <w:jc w:val="both"/>
      </w:pPr>
      <w:r w:rsidRPr="00F57386">
        <w:t>k) eżiti tal-analiżi ta’ għodda analitika avvanzata waħda jew aktar; jew</w:t>
      </w:r>
    </w:p>
    <w:p w14:paraId="75100277" w14:textId="34A00A23" w:rsidR="00240364" w:rsidRDefault="00240364" w:rsidP="00240364">
      <w:pPr>
        <w:pStyle w:val="ListParagraph"/>
        <w:tabs>
          <w:tab w:val="left" w:pos="462"/>
        </w:tabs>
        <w:spacing w:before="1" w:line="360" w:lineRule="auto"/>
        <w:ind w:left="360" w:right="134"/>
        <w:jc w:val="both"/>
      </w:pPr>
      <w:r w:rsidRPr="00F57386">
        <w:t>l) notifiki ta’ fornituri ta’ servizzi ta’ pagament jew fornituri ta’ servizzi ta’ kriptoassi inadempjenti ripetutament sottomessi lill-awtoritajiet kompetenti responsabbli f’konformità mal-Artikoli 8(2), 12(2), 17(2) u 21(2) tar-Regolament (UE) 2023/1113, sal-punt li dawn il-fornituri jaqgħu fil-kamp ta’ applikazzjoni superviżorju tal-awtorità kompetenti</w:t>
      </w:r>
      <w:r>
        <w:t>.</w:t>
      </w:r>
    </w:p>
    <w:p w14:paraId="7AB1B023" w14:textId="6DF8D084" w:rsidR="00735BEE" w:rsidRPr="00AF5F13" w:rsidRDefault="00735BEE" w:rsidP="00735BEE">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1B5E878C" w14:textId="77777777" w:rsidR="00905139" w:rsidRPr="00AF5F13" w:rsidRDefault="00905139" w:rsidP="00BF2FD9">
      <w:pPr>
        <w:pStyle w:val="Numberedtitlelevel3"/>
      </w:pPr>
      <w:r w:rsidRPr="00AF5F13">
        <w:t>Fatturi ta’ riskju domestiku</w:t>
      </w:r>
    </w:p>
    <w:p w14:paraId="1482CE51" w14:textId="77777777" w:rsidR="00B56689" w:rsidRPr="00AF5F13" w:rsidRDefault="00905139" w:rsidP="00EC596C">
      <w:pPr>
        <w:pStyle w:val="body"/>
        <w:numPr>
          <w:ilvl w:val="0"/>
          <w:numId w:val="10"/>
        </w:numPr>
      </w:pPr>
      <w:r w:rsidRPr="00AF5F13">
        <w:t>L-awtoritajiet kompetenti għandu jkollhom tagħrif, sensibilizzazzjoni u fehim adegwati tar-riskji ML/TF identifikati fil-livell nazzjonali sabiex jiġu identifikati l-fatturi ta’ riskju ta’ ML/TF assoċjati mal-attivitajiet domestiċi tas-suġġetti tal-valutazzjoni fi ħdan is-setturi.</w:t>
      </w:r>
    </w:p>
    <w:p w14:paraId="7931C5B3" w14:textId="4C79A274" w:rsidR="00905139" w:rsidRPr="00AF5F13" w:rsidRDefault="00905139" w:rsidP="00EC596C">
      <w:pPr>
        <w:pStyle w:val="body"/>
        <w:numPr>
          <w:ilvl w:val="0"/>
          <w:numId w:val="10"/>
        </w:numPr>
      </w:pPr>
      <w:r w:rsidRPr="00AF5F13">
        <w:t>Bħala parti minn dan, u abbażi tas-sorsi deskritti fil-paragrafi 30 u 31, l-awtoritajiet kompetenti għandhom jifhmu, fost l-oħrajn:</w:t>
      </w:r>
    </w:p>
    <w:p w14:paraId="057A60C9" w14:textId="53FD1812" w:rsidR="00A83B4D" w:rsidRPr="00AF5F13" w:rsidRDefault="0090513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AF5F13">
        <w:t>it-tip, it-tipoloġiji u l-iskala tal-ħasil tal-flus marbuta ma’ reati predikati, inklużi iżda mhux limitati għal reati tat-taxxa, imwettqa domestikament;</w:t>
      </w:r>
    </w:p>
    <w:p w14:paraId="42DFC321" w14:textId="4E0781C1" w:rsidR="00905139" w:rsidRPr="00AF5F13" w:rsidRDefault="0090513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AF5F13">
        <w:t>l-iskala tal-ħasil ta’ rikavati minn reati predikati, inkluż iżda mhux limitat għal reati tat-taxxa, imwettqa barra mill-pajjiż;</w:t>
      </w:r>
    </w:p>
    <w:p w14:paraId="1D4DA71A" w14:textId="4691B6C5" w:rsidR="00905139" w:rsidRPr="00AF5F13" w:rsidRDefault="00FD2DA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AF5F13">
        <w:t>it-tip, it-tipoloġiji u l-iskala tal-finanzjament tat-terroriżmu u l-iskala u l-livell ta’ appoġġ għal attivitajiet u gruppi terroristiċi fil-pajjiż;</w:t>
      </w:r>
    </w:p>
    <w:p w14:paraId="47104951" w14:textId="63DBB815" w:rsidR="00905139" w:rsidRPr="00AF5F13" w:rsidRDefault="0090513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AF5F13">
        <w:t>tipoloġiji ML/TF rilevanti identifikati mill-UIF u awtoritajiet pubbliċi oħrajn jew korpi privati kredibbli rilevanti.</w:t>
      </w:r>
    </w:p>
    <w:p w14:paraId="70A0E54C" w14:textId="77777777" w:rsidR="00905139" w:rsidRPr="00AF5F13" w:rsidRDefault="00905139" w:rsidP="00BF2FD9">
      <w:pPr>
        <w:pStyle w:val="Numberedtitlelevel3"/>
      </w:pPr>
      <w:r w:rsidRPr="00AF5F13">
        <w:t>Fatturi ta’ riskju barrani</w:t>
      </w:r>
    </w:p>
    <w:p w14:paraId="67897DCE" w14:textId="77777777" w:rsidR="00905139" w:rsidRPr="00AF5F13" w:rsidRDefault="00905139" w:rsidP="00EC596C">
      <w:pPr>
        <w:pStyle w:val="body"/>
        <w:numPr>
          <w:ilvl w:val="0"/>
          <w:numId w:val="10"/>
        </w:numPr>
      </w:pPr>
      <w:r w:rsidRPr="00AF5F13">
        <w:t>Meta suġġett tal-valutazzjoni jew settur sħiħ iżomm rabtiet sinifikanti ma’ Stati Membri oħrajn jew ma’ pajjiżi terzi, sabiex b’hekk is-suġġett tal-valutazzjoni jew is-settur jiġu esposti għal riskji ta’ ML/TF assoċjati ma’ dawn il-pajjiżi l-oħrajn, l-awtoritajiet kompetenti għandhom jidentifikaw dawn ir-riskji. Rabtiet sinifikanti jinkludu dawk fejn:</w:t>
      </w:r>
    </w:p>
    <w:p w14:paraId="20AC48F1" w14:textId="4882D5FB" w:rsidR="00905139" w:rsidRPr="00AF5F13"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AF5F13">
        <w:t>suġġett tal-valutazzjoni jżomm livell sinifikanti ta’ relazzjonijiet kummerċjali ma’ klijenti stabbiliti fi Stati Membri oħrajn jew pajjiżi terzi;</w:t>
      </w:r>
    </w:p>
    <w:p w14:paraId="0C76F7C2" w14:textId="77777777" w:rsidR="00FD2DA9" w:rsidRPr="00AF5F13" w:rsidRDefault="00FD2DA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AF5F13">
        <w:t>sid benefiċjarju ta’ klijent tas-suġġett tal-valutazzjoni jkun minn Stati Membri oħrajn jew pajjiżi terzi;</w:t>
      </w:r>
    </w:p>
    <w:p w14:paraId="4B0B756A" w14:textId="77777777" w:rsidR="00905139" w:rsidRPr="00AF5F13"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AF5F13">
        <w:t xml:space="preserve">suġġett tal-valutazzjoni jkun qed iwettaq livelli sinifikanti ta’ tranżazzjonijiet okkażjonali </w:t>
      </w:r>
      <w:r w:rsidRPr="00AF5F13">
        <w:lastRenderedPageBreak/>
        <w:t>ma’ Stati Membri oħra jew ma’ pajjiżi terzi;</w:t>
      </w:r>
    </w:p>
    <w:p w14:paraId="11A4363B" w14:textId="77777777" w:rsidR="00905139" w:rsidRPr="00AF5F13"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AF5F13">
        <w:t>suġġett tal-valutazzjoni jżomm relazzjonijiet kummerċjali sinifikanti ma’ kontropartijiet stabbiliti fi Stati Membri oħrajn jew pajjiżi terzi;</w:t>
      </w:r>
    </w:p>
    <w:p w14:paraId="63C13D4A" w14:textId="795932B0" w:rsidR="00905139" w:rsidRPr="00AF5F13"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AF5F13">
        <w:t>suġġett tal-valutazzjoni jifforma parti minn grupp finanzjarju stabbilit fi Stat Membru ieħor jew pajjiż terz;</w:t>
      </w:r>
    </w:p>
    <w:p w14:paraId="07592125" w14:textId="5F1D765C" w:rsidR="00905139" w:rsidRPr="00AF5F13"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AF5F13">
        <w:t>is-sidien benefiċjarji ta’ suġġett tal-valutazzjoni jkunu bbażati fi Stat Membru ieħor jew pajjiż terz;</w:t>
      </w:r>
    </w:p>
    <w:p w14:paraId="01593314" w14:textId="77777777" w:rsidR="00905139" w:rsidRPr="00AF5F13"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AF5F13">
        <w:t>il-korp maniġerjali ta’ suġġett tal-valutazzjoni jkun magħmul minn individwi minn Stat Membru ieħor jew pajjiż terz; u</w:t>
      </w:r>
    </w:p>
    <w:p w14:paraId="5609474D" w14:textId="77777777" w:rsidR="00905139" w:rsidRPr="00AF5F13"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AF5F13">
        <w:t>suġġett tal-valutazzjoni jkollu kwalunkwe rabta rilevanti oħra ma’ Stat Membru ieħor jew pajjiż terz, li jfisser li jkun espost għar-riskju ta’ ML/TF assoċjat ma’ dak il-pajjiż.</w:t>
      </w:r>
    </w:p>
    <w:p w14:paraId="3D01484A" w14:textId="15DAEE82" w:rsidR="00905139" w:rsidRPr="00AF5F13" w:rsidRDefault="00905139" w:rsidP="00EC596C">
      <w:pPr>
        <w:pStyle w:val="body"/>
        <w:numPr>
          <w:ilvl w:val="0"/>
          <w:numId w:val="10"/>
        </w:numPr>
      </w:pPr>
      <w:r w:rsidRPr="00AF5F13">
        <w:t>L-awtoritajiet kompetenti għandhom jieħdu passi raġonevoli biex jiksbu u jżommu aġġornati għarfien, sensibilizzazzjoni u fehim adegwati tar-riskji ta’ ML/TF assoċjati ma’ dawn l-Istati Membri jew pajjiżi terzi li jistgħu jaffettwaw l-attivitajiet imwettqa mis-suġġetti tal-valutazzjoni. Għal dan il-għan, l-awtoritajiet kompetenti għandhom jidentifikaw fatturi ta’ riskju f’konformità mal-Linji Gwida tal-EBA dwar il-Fatturi ta’ Riskju tal-AML/CFT</w:t>
      </w:r>
      <w:r w:rsidR="007575AC" w:rsidRPr="00AF5F13">
        <w:rPr>
          <w:rStyle w:val="FootnoteReference"/>
          <w:lang w:val="en-GB"/>
        </w:rPr>
        <w:footnoteReference w:id="14"/>
      </w:r>
      <w:r w:rsidRPr="00AF5F13">
        <w:t xml:space="preserve"> u ma’ dawk deskritti fil-paragrafi 33 u 34 għal kull wieħed minn dawn l-Istati Membri jew pajjiżi terzi.</w:t>
      </w:r>
    </w:p>
    <w:p w14:paraId="753F12BA" w14:textId="77777777" w:rsidR="00905139" w:rsidRPr="00AF5F13" w:rsidRDefault="00905139" w:rsidP="00EC596C">
      <w:pPr>
        <w:pStyle w:val="body"/>
        <w:numPr>
          <w:ilvl w:val="0"/>
          <w:numId w:val="10"/>
        </w:numPr>
      </w:pPr>
      <w:r w:rsidRPr="00AF5F13">
        <w:t>Meta jiġu identifikati pajjiżi terzi li jkollhom nuqqasijiet strateġiċi fir-reġimi tal-AML/CFT nazzjonali tagħhom li joħolqu theddid sinifikanti għas-sistema finanzjarja tal-Unjoni Ewropea, l-awtoritajiet kompetenti għandhom iqisu l-atti delegati adottati mill-Kummissjoni Ewropea skont l-Artikolu 9(2) tad-Direttiva (UE) 2015/849, kif ukoll id-dikjarazzjonijiet pubbliċi maħruġa minn dawk li jistabbilixxu standards internazzjonali rilevanti, inkluż it-Task Force ta’ Azzjoni Finanzjarja (FATF), il-Kumitat ta’ Esperti dwar l-Evalwazzjoni ta’ Miżuri Kontra l-Ħasil tal-Flus u l-Finanzjament tat-Terroriżmu (MONEYVAL) tal-Kunsill Ewropew jew korpi reġjonali oħrajn ta’ stil FATF (FSRBs).</w:t>
      </w:r>
    </w:p>
    <w:p w14:paraId="0FBE4D3A" w14:textId="77777777" w:rsidR="00905139" w:rsidRPr="00AF5F13" w:rsidRDefault="00905139" w:rsidP="00BF2FD9">
      <w:pPr>
        <w:pStyle w:val="Numberedtitlelevel3"/>
      </w:pPr>
      <w:r w:rsidRPr="00AF5F13">
        <w:t>Fatturi ta’ riskju ta’ ML/TF mifruxa mas-settur kollu</w:t>
      </w:r>
    </w:p>
    <w:p w14:paraId="594F16E3" w14:textId="4A2DD76F" w:rsidR="00735BEE" w:rsidRDefault="00735BEE" w:rsidP="00735BEE">
      <w:pPr>
        <w:pStyle w:val="body"/>
      </w:pPr>
      <w:r w:rsidRPr="00136375">
        <w:rPr>
          <w:rFonts w:ascii="Wingdings" w:eastAsia="Wingdings" w:hAnsi="Wingdings" w:cs="Wingdings"/>
          <w:color w:val="E98E31" w:themeColor="background2"/>
          <w:spacing w:val="-1"/>
        </w:rPr>
        <w:t>Ú</w:t>
      </w:r>
      <w:r>
        <w:rPr>
          <w:color w:val="E98E31" w:themeColor="background2"/>
          <w:spacing w:val="-1"/>
        </w:rPr>
        <w:t>A1</w:t>
      </w:r>
    </w:p>
    <w:p w14:paraId="12A57407" w14:textId="5AD9318F" w:rsidR="00905139" w:rsidRPr="00AF5F13" w:rsidRDefault="006D0FC2" w:rsidP="00EC596C">
      <w:pPr>
        <w:pStyle w:val="body"/>
        <w:numPr>
          <w:ilvl w:val="0"/>
          <w:numId w:val="10"/>
        </w:numPr>
      </w:pPr>
      <w:r w:rsidRPr="00F57386">
        <w:t>L-awtoritajiet kompetenti għandu jkollhom fehim tajjeb tal-fatturi ta’ riskju li huma rilevanti għas-setturi kollha taħt is-superviżjoni tagħhom. Sabiex jiġu identifikati l-fatturi ta’ riskju rilevanti fis-setturi rilevanti, l-awtoritajiet kompetenti għandhom l-ewwel jiddefinixxu s-setturi taħt is-superviżjoni tagħhom. Biex jinfurmaw il-fehma tagħhom tas-setturi, l-awtoritajiet kompetenti għandhom jikkategorizzaw l-entitajiet obbligati f’konformità mal-lista ta’ istituzzjonijiet ipprovduta fid-definizzjoni ta’ istituzzjonijiet ta’ kreditu u finanzjarji skont l-Artikolu 3(1) u (2) tad-Direttiva (UE) 2015/849</w:t>
      </w:r>
      <w:r w:rsidR="00905139" w:rsidRPr="00AF5F13">
        <w:t>.</w:t>
      </w:r>
    </w:p>
    <w:p w14:paraId="7060EEBB" w14:textId="098E38D4" w:rsidR="00905139" w:rsidRDefault="00305315" w:rsidP="00EC596C">
      <w:pPr>
        <w:pStyle w:val="body"/>
        <w:numPr>
          <w:ilvl w:val="0"/>
          <w:numId w:val="10"/>
        </w:numPr>
      </w:pPr>
      <w:r w:rsidRPr="00F57386">
        <w:lastRenderedPageBreak/>
        <w:t>Skont id-daqs ta’ settur u n-natura tas-suġġetti tal-valutazzjoni fi ħdanu, l-awtoritajiet kompetenti għandhom jikkunsidraw li jaqsmu iżjed is-setturi f’subsetturi. Dan jista’ jkun meħtieġ meta settur ikun magħmul minn suġġetti tal-valutazzjoni li huma differenti ħafna minħabba li proporzjon sostanzjali ta’ suġġetti tal-valutazzjoni jkollhom karatteristiċi u mudelli ta’ negozju simili li jiddistingwuhom mill-bqija tas-settur. Karatteristiċi simili jinkludu, iżda mhumiex limitati għal, it-tip ta’ prodotti u servizzi offruti, il-kanali ta’ distribuzzjoni użati u t-tip ta’ klijenti li huma jaqdu. Eżempji ta’ subsetturi jinkludu dawk li jibagħtu l-flus, banek privati, ditti tas-senserija, u boroż tal-kriptoassi, li jirrappreżentaw subsetturi ta’ istituzzjonijiet ta’ pagament, istituzzjonijiet ta’ kreditu, ditti ta’ investiment, u fornituri ta’ servizzi tal-kriptoassi rispettivament. Sabiex jinfurmaw il-fehma tagħhom dwar is-setturi u s-subsetturi u l-karatteristiċi speċifiċi tagħhom, l-awtoritajiet kompetenti għandhom jirreferu għat-Titolu II tal-Linji Gwida tal-EBA dwar il-Fatturi tar-Riskju tal-AML/CFT</w:t>
      </w:r>
      <w:r w:rsidR="00905139" w:rsidRPr="00AF5F13">
        <w:t>.</w:t>
      </w:r>
    </w:p>
    <w:p w14:paraId="3026E21A" w14:textId="424CEB47" w:rsidR="00735BEE" w:rsidRPr="00AF5F13" w:rsidRDefault="00735BEE" w:rsidP="00735BEE">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1B372FE" w14:textId="202ACF90" w:rsidR="00EA4D30" w:rsidRPr="00AF5F13" w:rsidRDefault="00905139" w:rsidP="00EC596C">
      <w:pPr>
        <w:pStyle w:val="body"/>
        <w:numPr>
          <w:ilvl w:val="0"/>
          <w:numId w:val="10"/>
        </w:numPr>
      </w:pPr>
      <w:r w:rsidRPr="00AF5F13">
        <w:t>L-awtoritajiet kompetenti għandhom jifhmu kif ikun organizzat kull settur u subsettur, u r-riskji assoċjati ma’ karatteristiċi komuni bħat-tip ta’ prodotti u servizzi offruti, il-kanali tal-konsenja użati u t-tip tal-klijenti li huma jaqdu. L-awtoritajiet kompetenti għandhom jibbażaw il-fehim tagħhom fir-rigward tal-fatturi tar-riskju settorjali jew subsettorjali fuq:</w:t>
      </w:r>
    </w:p>
    <w:p w14:paraId="6C4F6C3D" w14:textId="5AC0A73E" w:rsidR="00EA4D30" w:rsidRPr="00AF5F13" w:rsidRDefault="00EA4D30" w:rsidP="00EC596C">
      <w:pPr>
        <w:pStyle w:val="ListParagraph"/>
        <w:widowControl w:val="0"/>
        <w:numPr>
          <w:ilvl w:val="1"/>
          <w:numId w:val="30"/>
        </w:numPr>
        <w:tabs>
          <w:tab w:val="left" w:pos="941"/>
          <w:tab w:val="left" w:pos="942"/>
        </w:tabs>
        <w:autoSpaceDE w:val="0"/>
        <w:autoSpaceDN w:val="0"/>
        <w:spacing w:before="160" w:line="273" w:lineRule="auto"/>
        <w:ind w:right="222"/>
        <w:jc w:val="both"/>
      </w:pPr>
      <w:r w:rsidRPr="00AF5F13">
        <w:t xml:space="preserve"> fehma ta’ livell għoli tal-informazzjoni rilevanti kollha relatata mas-suġġett tal-valutazzjoni f’settur jew subsettur partikolari kif stabbilit fil-paragrafi 44 u 45 f’dawn il-linji gwida sabiex jiġu identifikati fatturi komuni fi ħdan kull settur u subsettur kollu kemm hu; u</w:t>
      </w:r>
    </w:p>
    <w:p w14:paraId="3DF84491" w14:textId="2BDCE1F2" w:rsidR="00EA4D30" w:rsidRPr="00AF5F13" w:rsidRDefault="00EA4D30" w:rsidP="00EC596C">
      <w:pPr>
        <w:pStyle w:val="ListParagraph"/>
        <w:widowControl w:val="0"/>
        <w:numPr>
          <w:ilvl w:val="1"/>
          <w:numId w:val="30"/>
        </w:numPr>
        <w:tabs>
          <w:tab w:val="left" w:pos="941"/>
          <w:tab w:val="left" w:pos="942"/>
        </w:tabs>
        <w:autoSpaceDE w:val="0"/>
        <w:autoSpaceDN w:val="0"/>
        <w:spacing w:before="160" w:line="273" w:lineRule="auto"/>
        <w:ind w:right="222"/>
        <w:jc w:val="both"/>
      </w:pPr>
      <w:r w:rsidRPr="00AF5F13">
        <w:t xml:space="preserve">informazzjoni rilevanti relatata mas-setturi u s-subsetturi kif stabbilit fil-paragrafu 41 f’dawn il-linji gwida. </w:t>
      </w:r>
    </w:p>
    <w:p w14:paraId="786B316F" w14:textId="53D4D462" w:rsidR="00905139" w:rsidRPr="00AF5F13" w:rsidRDefault="00905139" w:rsidP="00BF2FD9">
      <w:pPr>
        <w:pStyle w:val="Numberedtitlelevel3"/>
      </w:pPr>
      <w:r w:rsidRPr="00AF5F13">
        <w:t>Tip ta’ informazzjoni meħtieġa biex jiġu identifikati l-fatturi ta’ riskju</w:t>
      </w:r>
    </w:p>
    <w:p w14:paraId="43546975" w14:textId="77777777" w:rsidR="00905139" w:rsidRPr="00AF5F13" w:rsidRDefault="00905139" w:rsidP="00CE14AE">
      <w:pPr>
        <w:pStyle w:val="Numberedtitlelevel4"/>
      </w:pPr>
      <w:r w:rsidRPr="00AF5F13">
        <w:t xml:space="preserve">Informazzjoni dwar is-setturi </w:t>
      </w:r>
    </w:p>
    <w:p w14:paraId="185E8A58" w14:textId="2064D23E" w:rsidR="00905139" w:rsidRDefault="00905139" w:rsidP="00EC596C">
      <w:pPr>
        <w:pStyle w:val="body"/>
        <w:numPr>
          <w:ilvl w:val="0"/>
          <w:numId w:val="10"/>
        </w:numPr>
      </w:pPr>
      <w:r w:rsidRPr="00AF5F13">
        <w:t>L-awtoritajiet kompetenti għandhom jiġbru informazzjoni suffiċjenti, rilevanti u affidabbli mis-sorsi deskritti fil-paragrafi 30 u 31 biex jiżviluppaw fehim ġenerali tal-fatturi ta’ riskju inerenti u l-fatturi li jnaqqsu dawn ir-riskji fis-settur u s-subsettur, fejn rilevanti.</w:t>
      </w:r>
    </w:p>
    <w:p w14:paraId="56E24F0B" w14:textId="42FF2D84" w:rsidR="00735BEE" w:rsidRPr="00AF5F13" w:rsidRDefault="00735BEE" w:rsidP="00735BEE">
      <w:pPr>
        <w:pStyle w:val="body"/>
      </w:pPr>
      <w:r w:rsidRPr="00136375">
        <w:rPr>
          <w:rFonts w:ascii="Wingdings" w:eastAsia="Wingdings" w:hAnsi="Wingdings" w:cs="Wingdings"/>
          <w:color w:val="E98E31" w:themeColor="background2"/>
          <w:spacing w:val="-1"/>
        </w:rPr>
        <w:t>Ú</w:t>
      </w:r>
      <w:r>
        <w:rPr>
          <w:color w:val="E98E31" w:themeColor="background2"/>
          <w:spacing w:val="-1"/>
        </w:rPr>
        <w:t>C1</w:t>
      </w:r>
    </w:p>
    <w:p w14:paraId="7DEE0777" w14:textId="52570AE6" w:rsidR="00905139" w:rsidRPr="00AF5F13" w:rsidRDefault="00905139" w:rsidP="00EC596C">
      <w:pPr>
        <w:pStyle w:val="body"/>
        <w:numPr>
          <w:ilvl w:val="0"/>
          <w:numId w:val="10"/>
        </w:numPr>
      </w:pPr>
      <w:r w:rsidRPr="00AF5F13">
        <w:t>Sabiex jiġi żviluppat fehim tajjeb tal-fatturi ta’ riskju inerenti fis-setturi u s-subsetturi, l-awtoritajiet kompetenti għandhom jiksbu informazzjoni li għandha tinkludi, iżda ma tkunx limitata għal:</w:t>
      </w:r>
    </w:p>
    <w:p w14:paraId="2FA15498" w14:textId="77777777" w:rsidR="00905139" w:rsidRPr="00AF5F13" w:rsidRDefault="00905139" w:rsidP="0018719D">
      <w:pPr>
        <w:pStyle w:val="ListParagraph"/>
        <w:widowControl w:val="0"/>
        <w:numPr>
          <w:ilvl w:val="1"/>
          <w:numId w:val="102"/>
        </w:numPr>
        <w:tabs>
          <w:tab w:val="left" w:pos="941"/>
          <w:tab w:val="left" w:pos="942"/>
        </w:tabs>
        <w:autoSpaceDE w:val="0"/>
        <w:autoSpaceDN w:val="0"/>
        <w:spacing w:before="160" w:line="273" w:lineRule="auto"/>
        <w:ind w:right="222"/>
        <w:jc w:val="both"/>
      </w:pPr>
      <w:r w:rsidRPr="00AF5F13">
        <w:t>informazzjoni dwar id-daqs, il-kamp ta’ applikazzjoni tal-attivitajiet, u l-kumplessità tas-settur f’format aggregat;</w:t>
      </w:r>
    </w:p>
    <w:p w14:paraId="5B372881" w14:textId="77777777" w:rsidR="006A7ABD" w:rsidRPr="00AF5F13" w:rsidRDefault="006A7ABD" w:rsidP="0018719D">
      <w:pPr>
        <w:pStyle w:val="ListParagraph"/>
        <w:widowControl w:val="0"/>
        <w:numPr>
          <w:ilvl w:val="1"/>
          <w:numId w:val="102"/>
        </w:numPr>
        <w:tabs>
          <w:tab w:val="left" w:pos="941"/>
          <w:tab w:val="left" w:pos="942"/>
        </w:tabs>
        <w:autoSpaceDE w:val="0"/>
        <w:autoSpaceDN w:val="0"/>
        <w:spacing w:before="160" w:line="273" w:lineRule="auto"/>
        <w:ind w:right="-8"/>
        <w:jc w:val="both"/>
      </w:pPr>
      <w:r w:rsidRPr="00AF5F13">
        <w:t>in-natura tal-mudelli ta’ negozju fi ħdan is-settur;</w:t>
      </w:r>
    </w:p>
    <w:p w14:paraId="6E19BC2B" w14:textId="7049FEA1" w:rsidR="00905139" w:rsidRPr="00AF5F13" w:rsidRDefault="00905139" w:rsidP="0018719D">
      <w:pPr>
        <w:pStyle w:val="ListParagraph"/>
        <w:widowControl w:val="0"/>
        <w:numPr>
          <w:ilvl w:val="1"/>
          <w:numId w:val="102"/>
        </w:numPr>
        <w:tabs>
          <w:tab w:val="left" w:pos="941"/>
          <w:tab w:val="left" w:pos="942"/>
        </w:tabs>
        <w:autoSpaceDE w:val="0"/>
        <w:autoSpaceDN w:val="0"/>
        <w:spacing w:before="160" w:line="273" w:lineRule="auto"/>
        <w:ind w:right="-8"/>
        <w:jc w:val="both"/>
      </w:pPr>
      <w:r w:rsidRPr="00AF5F13">
        <w:t xml:space="preserve">informazzjoni ġenerali dwar it-tip ta’ prodotti, servizzi, klijenti u kanali tal-konsenja użati </w:t>
      </w:r>
      <w:r w:rsidRPr="00AF5F13">
        <w:lastRenderedPageBreak/>
        <w:t>fis-settur jew subsettur u l-profili tar-riskju tagħhom, jekk magħrufa;</w:t>
      </w:r>
    </w:p>
    <w:p w14:paraId="6C54BF9F" w14:textId="14BBE2FE" w:rsidR="00905139" w:rsidRPr="00AF5F13" w:rsidRDefault="00905139" w:rsidP="0018719D">
      <w:pPr>
        <w:pStyle w:val="ListParagraph"/>
        <w:widowControl w:val="0"/>
        <w:numPr>
          <w:ilvl w:val="1"/>
          <w:numId w:val="102"/>
        </w:numPr>
        <w:tabs>
          <w:tab w:val="left" w:pos="941"/>
          <w:tab w:val="left" w:pos="942"/>
        </w:tabs>
        <w:autoSpaceDE w:val="0"/>
        <w:autoSpaceDN w:val="0"/>
        <w:spacing w:before="160" w:line="273" w:lineRule="auto"/>
        <w:jc w:val="both"/>
      </w:pPr>
      <w:r w:rsidRPr="00AF5F13">
        <w:t>informazzjoni dwar ir-riskji attwali u emerġenti assoċjati domestikament u internazzjonalment mas-settur jew subsettur, inkluża l-informazzjoni li tista’ tindika li s-settur jew is-subsettur jista’ jkun espost għal riskju ta’ ML/TF akbar bħala riżultat ta’ prattiki ta’ tneħħija tar-riskji applikati għal dawn is-setturi jew subsetturi minn setturi oħra;</w:t>
      </w:r>
    </w:p>
    <w:p w14:paraId="0A48164D" w14:textId="77777777" w:rsidR="00905139" w:rsidRPr="00AF5F13" w:rsidRDefault="00905139" w:rsidP="0018719D">
      <w:pPr>
        <w:pStyle w:val="ListParagraph"/>
        <w:widowControl w:val="0"/>
        <w:numPr>
          <w:ilvl w:val="1"/>
          <w:numId w:val="102"/>
        </w:numPr>
        <w:tabs>
          <w:tab w:val="left" w:pos="941"/>
          <w:tab w:val="left" w:pos="942"/>
        </w:tabs>
        <w:autoSpaceDE w:val="0"/>
        <w:autoSpaceDN w:val="0"/>
        <w:spacing w:before="160" w:line="273" w:lineRule="auto"/>
        <w:jc w:val="both"/>
      </w:pPr>
      <w:r w:rsidRPr="00AF5F13">
        <w:t>informazzjoni dwar ir-riskji ta’ ML/TF ewlenin li jaffettwaw is-suq intern;</w:t>
      </w:r>
    </w:p>
    <w:p w14:paraId="0A8C2BDE" w14:textId="06FFD882" w:rsidR="00905139" w:rsidRPr="00AF5F13" w:rsidRDefault="00905139" w:rsidP="0018719D">
      <w:pPr>
        <w:pStyle w:val="ListParagraph"/>
        <w:widowControl w:val="0"/>
        <w:numPr>
          <w:ilvl w:val="1"/>
          <w:numId w:val="102"/>
        </w:numPr>
        <w:tabs>
          <w:tab w:val="left" w:pos="941"/>
          <w:tab w:val="left" w:pos="942"/>
        </w:tabs>
        <w:autoSpaceDE w:val="0"/>
        <w:autoSpaceDN w:val="0"/>
        <w:spacing w:before="160" w:line="273" w:lineRule="auto"/>
        <w:jc w:val="both"/>
      </w:pPr>
      <w:r w:rsidRPr="00AF5F13">
        <w:t>l-impatt tal-attivitajiet transkonfinali fi ħdan is-settur jew is-subsettur;</w:t>
      </w:r>
    </w:p>
    <w:p w14:paraId="3E7B9759" w14:textId="2021A97A" w:rsidR="00905139" w:rsidRPr="00AF5F13" w:rsidRDefault="00905139" w:rsidP="0018719D">
      <w:pPr>
        <w:pStyle w:val="ListParagraph"/>
        <w:widowControl w:val="0"/>
        <w:numPr>
          <w:ilvl w:val="1"/>
          <w:numId w:val="102"/>
        </w:numPr>
        <w:tabs>
          <w:tab w:val="left" w:pos="941"/>
          <w:tab w:val="left" w:pos="942"/>
        </w:tabs>
        <w:autoSpaceDE w:val="0"/>
        <w:autoSpaceDN w:val="0"/>
        <w:spacing w:before="160" w:line="273" w:lineRule="auto"/>
        <w:jc w:val="both"/>
      </w:pPr>
      <w:r w:rsidRPr="00AF5F13">
        <w:t xml:space="preserve">l-iskopertura tas-settur jew tas-subsettur għal vulnerabbiltajiet li jirriżultaw f’kuntest globali; </w:t>
      </w:r>
    </w:p>
    <w:p w14:paraId="266A17E9" w14:textId="76EF6142" w:rsidR="006A7ABD" w:rsidRPr="00AF5F13" w:rsidRDefault="008D054C" w:rsidP="0018719D">
      <w:pPr>
        <w:pStyle w:val="ListParagraph"/>
        <w:widowControl w:val="0"/>
        <w:numPr>
          <w:ilvl w:val="1"/>
          <w:numId w:val="102"/>
        </w:numPr>
        <w:tabs>
          <w:tab w:val="left" w:pos="941"/>
          <w:tab w:val="left" w:pos="942"/>
        </w:tabs>
        <w:autoSpaceDE w:val="0"/>
        <w:autoSpaceDN w:val="0"/>
        <w:spacing w:before="160" w:line="273" w:lineRule="auto"/>
        <w:jc w:val="both"/>
      </w:pPr>
      <w:r w:rsidRPr="00AF5F13">
        <w:t>rapporti ta’ theddid, twissijiet u tipoloġiji mill-unità tal-intelligence finanzjarja u korpi statali rilevanti oħrajn, jekk applikabbli; u</w:t>
      </w:r>
    </w:p>
    <w:p w14:paraId="4F2412AC" w14:textId="3DFB0D8D" w:rsidR="002261E4" w:rsidRDefault="0083388B" w:rsidP="0018719D">
      <w:pPr>
        <w:pStyle w:val="ListParagraph"/>
        <w:widowControl w:val="0"/>
        <w:numPr>
          <w:ilvl w:val="1"/>
          <w:numId w:val="102"/>
        </w:numPr>
        <w:tabs>
          <w:tab w:val="left" w:pos="941"/>
          <w:tab w:val="left" w:pos="942"/>
        </w:tabs>
        <w:autoSpaceDE w:val="0"/>
        <w:autoSpaceDN w:val="0"/>
        <w:spacing w:before="160" w:line="273" w:lineRule="auto"/>
        <w:jc w:val="both"/>
      </w:pPr>
      <w:r w:rsidRPr="00AF5F13">
        <w:t>gwida ppubblikata minn awtoritajiet kompetenti oħra jew minn dawk li jistabbilixxu standards internazzjonali;</w:t>
      </w:r>
    </w:p>
    <w:p w14:paraId="6343BA47" w14:textId="384E30C0" w:rsidR="00735BEE" w:rsidRDefault="00735BEE" w:rsidP="00735BEE">
      <w:pPr>
        <w:widowControl w:val="0"/>
        <w:tabs>
          <w:tab w:val="left" w:pos="941"/>
          <w:tab w:val="left" w:pos="942"/>
        </w:tabs>
        <w:autoSpaceDE w:val="0"/>
        <w:autoSpaceDN w:val="0"/>
        <w:spacing w:before="160" w:line="273" w:lineRule="auto"/>
        <w:jc w:val="both"/>
      </w:pPr>
      <w:r w:rsidRPr="00735BEE">
        <w:rPr>
          <w:rFonts w:ascii="Wingdings" w:eastAsia="Wingdings" w:hAnsi="Wingdings" w:cs="Wingdings"/>
          <w:color w:val="E98E31" w:themeColor="background2"/>
          <w:spacing w:val="-1"/>
        </w:rPr>
        <w:t>Ú</w:t>
      </w:r>
      <w:r w:rsidRPr="00735BEE">
        <w:rPr>
          <w:color w:val="E98E31" w:themeColor="background2"/>
          <w:spacing w:val="-1"/>
        </w:rPr>
        <w:t>A1</w:t>
      </w:r>
    </w:p>
    <w:p w14:paraId="63FC2087" w14:textId="3C694BE3" w:rsidR="00660D38" w:rsidRDefault="00660D38" w:rsidP="0018719D">
      <w:pPr>
        <w:pStyle w:val="ListParagraph"/>
        <w:widowControl w:val="0"/>
        <w:numPr>
          <w:ilvl w:val="1"/>
          <w:numId w:val="102"/>
        </w:numPr>
        <w:tabs>
          <w:tab w:val="left" w:pos="941"/>
          <w:tab w:val="left" w:pos="942"/>
        </w:tabs>
        <w:autoSpaceDE w:val="0"/>
        <w:autoSpaceDN w:val="0"/>
        <w:spacing w:before="160" w:line="273" w:lineRule="auto"/>
        <w:jc w:val="both"/>
      </w:pPr>
      <w:r w:rsidRPr="00F57386">
        <w:t>meta l-użu tat-teknoloġija, bħat-teknoloġija ta’ reġistru distribwit (DLT) jew il-karatteristiċi li jtejbu l-anonimità, ikun essenzjali għall-mudell ta’ negozju u għall-operat tas-settur jew tas-subsettur, l-effett li din it-teknoloġija għandha fuq l-iskopertura għar-riskju ta’ ML/TF tas-settur jew tas-subsettur</w:t>
      </w:r>
      <w:r>
        <w:t>.</w:t>
      </w:r>
    </w:p>
    <w:p w14:paraId="2E912A1E" w14:textId="15C7797B" w:rsidR="00735BEE" w:rsidRPr="00AF5F13" w:rsidRDefault="00735BEE" w:rsidP="00735BEE">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5ED1FD6" w14:textId="666B4432" w:rsidR="00905139" w:rsidRPr="00AF5F13" w:rsidRDefault="00905139" w:rsidP="004D193D">
      <w:pPr>
        <w:pStyle w:val="body"/>
        <w:numPr>
          <w:ilvl w:val="0"/>
          <w:numId w:val="10"/>
        </w:numPr>
      </w:pPr>
      <w:r w:rsidRPr="00AF5F13">
        <w:t>L-informazzjoni deskritta hawn fuq tista’ tikkontribwixxi wkoll għall-perċezzjoni mill-awtoritajiet kompetenti tal-fatturi ta’ riskju fil-livell tas-suġġetti tal-valutazzjoni individwali u viċi versa.</w:t>
      </w:r>
    </w:p>
    <w:p w14:paraId="64EB15EE" w14:textId="77777777" w:rsidR="00905139" w:rsidRPr="00AF5F13" w:rsidRDefault="00905139" w:rsidP="00CE14AE">
      <w:pPr>
        <w:pStyle w:val="Numberedtitlelevel4"/>
      </w:pPr>
      <w:r w:rsidRPr="00AF5F13">
        <w:t>Informazzjoni dwar suġġetti tal-valutazzjoni</w:t>
      </w:r>
    </w:p>
    <w:p w14:paraId="29B5265A" w14:textId="505A381A" w:rsidR="00905139" w:rsidRPr="00AF5F13" w:rsidRDefault="00CF72E6" w:rsidP="00D173E4">
      <w:pPr>
        <w:pStyle w:val="body"/>
        <w:widowControl w:val="0"/>
        <w:numPr>
          <w:ilvl w:val="0"/>
          <w:numId w:val="10"/>
        </w:numPr>
        <w:tabs>
          <w:tab w:val="left" w:pos="941"/>
          <w:tab w:val="left" w:pos="942"/>
        </w:tabs>
        <w:autoSpaceDE w:val="0"/>
        <w:autoSpaceDN w:val="0"/>
        <w:spacing w:before="160" w:line="273" w:lineRule="auto"/>
        <w:ind w:right="-8"/>
      </w:pPr>
      <w:r w:rsidRPr="00AF5F13">
        <w:t>Abbażi tal-valutazzjoni tar-riskju settorjali, l-awtoritajiet kompetenti għandhom jiġbru informazzjoni suffiċjenti, rilevanti u affidabbli mis-sorsi deskritti fil-paragrafi 30 u 31 biex jiżviluppaw fehim ġenerali dwar il-fatturi ta’ riskju inerenti tas-suġġetti tal-valutazzjoni, u, sa fejn ikun possibbli, tal-fatturi ta’ riskju residwi.</w:t>
      </w:r>
    </w:p>
    <w:p w14:paraId="258D0AD6" w14:textId="30270F0B" w:rsidR="00905139" w:rsidRPr="00AF5F13" w:rsidRDefault="00905139" w:rsidP="00D173E4">
      <w:pPr>
        <w:pStyle w:val="body"/>
        <w:numPr>
          <w:ilvl w:val="0"/>
          <w:numId w:val="10"/>
        </w:numPr>
        <w:ind w:right="-8"/>
      </w:pPr>
      <w:r w:rsidRPr="00AF5F13">
        <w:t>Sabiex jiġi żviluppat fehim tajjeb tal-fatturi ta’ riskju inerenti applikabbli għas-suġġetti tal-valutazzjoni, l-awtoritajiet kompetenti għandhom jiġbru informazzjoni minn diversi sorsi li tinkludi, iżda ma tkunx limitata għall-informazzjoni relatata ma’:</w:t>
      </w:r>
    </w:p>
    <w:p w14:paraId="2EE579CD" w14:textId="2E93CBCC" w:rsidR="00905139" w:rsidRPr="00AF5F13"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AF5F13">
        <w:t>is-sjieda u l-istruttura korporattiva tas-suġġetti tal-valutazzjoni, filwaqt li jitqies jekk is-suġġett tal-valutazzjoni huwiex istituzzjoni ta’ kreditu jew istituzzjoni finanzjarja barranija jew domestika, kumpanija omm, sussidjarja, fergħa jew tip ieħor ta’ stabbiliment, u l-livell tal-kumplessità u t-trasparenza tal-organizzazzjoni u l-istruttura tagħha;</w:t>
      </w:r>
    </w:p>
    <w:p w14:paraId="347E80F2" w14:textId="0C95CDE2" w:rsidR="00905139"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AF5F13">
        <w:t xml:space="preserve">ir-reputazzjoni u l-integrità tal-maniġers superjuri, il-membri tal-korp maniġerjali u </w:t>
      </w:r>
      <w:r w:rsidRPr="00AF5F13">
        <w:lastRenderedPageBreak/>
        <w:t>azzjonisti kwalifikanti;</w:t>
      </w:r>
    </w:p>
    <w:p w14:paraId="6A080AE0" w14:textId="519620EB" w:rsidR="00735BEE" w:rsidRPr="00AF5F13" w:rsidRDefault="00735BEE" w:rsidP="00735BEE">
      <w:pPr>
        <w:widowControl w:val="0"/>
        <w:tabs>
          <w:tab w:val="left" w:pos="941"/>
          <w:tab w:val="left" w:pos="942"/>
        </w:tabs>
        <w:autoSpaceDE w:val="0"/>
        <w:autoSpaceDN w:val="0"/>
        <w:spacing w:before="160" w:line="273" w:lineRule="auto"/>
        <w:jc w:val="both"/>
      </w:pPr>
      <w:r w:rsidRPr="00735BEE">
        <w:rPr>
          <w:rFonts w:ascii="Wingdings" w:eastAsia="Wingdings" w:hAnsi="Wingdings" w:cs="Wingdings"/>
          <w:color w:val="E98E31" w:themeColor="background2"/>
          <w:spacing w:val="-1"/>
        </w:rPr>
        <w:t>Ú</w:t>
      </w:r>
      <w:r w:rsidRPr="00735BEE">
        <w:rPr>
          <w:color w:val="E98E31" w:themeColor="background2"/>
          <w:spacing w:val="-1"/>
        </w:rPr>
        <w:t>A1</w:t>
      </w:r>
    </w:p>
    <w:p w14:paraId="742584B9" w14:textId="0E30ABBF" w:rsidR="00905139" w:rsidRDefault="000B3400" w:rsidP="004D193D">
      <w:pPr>
        <w:pStyle w:val="ListParagraph"/>
        <w:widowControl w:val="0"/>
        <w:numPr>
          <w:ilvl w:val="1"/>
          <w:numId w:val="31"/>
        </w:numPr>
        <w:tabs>
          <w:tab w:val="left" w:pos="941"/>
          <w:tab w:val="left" w:pos="942"/>
        </w:tabs>
        <w:autoSpaceDE w:val="0"/>
        <w:autoSpaceDN w:val="0"/>
        <w:spacing w:before="160" w:line="273" w:lineRule="auto"/>
        <w:jc w:val="both"/>
      </w:pPr>
      <w:r w:rsidRPr="00F57386">
        <w:t>in-natura u l-kumplessità tal-prodotti u tas-servizzi pprovduti u t-tip ta’ tranżazzjonijiet imwettqa</w:t>
      </w:r>
      <w:r w:rsidR="00905139" w:rsidRPr="00AF5F13">
        <w:t>;</w:t>
      </w:r>
    </w:p>
    <w:p w14:paraId="7C396AE4" w14:textId="1BFE2898" w:rsidR="00735BEE" w:rsidRPr="00AF5F13" w:rsidRDefault="00735BEE" w:rsidP="00735BEE">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E61B1FA" w14:textId="77777777" w:rsidR="00905139" w:rsidRPr="00AF5F13"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AF5F13">
        <w:t>il-kanali tal-konsenja użati, inkluż il-forniment tas-servizzi permezz ta’ kanali mhux wiċċ imb wiċċ u l-użu ta’ aġenti jew intermedjarji;</w:t>
      </w:r>
    </w:p>
    <w:p w14:paraId="64F5BEED" w14:textId="00681D60" w:rsidR="00905139"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AF5F13">
        <w:t>it-tipi ta’ klijenti moqdija mis-suġġett tal-valutazzjoni u l-livell ta’ riskju assoċjat ma’ dawk il-klijenti, inklużi klijenti li huma persuni esposti politikament (PEPs) u dawk ivvalutati bħala li jippreżentaw riskju ta’ ML/TF ogħla skont il-metodoloġija ta’ valutazzjoni tar-riskju tas-suġġett tal-valutazzjoni;</w:t>
      </w:r>
    </w:p>
    <w:p w14:paraId="353B8A4C" w14:textId="483555B6" w:rsidR="00735BEE" w:rsidRPr="00AF5F13" w:rsidRDefault="00735BEE" w:rsidP="00735BEE">
      <w:pPr>
        <w:widowControl w:val="0"/>
        <w:tabs>
          <w:tab w:val="left" w:pos="941"/>
          <w:tab w:val="left" w:pos="942"/>
        </w:tabs>
        <w:autoSpaceDE w:val="0"/>
        <w:autoSpaceDN w:val="0"/>
        <w:spacing w:before="160" w:line="273" w:lineRule="auto"/>
        <w:jc w:val="both"/>
      </w:pPr>
      <w:r w:rsidRPr="00735BEE">
        <w:rPr>
          <w:rFonts w:ascii="Wingdings" w:eastAsia="Wingdings" w:hAnsi="Wingdings" w:cs="Wingdings"/>
          <w:color w:val="E98E31" w:themeColor="background2"/>
          <w:spacing w:val="-1"/>
        </w:rPr>
        <w:t>Ú</w:t>
      </w:r>
      <w:r w:rsidRPr="00735BEE">
        <w:rPr>
          <w:color w:val="E98E31" w:themeColor="background2"/>
          <w:spacing w:val="-1"/>
        </w:rPr>
        <w:t>A1</w:t>
      </w:r>
    </w:p>
    <w:p w14:paraId="42AA74A5" w14:textId="7D44EDFA" w:rsidR="00F51C4E" w:rsidRDefault="009873C9" w:rsidP="004D193D">
      <w:pPr>
        <w:pStyle w:val="ListParagraph"/>
        <w:keepLines/>
        <w:widowControl w:val="0"/>
        <w:numPr>
          <w:ilvl w:val="1"/>
          <w:numId w:val="31"/>
        </w:numPr>
        <w:tabs>
          <w:tab w:val="left" w:pos="941"/>
          <w:tab w:val="left" w:pos="942"/>
        </w:tabs>
        <w:autoSpaceDE w:val="0"/>
        <w:autoSpaceDN w:val="0"/>
        <w:spacing w:before="160" w:line="274" w:lineRule="auto"/>
        <w:ind w:left="714" w:hanging="357"/>
        <w:jc w:val="both"/>
      </w:pPr>
      <w:r w:rsidRPr="00F57386">
        <w:t>iż-żona ġeografika tal-attivitajiet kummerċjali, b’mod partikolari fejn dawn jinvolvu pajjiżi terzi b’riskju għoli</w:t>
      </w:r>
      <w:r w:rsidRPr="00F57386">
        <w:rPr>
          <w:rStyle w:val="FootnoteReference"/>
        </w:rPr>
        <w:footnoteReference w:id="15"/>
      </w:r>
      <w:r w:rsidRPr="00F57386">
        <w:t>, inklużi, jekk ikun applikabbli, il-pajjiżi ta’ oriġini jew ta’ stabbiliment ta’ parti sinifikanti tal-klijenti tas-suġġett tal-valutazzjoni u r-rabtiet ġeografiċi tal-azzjonisti jew tas-sidien benefiċjarji kwalifikanti tiegħu</w:t>
      </w:r>
      <w:r w:rsidR="0092700D" w:rsidRPr="00AF5F13">
        <w:t>;</w:t>
      </w:r>
    </w:p>
    <w:p w14:paraId="586A9558" w14:textId="11728740" w:rsidR="00735BEE" w:rsidRPr="00AF5F13" w:rsidRDefault="00735BEE" w:rsidP="00735BEE">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2049C306" w14:textId="3ABC3604" w:rsidR="00905139" w:rsidRPr="00AF5F13" w:rsidRDefault="00F51C4E" w:rsidP="004D193D">
      <w:pPr>
        <w:pStyle w:val="ListParagraph"/>
        <w:widowControl w:val="0"/>
        <w:numPr>
          <w:ilvl w:val="1"/>
          <w:numId w:val="31"/>
        </w:numPr>
        <w:tabs>
          <w:tab w:val="left" w:pos="941"/>
          <w:tab w:val="left" w:pos="942"/>
        </w:tabs>
        <w:autoSpaceDE w:val="0"/>
        <w:autoSpaceDN w:val="0"/>
        <w:spacing w:before="160" w:line="273" w:lineRule="auto"/>
        <w:jc w:val="both"/>
      </w:pPr>
      <w:r w:rsidRPr="00AF5F13">
        <w:t>l-awtorizzazzjonijiet, il-liċenzjar jew il-passaportar mis-suġġett tal-valutazzjoni.</w:t>
      </w:r>
    </w:p>
    <w:p w14:paraId="48CB71EE" w14:textId="5F4A58CA" w:rsidR="00905139" w:rsidRPr="00AF5F13" w:rsidRDefault="00905139" w:rsidP="004D193D">
      <w:pPr>
        <w:pStyle w:val="body"/>
        <w:numPr>
          <w:ilvl w:val="0"/>
          <w:numId w:val="10"/>
        </w:numPr>
      </w:pPr>
      <w:r w:rsidRPr="00AF5F13">
        <w:t>Sabiex jiġi żviluppat fehim tajjeb tal-fatturi ta’ riskju residwu li għalihom huma esposti s-suġġetti tal-valutazzjoni, l-awtoritajiet kompetenti għandhom jiġbru informazzjoni minn sorsi differenti li tinkludi, iżda ma tkunx limitata għall-informazzjoni fir-rigward ta’:</w:t>
      </w:r>
    </w:p>
    <w:p w14:paraId="3FDE8C81" w14:textId="6578EB6A" w:rsidR="00905139" w:rsidRPr="00AF5F13" w:rsidRDefault="00905139" w:rsidP="004D193D">
      <w:pPr>
        <w:pStyle w:val="ListParagraph"/>
        <w:widowControl w:val="0"/>
        <w:numPr>
          <w:ilvl w:val="1"/>
          <w:numId w:val="17"/>
        </w:numPr>
        <w:tabs>
          <w:tab w:val="left" w:pos="941"/>
          <w:tab w:val="left" w:pos="942"/>
        </w:tabs>
        <w:autoSpaceDE w:val="0"/>
        <w:autoSpaceDN w:val="0"/>
        <w:spacing w:before="160" w:line="273" w:lineRule="auto"/>
        <w:jc w:val="both"/>
      </w:pPr>
      <w:r w:rsidRPr="00AF5F13">
        <w:t>l-adegwatezza tal-miżuri ta’ mitigazzjoni stabbiliti minn suġġett tal-valutazzjoni u b’mod partikolari l-informazzjoni</w:t>
      </w:r>
    </w:p>
    <w:p w14:paraId="57C110EC" w14:textId="6AEC3A37" w:rsidR="00905139" w:rsidRPr="00AF5F13"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AF5F13">
        <w:t>relatata mal-adegwatezza tal-qafas tal-ġestjoni tar-riskju, inkluża l-ġestjoni tar-riskju ta’ ML/TF;</w:t>
      </w:r>
    </w:p>
    <w:p w14:paraId="24B30255" w14:textId="411A648E" w:rsidR="00905139" w:rsidRPr="00AF5F13"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AF5F13">
        <w:t>mir-rapporti tal-funzjoni tal-kontrolli interni, inkluż l-awditjar intern, fejn rilevanti;</w:t>
      </w:r>
    </w:p>
    <w:p w14:paraId="026D2D22" w14:textId="17B505DA" w:rsidR="00905139" w:rsidRPr="00AF5F13" w:rsidRDefault="0092700D" w:rsidP="004D193D">
      <w:pPr>
        <w:pStyle w:val="ListParagraph"/>
        <w:widowControl w:val="0"/>
        <w:numPr>
          <w:ilvl w:val="2"/>
          <w:numId w:val="17"/>
        </w:numPr>
        <w:tabs>
          <w:tab w:val="left" w:pos="941"/>
          <w:tab w:val="left" w:pos="942"/>
        </w:tabs>
        <w:autoSpaceDE w:val="0"/>
        <w:autoSpaceDN w:val="0"/>
        <w:spacing w:before="160" w:line="273" w:lineRule="auto"/>
        <w:jc w:val="both"/>
      </w:pPr>
      <w:r w:rsidRPr="00AF5F13">
        <w:t xml:space="preserve"> relatata mal-aspetti prudenzjali u ġenerali tan-negozju tas-suġġett tal-valutazzjoni, bħas-snin fl-operazzjoni, il-likwidità jew l-adegwatezza tal-kapital;</w:t>
      </w:r>
    </w:p>
    <w:p w14:paraId="316911F2" w14:textId="4F4A3029" w:rsidR="00F51C4E" w:rsidRDefault="0092700D" w:rsidP="004D193D">
      <w:pPr>
        <w:pStyle w:val="ListParagraph"/>
        <w:widowControl w:val="0"/>
        <w:numPr>
          <w:ilvl w:val="2"/>
          <w:numId w:val="17"/>
        </w:numPr>
        <w:tabs>
          <w:tab w:val="left" w:pos="941"/>
          <w:tab w:val="left" w:pos="942"/>
        </w:tabs>
        <w:autoSpaceDE w:val="0"/>
        <w:autoSpaceDN w:val="0"/>
        <w:spacing w:before="160" w:line="273" w:lineRule="auto"/>
        <w:jc w:val="both"/>
      </w:pPr>
      <w:r w:rsidRPr="00AF5F13">
        <w:t xml:space="preserve"> sejbiet minn rieżamijiet mhux fuq il-post imwettqa mill-awtorità kompetenti, awtorità kompetenti rilevanti oħra, superviżuri prudenzjali jew awtorità superviżorja rilevanti oħra, inklużi awtoritajiet tal-AML/CFT f’pajjiżi terzi.</w:t>
      </w:r>
    </w:p>
    <w:p w14:paraId="6C266717" w14:textId="4F20713D" w:rsidR="00735BEE" w:rsidRDefault="00735BEE" w:rsidP="00735BEE">
      <w:pPr>
        <w:widowControl w:val="0"/>
        <w:tabs>
          <w:tab w:val="left" w:pos="941"/>
          <w:tab w:val="left" w:pos="942"/>
        </w:tabs>
        <w:autoSpaceDE w:val="0"/>
        <w:autoSpaceDN w:val="0"/>
        <w:spacing w:before="160" w:line="273" w:lineRule="auto"/>
        <w:jc w:val="both"/>
        <w:rPr>
          <w:color w:val="E98E31" w:themeColor="background2"/>
          <w:spacing w:val="-1"/>
        </w:rPr>
      </w:pPr>
      <w:r w:rsidRPr="00735BEE">
        <w:rPr>
          <w:rFonts w:ascii="Wingdings" w:eastAsia="Wingdings" w:hAnsi="Wingdings" w:cs="Wingdings"/>
          <w:color w:val="E98E31" w:themeColor="background2"/>
          <w:spacing w:val="-1"/>
        </w:rPr>
        <w:t>Ú</w:t>
      </w:r>
      <w:r w:rsidRPr="00735BEE">
        <w:rPr>
          <w:color w:val="E98E31" w:themeColor="background2"/>
          <w:spacing w:val="-1"/>
        </w:rPr>
        <w:t>A1</w:t>
      </w:r>
    </w:p>
    <w:p w14:paraId="1B4480CC" w14:textId="57F71056" w:rsidR="00735BEE" w:rsidRPr="00F57386" w:rsidRDefault="00735BEE" w:rsidP="00735BEE">
      <w:pPr>
        <w:pStyle w:val="ListParagraph"/>
        <w:widowControl w:val="0"/>
        <w:numPr>
          <w:ilvl w:val="2"/>
          <w:numId w:val="17"/>
        </w:numPr>
        <w:tabs>
          <w:tab w:val="left" w:pos="941"/>
          <w:tab w:val="left" w:pos="942"/>
        </w:tabs>
        <w:autoSpaceDE w:val="0"/>
        <w:autoSpaceDN w:val="0"/>
        <w:spacing w:before="160" w:line="273" w:lineRule="auto"/>
        <w:jc w:val="both"/>
      </w:pPr>
      <w:r w:rsidRPr="00F57386">
        <w:lastRenderedPageBreak/>
        <w:t>minn għodod u pjattaformi analitiċi avvanzati fejn is-servizzi tas-suġġett tal-valutazzjoni jiġu pprovduti bl-użu tat-teknoloġija tad-DLT jew tal-blockchain.</w:t>
      </w:r>
    </w:p>
    <w:p w14:paraId="5B00D295" w14:textId="77777777" w:rsidR="00735BEE" w:rsidRPr="00FF4FCB" w:rsidRDefault="00735BEE" w:rsidP="00735BEE">
      <w:pPr>
        <w:pStyle w:val="BodyText"/>
        <w:numPr>
          <w:ilvl w:val="0"/>
          <w:numId w:val="0"/>
        </w:numPr>
        <w:tabs>
          <w:tab w:val="left" w:pos="1802"/>
        </w:tabs>
        <w:spacing w:before="100" w:after="60" w:line="276" w:lineRule="auto"/>
        <w:ind w:right="232"/>
        <w:jc w:val="both"/>
        <w:rPr>
          <w:color w:val="E98E31" w:themeColor="background2"/>
          <w:spacing w:val="-1"/>
        </w:rPr>
      </w:pPr>
      <w:r w:rsidRPr="00136375">
        <w:rPr>
          <w:rFonts w:ascii="Wingdings" w:eastAsia="Wingdings" w:hAnsi="Wingdings" w:cs="Wingdings"/>
          <w:color w:val="E98E31" w:themeColor="background2"/>
          <w:spacing w:val="-1"/>
        </w:rPr>
        <w:t>Ú</w:t>
      </w:r>
      <w:r>
        <w:rPr>
          <w:color w:val="E98E31" w:themeColor="background2"/>
          <w:spacing w:val="-1"/>
        </w:rPr>
        <w:t>O</w:t>
      </w:r>
    </w:p>
    <w:p w14:paraId="26E24B48" w14:textId="77777777" w:rsidR="00905139" w:rsidRPr="00AF5F13" w:rsidRDefault="00905139" w:rsidP="004D193D">
      <w:pPr>
        <w:pStyle w:val="ListParagraph"/>
        <w:widowControl w:val="0"/>
        <w:numPr>
          <w:ilvl w:val="1"/>
          <w:numId w:val="17"/>
        </w:numPr>
        <w:tabs>
          <w:tab w:val="left" w:pos="941"/>
          <w:tab w:val="left" w:pos="942"/>
        </w:tabs>
        <w:autoSpaceDE w:val="0"/>
        <w:autoSpaceDN w:val="0"/>
        <w:spacing w:before="160" w:line="273" w:lineRule="auto"/>
        <w:jc w:val="both"/>
      </w:pPr>
      <w:r w:rsidRPr="00AF5F13">
        <w:t>l-effettività tal-miżuri ta’ mitigazzjoni stabbiliti minn suġġett tal-valutazzjoni, b’mod partikolari informazzjoni fir-rigward ta’:</w:t>
      </w:r>
    </w:p>
    <w:p w14:paraId="526ED5E2" w14:textId="77777777" w:rsidR="00905139" w:rsidRPr="00AF5F13"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AF5F13">
        <w:t>il-kwalità tal-arranġamenti u l-istrutturi tal-governanza interna, inkluż l-adegwatezza u l-effettività tal-awditjar intern u l-funzjonijiet ta’ konformità, il-linji ta’ rapportar, il-livell ta’ konformità ma’ rekwiżiti legali u regolatorji tal-AML/CFT u l-effettività tal-politiki u l-proċeduri tal-AML/CFT sal-punt li dawn ikunu diġà magħrufa;</w:t>
      </w:r>
    </w:p>
    <w:p w14:paraId="011018F2" w14:textId="372025DB" w:rsidR="00905139" w:rsidRPr="00AF5F13"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AF5F13">
        <w:t>il-“kultura korporattiva” prevalenti, b’mod partikolari l-“kultura ta’ konformità” u l-kultura ta’ trasparenza u l-fiduċja fir-relazzjonijiet mal-awtoritajiet kompetenti;</w:t>
      </w:r>
    </w:p>
    <w:p w14:paraId="6199A739" w14:textId="77777777" w:rsidR="00905139" w:rsidRPr="00AF5F13"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AF5F13">
        <w:t xml:space="preserve"> sejbiet minn spezzjonijiet superviżorji preċedenti mwettqa mill-awtorità kompetenti, minn awtorità kompetenti rilevanti oħra, superviżuri prudenzjali jew awtorità superviżorja rilevanti oħra, inklużi awtoritajiet tal-AML/CFT f’pajjiżi terzi li jinvolvu ċerti elementi u ttestjar fuq il-post;</w:t>
      </w:r>
    </w:p>
    <w:p w14:paraId="5EB10F19" w14:textId="253C08AA" w:rsidR="00905139" w:rsidRPr="00AF5F13" w:rsidRDefault="007E6839" w:rsidP="004D193D">
      <w:pPr>
        <w:pStyle w:val="ListParagraph"/>
        <w:widowControl w:val="0"/>
        <w:numPr>
          <w:ilvl w:val="2"/>
          <w:numId w:val="17"/>
        </w:numPr>
        <w:tabs>
          <w:tab w:val="left" w:pos="941"/>
          <w:tab w:val="left" w:pos="942"/>
        </w:tabs>
        <w:autoSpaceDE w:val="0"/>
        <w:autoSpaceDN w:val="0"/>
        <w:spacing w:before="160" w:line="273" w:lineRule="auto"/>
        <w:jc w:val="both"/>
      </w:pPr>
      <w:r w:rsidRPr="00AF5F13">
        <w:t xml:space="preserve"> miżuri u sanzjonijiet superviżorji pendenti jew imposti relatati mas-suġġett tal-valutazzjoni meħuda mill-awtorità kompetenti, is-superviżuri prudenzjali jew awtorità superviżorja rilevanti oħra, inkluż f’pajjiżi terzi;</w:t>
      </w:r>
    </w:p>
    <w:p w14:paraId="499D0BC5" w14:textId="5FD35C03" w:rsidR="00905139" w:rsidRPr="00AF5F13" w:rsidRDefault="00963F12" w:rsidP="004D193D">
      <w:pPr>
        <w:pStyle w:val="ListParagraph"/>
        <w:keepLines/>
        <w:widowControl w:val="0"/>
        <w:numPr>
          <w:ilvl w:val="2"/>
          <w:numId w:val="17"/>
        </w:numPr>
        <w:tabs>
          <w:tab w:val="left" w:pos="941"/>
          <w:tab w:val="left" w:pos="942"/>
        </w:tabs>
        <w:autoSpaceDE w:val="0"/>
        <w:autoSpaceDN w:val="0"/>
        <w:spacing w:before="160" w:line="274" w:lineRule="auto"/>
        <w:ind w:left="1077" w:right="-57" w:hanging="357"/>
        <w:jc w:val="both"/>
      </w:pPr>
      <w:r w:rsidRPr="00F57386">
        <w:t>minn għodod u pjattaformi analitiċi avvanzati fejn is-servizzi tas-suġġett tal-valutazzjoni jiġu pprovduti bl-użu tat-teknoloġija tad-DLT jew tal-blockchain</w:t>
      </w:r>
      <w:r w:rsidR="00B278C2" w:rsidRPr="00AF5F13">
        <w:t>.</w:t>
      </w:r>
    </w:p>
    <w:p w14:paraId="28D96EAB" w14:textId="36FDF250" w:rsidR="00905139" w:rsidRPr="00AF5F13" w:rsidRDefault="00905139" w:rsidP="004D193D">
      <w:pPr>
        <w:pStyle w:val="body"/>
        <w:numPr>
          <w:ilvl w:val="0"/>
          <w:numId w:val="10"/>
        </w:numPr>
      </w:pPr>
      <w:r w:rsidRPr="00AF5F13">
        <w:t>Meta l-awtoritajiet kompetenti jqisu li l-informazzjoni miġbura permezz tas-sorsi deskritti fil-paragrafi 30 u 31 ma tkunx disponibbli jew ma tkunx biżżejjed biex jiġi żviluppat fehim tajjeb tar-riskji assoċjati mas-suġġett tal-valutazzjoni, l-awtoritajiet kompetenti għandhom jikkunsidraw il-ġbir ta’ tali informazzjoni direttament mis-suġġetti tal-valutazzjoni.</w:t>
      </w:r>
    </w:p>
    <w:p w14:paraId="38775164" w14:textId="77777777" w:rsidR="00905139" w:rsidRPr="00AF5F13" w:rsidRDefault="00905139" w:rsidP="004D193D">
      <w:pPr>
        <w:pStyle w:val="body"/>
        <w:numPr>
          <w:ilvl w:val="0"/>
          <w:numId w:val="10"/>
        </w:numPr>
      </w:pPr>
      <w:r w:rsidRPr="00AF5F13">
        <w:t>Meta l-informazzjoni għall-valutazzjoni tar-riskju individwali tinġabar direttament mis-suġġetti tal-valutazzjoni, l-awtoritajiet kompetenti jenħtieġ li jiżguraw li t-tip ta’ informazzjoni mitluba tiġi ddeterminata mill-fatturi ta’ riskju domestiċi, barranin u mifruxa mas-settur kollu rilevanti kif stabbilit f’dawn il-linji gwida, inklużi r-riskji emerġenti.</w:t>
      </w:r>
    </w:p>
    <w:p w14:paraId="547A36CE" w14:textId="16B15DE8" w:rsidR="00905139" w:rsidRPr="00AF5F13" w:rsidRDefault="00905139" w:rsidP="004D193D">
      <w:pPr>
        <w:pStyle w:val="body"/>
        <w:numPr>
          <w:ilvl w:val="0"/>
          <w:numId w:val="10"/>
        </w:numPr>
      </w:pPr>
      <w:r w:rsidRPr="00AF5F13">
        <w:t>L-awtoritajiet kompetenti għandhom jikkunsidraw li jaġġustaw il-livell u l-frekwenza tal-informazzjoni mitluba mis-suġġetti tal-valutazzjoni abbażi tal-livell tar-riskju assoċjat mas-settur jew is-subsettur li għalih jappartjeni s-suġġett tal-valutazzjoni. Dan ifisser li l-informazzjoni relatata mas-setturi li huma esposti għal livelli aktar sinifikanti ta’ riskji ta’ ML/TF tista’ tinġabar b’mod aktar frekwenti minn setturi b’livelli inqas sinifikanti ta’ riskju. Meta jiġu ddeterminati l-livell u l-frekwenza tat-talbiet għall-informazzjoni, l-awtoritajiet kompetenti għandhom jikkunsidraw:</w:t>
      </w:r>
    </w:p>
    <w:p w14:paraId="6F954FA1" w14:textId="2D6C560A" w:rsidR="00905139" w:rsidRPr="00AF5F13" w:rsidRDefault="00905139" w:rsidP="004D193D">
      <w:pPr>
        <w:pStyle w:val="ListParagraph"/>
        <w:widowControl w:val="0"/>
        <w:numPr>
          <w:ilvl w:val="1"/>
          <w:numId w:val="18"/>
        </w:numPr>
        <w:tabs>
          <w:tab w:val="left" w:pos="941"/>
          <w:tab w:val="left" w:pos="942"/>
        </w:tabs>
        <w:autoSpaceDE w:val="0"/>
        <w:autoSpaceDN w:val="0"/>
        <w:spacing w:before="160" w:line="273" w:lineRule="auto"/>
        <w:jc w:val="both"/>
      </w:pPr>
      <w:r w:rsidRPr="00AF5F13">
        <w:t xml:space="preserve"> jekk parti mill-informazzjoni mitluba hijiex disponibbli għall-awtorità kompetenti minn sorsi oħra, inklużi superviżuri prudenzjali, biex titnaqqas id-duplikazzjoni tat-talbiet għall-informazzjoni;</w:t>
      </w:r>
    </w:p>
    <w:p w14:paraId="4E1CC8AD" w14:textId="77777777" w:rsidR="00905139" w:rsidRPr="00AF5F13" w:rsidRDefault="00905139" w:rsidP="004D193D">
      <w:pPr>
        <w:pStyle w:val="ListParagraph"/>
        <w:widowControl w:val="0"/>
        <w:numPr>
          <w:ilvl w:val="1"/>
          <w:numId w:val="18"/>
        </w:numPr>
        <w:tabs>
          <w:tab w:val="left" w:pos="941"/>
          <w:tab w:val="left" w:pos="942"/>
        </w:tabs>
        <w:autoSpaceDE w:val="0"/>
        <w:autoSpaceDN w:val="0"/>
        <w:spacing w:before="160" w:line="273" w:lineRule="auto"/>
        <w:jc w:val="both"/>
      </w:pPr>
      <w:r w:rsidRPr="00AF5F13">
        <w:lastRenderedPageBreak/>
        <w:t>l-iskop li għalih se tintuża l-informazzjoni. Jekk l-informazzjoni tintalab biex tinforma l-valutazzjoni tar-riskji tal-awtorità kompetenti assoċjati ma’ suġġett tal-valutazzjoni jew mas-settur, l-awtorità kompetenti għandha tikkunsidra tallinja l-frekwenza tat-talbiet għall-informazzjoni mal-frekwenza tal-aġġornamenti għall-valutazzjoni tar-riskju;</w:t>
      </w:r>
    </w:p>
    <w:p w14:paraId="414B71FC" w14:textId="77777777" w:rsidR="00905139" w:rsidRPr="00AF5F13" w:rsidRDefault="00905139" w:rsidP="004D193D">
      <w:pPr>
        <w:pStyle w:val="ListParagraph"/>
        <w:widowControl w:val="0"/>
        <w:numPr>
          <w:ilvl w:val="1"/>
          <w:numId w:val="18"/>
        </w:numPr>
        <w:tabs>
          <w:tab w:val="left" w:pos="941"/>
          <w:tab w:val="left" w:pos="942"/>
        </w:tabs>
        <w:autoSpaceDE w:val="0"/>
        <w:autoSpaceDN w:val="0"/>
        <w:spacing w:before="160" w:line="273" w:lineRule="auto"/>
        <w:jc w:val="both"/>
      </w:pPr>
      <w:r w:rsidRPr="00AF5F13">
        <w:t>jekk kienx hemm xi bidliet sinifikanti fil-livell tar-riskju ta’ ML/TF assoċjat mas-suġġett tal-valutazzjoni jew mas-settur, li jindika l-ħtieġa għal talbiet għal informazzjoni aktar frekwenti.</w:t>
      </w:r>
    </w:p>
    <w:p w14:paraId="0660A1EC" w14:textId="302D7F6C" w:rsidR="00CE14AE" w:rsidRPr="00AF5F13" w:rsidRDefault="00CE14AE" w:rsidP="00BF2FD9">
      <w:pPr>
        <w:pStyle w:val="Numberedtitlelevel2"/>
      </w:pPr>
      <w:r w:rsidRPr="00AF5F13">
        <w:t>Pass 2 – Il-valutazzjoni tar-riskju</w:t>
      </w:r>
    </w:p>
    <w:p w14:paraId="44309840" w14:textId="77777777" w:rsidR="00CE14AE" w:rsidRPr="00AF5F13" w:rsidRDefault="00CE14AE" w:rsidP="00BF2FD9">
      <w:pPr>
        <w:pStyle w:val="Numberedtitlelevel3"/>
      </w:pPr>
      <w:r w:rsidRPr="00AF5F13">
        <w:t>Kunsiderazzjonijiet ġenerali</w:t>
      </w:r>
    </w:p>
    <w:p w14:paraId="174DADF6" w14:textId="77777777" w:rsidR="00CE14AE" w:rsidRPr="00AF5F13" w:rsidRDefault="00CE14AE" w:rsidP="00EC596C">
      <w:pPr>
        <w:pStyle w:val="body"/>
        <w:numPr>
          <w:ilvl w:val="0"/>
          <w:numId w:val="10"/>
        </w:numPr>
      </w:pPr>
      <w:r w:rsidRPr="00AF5F13">
        <w:t>L-awtoritajiet kompetenti għandu jkollhom viżjoni olistika tal-fatturi ta’ riskju ta’ ML/TF li huma jkunu identifikaw skont il-Pass 1 li, flimkien, se jifformaw il-bażi għall-valutazzjoni tar-riskji individwali tas-suġġett tal-valutazzjoni u l-valutazzjonijiet tar-riskju settorjali.</w:t>
      </w:r>
    </w:p>
    <w:p w14:paraId="1A1780A0" w14:textId="5C7E1824" w:rsidR="00CE14AE" w:rsidRPr="00AF5F13" w:rsidRDefault="00CE14AE" w:rsidP="00EC596C">
      <w:pPr>
        <w:pStyle w:val="body"/>
        <w:numPr>
          <w:ilvl w:val="0"/>
          <w:numId w:val="10"/>
        </w:numPr>
      </w:pPr>
      <w:r w:rsidRPr="00AF5F13">
        <w:t>Meta jfasslu l-metodoloġija tal-valutazzjoni tar-riskju tagħhom, l-awtoritajiet kompetenti għandhom jikkunsidraw kif il-valutazzjonijiet tar-riskju settorjali u individwali jinteraġixxu. Il-valutazzjoni tar-riskju settorjali tipprovdi lill-awtoritajiet kompetenti ħarsa ġenerali tar-riskji ta’ ML/TF li għalihom huma esposti s-suġġetti tal-valutazzjoni f’settur partikolari, u r-rilevanza tal-fatturi ta’ riskju individwali għas-suġġetti tal-valutazzjoni f’dan is-settur. Permezz ta’ valutazzjonijiet tar-riskju individwali, l-awtoritajiet kompetenti jenħtieġ li jkunu kapaċi jivvalutaw l-impatt tar-riskji settorjali fuq kull suġġett tal-valutazzjoni, filwaqt li fl-istess ħin jużaw dawk il-valutazzjonijiet tar-riskju biex jaġġornaw u jirrieżaminaw il-valutazzjonijiet tar-riskju settorjali tagħhom kif xieraq, inkluż billi jidentifikaw fatturi tar-riskju ġodda li huma komuni għas-suġġetti tal-valutazzjoni fis-settur.</w:t>
      </w:r>
    </w:p>
    <w:p w14:paraId="12AE2DD4" w14:textId="6C7108F9" w:rsidR="00CE14AE" w:rsidRPr="00AF5F13" w:rsidRDefault="00CE14AE" w:rsidP="00BF2FD9">
      <w:pPr>
        <w:pStyle w:val="Numberedtitlelevel3"/>
      </w:pPr>
      <w:r w:rsidRPr="00AF5F13">
        <w:t>Valutazzjoni tar-riskju settorjali u subsettorjali</w:t>
      </w:r>
    </w:p>
    <w:p w14:paraId="5F6C4784" w14:textId="58008332" w:rsidR="000127FB" w:rsidRDefault="000127FB" w:rsidP="000127FB">
      <w:pPr>
        <w:pStyle w:val="body"/>
      </w:pPr>
      <w:r w:rsidRPr="00136375">
        <w:rPr>
          <w:rFonts w:ascii="Wingdings" w:eastAsia="Wingdings" w:hAnsi="Wingdings" w:cs="Wingdings"/>
          <w:color w:val="E98E31" w:themeColor="background2"/>
          <w:spacing w:val="-1"/>
        </w:rPr>
        <w:t>Ú</w:t>
      </w:r>
      <w:r>
        <w:rPr>
          <w:color w:val="E98E31" w:themeColor="background2"/>
          <w:spacing w:val="-1"/>
        </w:rPr>
        <w:t>C</w:t>
      </w:r>
      <w:r w:rsidRPr="00136375">
        <w:rPr>
          <w:color w:val="E98E31" w:themeColor="background2"/>
          <w:spacing w:val="-1"/>
        </w:rPr>
        <w:t>1</w:t>
      </w:r>
    </w:p>
    <w:p w14:paraId="3F20DE3B" w14:textId="26FBC5FF" w:rsidR="00CE14AE" w:rsidRDefault="00EB4C88" w:rsidP="00EC596C">
      <w:pPr>
        <w:pStyle w:val="body"/>
        <w:numPr>
          <w:ilvl w:val="0"/>
          <w:numId w:val="10"/>
        </w:numPr>
      </w:pPr>
      <w:r w:rsidRPr="00AF5F13">
        <w:t xml:space="preserve">L-awtoritajiet kompetenti għandhom jiżviluppaw fehim tajjeb tar-riskji ta’ ML/TF preżenti f’kull settur taħt is-superviżjoni tagħhom, li jippermettilhom jipprijoritizzaw l-attivitajiet superviżorji tagħhom </w:t>
      </w:r>
      <w:r w:rsidR="004B061E" w:rsidRPr="00381D0B">
        <w:t>bejn is-setturi</w:t>
      </w:r>
      <w:r w:rsidRPr="00AF5F13">
        <w:t xml:space="preserve"> u fi ħdanhom u jidentifikaw ir-riskji ta’ ML/TF li huma rilevanti għal settur partikolari. Il-valutazzjoni tar-riskju settorjali għandha tipprovdi lill-awtoritajiet kompetenti bil-bażi għall-valutazzjoni tar-riskju individwali tas-suġġetti tal-valutazzjoni f’dak is-settur partikolari, billi tiżviluppa l-fehim tagħhom tar-riskji inerenti fis-settur li għalihom huma esposti s-suġġetti tal-valutazzjoni biex ikun infurmat il-fehim tal-awtorità kompetenti dwar il-firxa ta’ attenzjoni superviżorja meħtieġa fis-settur. L-awtoritajiet kompetenti għandhom jiddeċiedu jekk għandhomx informazzjoni suffiċjenti u affidabbli dwar il-kontrolli fis-settur biex iwettqu l-valutazzjoni tar-riskju residwu. Jekk din l-informazzjoni titqies insuffiċjenti, l-awtoritajiet kompetenti għandhom jikkunsidraw jużaw l-għodod superviżorji rilevanti għad-dispożizzjoni tagħhom biex jiksbu biżżejjed informazzjoni, kif stabbilit fit-Taqsima 4.4.4.</w:t>
      </w:r>
    </w:p>
    <w:p w14:paraId="23E78AD9" w14:textId="4DE91EDF" w:rsidR="000127FB" w:rsidRPr="00AF5F13" w:rsidRDefault="000127FB" w:rsidP="000127FB">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6AFA4A75" w14:textId="57D506ED" w:rsidR="00C16073" w:rsidRPr="00AF5F13" w:rsidRDefault="00C16073" w:rsidP="00EC596C">
      <w:pPr>
        <w:pStyle w:val="body"/>
        <w:numPr>
          <w:ilvl w:val="0"/>
          <w:numId w:val="10"/>
        </w:numPr>
      </w:pPr>
      <w:r w:rsidRPr="00AF5F13">
        <w:lastRenderedPageBreak/>
        <w:t>L-awtoritajiet kompetenti għandhom jiżguraw li l-valutazzjoni tar-riskju settorjali tkun komprensiva biżżejjed u tippermetti lis-superviżur jikseb viżjoni olistika tal-fatturi ta’ riskju rilevanti kollha, u sa liema punt dawn jaffettwaw is-suġġetti tal-valutazzjoni f’kull settur.</w:t>
      </w:r>
    </w:p>
    <w:p w14:paraId="1F076038" w14:textId="619078AE" w:rsidR="00C16073" w:rsidRPr="00AF5F13" w:rsidRDefault="00C16073" w:rsidP="00EC596C">
      <w:pPr>
        <w:pStyle w:val="body"/>
        <w:numPr>
          <w:ilvl w:val="0"/>
          <w:numId w:val="10"/>
        </w:numPr>
      </w:pPr>
      <w:r w:rsidRPr="00AF5F13">
        <w:t>Sabiex iwettqu l-valutazzjoni tar-riskju settorjali, l-awtoritajiet kompetenti għandhom l-ewwel jiddefinixxu s-setturi u s-subsetturi, fejn rilevanti, taħt is-superviżjoni tagħhom kif deskritt fil-paragrafi 38 u 39 hawn fuq.</w:t>
      </w:r>
    </w:p>
    <w:p w14:paraId="7903059A" w14:textId="565A303F" w:rsidR="00C16073" w:rsidRPr="00AF5F13" w:rsidRDefault="00C16073" w:rsidP="00EC596C">
      <w:pPr>
        <w:pStyle w:val="body"/>
        <w:numPr>
          <w:ilvl w:val="0"/>
          <w:numId w:val="10"/>
        </w:numPr>
      </w:pPr>
      <w:r w:rsidRPr="00AF5F13">
        <w:t>Meta jwettqu l-valutazzjoni tar-riskju tas-settur kollu kemm hu jew tas-subsettur, jekk rilevanti, l-awtoritajiet kompetenti għandhom iwettqu valutazzjoni tal-fatturi ta’ riskju mifruxa mas-settur kollu identifikati f’konformità mal-Pass 1 tal-Mudell RBS. L-awtoritajiet kompetenti għandhom jibbażaw il-valutazzjoni tagħhom fuq l-informazzjoni miġbura f’konformità mat-Taqsima 4.2.6.</w:t>
      </w:r>
    </w:p>
    <w:p w14:paraId="03FAED2B" w14:textId="176FCC25" w:rsidR="00CE14AE" w:rsidRPr="00AF5F13" w:rsidRDefault="00CE14AE" w:rsidP="00EC596C">
      <w:pPr>
        <w:pStyle w:val="body"/>
        <w:numPr>
          <w:ilvl w:val="0"/>
          <w:numId w:val="10"/>
        </w:numPr>
      </w:pPr>
      <w:r w:rsidRPr="00AF5F13">
        <w:t>Bħala parti minn dan il-proċess, l-awtoritajiet kompetenti għandhom jikkunsidraw l-allokazzjoni ta’ piżijiet differenti għal fatturi ta’ riskju differenti kif deskritt fil-paragrafi 63 u 64 ta’ dawn il-linji gwida, biex jirriflettu l-grad ta’ impatt li diversi theddidiet ta’ ML/TF għandhom fuq is-settur partikolari.</w:t>
      </w:r>
    </w:p>
    <w:p w14:paraId="4C6946CA" w14:textId="77777777" w:rsidR="00CE14AE" w:rsidRPr="00AF5F13" w:rsidRDefault="00CE14AE" w:rsidP="00BF2FD9">
      <w:pPr>
        <w:pStyle w:val="Numberedtitlelevel3"/>
      </w:pPr>
      <w:r w:rsidRPr="00AF5F13">
        <w:t>Valutazzjonijiet tar-riskju individwali</w:t>
      </w:r>
    </w:p>
    <w:p w14:paraId="7DCD87C0" w14:textId="733E0616" w:rsidR="00CE14AE" w:rsidRPr="00AF5F13" w:rsidRDefault="00CE14AE" w:rsidP="00EC596C">
      <w:pPr>
        <w:pStyle w:val="body"/>
        <w:numPr>
          <w:ilvl w:val="0"/>
          <w:numId w:val="10"/>
        </w:numPr>
      </w:pPr>
      <w:r w:rsidRPr="00AF5F13">
        <w:t xml:space="preserve"> L-awtoritajiet kompetenti jenħtieġ li jiżviluppaw fehim komprensiv tar-riskji inerenti u, sal-punt li jkollhom aċċess għal </w:t>
      </w:r>
      <w:r w:rsidRPr="00AF5F13">
        <w:rPr>
          <w:i/>
          <w:iCs/>
        </w:rPr>
        <w:t>data</w:t>
      </w:r>
      <w:r w:rsidRPr="00AF5F13">
        <w:t xml:space="preserve"> affidabbli biżżejjed dwar il-kwalità tal-kontrolli tal-AML/CFT tas-suġġett tal-valutazzjoni, ir-riskji residwi li għalihom ikunu esposti s-suġġetti tal-valutazzjoni. Għal dak il-għan, jenħtieġ li jwettqu valutazzjonijiet tar-riskju individwali ta’ kull suġġett tal-valutazzjoni. L-awtoritajiet kompetenti għandhom jużaw is-sorsi rilevanti kollha biex jiġbru l-informazzjoni meħtieġa għall-valutazzjonijiet tar-riskju individwali kif deskritt fil-paragrafi 44 sa 48 hawn fuq.</w:t>
      </w:r>
    </w:p>
    <w:p w14:paraId="50DDBED2" w14:textId="2F3215AE" w:rsidR="00A81F06" w:rsidRPr="00AF5F13" w:rsidRDefault="003D45EA" w:rsidP="004D193D">
      <w:pPr>
        <w:pStyle w:val="body"/>
        <w:keepLines/>
        <w:numPr>
          <w:ilvl w:val="0"/>
          <w:numId w:val="10"/>
        </w:numPr>
        <w:ind w:left="357" w:hanging="357"/>
      </w:pPr>
      <w:r w:rsidRPr="00AF5F13">
        <w:t>Sabiex jinkiseb fehim komprensiv tar-riskji assoċjati mas-suġġetti individwali tal-valutazzjoni, l-awtoritajiet kompetenti għandhom jistabbilixxu u jżommu proċess u metodoloġija kontinwi għall-valutazzjoni u r-rieżami tar-riskji assoċjati mas-suġġetti tal-valutazzjoni. Meta jiżviluppaw il-proċessi tal-valutazzjoni tar-riskju tagħhom, l-awtoritajiet kompetenti għandhom:</w:t>
      </w:r>
    </w:p>
    <w:p w14:paraId="65EE51AF" w14:textId="2F971526" w:rsidR="00A81F06" w:rsidRPr="00AF5F13" w:rsidRDefault="00923A8E" w:rsidP="004D193D">
      <w:pPr>
        <w:pStyle w:val="ListParagraph"/>
        <w:widowControl w:val="0"/>
        <w:numPr>
          <w:ilvl w:val="1"/>
          <w:numId w:val="33"/>
        </w:numPr>
        <w:tabs>
          <w:tab w:val="left" w:pos="941"/>
          <w:tab w:val="left" w:pos="942"/>
        </w:tabs>
        <w:autoSpaceDE w:val="0"/>
        <w:autoSpaceDN w:val="0"/>
        <w:spacing w:before="160" w:line="273" w:lineRule="auto"/>
        <w:jc w:val="both"/>
      </w:pPr>
      <w:r w:rsidRPr="00AF5F13">
        <w:t>Ikunu ggwidati mill-eżitu tal-valutazzjoni tar-riskji fi ħdan is-settur jew is-subsettur li għalih jappartjeni s-suġġett tal-valutazzjoni. Essenzjalment, bil-valutazzjoni tar-riskju settorjali jew subsettorjali, l-awtorità kompetenti tkun diġà identifikat ir-riskji inerenti ewlenin li għalihom ikunu esposti suġġetti individwali tal-valutazzjoni f’settur jew subsettur partikolari.</w:t>
      </w:r>
    </w:p>
    <w:p w14:paraId="02C086C9" w14:textId="4553DFB9" w:rsidR="00EE43D4" w:rsidRPr="00AF5F13" w:rsidRDefault="00923A8E" w:rsidP="004D193D">
      <w:pPr>
        <w:pStyle w:val="ListParagraph"/>
        <w:widowControl w:val="0"/>
        <w:numPr>
          <w:ilvl w:val="1"/>
          <w:numId w:val="33"/>
        </w:numPr>
        <w:tabs>
          <w:tab w:val="left" w:pos="941"/>
          <w:tab w:val="left" w:pos="942"/>
        </w:tabs>
        <w:autoSpaceDE w:val="0"/>
        <w:autoSpaceDN w:val="0"/>
        <w:spacing w:before="160" w:line="273" w:lineRule="auto"/>
        <w:jc w:val="both"/>
      </w:pPr>
      <w:r w:rsidRPr="00AF5F13">
        <w:t>Jiddeterminaw kif se jivvalutaw il-fatturi ta’ riskju inerenti rilevanti identifikati skont il-Pass 1 tal-Mudell RBS li jaffettwaw is-suġġett tal-valutazzjoni.</w:t>
      </w:r>
    </w:p>
    <w:p w14:paraId="2EFF8930" w14:textId="6B69670D" w:rsidR="0065013B" w:rsidRPr="00AF5F13" w:rsidRDefault="00923A8E" w:rsidP="004D193D">
      <w:pPr>
        <w:pStyle w:val="ListParagraph"/>
        <w:widowControl w:val="0"/>
        <w:numPr>
          <w:ilvl w:val="1"/>
          <w:numId w:val="33"/>
        </w:numPr>
        <w:tabs>
          <w:tab w:val="left" w:pos="942"/>
        </w:tabs>
        <w:autoSpaceDE w:val="0"/>
        <w:autoSpaceDN w:val="0"/>
        <w:spacing w:before="160" w:line="273" w:lineRule="auto"/>
        <w:jc w:val="both"/>
      </w:pPr>
      <w:r w:rsidRPr="00AF5F13">
        <w:t xml:space="preserve">Jiġbru l-informazzjoni meħtieġa li tippermettilhom jifhmu l-iskopertura tas-suġġett tal-valutazzjoni għall-klijenti, il-prodotti u s-servizzi, ir-riskji ġeografiċi u tal-kanali ta’ distribuzzjoni. Dan ifisser li l-awtoritajiet kompetenti għandhom jikkunsidraw jekk tkunx meħtieġa l-istess informazzjoni fir-rigward tas-suġġetti tal-valutazzjoni kollha. Meta </w:t>
      </w:r>
      <w:r w:rsidRPr="00AF5F13">
        <w:lastRenderedPageBreak/>
        <w:t>tinġabar informazzjoni mis-suġġetti tal-valutazzjoni, l-awtoritajiet kompetenti għandhom jirreferu għat-taqsima dwar l-“Assigurazzjoni tal-Kwalità” f’dawn il-linji gwida għal salvagwardji addizzjonali li għandhom jiġu stabbiliti.</w:t>
      </w:r>
    </w:p>
    <w:p w14:paraId="4930C187" w14:textId="2285F667" w:rsidR="00204D15" w:rsidRPr="00AF5F13" w:rsidRDefault="00924F4F" w:rsidP="00EC596C">
      <w:pPr>
        <w:pStyle w:val="body"/>
        <w:numPr>
          <w:ilvl w:val="0"/>
          <w:numId w:val="10"/>
        </w:numPr>
      </w:pPr>
      <w:r w:rsidRPr="00AF5F13">
        <w:t>Meta, abbażi tal-informazzjoni stabbilita fil-paragrafu 45 b) f’dawn il-linji gwida, l-awtoritajiet kompetenti jkunu żviluppaw fehim suffiċjenti u affidabbli biżżejjed tal-miżuri ta’ mitigazzjoni stabbiliti mis-suġġetti tal-valutazzjoni, jenħtieġ li dawn iwettqu l-valutazzjoni tar-riskju residwu fir-rigward ta’ dawk is-suġġetti tal-valutazzjoni. Madankollu, meta tali informazzjoni ma tkunx disponibbli jew affidabbli, jew ma tkunx komprensiva biżżejjed, l-awtoritajiet kompetenti għandhom minflok jużaw il-valutazzjoni tar-riskju inerenti fir-rigward ta’ dawk is-suġġetti tal-valutazzjoni.</w:t>
      </w:r>
    </w:p>
    <w:p w14:paraId="1C3ECAD0" w14:textId="41CB07CE" w:rsidR="00B41E2E" w:rsidRDefault="00CE14AE" w:rsidP="00EC596C">
      <w:pPr>
        <w:pStyle w:val="body"/>
        <w:numPr>
          <w:ilvl w:val="0"/>
          <w:numId w:val="10"/>
        </w:numPr>
      </w:pPr>
      <w:r w:rsidRPr="00AF5F13">
        <w:t>Meta jivvalutaw il-fatturi ta’ riskju residwu, l-awtoritajiet kompetenti għandhom jieħdu l-passi meħtieġa biex jiġi vvalutat il-punt sa fejn is-sistemi u l-kontrolli tal-AML/CFT, li s-suġġett tal-valutazzjoni jkollu fis-seħħ, ikunu adegwati biex jimmitigaw b’mod effettiv ir-riskji inerenti li għalihom huwa espost. Bħala parti minn dan, l-awtoritajiet kompetenti għandhom jivvalutaw mill-inqas:</w:t>
      </w:r>
    </w:p>
    <w:p w14:paraId="24F738D0" w14:textId="3B4B4846" w:rsidR="000127FB" w:rsidRPr="00AF5F13" w:rsidRDefault="000127FB" w:rsidP="000127FB">
      <w:pPr>
        <w:pStyle w:val="body"/>
      </w:pPr>
      <w:r w:rsidRPr="00136375">
        <w:rPr>
          <w:rFonts w:ascii="Wingdings" w:eastAsia="Wingdings" w:hAnsi="Wingdings" w:cs="Wingdings"/>
          <w:color w:val="E98E31" w:themeColor="background2"/>
          <w:spacing w:val="-1"/>
        </w:rPr>
        <w:t>Ú</w:t>
      </w:r>
      <w:r w:rsidRPr="00136375">
        <w:rPr>
          <w:color w:val="E98E31" w:themeColor="background2"/>
          <w:spacing w:val="-1"/>
        </w:rPr>
        <w:t>A1</w:t>
      </w:r>
    </w:p>
    <w:p w14:paraId="2FF745E9" w14:textId="37BA2BC0" w:rsidR="00B41E2E" w:rsidRDefault="004B061E" w:rsidP="004D193D">
      <w:pPr>
        <w:pStyle w:val="ListParagraph"/>
        <w:widowControl w:val="0"/>
        <w:numPr>
          <w:ilvl w:val="1"/>
          <w:numId w:val="61"/>
        </w:numPr>
        <w:tabs>
          <w:tab w:val="left" w:pos="941"/>
          <w:tab w:val="left" w:pos="942"/>
        </w:tabs>
        <w:autoSpaceDE w:val="0"/>
        <w:autoSpaceDN w:val="0"/>
        <w:spacing w:before="160" w:line="273" w:lineRule="auto"/>
        <w:jc w:val="both"/>
      </w:pPr>
      <w:r w:rsidRPr="00F57386">
        <w:t>li s-sistemi u l-kontrolli tal-AML/CFT elenkati fl-Artikoli 8(4) u 19a tad-Direttiva (UE) 2015/849 jiġu stabbiliti u applikati. Dawn il-kontrolli għandhom ikunu komprensivi biżżejjed u proporzjonati mar-riskji ta’ ML/TF</w:t>
      </w:r>
      <w:r w:rsidR="00B41E2E" w:rsidRPr="00AF5F13">
        <w:t>;</w:t>
      </w:r>
    </w:p>
    <w:p w14:paraId="7C2D239D" w14:textId="3D23F08E" w:rsidR="000127FB" w:rsidRPr="00AF5F13" w:rsidRDefault="000127FB" w:rsidP="000127FB">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C41C5E6" w14:textId="0CAE0F4C" w:rsidR="00EE43D4" w:rsidRPr="00AF5F13" w:rsidRDefault="00CE14AE" w:rsidP="004D193D">
      <w:pPr>
        <w:pStyle w:val="ListParagraph"/>
        <w:widowControl w:val="0"/>
        <w:numPr>
          <w:ilvl w:val="1"/>
          <w:numId w:val="61"/>
        </w:numPr>
        <w:tabs>
          <w:tab w:val="left" w:pos="941"/>
          <w:tab w:val="left" w:pos="942"/>
        </w:tabs>
        <w:autoSpaceDE w:val="0"/>
        <w:autoSpaceDN w:val="0"/>
        <w:spacing w:before="160" w:line="273" w:lineRule="auto"/>
        <w:jc w:val="both"/>
      </w:pPr>
      <w:r w:rsidRPr="00AF5F13">
        <w:t xml:space="preserve"> li arranġamenti ta’ governanza u proċessi ta’ ġestjoni tar-riskju usa’, inkluża l-kultura ta’ riskju globali, ikunu adegwati u effettivi.</w:t>
      </w:r>
    </w:p>
    <w:p w14:paraId="4251E29E" w14:textId="19637590" w:rsidR="00D173E4" w:rsidRPr="00AF5F13" w:rsidRDefault="00BF23FF" w:rsidP="00EC596C">
      <w:pPr>
        <w:pStyle w:val="body"/>
        <w:numPr>
          <w:ilvl w:val="0"/>
          <w:numId w:val="10"/>
        </w:numPr>
      </w:pPr>
      <w:r w:rsidRPr="00AF5F13">
        <w:t>L-awtoritajiet kompetenti għandhom jiddeterminaw kif jinkorporaw il-ġudizzju professjonali tagħhom fil-ħidma ta’ valutazzjoni tar-riskju tagħhom. It-Taqsima 4.4.4. tipprevedi f’dak ir-rigward li l-manwal superviżorju tal-AML/CFT għandu jippermetti lill-awtoritajiet kompetenti jiżguraw l-applikazzjoni tal-għodod superviżorji u l-ġudizzju professjonali b’mod konsistenti.</w:t>
      </w:r>
    </w:p>
    <w:p w14:paraId="17A1D4B5" w14:textId="77777777" w:rsidR="00D173E4" w:rsidRPr="00AF5F13" w:rsidRDefault="00D173E4">
      <w:r w:rsidRPr="00AF5F13">
        <w:br w:type="page"/>
      </w:r>
    </w:p>
    <w:p w14:paraId="5A6FADF9" w14:textId="6150FFAB" w:rsidR="00CE14AE" w:rsidRPr="00AF5F13" w:rsidRDefault="00EA094D" w:rsidP="00C568D1">
      <w:pPr>
        <w:pStyle w:val="Numberedtitlelevel3"/>
      </w:pPr>
      <w:r w:rsidRPr="00AF5F13">
        <w:lastRenderedPageBreak/>
        <w:t>Valutazzjoni tar-riskji ta’ ML/TF fil-livell tal-grupp</w:t>
      </w:r>
    </w:p>
    <w:p w14:paraId="09721CDA" w14:textId="6BC7B053" w:rsidR="00CE14AE" w:rsidRPr="00AF5F13" w:rsidRDefault="007F270B" w:rsidP="00EC596C">
      <w:pPr>
        <w:pStyle w:val="body"/>
        <w:numPr>
          <w:ilvl w:val="0"/>
          <w:numId w:val="10"/>
        </w:numPr>
      </w:pPr>
      <w:r w:rsidRPr="00AF5F13">
        <w:t>L-awtoritajiet kompetenti, li huma s-superviżur ewlieni f’konformità mal-Linji Gwida Konġunti tal-ASE dwar il-kooperazzjoni u l-iskambju ta’ informazzjoni għall-finijiet tad-Direttiva (UE) 2015/849</w:t>
      </w:r>
      <w:r w:rsidR="00800E7A" w:rsidRPr="00800E7A">
        <w:rPr>
          <w:rFonts w:cstheme="minorHAnsi"/>
          <w:szCs w:val="18"/>
          <w:vertAlign w:val="superscript"/>
          <w:lang w:val="en-GB"/>
        </w:rPr>
        <w:footnoteReference w:id="16"/>
      </w:r>
      <w:r w:rsidRPr="00AF5F13">
        <w:t>, għandhom jiżviluppaw viżjoni olistika tar-riskji ML/TF li għalihom huma esposti s-suġġetti tal-valutazzjoni li huma parti minn grupp. Dan ifisser li dawn l-awtoritajiet kompetenti għandhom jiżviluppaw profil tar-riskju tas-suġġett tal-valutazzjoni taħt is-superviżjoni tagħhom, filwaqt li jqisu l-fatturi ta’ riskju domestiċi u barranin rilevanti kollha. Għandhom jagħtu attenzjoni partikolari lir-riskji assoċjati mal-operazzjonijiet transkonfinali ta’ suġġett tal-valutazzjoni u l-attivitajiet kummerċjali ta’ partijiet tal-grupp tagħhom f’ġurisdizzjonijiet oħra, li jista’ jkollhom effett fuq il-profil tar-riskju globali tas-suġġett tal-valutazzjoni. B’mod partikolari, il-valutazzjoni tar-riskju għandha tirrifletti tal-anqas ir-riskji li jirriżultaw mill-iskopertura tas-suġġett tal-valutazzjoni għall-pajjiżi:</w:t>
      </w:r>
    </w:p>
    <w:p w14:paraId="79C9802E" w14:textId="77777777" w:rsidR="00CE14AE" w:rsidRPr="00AF5F13"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AF5F13">
        <w:t>li ġew identifikati mill-Kummissjoni Ewropea bħala li għandhom nuqqasijiet strateġiċi fir-reġim tal-AML/CFT tagħhom, f’konformità mal-Artikolu 9(2) tad-Direttiva (UE) 2015/849;</w:t>
      </w:r>
    </w:p>
    <w:p w14:paraId="42474C43" w14:textId="07FB0D0C" w:rsidR="00CE14AE" w:rsidRPr="00AF5F13"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AF5F13">
        <w:t xml:space="preserve"> fejn il-liġi tipprojbixxi l-implimentazzjoni ta’ politiki u proċeduri mifruxa mal-grupp kollu u b’mod partikolari jekk hemm xi sitwazzjonijiet li fihom għandu jiġi applikat ir-Regolament Delegat tal-Kummissjoni (UE) 2019/758;</w:t>
      </w:r>
    </w:p>
    <w:p w14:paraId="44458161" w14:textId="4530395C" w:rsidR="005E00C8" w:rsidRPr="00AF5F13"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AF5F13">
        <w:t>li, f’konformità ma’ sorsi kredibbli u affidabbli</w:t>
      </w:r>
      <w:r w:rsidR="00E16E94" w:rsidRPr="00AF5F13">
        <w:rPr>
          <w:rStyle w:val="FootnoteReference"/>
        </w:rPr>
        <w:footnoteReference w:id="17"/>
      </w:r>
      <w:r w:rsidRPr="00AF5F13">
        <w:t>, ikunu esposti għal livelli għoljin ta’ korruzzjoni jew reati predikati oħrajn għall-ML;</w:t>
      </w:r>
    </w:p>
    <w:p w14:paraId="39813450" w14:textId="66155A82" w:rsidR="00CE14AE" w:rsidRPr="00AF5F13" w:rsidRDefault="005E00C8" w:rsidP="004D193D">
      <w:pPr>
        <w:pStyle w:val="ListParagraph"/>
        <w:widowControl w:val="0"/>
        <w:numPr>
          <w:ilvl w:val="1"/>
          <w:numId w:val="24"/>
        </w:numPr>
        <w:tabs>
          <w:tab w:val="left" w:pos="941"/>
          <w:tab w:val="left" w:pos="942"/>
        </w:tabs>
        <w:autoSpaceDE w:val="0"/>
        <w:autoSpaceDN w:val="0"/>
        <w:spacing w:before="160" w:line="273" w:lineRule="auto"/>
        <w:jc w:val="both"/>
      </w:pPr>
      <w:r w:rsidRPr="00AF5F13">
        <w:t>pajjiżi jew territorji fejn organizzazzjonijiet terroristiċi huma magħrufa li qed joperaw jew li kienu soġġetti għal sanzjonijiet finanzjarji ekonomiċi, embargos jew miżuri li huma relatati mat-terroriżmu, il-finanzjament tat-terroriżmu jew il-proliferazzjoni maħruġa minn, pereżempju, in-Nazzjonijiet Uniti jew l-Unjoni Ewropea; u</w:t>
      </w:r>
    </w:p>
    <w:p w14:paraId="2CC0C53E" w14:textId="5C3E1021" w:rsidR="00CE14AE" w:rsidRPr="00AF5F13"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AF5F13">
        <w:t>fejn, skont informazzjoni minn aktar minn sors kredibbli u affidabbli wieħed, ikun tqajjem tħassib serju dwar l-effettività u l-kwalità tal-kontrolli tal-AML/CFT tal-ġurisdizzjoni, inkluż informazzjoni dwar il-kwalità u l-effettività ta’ infurzar u sorveljanza regolatorji. F’dan il-każ, sorsi kredibbli u affidabbli jistgħu jinkludu rapporti ta’ evalwazzjoni reċiproka mit-Task Force ta’ Azzjoni Finanzjarja (FATF) jew il-Korpi Reġjonali ta’ Stil FATF (FSRBs), il-lista tal-FATF ta’ ġurisdizzjonijiet b’riskju għoli u li ma jikkooperawx, il-valutazzjonijiet tal-Fond Monetarju Internazzjonali (FMI) u r-rapporti tal-Programm ta’ Valutazzjoni tas-Settur Finanzjarju (FSAP).</w:t>
      </w:r>
    </w:p>
    <w:p w14:paraId="7A5BAFBD" w14:textId="26DC9B6D" w:rsidR="00696DB5" w:rsidRPr="00AF5F13" w:rsidRDefault="00696DB5" w:rsidP="00EC596C">
      <w:pPr>
        <w:pStyle w:val="body"/>
        <w:numPr>
          <w:ilvl w:val="0"/>
          <w:numId w:val="10"/>
        </w:numPr>
      </w:pPr>
      <w:r w:rsidRPr="00AF5F13">
        <w:t>Sabiex tiġi infurmata l-valutazzjoni tar-riskju tas-suġġetti tal-valutazzjoni li huma parti minn grupp, l-awtoritajiet kompetenti, li huma s-superviżur ewlieni, għandhom jikkooperaw u jiskambjaw informazzjoni rilevanti ma’ awtoritajiet kompetenti oħra li huma responsabbli mis-superviżjoni tal-AML/CFT ta’ partijiet tal-grupp. Għall-gruppi transkonfinali, jekk ikun hemm kulleġġ tal-AML/CFT, is-superviżur ewlieni għandu jagħmel użu mill-informazzjoni skambjata fil-</w:t>
      </w:r>
      <w:r w:rsidRPr="00AF5F13">
        <w:lastRenderedPageBreak/>
        <w:t>kulleġġ biex jiġbor l-informazzjoni meħtieġa għall-valutazzjoni tar-riskju. L-informazzjoni meħtieġa tinkludi, fir-rigward ta’ fergħat jew sussidjarji ta’ suġġetti tal-valutazzjoni, mill-inqas informazzjoni relatata ma’:</w:t>
      </w:r>
    </w:p>
    <w:p w14:paraId="2A71EC28" w14:textId="78435B98" w:rsidR="00E43CA2" w:rsidRPr="00AF5F13" w:rsidRDefault="00696DB5" w:rsidP="004D193D">
      <w:pPr>
        <w:pStyle w:val="ListParagraph"/>
        <w:widowControl w:val="0"/>
        <w:numPr>
          <w:ilvl w:val="1"/>
          <w:numId w:val="20"/>
        </w:numPr>
        <w:tabs>
          <w:tab w:val="left" w:pos="941"/>
          <w:tab w:val="left" w:pos="942"/>
        </w:tabs>
        <w:autoSpaceDE w:val="0"/>
        <w:autoSpaceDN w:val="0"/>
        <w:spacing w:before="160" w:line="273" w:lineRule="auto"/>
        <w:jc w:val="both"/>
      </w:pPr>
      <w:r w:rsidRPr="00AF5F13">
        <w:t xml:space="preserve"> il-profil tar-riskju ta’ ML/TF ta’ fergħat jew sussidjarji kif ivvalutat mill-awtoritajiet kompetenti rilevanti f’dawk il-ġurisdizzjonijiet;</w:t>
      </w:r>
    </w:p>
    <w:p w14:paraId="6F7D962A" w14:textId="4B1DBC7F" w:rsidR="00696DB5" w:rsidRPr="00AF5F13" w:rsidRDefault="00E43CA2" w:rsidP="004D193D">
      <w:pPr>
        <w:pStyle w:val="ListParagraph"/>
        <w:widowControl w:val="0"/>
        <w:numPr>
          <w:ilvl w:val="1"/>
          <w:numId w:val="20"/>
        </w:numPr>
        <w:tabs>
          <w:tab w:val="left" w:pos="941"/>
          <w:tab w:val="left" w:pos="942"/>
        </w:tabs>
        <w:autoSpaceDE w:val="0"/>
        <w:autoSpaceDN w:val="0"/>
        <w:spacing w:before="160" w:line="273" w:lineRule="auto"/>
        <w:jc w:val="both"/>
      </w:pPr>
      <w:r w:rsidRPr="00AF5F13">
        <w:t>il-profil tar-riskju ta’ ML/TF tas-settur li għandu fergħat jew sussidjarji kif ivvalutat mill-awtoritajiet rilevanti f’dawk il-ġurisdizzjonijiet,</w:t>
      </w:r>
    </w:p>
    <w:p w14:paraId="3FF6CF15" w14:textId="4ED52BBA" w:rsidR="00696DB5" w:rsidRPr="00AF5F13" w:rsidRDefault="00E43CA2" w:rsidP="004D193D">
      <w:pPr>
        <w:pStyle w:val="ListParagraph"/>
        <w:widowControl w:val="0"/>
        <w:numPr>
          <w:ilvl w:val="1"/>
          <w:numId w:val="20"/>
        </w:numPr>
        <w:tabs>
          <w:tab w:val="left" w:pos="941"/>
          <w:tab w:val="left" w:pos="942"/>
        </w:tabs>
        <w:autoSpaceDE w:val="0"/>
        <w:autoSpaceDN w:val="0"/>
        <w:spacing w:before="160" w:line="273" w:lineRule="auto"/>
        <w:jc w:val="both"/>
      </w:pPr>
      <w:r w:rsidRPr="00AF5F13">
        <w:t>sejbiet mill-valutazzjonijiet tal-awtoritajiet kompetenti tal-kwalità tal-kontrolli fis-seħħ fi ħdan fergħat jew sussidjarji tas-suġġetti tal-valutazzjoni;</w:t>
      </w:r>
    </w:p>
    <w:p w14:paraId="7A731BFC" w14:textId="1E96920E" w:rsidR="00696DB5" w:rsidRPr="00AF5F13" w:rsidRDefault="00722BBB" w:rsidP="004D193D">
      <w:pPr>
        <w:pStyle w:val="ListParagraph"/>
        <w:widowControl w:val="0"/>
        <w:numPr>
          <w:ilvl w:val="1"/>
          <w:numId w:val="20"/>
        </w:numPr>
        <w:tabs>
          <w:tab w:val="left" w:pos="941"/>
          <w:tab w:val="left" w:pos="942"/>
        </w:tabs>
        <w:autoSpaceDE w:val="0"/>
        <w:autoSpaceDN w:val="0"/>
        <w:spacing w:before="160" w:line="273" w:lineRule="auto"/>
        <w:jc w:val="both"/>
      </w:pPr>
      <w:r w:rsidRPr="00AF5F13">
        <w:t>ksur serju jew dgħufijiet materjali f’fergħat jew sussidjarji identifikati mill-awtoritajiet kompetenti rilevanti fil-ġurisdizzjonijiet tagħhom;</w:t>
      </w:r>
    </w:p>
    <w:p w14:paraId="2D059E11" w14:textId="62FB655F" w:rsidR="00696DB5" w:rsidRPr="00AF5F13" w:rsidRDefault="00696DB5" w:rsidP="004D193D">
      <w:pPr>
        <w:pStyle w:val="ListParagraph"/>
        <w:widowControl w:val="0"/>
        <w:numPr>
          <w:ilvl w:val="1"/>
          <w:numId w:val="20"/>
        </w:numPr>
        <w:tabs>
          <w:tab w:val="left" w:pos="941"/>
          <w:tab w:val="left" w:pos="942"/>
        </w:tabs>
        <w:autoSpaceDE w:val="0"/>
        <w:autoSpaceDN w:val="0"/>
        <w:spacing w:before="160" w:line="273" w:lineRule="auto"/>
        <w:jc w:val="both"/>
      </w:pPr>
      <w:r w:rsidRPr="00AF5F13">
        <w:t>kwalunkwe miżura superviżorja u sanzjoni imposta fuq fergħat jew sussidjarji mill-awtoritajiet kompetenti rilevanti fil-ġurisdizzjonijiet tagħhom.</w:t>
      </w:r>
    </w:p>
    <w:p w14:paraId="4B8DAE0B" w14:textId="265F0B67" w:rsidR="00CE14AE" w:rsidRPr="00AF5F13" w:rsidRDefault="000E2B47" w:rsidP="00EC596C">
      <w:pPr>
        <w:pStyle w:val="body"/>
        <w:numPr>
          <w:ilvl w:val="0"/>
          <w:numId w:val="10"/>
        </w:numPr>
      </w:pPr>
      <w:r w:rsidRPr="00AF5F13">
        <w:t>Meta jiġi vvalutat jekk is-suġġetti tal-valutazzjoni implimentawx b’mod effettiv il-politiki u l-proċeduri tal-grupp kollu fil-fergħat u s-sussidjarji tagħhom, l-awtoritajiet kompetenti, li huma s-superviżur ewlieni, għandhom jirreferu għall-valutazzjoni tar-riskju fir-rigward ta’ dawn is-suġġetti tal-valutazzjoni deskritti fil-paragrafi 57 u 58 ta’ dawn il-linji gwida u, b’mod partikolari, il-valutazzjoni tar-riskji ġeografiċi li għalihom ikunu esposti l-fergħat u s-sussidjarji tas-suġġetti tal-valutazzjoni.</w:t>
      </w:r>
    </w:p>
    <w:p w14:paraId="155ABADC" w14:textId="274530BB" w:rsidR="00CE14AE" w:rsidRPr="00AF5F13" w:rsidRDefault="00CE14AE" w:rsidP="00C568D1">
      <w:pPr>
        <w:pStyle w:val="Numberedtitlelevel3"/>
      </w:pPr>
      <w:r w:rsidRPr="00AF5F13">
        <w:t>L-ippeżar tal-fatturi ta’ riskju</w:t>
      </w:r>
    </w:p>
    <w:p w14:paraId="54BF3BC0" w14:textId="246B4642" w:rsidR="00CE14AE" w:rsidRPr="00AF5F13" w:rsidRDefault="00CE14AE" w:rsidP="00EC596C">
      <w:pPr>
        <w:pStyle w:val="body"/>
        <w:numPr>
          <w:ilvl w:val="0"/>
          <w:numId w:val="10"/>
        </w:numPr>
      </w:pPr>
      <w:r w:rsidRPr="00AF5F13">
        <w:t>L-awtoritajiet kompetenti għandhom jippeżaw il-fatturi ta’ riskju għas-setturi u s-suġġetti tal-valutazzjoni identifikati taħt il-Pass 1 tal-Mudell RBS, skont l-importanza relattiva tagħhom. F’dan ir-rigward, hemm għadd ta’ kunsiderazzjonijiet li l-awtoritajiet kompetenti għandhom iqisu:</w:t>
      </w:r>
    </w:p>
    <w:p w14:paraId="47640692" w14:textId="47EEB0B7" w:rsidR="00CE14AE" w:rsidRPr="00AF5F13" w:rsidRDefault="009F6460" w:rsidP="004D193D">
      <w:pPr>
        <w:pStyle w:val="ListParagraph"/>
        <w:widowControl w:val="0"/>
        <w:numPr>
          <w:ilvl w:val="1"/>
          <w:numId w:val="21"/>
        </w:numPr>
        <w:tabs>
          <w:tab w:val="left" w:pos="941"/>
          <w:tab w:val="left" w:pos="942"/>
        </w:tabs>
        <w:autoSpaceDE w:val="0"/>
        <w:autoSpaceDN w:val="0"/>
        <w:spacing w:before="160" w:line="273" w:lineRule="auto"/>
        <w:jc w:val="both"/>
      </w:pPr>
      <w:r w:rsidRPr="00AF5F13">
        <w:t>Meta jippeżaw il-fatturi ta’ riskju inerenti, l-awtoritajiet kompetenti għandhom jagħmlu ġudizzju informat dwar ir-rilevanza tal-fatturi differenti fir-rigward ta’ settur, subsettur jew suġġett tal-valutazzjoni individwali. Fir-rigward tas-suġġetti tal-valutazzjoni individwali, l-awtoritajiet kompetenti għandhom iqisu l-valutazzjoni tar-riskju settorjali jew subsettorjali tagħhom.</w:t>
      </w:r>
    </w:p>
    <w:p w14:paraId="635CF65D" w14:textId="009CBF5E" w:rsidR="00CE14AE" w:rsidRPr="00AF5F13" w:rsidRDefault="009F6460" w:rsidP="004D193D">
      <w:pPr>
        <w:pStyle w:val="ListParagraph"/>
        <w:widowControl w:val="0"/>
        <w:numPr>
          <w:ilvl w:val="1"/>
          <w:numId w:val="21"/>
        </w:numPr>
        <w:tabs>
          <w:tab w:val="left" w:pos="941"/>
          <w:tab w:val="left" w:pos="942"/>
        </w:tabs>
        <w:autoSpaceDE w:val="0"/>
        <w:autoSpaceDN w:val="0"/>
        <w:spacing w:before="160" w:line="273" w:lineRule="auto"/>
        <w:jc w:val="both"/>
      </w:pPr>
      <w:r w:rsidRPr="00AF5F13">
        <w:t>Il-piż mogħti lill-fatturi ta’ riskju individwali jista’ jvarja bejn settur, subsettur jew suġġett tal-valutazzjoni għal ieħor, iżda l-awtoritajiet kompetenti għandhom jużaw fatturi simili għal setturi, subsetturi jew suġġetti tal-valutazzjoni simili.</w:t>
      </w:r>
    </w:p>
    <w:p w14:paraId="00643A23" w14:textId="5BEF4FEA" w:rsidR="00CE14AE" w:rsidRPr="00AF5F13" w:rsidRDefault="00CE14AE" w:rsidP="004D193D">
      <w:pPr>
        <w:pStyle w:val="ListParagraph"/>
        <w:widowControl w:val="0"/>
        <w:numPr>
          <w:ilvl w:val="1"/>
          <w:numId w:val="21"/>
        </w:numPr>
        <w:tabs>
          <w:tab w:val="left" w:pos="941"/>
          <w:tab w:val="left" w:pos="942"/>
        </w:tabs>
        <w:autoSpaceDE w:val="0"/>
        <w:autoSpaceDN w:val="0"/>
        <w:spacing w:before="160" w:line="273" w:lineRule="auto"/>
        <w:jc w:val="both"/>
      </w:pPr>
      <w:r w:rsidRPr="00AF5F13">
        <w:t xml:space="preserve"> L-ippeżar tar-riskji ma jwassalx għal sitwazzjoni fejn ikun impossibbli għal settur, subsettur jew suġġett tal-valutazzjoni li jiġi kklassifikat bħala riskju sinifikanti jew sinifikanti ħafna jew fejn is-setturi, is-subsetturi jew is-suġġetti tal-valutazzjoni kollha jaqgħu fl-istess kategorija ta’ riskju.</w:t>
      </w:r>
    </w:p>
    <w:p w14:paraId="2016F6DB" w14:textId="65D58C0A" w:rsidR="00CE14AE" w:rsidRPr="00AF5F13" w:rsidRDefault="009F6460" w:rsidP="004D193D">
      <w:pPr>
        <w:pStyle w:val="ListParagraph"/>
        <w:widowControl w:val="0"/>
        <w:numPr>
          <w:ilvl w:val="1"/>
          <w:numId w:val="21"/>
        </w:numPr>
        <w:tabs>
          <w:tab w:val="left" w:pos="941"/>
          <w:tab w:val="left" w:pos="942"/>
        </w:tabs>
        <w:autoSpaceDE w:val="0"/>
        <w:autoSpaceDN w:val="0"/>
        <w:spacing w:before="160" w:line="273" w:lineRule="auto"/>
        <w:jc w:val="both"/>
      </w:pPr>
      <w:r w:rsidRPr="00AF5F13">
        <w:t xml:space="preserve">L-ippeżar ma jkunx influwenzat bla bżonn minn fattur ta’ riskju wieħed biss u li </w:t>
      </w:r>
      <w:r w:rsidRPr="00AF5F13">
        <w:lastRenderedPageBreak/>
        <w:t>kunsiderazzjoni xierqa tingħata lill-fatturi li huma identifikati fid-Direttiva (UE) 2015/849 jew leġiżlazzjoni nazzjonali li bħal dejjem jippreżentaw riskju ta’ ML/TF għoli jew sinifikanti. Meta jippeżaw il-fatturi ta’ riskju, l-awtoritajiet kompetenti għandhom jiżguraw li fattur ta’ riskju wieħed ma jfixkilx il-bilanċ tal-ippeżar kumplessiv għal valutazzjoni sproporzjonata u mhux raġonevoli.</w:t>
      </w:r>
    </w:p>
    <w:p w14:paraId="2C08F47F" w14:textId="1A2E8D9F" w:rsidR="001A181F" w:rsidRPr="00AF5F13" w:rsidRDefault="00CE14AE" w:rsidP="00EC596C">
      <w:pPr>
        <w:pStyle w:val="body"/>
        <w:numPr>
          <w:ilvl w:val="0"/>
          <w:numId w:val="10"/>
        </w:numPr>
      </w:pPr>
      <w:r w:rsidRPr="00AF5F13">
        <w:t>Meta l-awtoritajiet kompetenti jużaw sistemi awtomatizzati tal-IT biex jallokaw punteġġi tar-riskju globali lis-suġġetti tal-valutazzjoni, u b’mod partikolari f’sitwazzjonijiet fejn ma jkunux żviluppawhom internament iżda jkunu xtrawhom minn fornitur estern jew inkella jkunu ddependew minn input estern, għandhom jifhmu kif taħdem is-sistema u kif din tikkombina jew tippeża l-fatturi ta’ riskju biex tikseb punteġġ tar-riskju globali. L-awtoritajiet kompetenti għandhom dejjem ikunu sodisfatti li l-punteġġi allokati jirriflettu l-fehim tagħhom tar-riskju ta’ ML/TF assoċjat mas-suġġett tal-valutazzjoni.</w:t>
      </w:r>
    </w:p>
    <w:p w14:paraId="6E987231" w14:textId="77777777" w:rsidR="00CE14AE" w:rsidRPr="00AF5F13" w:rsidRDefault="00A94C7F" w:rsidP="00C568D1">
      <w:pPr>
        <w:pStyle w:val="Numberedtitlelevel3"/>
      </w:pPr>
      <w:r w:rsidRPr="00AF5F13">
        <w:t>Profili u kategoriji ta’ riskju</w:t>
      </w:r>
    </w:p>
    <w:p w14:paraId="6961BBA2" w14:textId="4C6A376B" w:rsidR="00CE14AE" w:rsidRPr="00AF5F13" w:rsidRDefault="00CE14AE" w:rsidP="00EC596C">
      <w:pPr>
        <w:pStyle w:val="body"/>
        <w:numPr>
          <w:ilvl w:val="0"/>
          <w:numId w:val="10"/>
        </w:numPr>
      </w:pPr>
      <w:r w:rsidRPr="00AF5F13">
        <w:t xml:space="preserve">Il-valutazzjoni tal-livell tar-riskju inerenti u tal-effett fuq il-livell tar-riskju inerenti mill-mitiganti tar-riskju għandha tirriżulta fl-assenjazzjoni ta’ punteġġ tar-riskju, fejn rilevanti, lis-settur, lis-subsettur u lis-suġġett tal-valutazzjoni, sabiex jiġi ffaċilitat it-tqabbil bejn is-suġġetti tal-valutazzjoni u biex tiġi informata l-azzjoni li huma jieħdu fil-Pass 3. </w:t>
      </w:r>
    </w:p>
    <w:p w14:paraId="65681D2D" w14:textId="2D779C11" w:rsidR="0099084D" w:rsidRPr="00AF5F13" w:rsidRDefault="0099084D" w:rsidP="00EC596C">
      <w:pPr>
        <w:pStyle w:val="body"/>
        <w:numPr>
          <w:ilvl w:val="0"/>
          <w:numId w:val="10"/>
        </w:numPr>
      </w:pPr>
      <w:r w:rsidRPr="00AF5F13">
        <w:t>L-awtoritajiet kompetenti għandhom jiżguraw li l-valutazzjoni tal-mitiganti fi ħdan is-suġġett tal-valutazzjoni, is-settur jew is-subsettur tkun ibbażata fuq informazzjoni affidabbli, bħall-informazzjoni stabbilita fil-punt b) tal-paragrafu 45 hawn fuq. Fin-nuqqas ta’ tali informazzjoni, l-awtoritajiet kompetenti għandhom jikkunsidraw jekk l-inklużjoni ta’ fatturi mitiganti hijiex ġustifikata, u jekk, bħala riżultat tal-allokazzjoni tal-punteġġi għal fatturi mitiganti, il-punteġġ tar-riskju ta’ ML/TF finali tas-suġġett tal-valutazzjoni huwiex distort.</w:t>
      </w:r>
    </w:p>
    <w:p w14:paraId="663433B1" w14:textId="2E838514" w:rsidR="0099084D" w:rsidRPr="00AF5F13" w:rsidRDefault="0099084D" w:rsidP="00EC596C">
      <w:pPr>
        <w:pStyle w:val="body"/>
        <w:numPr>
          <w:ilvl w:val="0"/>
          <w:numId w:val="10"/>
        </w:numPr>
      </w:pPr>
      <w:r w:rsidRPr="00AF5F13">
        <w:t>Meta l-awtoritajiet kompetenti jkollhom biss informazzjoni limitata jew mhux ivverifikata disponibbli għalihom dwar il-mitiganti fi ħdan is-suġġett tal-valutazzjoni jew is-settur u s-subsettur, għandhom jikkategorizzaw dawn is-suġġetti tal-valutazzjoni, is-setturi u s-subsetturi abbażi tal-profil tar-riskju inerenti tagħhom u jassenjaw il-punteġġ tar-riskju residwu meta ssir disponibbli informazzjoni rilevanti.</w:t>
      </w:r>
    </w:p>
    <w:p w14:paraId="7BB0002A" w14:textId="06951D98" w:rsidR="00CE14AE" w:rsidRPr="00AF5F13" w:rsidRDefault="00CE14AE" w:rsidP="00EC596C">
      <w:pPr>
        <w:pStyle w:val="body"/>
        <w:numPr>
          <w:ilvl w:val="0"/>
          <w:numId w:val="10"/>
        </w:numPr>
      </w:pPr>
      <w:r w:rsidRPr="00AF5F13">
        <w:t>L-awtoritajiet kompetenti għandhom jużaw il-ġudizzju professjonali tagħhom biex jivvalidaw ir-riżultati tal-valutazzjoni tar-riskju globali tas-suġġett tal-valutazzjoni jew tas-settur/subsettur u jikkorreġuhom, jekk ikun meħtieġ.</w:t>
      </w:r>
    </w:p>
    <w:p w14:paraId="2A03368F" w14:textId="223E7756" w:rsidR="00D343F8" w:rsidRPr="00AF5F13" w:rsidRDefault="00D343F8" w:rsidP="004D193D">
      <w:pPr>
        <w:pStyle w:val="ListParagraph"/>
        <w:widowControl w:val="0"/>
        <w:numPr>
          <w:ilvl w:val="0"/>
          <w:numId w:val="10"/>
        </w:numPr>
        <w:tabs>
          <w:tab w:val="left" w:pos="648"/>
        </w:tabs>
        <w:autoSpaceDE w:val="0"/>
        <w:autoSpaceDN w:val="0"/>
        <w:spacing w:before="240" w:after="120" w:line="276" w:lineRule="auto"/>
        <w:ind w:right="219"/>
        <w:jc w:val="both"/>
      </w:pPr>
      <w:r w:rsidRPr="00AF5F13">
        <w:t xml:space="preserve">L-awtoritajiet kompetenti għandhom jiddeċiedu dwar il-mod l-aktar xieraq għall-kategorizzazzjoni tal-profili tar-riskju tas-suġġetti tal-valutazzjoni, setturi u subsetturi. Sabiex tinkiseb konverġenza u jiġu ffaċilitati l-kooperazzjoni u l-iskambju ta’ informazzjoni bejn awtoritajiet kompetenti differenti, l-awtoritajiet kompetenti għandhom jikkunsidraw li jikklassifikaw is-suġġetti tal-valutazzjoni, is-setturi u s-subsetturi bħala “sinifikanti ħafna”, “sinifikanti”, “moderatament sinifikanti” u “inqas sinifikanti” f’konformità mal-proċessi ta’ valutazzjoni tar-riskju ta’ ML/TF tal-EBA. </w:t>
      </w:r>
    </w:p>
    <w:p w14:paraId="2D6D8307" w14:textId="5174D444" w:rsidR="00D343F8" w:rsidRPr="00AF5F13" w:rsidRDefault="00D343F8" w:rsidP="004D193D">
      <w:pPr>
        <w:pStyle w:val="ListParagraph"/>
        <w:widowControl w:val="0"/>
        <w:numPr>
          <w:ilvl w:val="0"/>
          <w:numId w:val="10"/>
        </w:numPr>
        <w:tabs>
          <w:tab w:val="left" w:pos="648"/>
        </w:tabs>
        <w:autoSpaceDE w:val="0"/>
        <w:autoSpaceDN w:val="0"/>
        <w:spacing w:before="240" w:after="120" w:line="276" w:lineRule="auto"/>
        <w:ind w:right="219"/>
        <w:jc w:val="both"/>
      </w:pPr>
      <w:r w:rsidRPr="00AF5F13">
        <w:lastRenderedPageBreak/>
        <w:t xml:space="preserve">L-awtoritajiet kompetenti għandhom jiżguraw li l-proċessi ta’ valutazzjoni tar-riskju tagħhom jippermettulhom jiddistingwu bejn riskji inerenti u dawk residwi. Meta jikkategorizzaw ir-riskju inerenti assoċjat mas-suġġetti tal-valutazzjoni, is-setturi jew is-subsetturi, l-awtoritajiet kompetenti għandhom jikkunsidraw il-kategoriji ta’ riskju li ġejjin: </w:t>
      </w:r>
    </w:p>
    <w:p w14:paraId="5D487C55" w14:textId="0A000D1F" w:rsidR="00CE14AE" w:rsidRPr="00AF5F13"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AF5F13">
        <w:t xml:space="preserve">riskju inqas sinifikanti, fejn is-suġġett tal-valutazzjoni, is-settur jew is-subsettur huwa improbabbli ħafna li jiġi abbużat b’mod estensiv għal skopijiet ta’ ML/TF; </w:t>
      </w:r>
    </w:p>
    <w:p w14:paraId="40D6AC16" w14:textId="3F041EA0" w:rsidR="00CE14AE" w:rsidRPr="00AF5F13"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AF5F13">
        <w:t>riskju moderatament sinifikanti, fejn is-suġġett tal-valutazzjoni, is-settur jew is-subsettur huwa improbabbli li jiġi abbużat b’mod estensiv għal skopijiet ta’ ML/TF;</w:t>
      </w:r>
    </w:p>
    <w:p w14:paraId="06948E5B" w14:textId="1C17BB17" w:rsidR="00CE14AE" w:rsidRPr="00AF5F13"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AF5F13">
        <w:t>riskju sinifikanti, fejn is-suġġett tal-valutazzjoni, is-settur jew is-subsettur x’aktarx li jiġi abbużat b’mod estensiv għal skopijiet ta’ ML/TF; jew</w:t>
      </w:r>
    </w:p>
    <w:p w14:paraId="0C25DBAE" w14:textId="55712876" w:rsidR="00CE14AE" w:rsidRPr="00AF5F13"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AF5F13">
        <w:t>riskju sinifikanti ħafna, fejn is-suġġett tal-valutazzjoni, is-settur jew is-subsettur x’aktarx li jiġi abbużat b’mod estensiv għal skopijiet ta’ ML/TF.</w:t>
      </w:r>
    </w:p>
    <w:p w14:paraId="2369528B" w14:textId="615220F5" w:rsidR="00CE14AE" w:rsidRPr="00AF5F13" w:rsidRDefault="00CE14AE" w:rsidP="00EC596C">
      <w:pPr>
        <w:pStyle w:val="body"/>
        <w:numPr>
          <w:ilvl w:val="0"/>
          <w:numId w:val="10"/>
        </w:numPr>
      </w:pPr>
      <w:r w:rsidRPr="00AF5F13">
        <w:t xml:space="preserve">Meta jikkategorizzaw ir-riskju residwu assoċjat mas-suġġetti tal-valutazzjoni, is-setturi jew is-subsetturi, l-awtoritajiet kompetenti għandhom jikkunsidraw l-impatt li l-miżuri ta’ mitigazzjoni jista’ jkollhom fuq ir-riskju inerenti assoċjat mas-suġġetti tal-valutazzjoni, is-setturi u s-subsetturi. L-erba’ kategoriji ta’ riskju għandhom jiġu applikati mill-awtoritajiet kompetenti biex jikkategorizzaw ir-riskju residwu kif ġej: </w:t>
      </w:r>
    </w:p>
    <w:p w14:paraId="1A90580B" w14:textId="77777777" w:rsidR="00CE14AE" w:rsidRPr="00AF5F13"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AF5F13">
        <w:t>riskju inqas sinifikanti, fejn ir-riskju inerenti jkun inqas sinifikanti u l-profil tar-riskju jibqa’ mhux affettwat mill-mitigazzjoni, jew fejn ir-riskju inerenti jkun moderatament sinifikanti jew sinifikanti, iżda jkun mitigat b’mod effettiv permezz ta’ sistemi u kontrolli tal-AML/CFT;</w:t>
      </w:r>
    </w:p>
    <w:p w14:paraId="2E8E64A8" w14:textId="77777777" w:rsidR="00CE14AE" w:rsidRPr="00AF5F13"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AF5F13">
        <w:t xml:space="preserve">riskju moderatament sinifikanti, fejn ir-riskju inerenti jkun moderatament sinifikanti u l-profil tar-riskju jibqa’ mhux affettwat mill-mitigazzjoni, jew fejn ir-riskju inerenti jkun sinifikanti jew sinifikanti ħafna, iżda jkun mitigat b’mod effettiv permezz ta’ sistemi u kontrolli tal-AML/CFT; </w:t>
      </w:r>
    </w:p>
    <w:p w14:paraId="27B83F86" w14:textId="77777777" w:rsidR="00CE14AE" w:rsidRPr="00AF5F13"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AF5F13">
        <w:t xml:space="preserve">riskju sinifikanti, fejn l-iskopertura għar-riskju inerenti tkun sinifikanti u l-profil tar-riskju jibqa’ mhux affettwat mill-mitigazzjoni, jew fejn ir-riskju inerenti jkun sinifikanti ħafna iżda jkun mitigat b’mod effettiv permezz ta’ sistemi u kontrolli tal-AML/CFT; jew </w:t>
      </w:r>
    </w:p>
    <w:p w14:paraId="6269BDE3" w14:textId="4710F311" w:rsidR="00CE14AE" w:rsidRPr="00AF5F13"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AF5F13">
        <w:t xml:space="preserve">riskju sinifikanti ħafna, fejn ir-riskju inerenti jkun sinifikanti ħafna u, irrispettivament mill-mitigazzjoni, il-profil tar-riskju jibqa’ mhux affettwat mill-mitigazzjoni, jew fejn ir-riskju inerenti jkun sinifikanti ħafna u ma jkunx mitigat b’mod effettiv minħabba sistemi sistemiċi tal-AML/CFT u dgħufijiet fil-kontroll fis-suġġett tal-valutazzjoni jew fil-maġġoranza tas-suġġetti tal-valutazzjoni fis-settur. </w:t>
      </w:r>
    </w:p>
    <w:p w14:paraId="49C3DFF2" w14:textId="47106D72" w:rsidR="00701E89" w:rsidRPr="00AF5F13" w:rsidRDefault="00D343F8" w:rsidP="004D193D">
      <w:pPr>
        <w:pStyle w:val="ListParagraph"/>
        <w:widowControl w:val="0"/>
        <w:numPr>
          <w:ilvl w:val="0"/>
          <w:numId w:val="10"/>
        </w:numPr>
        <w:tabs>
          <w:tab w:val="left" w:pos="648"/>
        </w:tabs>
        <w:autoSpaceDE w:val="0"/>
        <w:autoSpaceDN w:val="0"/>
        <w:spacing w:before="240" w:line="276" w:lineRule="auto"/>
        <w:ind w:right="-8"/>
        <w:jc w:val="both"/>
      </w:pPr>
      <w:r w:rsidRPr="00AF5F13">
        <w:t>Meta l-awtoritajiet kompetenti jiddeċiedu li ma japplikawx il-klassifikazzjoni tar-riskji stabbilita fil-paragrafi 69, 70 u 71 hawn fuq, għandhom ikunu jistgħu jikkonvertu l-kategoriji tar-riskju tagħhom f’konformità ma’ dawk rakkomandati f’dawn il-linji gwida. L-awtoritajiet kompetenti għandhom jadottaw approċċ konservattiv meta jikkonvertu l-kategoriji tar-riskju kif deskritt fl-anness ta’ dawn il-linji gwida.</w:t>
      </w:r>
    </w:p>
    <w:p w14:paraId="7A732612" w14:textId="77777777" w:rsidR="00CE14AE" w:rsidRPr="00AF5F13" w:rsidRDefault="00CE14AE" w:rsidP="004D193D">
      <w:pPr>
        <w:pStyle w:val="body"/>
        <w:numPr>
          <w:ilvl w:val="0"/>
          <w:numId w:val="10"/>
        </w:numPr>
        <w:spacing w:after="0"/>
      </w:pPr>
      <w:r w:rsidRPr="00AF5F13">
        <w:lastRenderedPageBreak/>
        <w:t>L-awtoritajiet kompetenti għandhom jinnotaw li l-kategorizzazzjoni tas-suġġetti tal-valutazzjoni għall-finijiet tar-riskju ta’ ML/TF tista’ tkun differenti mill-kategoriji applikati għall-istess suġġetti tal-valutazzjoni għal finijiet usa’ ta’ riskju ta’ twettiq jew riskju prudenzjali.</w:t>
      </w:r>
    </w:p>
    <w:p w14:paraId="2E88749B" w14:textId="251CBF4E" w:rsidR="00CE14AE" w:rsidRPr="00AF5F13" w:rsidRDefault="00CE14AE" w:rsidP="004D193D">
      <w:pPr>
        <w:pStyle w:val="body"/>
        <w:numPr>
          <w:ilvl w:val="0"/>
          <w:numId w:val="10"/>
        </w:numPr>
        <w:spacing w:after="0"/>
      </w:pPr>
      <w:r w:rsidRPr="00AF5F13">
        <w:t>Meta awtorità kompetenti tuża sistema tal-IT awtomatizzata biex tiddetermina l-profil tar-riskju jew il-punteġġ ta’ suġġett tal-valutazzjoni individwali, l-awtoritajiet kompetenti għandhom jagħmlu konċessjonijiet għal sitwazzjonijiet fejn jista’ jkun li jkollhom bżonn jemendaw ir-riżultati tal-punteġġ awtomatizzat abbażi tal-ġudizzju professjonali tagħhom flimkien mal-proċess ta’ rieżami stabbilit fil-Pass 4 tal-Mudell RBS. L-awtoritajiet kompetenti jistgħu jiddeċiedu li japplikaw il-ġudizzju professjonali tagħhom jekk ikun hemm informazzjoni li tissuġġerixxi li l-klassifikazzjoni tar-riskju globali mhijiex riflessjoni vera tar-realtà, inkluż informazzjoni minn unitajiet tal-intelligence finanzjarja, rapporti tal-midja, superviżuri oħra jew superviżjoni fuq il-post u mhux fuq il-post. Ir-raġunament għal tali bidliet fil-profil tar-riskju jew fil-punteġġ għandu jiġi ddokumentat b’mod ċar mill-awtorità kompetenti.</w:t>
      </w:r>
    </w:p>
    <w:p w14:paraId="43EE1FB9" w14:textId="77777777" w:rsidR="00CE14AE" w:rsidRPr="00AF5F13" w:rsidRDefault="00CE14AE" w:rsidP="00C568D1">
      <w:pPr>
        <w:pStyle w:val="Numberedtitlelevel2"/>
      </w:pPr>
      <w:r w:rsidRPr="00AF5F13">
        <w:t>Pass 3 – Is-superviżjoni</w:t>
      </w:r>
    </w:p>
    <w:p w14:paraId="2143C5A4" w14:textId="77777777" w:rsidR="00790EFE" w:rsidRPr="00AF5F13" w:rsidRDefault="00790EFE" w:rsidP="00790EFE">
      <w:pPr>
        <w:pStyle w:val="Numberedtitlelevel3"/>
      </w:pPr>
      <w:r w:rsidRPr="00AF5F13">
        <w:t>Dispożizzjonijiet ġenerali</w:t>
      </w:r>
    </w:p>
    <w:p w14:paraId="4001D85B" w14:textId="5AE3DFB0" w:rsidR="00790EFE" w:rsidRPr="00AF5F13" w:rsidRDefault="00790EFE" w:rsidP="00EC596C">
      <w:pPr>
        <w:pStyle w:val="body"/>
        <w:numPr>
          <w:ilvl w:val="0"/>
          <w:numId w:val="10"/>
        </w:numPr>
      </w:pPr>
      <w:r w:rsidRPr="00AF5F13">
        <w:t>L-awtoritajiet kompetenti għandhom jiżguraw li s-suġġetti tal-valutazzjoni esposti għal riskji ta’ ML/TF sinifikanti u sinifikanti ħafna jkunu soġġetti għal superviżjoni aktar frekwenti u intrużiva minn dawk esposti għal riskji moderati jew inqas sinifikanti. L-awtoritajiet kompetenti għandhom jaġġustaw l-approċċ superviżorju tagħhom billi jaġġustaw wieħed jew aktar mill-elementi li ġejjin:</w:t>
      </w:r>
    </w:p>
    <w:p w14:paraId="21D5E23E" w14:textId="75442E2B" w:rsidR="00790EFE" w:rsidRPr="00AF5F13"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AF5F13">
        <w:t xml:space="preserve">in-natura tas-superviżjoni, bl-aġġustament tal-proporzjon bejn l-għodod superviżorji mhux fuq il-post u dawk fuq il-post; </w:t>
      </w:r>
    </w:p>
    <w:p w14:paraId="25552D6E" w14:textId="41DDA220" w:rsidR="00790EFE" w:rsidRPr="00AF5F13"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AF5F13">
        <w:t>il-fokus tas-superviżjoni, billi jiffukaw fuq il-qafas ġenerali tal-AML/CFT fis-seħħ fis-suġġetti tal-valutazzjoni jew billi jiffokaw fuq il-ġestjoni ta’ riskji ta’ ML/TF speċifiċi, inklużi riskji assoċjati ma’ prodotti jew servizzi partikolari, jew fuq aspetti speċifiċi tal-proċessi tal-AML/CFT bħall-identifikazzjoni tal-klijenti, il-valutazzjoni tar-riskju, il-monitoraġġ kontinwu u l-attivitajiet ta’ rapportar;</w:t>
      </w:r>
    </w:p>
    <w:p w14:paraId="4FBCA4AF" w14:textId="77777777" w:rsidR="00790EFE" w:rsidRPr="00AF5F13"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AF5F13">
        <w:t>il-frekwenza tas-superviżjoni, billi jiġi żgurat li s-suġġetti tal-valutazzjoni li huma esposti għal riskji ta’ ML/TF aktar sinifikanti jiġu ssorveljati b’mod aktar frekwenti minn dawk is-suġġetti tal-valutazzjoni li huma esposti għal riskji inqas sinifikanti; u</w:t>
      </w:r>
    </w:p>
    <w:p w14:paraId="1306B19B" w14:textId="77777777" w:rsidR="00790EFE" w:rsidRPr="00AF5F13"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AF5F13">
        <w:t>l-intensità u l-intrussività tas-superviżjoni, billi jiġi ddeterminat, skont ir-riskju, il-limitu tar-rieżamijiet tal-fajls tal-klijenti, it-testijiet kampjunarji tat-tranżazzjonijiet u r-rapporti dwar it-tranżazzjonijiet suspettużi mwettqa fuq il-post. L-awtoritajiet kompetenti għandhom jinnotaw li rieżami bbażat biss fuq valutazzjoni tal-politiki u l-proċeduri, minflok fuq l-implimentazzjoni tagħhom, x’aktarx ma jkunx suffiċjenti f’sitwazzjonijiet fejn l-iskopertura għar-riskju ta’ ML/TF tkun aktar sinifikanti.</w:t>
      </w:r>
    </w:p>
    <w:p w14:paraId="02D84D98" w14:textId="77777777" w:rsidR="00CE14AE" w:rsidRPr="00AF5F13" w:rsidRDefault="00CE14AE" w:rsidP="00EC596C">
      <w:pPr>
        <w:pStyle w:val="Numberedtitlelevel3"/>
        <w:numPr>
          <w:ilvl w:val="2"/>
          <w:numId w:val="53"/>
        </w:numPr>
      </w:pPr>
      <w:r w:rsidRPr="00AF5F13">
        <w:t>Strateġija superviżorja</w:t>
      </w:r>
    </w:p>
    <w:p w14:paraId="1D01EC40" w14:textId="7AA7E003" w:rsidR="00CE14AE" w:rsidRPr="00AF5F13" w:rsidRDefault="00CE14AE" w:rsidP="00DB32D1">
      <w:pPr>
        <w:pStyle w:val="body"/>
        <w:numPr>
          <w:ilvl w:val="0"/>
          <w:numId w:val="10"/>
        </w:numPr>
      </w:pPr>
      <w:r w:rsidRPr="00AF5F13">
        <w:lastRenderedPageBreak/>
        <w:t xml:space="preserve">L-awtoritajiet kompetenti għandhom jiddeterminaw u jimplimentaw strateġija superviżorja tal-AML/CFT aktar fit-tul fejn jistabbilixxu kif se jimmitigaw ir-riskji ta’ ML/TF li jkunu identifikaw fis-setturi u s-subsetturi kollha, fejn rilevanti, taħt is-superviżjoni tagħhom. L-istrateġija għandha tkun ibbażata fuq il-valutazzjoni tar-riskju mifrux mas-settur kollu mwettqa mill-awtoritajiet kompetenti skont il-Linja Gwida </w:t>
      </w:r>
      <w:r w:rsidR="003A423D" w:rsidRPr="00E13476">
        <w:t>4.</w:t>
      </w:r>
      <w:r w:rsidRPr="00AF5F13">
        <w:t>3.</w:t>
      </w:r>
    </w:p>
    <w:p w14:paraId="6DD1236C" w14:textId="745AA10E" w:rsidR="00CE14AE" w:rsidRPr="00AF5F13" w:rsidRDefault="00CE14AE" w:rsidP="004D193D">
      <w:pPr>
        <w:pStyle w:val="body"/>
        <w:widowControl w:val="0"/>
        <w:numPr>
          <w:ilvl w:val="0"/>
          <w:numId w:val="10"/>
        </w:numPr>
        <w:autoSpaceDE w:val="0"/>
        <w:autoSpaceDN w:val="0"/>
        <w:spacing w:before="160" w:after="0" w:line="273" w:lineRule="auto"/>
        <w:ind w:left="720"/>
      </w:pPr>
      <w:r w:rsidRPr="00AF5F13">
        <w:t>Fl-istrateġija, l-awtoritajiet kompetenti għandhom jistabbilixxu objettivi ċari għall-approċċ tagħhom għas-superviżjoni tal-AML/CFT u jistabbilixxu kif dawn l-objettivi se jintlaħqu f’perjodu ta’ żmien definit u bir-riżorsi disponibbli. Bħala parti minn dan, strateġija superviżorja għandha:</w:t>
      </w:r>
    </w:p>
    <w:p w14:paraId="0B48CDB7" w14:textId="53E17CE3" w:rsidR="00CE14AE" w:rsidRPr="00AF5F13"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AF5F13">
        <w:t>tispjega kif se jaħdmu biex jittaffew ir-riskji ta’ ML/TF eżistenti identifikati fis-setturi u s-subsetturi taħt is-superviżjoni tagħhom;</w:t>
      </w:r>
    </w:p>
    <w:p w14:paraId="0308931E" w14:textId="2FEEC64F" w:rsidR="00CE14AE" w:rsidRPr="00AF5F13"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AF5F13">
        <w:t>tispjega kif se jiżguraw li kopertura superviżorja adegwata u monitoraġġ proporzjonat mar-riskju ta’ ML/TF jiġu applikati għas-setturi u s-subsetturi kollha, inklużi dawk assoċjati ma’ riskji ta’ ML/TF aktar baxxi. B’mod partikolari, kif se jiżguraw li s-setturi assoċjati ma’ riskji ta’ ML/TF aktar sinifikanti se jirċievu kopertura superviżorja ogħla;</w:t>
      </w:r>
    </w:p>
    <w:p w14:paraId="7B008AC3" w14:textId="763A9505" w:rsidR="00CE14AE" w:rsidRPr="00AF5F13"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AF5F13">
        <w:t>tistabbilixxi t-tip ta’ għodod superviżorji li l-awtoritajiet kompetenti se jużaw biex jindirizzaw liema tipi ta’ riskji kif deskritt fit-Taqsima 4.4.4. ta’ dawn il-Linji Gwida;</w:t>
      </w:r>
    </w:p>
    <w:p w14:paraId="5ED842C4" w14:textId="3F6E8520" w:rsidR="00CE14AE"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AF5F13">
        <w:t>tiddefinixxi ċikli ta’ spezzjonijiet u rieżamijiet superviżorji, jekk ikun hemm, skont liema suġġetti ta’ valutazzjoni f’kull kategorija ta’ riskju se jiġu ssorveljati u tiddetermina t-tip ta’ għodod superviżorji applikabbli f’kull ċiklu;</w:t>
      </w:r>
    </w:p>
    <w:p w14:paraId="0DF5F951" w14:textId="306A3FFD" w:rsidR="000127FB" w:rsidRPr="00AF5F13" w:rsidRDefault="000127FB" w:rsidP="000127FB">
      <w:pPr>
        <w:widowControl w:val="0"/>
        <w:tabs>
          <w:tab w:val="left" w:pos="941"/>
          <w:tab w:val="left" w:pos="942"/>
        </w:tabs>
        <w:autoSpaceDE w:val="0"/>
        <w:autoSpaceDN w:val="0"/>
        <w:spacing w:before="160" w:line="273" w:lineRule="auto"/>
        <w:jc w:val="both"/>
      </w:pPr>
      <w:r w:rsidRPr="000127FB">
        <w:rPr>
          <w:rFonts w:ascii="Wingdings" w:eastAsia="Wingdings" w:hAnsi="Wingdings" w:cs="Wingdings"/>
          <w:color w:val="E98E31" w:themeColor="background2"/>
          <w:spacing w:val="-1"/>
        </w:rPr>
        <w:t>Ú</w:t>
      </w:r>
      <w:r w:rsidRPr="000127FB">
        <w:rPr>
          <w:color w:val="E98E31" w:themeColor="background2"/>
          <w:spacing w:val="-1"/>
        </w:rPr>
        <w:t>A1</w:t>
      </w:r>
    </w:p>
    <w:p w14:paraId="29864793" w14:textId="5C85B7CF" w:rsidR="00CE14AE" w:rsidRDefault="00CE2164" w:rsidP="004D193D">
      <w:pPr>
        <w:pStyle w:val="ListParagraph"/>
        <w:widowControl w:val="0"/>
        <w:numPr>
          <w:ilvl w:val="1"/>
          <w:numId w:val="34"/>
        </w:numPr>
        <w:tabs>
          <w:tab w:val="left" w:pos="941"/>
          <w:tab w:val="left" w:pos="942"/>
        </w:tabs>
        <w:autoSpaceDE w:val="0"/>
        <w:autoSpaceDN w:val="0"/>
        <w:spacing w:before="160" w:line="273" w:lineRule="auto"/>
        <w:jc w:val="both"/>
      </w:pPr>
      <w:r w:rsidRPr="00F57386">
        <w:t>tiddetermina r-riżorsi superviżorji meħtieġa għall-implimentazzjoni tal-istrateġija superviżorja u tiżgura li jkun hemm biżżejjed riżorsi disponibbli għalihom. Meta jiġu determinati r-riżorsi meħtieġa, l-awtoritajiet kompetenti għandhom jikkunsidraw ukoll ir-riżorsi teknoloġiċi li jeħtieġu biex iwettqu l-funzjonijiet tagħhom b’mod effettiv, b’mod partikolari fejn it-teknoloġija tkun essenzjali għal kif joperaw is-setturi speċifiċi</w:t>
      </w:r>
      <w:r w:rsidR="009C71BB" w:rsidRPr="00AF5F13">
        <w:t>;</w:t>
      </w:r>
    </w:p>
    <w:p w14:paraId="10E96CA0" w14:textId="762DBF6D" w:rsidR="000127FB" w:rsidRPr="00AF5F13" w:rsidRDefault="000127FB" w:rsidP="000127FB">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1F749B3C" w14:textId="4073D63B" w:rsidR="00CE14AE" w:rsidRPr="00AF5F13" w:rsidRDefault="009C71BB" w:rsidP="004D193D">
      <w:pPr>
        <w:pStyle w:val="ListParagraph"/>
        <w:widowControl w:val="0"/>
        <w:numPr>
          <w:ilvl w:val="1"/>
          <w:numId w:val="34"/>
        </w:numPr>
        <w:tabs>
          <w:tab w:val="left" w:pos="941"/>
          <w:tab w:val="left" w:pos="942"/>
        </w:tabs>
        <w:autoSpaceDE w:val="0"/>
        <w:autoSpaceDN w:val="0"/>
        <w:spacing w:before="160" w:line="273" w:lineRule="auto"/>
        <w:jc w:val="both"/>
      </w:pPr>
      <w:r w:rsidRPr="00AF5F13">
        <w:t>tispjega kif l-awtoritajiet kompetenti se jiffaċċjaw u jindirizzaw ir-riskji emerġenti b’mod effettiv meta dawn jitfaċċaw b’mod li ma jkollux effett negattiv fuq l-istrateġija kollha.</w:t>
      </w:r>
    </w:p>
    <w:p w14:paraId="5774158D" w14:textId="4782FA98" w:rsidR="00CE14AE" w:rsidRPr="00AF5F13" w:rsidRDefault="00CE14AE" w:rsidP="00EC596C">
      <w:pPr>
        <w:pStyle w:val="Numberedtitlelevel3"/>
        <w:numPr>
          <w:ilvl w:val="2"/>
          <w:numId w:val="53"/>
        </w:numPr>
      </w:pPr>
      <w:r w:rsidRPr="00AF5F13">
        <w:t>Il-pjan superviżorju tal-AML/CFT</w:t>
      </w:r>
    </w:p>
    <w:p w14:paraId="292481F7" w14:textId="36EE6130" w:rsidR="006B19CA" w:rsidRPr="00AF5F13" w:rsidRDefault="00CE14AE" w:rsidP="00EC596C">
      <w:pPr>
        <w:pStyle w:val="body"/>
        <w:numPr>
          <w:ilvl w:val="0"/>
          <w:numId w:val="10"/>
        </w:numPr>
      </w:pPr>
      <w:r w:rsidRPr="00AF5F13">
        <w:t>L-awtoritajiet kompetenti għandhom jiddeterminaw u jistabbilixxu pjan superviżorju għas-suġġetti tal-valutazzjoni kollha, li jispjega kif l-istrateġija superviżorja tagħhom se tiġi implimentata fil-prattika. L-awtoritajiet kompetenti għandhom jiddeċiedu dwar il-perjodu ta’ żmien kopert mill-pjan superviżorju tagħhom, bħal pjan superviżorju annwali jew ta’ kull sentejn, filwaqt li jqisu r-restrizzjonijiet organizzattivi usa’ kif xieraq.</w:t>
      </w:r>
    </w:p>
    <w:p w14:paraId="1B6BAA60" w14:textId="426B31EC" w:rsidR="00CE14AE" w:rsidRPr="00AF5F13" w:rsidRDefault="00701095" w:rsidP="00EC596C">
      <w:pPr>
        <w:pStyle w:val="body"/>
        <w:numPr>
          <w:ilvl w:val="0"/>
          <w:numId w:val="10"/>
        </w:numPr>
      </w:pPr>
      <w:r w:rsidRPr="00AF5F13">
        <w:t xml:space="preserve">L-awtoritajiet kompetenti għandhom jikkoordinaw il-pjanijiet superviżorji kollha li jkopru l-perjodu ta’ żmien kollu kopert mill-istrateġija superviżorja biex jiżguraw bilanċ bejniethom u li </w:t>
      </w:r>
      <w:r w:rsidRPr="00AF5F13">
        <w:lastRenderedPageBreak/>
        <w:t>flimkien iservu biex jimplimentaw l-istrateġija superviżorja. Dan ifisser li meta l-istrateġija superviżorja tiġi stabbilita għal perjodu ta’ 5 snin iżda l-pjanijiet superviżorji jiġu żviluppati kull sena, l-awtoritajiet kompetenti għandhom jiżguraw li l-pjanijiet annwali kollha flimkien matul il-perjodu ta’ 5 snin jissodisfaw l-istrateġija.</w:t>
      </w:r>
    </w:p>
    <w:p w14:paraId="0C73EAC9" w14:textId="467DB007" w:rsidR="00CE14AE" w:rsidRPr="00AF5F13" w:rsidRDefault="00CE14AE" w:rsidP="00EC596C">
      <w:pPr>
        <w:pStyle w:val="body"/>
        <w:numPr>
          <w:ilvl w:val="0"/>
          <w:numId w:val="10"/>
        </w:numPr>
      </w:pPr>
      <w:r w:rsidRPr="00AF5F13">
        <w:t xml:space="preserve"> Fil-pjan superviżorju, l-awtoritajiet kompetenti għandhom jistabbilixxu b’mod ċar l-għodod superviżorji li se japplikaw għas-suġġetti tal-valutazzjoni biex jiksbu l-objettivi tagħhom f’konformità mal-istrateġija tagħhom. L-awtoritajiet kompetenti għandhom jużaw il-valutazzjonijiet tar-riskju ta’ suġġetti tal-valutazzjoni individwali biex jirfinaw l-għażla tagħhom tal-għodod superviżorji għal suġġett ta’ valutazzjoni speċifiku li jimmira lejn riskji speċifiċi għal dak is-suġġett tal-valutazzjoni.</w:t>
      </w:r>
    </w:p>
    <w:p w14:paraId="5602E68D" w14:textId="4BD9FA64" w:rsidR="00CE14AE" w:rsidRPr="00AF5F13" w:rsidRDefault="00CE14AE" w:rsidP="00EC596C">
      <w:pPr>
        <w:pStyle w:val="body"/>
        <w:numPr>
          <w:ilvl w:val="0"/>
          <w:numId w:val="10"/>
        </w:numPr>
      </w:pPr>
      <w:r w:rsidRPr="00AF5F13">
        <w:t xml:space="preserve">L-awtoritajiet kompetenti għandhom jistabbilixxu fil-pjan kif se jallokaw ir-riżorsi superviżorji lis-suġġetti tal-valutazzjoni b’mod li jkun proporzjonat mal-profil tar-riskju tas-suġġetti tal-valutazzjoni żviluppat f’konformità mal-Linja Gwida </w:t>
      </w:r>
      <w:r w:rsidR="003A423D" w:rsidRPr="00E13476">
        <w:t>4.</w:t>
      </w:r>
      <w:r w:rsidRPr="00AF5F13">
        <w:t>3.</w:t>
      </w:r>
    </w:p>
    <w:p w14:paraId="48539EA4" w14:textId="7C91A849" w:rsidR="00CE14AE" w:rsidRPr="00AF5F13" w:rsidRDefault="00CE14AE" w:rsidP="00EC596C">
      <w:pPr>
        <w:pStyle w:val="body"/>
        <w:numPr>
          <w:ilvl w:val="0"/>
          <w:numId w:val="10"/>
        </w:numPr>
      </w:pPr>
      <w:r w:rsidRPr="00AF5F13">
        <w:t>L-awtoritajiet kompetenti għandhom jirrikonoxxu li s-suġġetti tal-valutazzjoni esposti għal livelli sinifikanti jew sinifikanti ħafna ta’ riskju ta’ ML/TF jistgħu ma jkunux sistematikament importanti. Għalhekk, meta jiddeċiedu dwar l-għodod superviżorji l-aktar xierqa tal-AML/CFT, l-awtoritajiet kompetenti għandhom jirreferu għall-valutazzjoni tar-riskju ta’ ML/TF tagħhom u ma għandhomx jiddependu mill-valutazzjonijiet tar-riskju prudenzjali jew ta’ twettiq tagħhom, fejn disponibbli, u lanqas ma għandhom jikkunsidraw biss suġġetti tal-valutazzjoni sistemikament importanti. L-awtoritajiet kompetenti għandhom jinnotaw li jista’ ma jkunx xieraq li jitfasslu konklużjonijiet, għall-finijiet superviżjori tal-AML/CFT, mil-livell ta’ riskju prudenzjali jew ta’ twettiq.</w:t>
      </w:r>
    </w:p>
    <w:p w14:paraId="4AF9D73D" w14:textId="2FF3C220" w:rsidR="00CE14AE" w:rsidRPr="00AF5F13" w:rsidDel="005A35A4" w:rsidRDefault="00B35AA6" w:rsidP="00EC596C">
      <w:pPr>
        <w:pStyle w:val="body"/>
        <w:numPr>
          <w:ilvl w:val="0"/>
          <w:numId w:val="10"/>
        </w:numPr>
      </w:pPr>
      <w:r w:rsidRPr="00AF5F13">
        <w:t>L-awtoritajiet kompetenti għandhom jiżguraw li l-pjan superviżorju tal-AML/CFT ikun indipendenti mill-pjan superviżorju prudenzjali; għalkemm, xi drabi, jista’ jkun hemm trikkib fis-suġġetti tal-valutazzjoni spezzjonati mill-awtoritajiet kompetenti u mis-superviżuri prudenzjali, u jistgħu jiġu applikati għodod superviżorji konġunti jew supplimentari. Madankollu, l-awtoritajiet kompetenti huma responsabbli biex jiżguraw li l-objettivi superviżorji tal-AML/CFT jintlaħqu bis-sħiħ bħala riżultat ta’ dawn l-azzjonijiet.</w:t>
      </w:r>
    </w:p>
    <w:p w14:paraId="2FBEA036" w14:textId="356B102E" w:rsidR="00D63347" w:rsidRPr="00AF5F13" w:rsidRDefault="00CA689B" w:rsidP="00EC596C">
      <w:pPr>
        <w:pStyle w:val="body"/>
        <w:numPr>
          <w:ilvl w:val="0"/>
          <w:numId w:val="10"/>
        </w:numPr>
      </w:pPr>
      <w:r w:rsidRPr="00AF5F13">
        <w:t>Meta jiżviluppaw il-pjan superviżorju tal-AML/CFT, l-awtoritajiet kompetenti għandhom jiżguraw li jipprevedu kontinġenzi f’każijiet fejn jiġu identifikati riskji ġodda matul is-superviżjoni fuq il-post jew mhux fuq il-post jew permezz ta’ sorsi affidabbli oħra, li jirrikjedu li l-awtoritajiet kompetenti jwieġbu b’mod xieraq u f’waqtu.</w:t>
      </w:r>
    </w:p>
    <w:p w14:paraId="6DC31AF2" w14:textId="49D7BA9D" w:rsidR="00CE14AE" w:rsidRPr="00AF5F13" w:rsidRDefault="00D63347" w:rsidP="00EC596C">
      <w:pPr>
        <w:pStyle w:val="body"/>
        <w:numPr>
          <w:ilvl w:val="0"/>
          <w:numId w:val="10"/>
        </w:numPr>
      </w:pPr>
      <w:r w:rsidRPr="00AF5F13">
        <w:t xml:space="preserve">Meta l-awtoritajiet kompetenti jkunu meħtieġa jagħmlu emendi għall-pjan superviżorju inizjali tal-AML/CFT, bħal bidla minn superviżjoni mhux fuq il-post għal superviżjoni fuq il-post jew minn rieżamijiet tematiċi għal spezzjonijiet ta’ kamp ta’ applikazzjoni sħiħ, biex jadattaw għaċ-ċirkostanza l-ġdida jew biex jindirizzaw ir-riskji ta’ ML/TF emerġenti, jenħtieġ li jkollhom fis-seħħ arranġamenti ta’ governanza interna xierqa meta jipproċessaw tali bidliet fil-pjan superviżorju. Dawn il-bidliet kollha għandhom jiġu ddokumentati b’mod adegwat mill-awtoritajiet </w:t>
      </w:r>
      <w:r w:rsidRPr="00AF5F13">
        <w:lastRenderedPageBreak/>
        <w:t>kompetenti, u jispjegaw kif u meta se titwettaq is-superviżjoni ta’ dawk is-suġġetti tal-valutazzjoni affettwati mill-bidliet fil-pjan.</w:t>
      </w:r>
    </w:p>
    <w:p w14:paraId="70EDA34F" w14:textId="77777777" w:rsidR="00CE14AE" w:rsidRPr="00AF5F13" w:rsidRDefault="00CE14AE" w:rsidP="00AF5F13">
      <w:pPr>
        <w:pStyle w:val="Numberedtitlelevel3"/>
        <w:pageBreakBefore/>
        <w:numPr>
          <w:ilvl w:val="2"/>
          <w:numId w:val="53"/>
        </w:numPr>
      </w:pPr>
      <w:r w:rsidRPr="00AF5F13">
        <w:lastRenderedPageBreak/>
        <w:t>Għodod ta’ superviżjoni</w:t>
      </w:r>
    </w:p>
    <w:p w14:paraId="194F4CCD" w14:textId="32B818BF" w:rsidR="00C852CA" w:rsidRPr="00AF5F13" w:rsidRDefault="00C852CA" w:rsidP="00C852CA">
      <w:pPr>
        <w:pStyle w:val="body"/>
        <w:numPr>
          <w:ilvl w:val="0"/>
          <w:numId w:val="10"/>
        </w:numPr>
        <w:rPr>
          <w:szCs w:val="22"/>
        </w:rPr>
      </w:pPr>
      <w:r w:rsidRPr="00AF5F13">
        <w:t>L-awtoritajiet kompetenti għandhom jirrikonoxxu li kull suġġett tal-valutazzjoni, settur u subsettur ikun espost għal livelli differenti ta’ riskju ta’ ML/TF u, għalhekk, it-tip u l-frekwenza tal-għodod superviżorji użati jistgħu jvarjaw bejniethom. Sabiex jiġi żgurat użu effiċjenti tar-riżorsi superviżorji, l-awtoritajiet kompetenti għandhom jagħżlu tali għodod superviżorji li x’aktarx ikollhom impatt akbar fuq il-konformità tas-suġġetti tal-valutazzjoni, jew jippermettulhom ikopru parti akbar ta’ settur. Meta l-awtoritajiet kompetenti jkunu qed ifittxu li jiżviluppaw fehim aħjar tal-mod kif riskji ta’ ML/TF speċifiċi jiġu ġestiti minn settur, jew tipi partikolari ta’ suġġetti tal-valutazzjoni, huma għandhom jikkunsidraw l-użu ta’ rieżamijiet tematiċi biex jiksbu dan.</w:t>
      </w:r>
    </w:p>
    <w:p w14:paraId="679EEF07" w14:textId="3F947D4D" w:rsidR="00CE14AE" w:rsidRPr="00AF5F13" w:rsidRDefault="00CE14AE" w:rsidP="00EC596C">
      <w:pPr>
        <w:pStyle w:val="body"/>
        <w:numPr>
          <w:ilvl w:val="0"/>
          <w:numId w:val="10"/>
        </w:numPr>
      </w:pPr>
      <w:r w:rsidRPr="00AF5F13">
        <w:t xml:space="preserve">L-awtoritajiet kompetenti għandu jkollhom fehim tajjeb tal-għodod superviżorji kollha disponibbli għalihom biex jimplimentaw l-istrateġija u l-pjan superviżorju tagħhom. Għandhom jiżviluppaw fehim tal-vantaġġi u l-iżvantaġġi assoċjati ma’ kull għodda superviżorja, inkluż il-livell ta’ intrużjoni u intensità li jistgħu jiksbu b’kull waħda mill-għodod superviżorji, u jikkunsidraw kif jistgħu jużaw b’mod effettiv il-firxa l-aktar wiesgħa ta’ għodod superviżorji għad-dispożizzjoni tagħhom, inkluż, iżda mhux limitat għal, spezzjonijiet fuq il-post sħaħ jew parzjali, spezzjonijiet </w:t>
      </w:r>
      <w:r w:rsidRPr="00AF5F13">
        <w:rPr>
          <w:i/>
          <w:iCs/>
        </w:rPr>
        <w:t>ad hoc</w:t>
      </w:r>
      <w:r w:rsidRPr="00AF5F13">
        <w:t>, spezzjonijiet tematiċi, ritorni tal-AML/CFT, spezzjonijiet ta’ segwitu, rieżamijiet mhux fuq il-post, kif ukoll il-feedback u l-gwida għas-settur.</w:t>
      </w:r>
    </w:p>
    <w:p w14:paraId="5744DDF2" w14:textId="5FE10ABD" w:rsidR="008B168B" w:rsidRPr="00AF5F13" w:rsidRDefault="00860C0B" w:rsidP="00EC596C">
      <w:pPr>
        <w:pStyle w:val="body"/>
        <w:numPr>
          <w:ilvl w:val="0"/>
          <w:numId w:val="10"/>
        </w:numPr>
      </w:pPr>
      <w:r w:rsidRPr="00AF5F13">
        <w:t>L-awtoritajiet kompetenti għandhom jagħżlu l-għodod superviżorji l-aktar effettivi għas-suġġetti tal-valutazzjoni biex jindirizzaw ħtieġa speċifika jew objettiv superviżorju speċifiku. Meta jagħżlu l-għodod superviżorji, l-awtoritajiet kompetenti għandhom jirreferu għall-valutazzjonijiet tar-riskju ta’ ML/TF settorjali u individwali tagħhom u għandhom jikkunsidraw ukoll:</w:t>
      </w:r>
    </w:p>
    <w:p w14:paraId="0803772B" w14:textId="77777777" w:rsidR="008B168B" w:rsidRPr="00AF5F13"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AF5F13">
        <w:t>l-għadd ta’ suġġetti tal-valutazzjoni u s-setturi taħt is-superviżjoni tal-awtorità kompetenti;</w:t>
      </w:r>
    </w:p>
    <w:p w14:paraId="07FF4F77" w14:textId="77777777" w:rsidR="008B168B" w:rsidRPr="00AF5F13"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AF5F13">
        <w:t>karatteristiċi speċifiċi ta’ għodod superviżorji differenti meta jiġu applikati waħedhom jew flimkien ma’ xulxin;</w:t>
      </w:r>
    </w:p>
    <w:p w14:paraId="68984D76" w14:textId="3E97B7FB" w:rsidR="008B168B" w:rsidRPr="00AF5F13"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AF5F13">
        <w:t>ir-riżorsi meħtieġa biex jiġu applikati għodod superviżorji differenti;</w:t>
      </w:r>
    </w:p>
    <w:p w14:paraId="35E0A1C7" w14:textId="5D79FD2F" w:rsidR="008B168B" w:rsidRPr="00AF5F13"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AF5F13">
        <w:t>iż-żmien meħtieġ biex l-għodda superviżorja tilħaq l-għan tagħha u biex ikollha impatt fuq il-konformità tas-suġġetti tal-valutazzjoni mal-AML/CFT.</w:t>
      </w:r>
    </w:p>
    <w:p w14:paraId="5B7D464D" w14:textId="30A0A994" w:rsidR="004E1640" w:rsidRPr="00AF5F13" w:rsidRDefault="008B168B" w:rsidP="004E1640">
      <w:pPr>
        <w:pStyle w:val="body"/>
        <w:numPr>
          <w:ilvl w:val="0"/>
          <w:numId w:val="10"/>
        </w:numPr>
      </w:pPr>
      <w:r w:rsidRPr="00AF5F13">
        <w:t>L-awtoritajiet kompetenti għandhom jeżerċitaw il-flessibbiltà biex ikunu jistgħu jadattaw l-użu tagħhom tal-għodod superviżorji anke b’reazzjoni għar-riskji ta’ ML/TF emerġenti fi ħdan is-suġġett tal-valutazzjoni, is-settur jew is-subsettur hekk kif dawn jinħolqu. Dan ifisser li meta l-awtoritajiet kompetenti jkunu identifikaw riskju ta’ ML/TF emerġenti, jew permezz ta’ ritorni tal-AML/CFT, għodod superviżorji oħrajn jew mezzi oħrajn, għandhom jikkunsidraw jekk valutazzjoni ulterjuri u aktar intrużiva permezz ta’ rieżami mhux fuq il-post jew spezzjoni fuq il-post tistax tkun meħtieġa biex jiġi żgurat li s-sistemi u l-kontrolli tas-suġġetti tal-valutazzjoni jkunu robusti biżżejjed biex jimmitigaw ir-riskju emerġenti. Għalhekk, l-ispezzjonijiet fuq il-post jippermettu lill-awtoritajiet kompetenti biex:</w:t>
      </w:r>
    </w:p>
    <w:p w14:paraId="6FFEE45B" w14:textId="099261D9" w:rsidR="004E1640" w:rsidRPr="00AF5F13" w:rsidRDefault="004E1640" w:rsidP="004D193D">
      <w:pPr>
        <w:pStyle w:val="ListParagraph"/>
        <w:widowControl w:val="0"/>
        <w:numPr>
          <w:ilvl w:val="1"/>
          <w:numId w:val="36"/>
        </w:numPr>
        <w:tabs>
          <w:tab w:val="left" w:pos="941"/>
          <w:tab w:val="left" w:pos="942"/>
        </w:tabs>
        <w:autoSpaceDE w:val="0"/>
        <w:autoSpaceDN w:val="0"/>
        <w:spacing w:before="160" w:line="273" w:lineRule="auto"/>
        <w:jc w:val="both"/>
      </w:pPr>
      <w:r w:rsidRPr="00AF5F13">
        <w:lastRenderedPageBreak/>
        <w:t>jiżviluppaw fehim aktar profond tal-approċċ globali tas-suġġett tal-valutazzjoni lejn l-AML/CFT, inklużi l-prattiki, il-governanza, l-imġiba tal-persunal u l-kultura;</w:t>
      </w:r>
    </w:p>
    <w:p w14:paraId="208B5A44" w14:textId="4FC08771" w:rsidR="004E1640" w:rsidRPr="00AF5F13" w:rsidRDefault="004E1640" w:rsidP="004D193D">
      <w:pPr>
        <w:pStyle w:val="ListParagraph"/>
        <w:widowControl w:val="0"/>
        <w:numPr>
          <w:ilvl w:val="1"/>
          <w:numId w:val="36"/>
        </w:numPr>
        <w:tabs>
          <w:tab w:val="left" w:pos="941"/>
          <w:tab w:val="left" w:pos="942"/>
        </w:tabs>
        <w:autoSpaceDE w:val="0"/>
        <w:autoSpaceDN w:val="0"/>
        <w:spacing w:before="160" w:line="273" w:lineRule="auto"/>
        <w:jc w:val="both"/>
      </w:pPr>
      <w:r w:rsidRPr="00AF5F13">
        <w:t>jiddiskutu r-riskji potenzjali, ir-riżultati tal-attivitajiet superviżorji, kif ukoll il-problemi li s-suġġett tal-valutazzjoni jista’ jkun qed jiffaċċja u modi biex jissolvew;</w:t>
      </w:r>
    </w:p>
    <w:p w14:paraId="1D12A910" w14:textId="77777777" w:rsidR="004E1640" w:rsidRPr="00AF5F13" w:rsidRDefault="004E1640" w:rsidP="004D193D">
      <w:pPr>
        <w:pStyle w:val="ListParagraph"/>
        <w:widowControl w:val="0"/>
        <w:numPr>
          <w:ilvl w:val="1"/>
          <w:numId w:val="36"/>
        </w:numPr>
        <w:tabs>
          <w:tab w:val="left" w:pos="941"/>
          <w:tab w:val="left" w:pos="942"/>
        </w:tabs>
        <w:autoSpaceDE w:val="0"/>
        <w:autoSpaceDN w:val="0"/>
        <w:spacing w:before="160" w:line="273" w:lineRule="auto"/>
        <w:jc w:val="both"/>
      </w:pPr>
      <w:r w:rsidRPr="00AF5F13">
        <w:t>jikkomunikaw l-aspettattivi superviżorji tagħhom direttament lis-suġġetti tal-valutazzjoni.</w:t>
      </w:r>
    </w:p>
    <w:p w14:paraId="0ED61867" w14:textId="42D60F36" w:rsidR="00CE14AE" w:rsidRPr="00AF5F13" w:rsidRDefault="00DE3328" w:rsidP="00D619D5">
      <w:pPr>
        <w:pStyle w:val="body"/>
        <w:numPr>
          <w:ilvl w:val="0"/>
          <w:numId w:val="10"/>
        </w:numPr>
        <w:rPr>
          <w:szCs w:val="22"/>
        </w:rPr>
      </w:pPr>
      <w:r w:rsidRPr="00AF5F13">
        <w:t>L-awtoritajiet kompetenti, jew waħedhom jew flimkien ma’ għodod superviżorji oħrajn, għandhom jikkunsidraw li jużaw spezzjonijiet fuq il-post, b’mod partikolari, meta jissorveljaw is-suġġetti tal-valutazzjoni li jippreżentaw livell sinifikanti u sinifikanti ħafna ta’ riskju ta’ ML/TF. Dawn l-ispezzjonijiet jinkludu, mill-inqas, rieżami tal-politiki u l-proċeduri tal-AML/CFT tas-suġġetti tal-valutazzjoni u valutazzjoni ta’ kif dawn jiġu implimentati fil-prattika permezz ta’, fost l-oħrajn, intervisti ma’ persunal ewlieni, ittestjar tas-sistemi użati fil-konformità mal-AML/CFT u rieżami tal-valutazzjoni tar-riskju u tal-fajls tal-klijenti. Abbażi tal-kamp ta’ applikazzjoni u l-kumplessità tan-negozju tas-suġġetti tal-valutazzjoni, l-awtoritajiet kompetenti għandhom jikkunsidraw jekk l-ispezzjoni fuq il-post tal-kamp ta’ applikazzjoni sħiħ hijiex se tkopri n-negozju kollu tas-suġġett tal-valutazzjoni jew jekk huwiex aktar fattibbli li wieħed jiffoka fuq linja tan-negozju speċifika fi ħdan is-suġġett tal-valutazzjoni. Għalkemm, fejn il-kamp ta’ applikazzjoni jkun limitat għal linja tan-negozju speċifika, l-awtoritajiet kompetenti għandhom jiżviluppaw fehim tal-punti ta’ kuntatt bejn is-sistemi u l-kontrolli applikati f’dik il-linja tan-negozju u dawk applikati fl-istituzzjoni usa’ u, fejn jiġu identifikati dgħufijiet fis-sistemi u l-kontrolli tal-linja tan-negozju, l-awtoritajiet kompetenti għandhom ifittxu li jivvalutaw jekk u kif dan jista’ jkollu impatt fuq is-suġġett kollu tal-valutazzjoni.</w:t>
      </w:r>
    </w:p>
    <w:p w14:paraId="51AF9EA7" w14:textId="2912747E" w:rsidR="00191579" w:rsidRPr="00AF5F13" w:rsidRDefault="00191579" w:rsidP="004D193D">
      <w:pPr>
        <w:pStyle w:val="body"/>
        <w:widowControl w:val="0"/>
        <w:numPr>
          <w:ilvl w:val="0"/>
          <w:numId w:val="10"/>
        </w:numPr>
        <w:autoSpaceDE w:val="0"/>
        <w:autoSpaceDN w:val="0"/>
        <w:spacing w:before="160" w:after="0" w:line="273" w:lineRule="auto"/>
        <w:ind w:left="720"/>
      </w:pPr>
      <w:r w:rsidRPr="00AF5F13">
        <w:t>Meta jiddeċiedu jekk iwettqux spezzjoni fuq il-post tal-kamp ta’ applikazzjoni sħiħ fis-suġġett tal-valutazzjoni, l-awtoritajiet kompetenti għandhom jikkunsidraw il-fatturi li ġejjin:</w:t>
      </w:r>
    </w:p>
    <w:p w14:paraId="596657AA" w14:textId="77777777" w:rsidR="00191579" w:rsidRPr="00AF5F13"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AF5F13">
        <w:t>jekk hemmx il-ħtieġa li tinkiseb informazzjoni addizzjonali jew aktar komprensiva dwar is-suġġett tal-valutazzjoni li tista’ tinkiseb biss permezz ta’ elementi fuq il-post;</w:t>
      </w:r>
    </w:p>
    <w:p w14:paraId="463DFD48" w14:textId="77777777" w:rsidR="00191579" w:rsidRPr="00AF5F13"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AF5F13">
        <w:t>x’tip ta’ informazzjoni hija meħtieġa u kif tista’ tinkiseb b’mod effettiv u komprensiv;</w:t>
      </w:r>
    </w:p>
    <w:p w14:paraId="532A9BE8" w14:textId="440BD280" w:rsidR="00191579" w:rsidRPr="00AF5F13"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AF5F13">
        <w:t>jekk l-eżiti ta’ spezzjonijiet fuq il-post preċedenti jew rieżamijiet mhux fuq il-post imwettqa jew mill-awtorità kompetenti jew mis-superviżuri prudenzjali rilevanti jew, meta s-suġġett tal-valutazzjoni jkun parti minn grupp, mill-awtoritajiet kompetenti responsabbli mis-superviżjoni ta’ entitajiet oħrajn fi ħdan il-grupp, jekk disponibbli, jurux livelli baxxi ta’ konformità mal-AML/CFT jew jissuġġerixxu kultura ta’ konformità fqira fi ħdan is-suġġett tal-valutazzjoni jew fi ħdan il-grupp, li jista’ jkollhom impatt fuq is-suġġett tal-valutazzjoni;</w:t>
      </w:r>
    </w:p>
    <w:p w14:paraId="24ABEA93" w14:textId="14975258" w:rsidR="00191579" w:rsidRPr="00AF5F13"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AF5F13">
        <w:t>jekk is-suġġetti tal-valutazzjoni kisrux preċedentement l-obbligi tal-AML/CFT tagħhom u jekk għamlux dan b’mod ripetut;</w:t>
      </w:r>
    </w:p>
    <w:p w14:paraId="7252D454" w14:textId="0C3EA548" w:rsidR="00191579" w:rsidRPr="00AF5F13"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AF5F13">
        <w:t>x’tip ta’ segwitu superviżorju, jekk kien hemm, kien applikat qabel mill-awtorità kompetenti għas-suġġett tal-valutazzjoni; u</w:t>
      </w:r>
    </w:p>
    <w:p w14:paraId="6EA88CEE" w14:textId="5A576E2E" w:rsidR="00191579" w:rsidRPr="00AF5F13"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AF5F13">
        <w:t>jekk is-suġġetti tal-valutazzjoni wrewx qabel l-impenn tagħhom li jsolvu n-nuqqasijiet u jekk ħadux azzjoni robusta biex jagħmlu dan.</w:t>
      </w:r>
    </w:p>
    <w:p w14:paraId="1DADB7BE" w14:textId="4FA311F9" w:rsidR="00775D00" w:rsidRPr="000127FB" w:rsidRDefault="00775705" w:rsidP="000127FB">
      <w:pPr>
        <w:pStyle w:val="body"/>
        <w:numPr>
          <w:ilvl w:val="0"/>
          <w:numId w:val="10"/>
        </w:numPr>
        <w:rPr>
          <w:szCs w:val="22"/>
        </w:rPr>
      </w:pPr>
      <w:r w:rsidRPr="00AF5F13">
        <w:lastRenderedPageBreak/>
        <w:t>L-awtoritajiet kompetenti għandhom jikkunsidraw li jużaw rieżamijiet mhux fuq il-post f’dawk il-każijiet fejn approċċ superviżorju inqas intrużiv jista’ jkun suffiċjenti, jew f’każijiet fejn is-suġġetti tal-valutazzjoni jkunu esposti għal livelli baxxi ta’ riskju ta’ ML/TF. Ir-rieżamijiet mhux fuq il-post primarjament jinvolvu rieżami bbażat fuq id-dokumentazzjoni tal-politiki u l-proċeduri bil-miktub dwar l-AML/CFT tas-suġġetti tal-valutazzjoni u l-valutazzjoni tar-riskju, iżda ma jinvolvux valutazzjoni fil-fond ta’ kemm dawn il-politiki u l-proċeduri ġew implimentati b’mod effettiv fil-prattika mis-suġġett tal-valutazzjoni. Ir-rieżamijiet mhux fuq il-post jistgħu jitqiesu wkoll bħala pass preliminari għal rieżamijiet aktar bir-reqqa permezz ta’ spezzjonijiet fuq il-post li jikkomplementaw ix-xogħol mhux fuq il-post, jew li jistgħu jintużaw flimkien ma’ għodod superviżorji oħrajn.</w:t>
      </w:r>
    </w:p>
    <w:p w14:paraId="3DF56276" w14:textId="09CF1D04" w:rsidR="000127FB" w:rsidRPr="00AF5F13" w:rsidRDefault="000127FB" w:rsidP="006967AC">
      <w:pPr>
        <w:pStyle w:val="body"/>
        <w:widowControl w:val="0"/>
        <w:autoSpaceDE w:val="0"/>
        <w:autoSpaceDN w:val="0"/>
        <w:spacing w:before="160" w:after="0" w:line="273" w:lineRule="auto"/>
        <w:rPr>
          <w:szCs w:val="22"/>
        </w:rPr>
      </w:pPr>
      <w:r w:rsidRPr="00136375">
        <w:rPr>
          <w:rFonts w:ascii="Wingdings" w:eastAsia="Wingdings" w:hAnsi="Wingdings" w:cs="Wingdings"/>
          <w:color w:val="E98E31" w:themeColor="background2"/>
          <w:spacing w:val="-1"/>
        </w:rPr>
        <w:t>Ú</w:t>
      </w:r>
      <w:r w:rsidRPr="00136375">
        <w:rPr>
          <w:color w:val="E98E31" w:themeColor="background2"/>
          <w:spacing w:val="-1"/>
        </w:rPr>
        <w:t>A</w:t>
      </w:r>
      <w:r>
        <w:rPr>
          <w:color w:val="E98E31" w:themeColor="background2"/>
          <w:spacing w:val="-1"/>
        </w:rPr>
        <w:t>1</w:t>
      </w:r>
    </w:p>
    <w:p w14:paraId="5471C4CC" w14:textId="2723500E" w:rsidR="00960B74" w:rsidRDefault="00663026" w:rsidP="000127FB">
      <w:pPr>
        <w:pStyle w:val="body"/>
        <w:numPr>
          <w:ilvl w:val="0"/>
          <w:numId w:val="10"/>
        </w:numPr>
      </w:pPr>
      <w:r w:rsidRPr="00F57386">
        <w:t xml:space="preserve">F’xi każijiet, l-awtoritajiet kompetenti għandhom jikkunsidraw jekk il-kombinazzjoni ta’ żewġ għodod jew aktar tistax tkun aktar effettiva. Dan jinkludi sitwazzjonijiet fejn l-awtorità kompetenti tkun ikkonċernata dwar il-preċiżjoni tal-informazzjoni li tirċievi matul rieżamijiet mhux fuq il-post jew bħala parti mid-dikjarazzjonijiet tal-AML/CFT. F’ċirkostanzi bħal dawn, jista’ jkun meħtieġ li l-awtoritajiet kompetenti jivverifikaw din l-informazzjoni permezz ta’ spezzjoni fuq il-post, li ġeneralment ikun fiha elementi bħal teħid ta’ kampjuni ta’ tranżazzjonijiet u fajls tal-klijenti, u intervisti ma’ persunal ewlieni u membri tal-korp maniġerjali. L-awtoritajiet kompetenti għandhom ikunu jistgħu jwettqu spezzjonijiet </w:t>
      </w:r>
      <w:r w:rsidRPr="005E5F40">
        <w:rPr>
          <w:i/>
          <w:iCs/>
        </w:rPr>
        <w:t>ad hoc</w:t>
      </w:r>
      <w:r w:rsidRPr="00F57386">
        <w:t xml:space="preserve"> meta jkun meħtieġ, li ma jiffurmawx parti mill-istrateġija u l-pjan superviżorju tagħhom. Il-ħtieġa għal tali spezzjonijiet tista’ tiġi skattata minn avveniment speċifiku, li jista’ jesponi lis-settur/subsettur jew lis-suġġetti tal-valutazzjoni għal riskju ta’ ML/TF akbar, bidliet sinifikanti fl-iskopertura għar-riskju ta’ ML/TF tas-settur/subsettur jew tas-suġġetti tal-valutazzjoni, jew isiru bħala riżultat ta’ skoperta ta’ ċerta informazzjoni mill-awtorità kompetenti, inkluż permezz ta’ rapporti ta’ żvelar, allegazzjonijiet pubbliċi mifruxa ta’ mġiba ħażina, informazzjoni minn awtoritajiet pubbliċi oħra domestiċi jew barranin, tipoloġija ġdida ta’ ML/TF jew sejbiet superviżorji relatati ma’ sistemi u kontrolli tal-AML/CFT jew qafas usa’ ta’ kontrolli interni. Meta l-awtorità kompetenti tkun iddeċidiet li hija meħtieġa spezzjoni </w:t>
      </w:r>
      <w:r w:rsidRPr="005E5F40">
        <w:rPr>
          <w:i/>
          <w:iCs/>
        </w:rPr>
        <w:t>ad hoc</w:t>
      </w:r>
      <w:r w:rsidRPr="00F57386">
        <w:t>, hija għandha tiddetermina l-kamp ta’ applikazzjoni tal-ispezzjoni, il-fokus tal-ispezzjoni u jekk tinvolvix xi elementi fuq il-post u jekk hemmx bżonn li jiġu involuti u jikkooperaw ma’ superviżuri oħra</w:t>
      </w:r>
      <w:r w:rsidR="00CE14AE" w:rsidRPr="00AF5F13">
        <w:t>.</w:t>
      </w:r>
    </w:p>
    <w:p w14:paraId="10C2F4FE" w14:textId="108D6A5C" w:rsidR="000127FB" w:rsidRPr="00AF5F13" w:rsidRDefault="000127FB" w:rsidP="000127FB">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6F0BB12F" w14:textId="781270B6" w:rsidR="00700104" w:rsidRPr="00AF5F13" w:rsidRDefault="0098202C" w:rsidP="00EC596C">
      <w:pPr>
        <w:pStyle w:val="body"/>
        <w:numPr>
          <w:ilvl w:val="0"/>
          <w:numId w:val="10"/>
        </w:numPr>
      </w:pPr>
      <w:r w:rsidRPr="00AF5F13">
        <w:t>Meta l-awtoritajiet kompetenti jwettqu spezzjoni mill-bogħod permezz ta’ mezzi virtwali, huma għandhom jikkunsidraw l-effettività ta’ din l-għodda superviżorja u jekk l-involviment mas-suġġett tal-valutazzjoni jissodisfax il-kundizzjonijiet għal spezzjoni fuq il-post u huwiex proporzjonat mar-riskju ta’ ML/TF ippreżentat mis-suġġett tal-valutazzjoni.</w:t>
      </w:r>
      <w:r w:rsidRPr="00AF5F13">
        <w:rPr>
          <w:color w:val="1F497D"/>
        </w:rPr>
        <w:t xml:space="preserve"> </w:t>
      </w:r>
      <w:r w:rsidRPr="00AF5F13">
        <w:t>L-awtoritajiet kompetenti għandhom jikkunsidraw jekk spezzjoni fuq il-post hijiex aktar xierqa meta jkunu qed jissorveljaw suġġetti tal-valutazzjoni li jippreżentaw livell sinifikanti jew sinifikanti ħafna ta’ riskju ta’ ML/TF u f’ċirkostanzi fejn l-awtoritajiet kompetenti qed ifittxu li jiżviluppaw fehim profond tas-sistemi u l-qafas ta’ kontrolli globali tal-AML/CFT fi ħdan is-suġġett tal-valutazzjoni.</w:t>
      </w:r>
    </w:p>
    <w:p w14:paraId="5B9388B4" w14:textId="767AF591" w:rsidR="00064B03" w:rsidRPr="00AF5F13" w:rsidRDefault="00064B03" w:rsidP="00EC596C">
      <w:pPr>
        <w:pStyle w:val="Tabledata"/>
        <w:numPr>
          <w:ilvl w:val="0"/>
          <w:numId w:val="10"/>
        </w:numPr>
        <w:rPr>
          <w:rFonts w:cs="Times New Roman"/>
          <w:bCs w:val="0"/>
          <w:sz w:val="22"/>
        </w:rPr>
      </w:pPr>
      <w:r w:rsidRPr="00AF5F13">
        <w:rPr>
          <w:bCs w:val="0"/>
          <w:sz w:val="22"/>
        </w:rPr>
        <w:t xml:space="preserve">L-awtoritajiet kompetenti għandhom jikkunsidraw l-għodda superviżorja l-aktar effettiva biex jiżguraw li l-politiki u l-proċeduri tal-grupp kollu jiġu implimentati b’mod effettiv mis-suġġetti </w:t>
      </w:r>
      <w:r w:rsidRPr="00AF5F13">
        <w:rPr>
          <w:bCs w:val="0"/>
          <w:sz w:val="22"/>
        </w:rPr>
        <w:lastRenderedPageBreak/>
        <w:t>tal-valutazzjoni, li huma parti mill-grupp billi japplikaw kunsiderazzjonijiet simili għal dawk applikabbli għal suġġetti individwali tal-valutazzjoni kif spjegat hawn fuq. Jekk grupp ikun qed jopera fuq bażi transkonfinali, is-superviżur ewlieni</w:t>
      </w:r>
      <w:r w:rsidRPr="00AF5F13">
        <w:rPr>
          <w:rStyle w:val="FootnoteReference"/>
          <w:rFonts w:cs="Times New Roman"/>
          <w:bCs w:val="0"/>
        </w:rPr>
        <w:footnoteReference w:id="18"/>
      </w:r>
      <w:r w:rsidRPr="00AF5F13">
        <w:rPr>
          <w:bCs w:val="0"/>
          <w:sz w:val="22"/>
        </w:rPr>
        <w:t xml:space="preserve"> għandu jikkoopera ma’ awtoritajiet kompetenti oħra involuti fis-superviżjoni tas-suġġetti tal-valutazzjoni fi ħdan il-grupp permezz ta’ kulleġġi tal-AML/CFT, fejn dawn jeżistu, jew permezz ta’ kanali u mekkaniżmi ta’ kooperazzjoni oħra, inklużi dawk stabbiliti fil-Linji Gwida dwar il-Kooperazzjoni tal-EBA.</w:t>
      </w:r>
      <w:r w:rsidR="00B0520F" w:rsidRPr="00AF5F13">
        <w:rPr>
          <w:rStyle w:val="FootnoteReference"/>
          <w:rFonts w:cs="Times New Roman"/>
          <w:bCs w:val="0"/>
        </w:rPr>
        <w:footnoteReference w:id="19"/>
      </w:r>
      <w:r w:rsidRPr="00AF5F13">
        <w:rPr>
          <w:bCs w:val="0"/>
          <w:sz w:val="22"/>
        </w:rPr>
        <w:t xml:space="preserve"> Din il-kooperazzjoni tista’ tikkonsisti minn, iżda mhijiex limitata għal:</w:t>
      </w:r>
    </w:p>
    <w:p w14:paraId="57D6A2BE" w14:textId="6A27E1AA" w:rsidR="00DE15F7" w:rsidRPr="00AF5F13" w:rsidRDefault="00DE15F7" w:rsidP="004D193D">
      <w:pPr>
        <w:pStyle w:val="ListParagraph"/>
        <w:widowControl w:val="0"/>
        <w:numPr>
          <w:ilvl w:val="1"/>
          <w:numId w:val="39"/>
        </w:numPr>
        <w:tabs>
          <w:tab w:val="left" w:pos="941"/>
          <w:tab w:val="left" w:pos="942"/>
        </w:tabs>
        <w:autoSpaceDE w:val="0"/>
        <w:autoSpaceDN w:val="0"/>
        <w:spacing w:before="160" w:line="273" w:lineRule="auto"/>
        <w:jc w:val="both"/>
      </w:pPr>
      <w:r w:rsidRPr="00AF5F13">
        <w:t>il-firxa tal-assistenza reċiproka deskritta fil-Linja Gwida 9 tal-Linji Gwida tal-Kulleġġi AML/CFT;</w:t>
      </w:r>
    </w:p>
    <w:p w14:paraId="4AF0B825" w14:textId="457CAAA5" w:rsidR="00DC173F" w:rsidRPr="00AF5F13" w:rsidRDefault="00F620DB" w:rsidP="004D193D">
      <w:pPr>
        <w:pStyle w:val="ListParagraph"/>
        <w:widowControl w:val="0"/>
        <w:numPr>
          <w:ilvl w:val="1"/>
          <w:numId w:val="39"/>
        </w:numPr>
        <w:tabs>
          <w:tab w:val="left" w:pos="941"/>
          <w:tab w:val="left" w:pos="942"/>
        </w:tabs>
        <w:autoSpaceDE w:val="0"/>
        <w:autoSpaceDN w:val="0"/>
        <w:spacing w:before="160" w:line="273" w:lineRule="auto"/>
        <w:jc w:val="both"/>
      </w:pPr>
      <w:r w:rsidRPr="00AF5F13">
        <w:t>il-qbil li japplikaw għodda superviżorja jew azzjoni superviżorja partikolari ma’ awtoritajiet kompetenti oħrajn, li huma responsabbli mis-superviżjoni ta’ suġġetti tal-valutazzjoni oħra fi ħdan il-grupp. Dan jista’ jinvolvi t-twettiq ta’ spezzjoni jew reviżjoni b’mod konġunt ma’ awtoritajiet kompetenti oħra jew billi jiġi aġġustat b’mod konġunt il-fokus ta’ għodda superviżorja biex jitnaqqsu r-riskji li huma trażversali fil-grupp b’mod aktar effettiv;</w:t>
      </w:r>
    </w:p>
    <w:p w14:paraId="44A07997" w14:textId="662BBAD4" w:rsidR="00064B03" w:rsidRPr="00AF5F13" w:rsidRDefault="00A05D16" w:rsidP="004D193D">
      <w:pPr>
        <w:pStyle w:val="ListParagraph"/>
        <w:widowControl w:val="0"/>
        <w:numPr>
          <w:ilvl w:val="1"/>
          <w:numId w:val="39"/>
        </w:numPr>
        <w:tabs>
          <w:tab w:val="left" w:pos="941"/>
          <w:tab w:val="left" w:pos="942"/>
        </w:tabs>
        <w:autoSpaceDE w:val="0"/>
        <w:autoSpaceDN w:val="0"/>
        <w:spacing w:before="160" w:line="273" w:lineRule="auto"/>
        <w:jc w:val="both"/>
      </w:pPr>
      <w:r w:rsidRPr="00AF5F13">
        <w:t>l-iskambju ta’ informazzjoni relatata mal-valutazzjoni tar-riskju ta’ ML/TF tas-suġġett tal-valutazzjoni jew tas-settur, jekk rilevanti;</w:t>
      </w:r>
    </w:p>
    <w:p w14:paraId="0FD53C76" w14:textId="265CB60C" w:rsidR="00DC173F" w:rsidRPr="00AF5F13" w:rsidRDefault="00A05D16" w:rsidP="004D193D">
      <w:pPr>
        <w:pStyle w:val="ListParagraph"/>
        <w:widowControl w:val="0"/>
        <w:numPr>
          <w:ilvl w:val="1"/>
          <w:numId w:val="39"/>
        </w:numPr>
        <w:tabs>
          <w:tab w:val="left" w:pos="941"/>
          <w:tab w:val="left" w:pos="942"/>
        </w:tabs>
        <w:autoSpaceDE w:val="0"/>
        <w:autoSpaceDN w:val="0"/>
        <w:spacing w:before="160" w:line="273" w:lineRule="auto"/>
        <w:jc w:val="both"/>
      </w:pPr>
      <w:r w:rsidRPr="00AF5F13">
        <w:t>l-iskambju ta’ informazzjoni relatata ma’ spezzjonijiet jew reviżjonijiet superviżorji ppjanati u dwar sejbiet rilevanti minn hemm ’il quddiem;</w:t>
      </w:r>
    </w:p>
    <w:p w14:paraId="027D2641" w14:textId="23E7F1F7" w:rsidR="00DC173F" w:rsidRPr="00AF5F13" w:rsidRDefault="00A05D16" w:rsidP="004D193D">
      <w:pPr>
        <w:pStyle w:val="ListParagraph"/>
        <w:widowControl w:val="0"/>
        <w:numPr>
          <w:ilvl w:val="1"/>
          <w:numId w:val="39"/>
        </w:numPr>
        <w:tabs>
          <w:tab w:val="left" w:pos="941"/>
          <w:tab w:val="left" w:pos="942"/>
        </w:tabs>
        <w:autoSpaceDE w:val="0"/>
        <w:autoSpaceDN w:val="0"/>
        <w:spacing w:before="160" w:line="273" w:lineRule="auto"/>
        <w:jc w:val="both"/>
      </w:pPr>
      <w:r w:rsidRPr="00AF5F13">
        <w:t>l-iskambju ta’ informazzjoni relatata ma’ dgħufijiet jew ksur identifikati minn awtoritajiet kompetenti oħra.</w:t>
      </w:r>
    </w:p>
    <w:p w14:paraId="1631459C" w14:textId="6E2E4090" w:rsidR="00CE14AE" w:rsidRPr="00AF5F13" w:rsidRDefault="00BF50E9" w:rsidP="00EC596C">
      <w:pPr>
        <w:pStyle w:val="body"/>
        <w:numPr>
          <w:ilvl w:val="0"/>
          <w:numId w:val="10"/>
        </w:numPr>
      </w:pPr>
      <w:r w:rsidRPr="00AF5F13">
        <w:t>L-awtoritajiet kompetenti għandu jkollhom viżjoni olistika tal-għodod superviżorji kollha applikati minnhom. Huma għandhom jimmonitorjaw l-implimentazzjoni u l-effettività tagħhom u jagħmlu aġġustamenti meta jkun meħtieġ.</w:t>
      </w:r>
    </w:p>
    <w:p w14:paraId="7B483BC6" w14:textId="143A5119" w:rsidR="00CE14AE" w:rsidRPr="00AF5F13" w:rsidRDefault="00CE14AE" w:rsidP="00EC596C">
      <w:pPr>
        <w:pStyle w:val="Numberedtitlelevel3"/>
        <w:numPr>
          <w:ilvl w:val="2"/>
          <w:numId w:val="53"/>
        </w:numPr>
      </w:pPr>
      <w:r w:rsidRPr="00AF5F13">
        <w:t>Prattiki superviżorji u l-manwal superviżorju</w:t>
      </w:r>
    </w:p>
    <w:p w14:paraId="74C4290F" w14:textId="7F6FC97F" w:rsidR="00CE14AE" w:rsidRPr="00AF5F13" w:rsidRDefault="00CE14AE" w:rsidP="00921363">
      <w:pPr>
        <w:pStyle w:val="body"/>
        <w:numPr>
          <w:ilvl w:val="0"/>
          <w:numId w:val="10"/>
        </w:numPr>
      </w:pPr>
      <w:r w:rsidRPr="00AF5F13">
        <w:t xml:space="preserve">Sabiex jissodisfaw l-obbligi tagħhom skont id-Direttiva (UE) 2015/849, l-awtoritajiet kompetenti għandhom jiżguraw li s-suġġetti tal-valutazzjoni jkunu stabbilixxew sistemi u kontrolli tal-AML/CFT robusti u li dawn is-sistemi u l-kontrolli jkunu effettivi biżżejjed biex jipprevjenu u jidentifikaw ML/TF. Il-passi li jieħdu l-awtoritajiet kompetenti biex jivvalutaw is-sistemi u l-kontrolli tal-AML/CFT tas-suġġett tal-valutazzjonijiet għandhom jiġu stabbiliti f’manwal superviżorju ddedikat tal-AML/CFT. Dan jippermetti lill-awtoritajiet kompetenti jiżguraw l-applikazzjoni tal-għodod superviżorji u l-ġudizzju professjonali b’mod konsistenti. Meta jabbozzaw il-manwal, l-awtoritajiet kompetenti għandhom jiżguraw li dan jipprovdi biżżejjed dettalji tal-attivitajiet kollha li s-superviżuri rilevanti huma meħtieġa jwettqu biex iwettqu s-superviżjoni b’mod effettiv, madankollu għandhom jipprovdu wkoll lis-superviżuri bi </w:t>
      </w:r>
      <w:r w:rsidRPr="00AF5F13">
        <w:lastRenderedPageBreak/>
        <w:t>flessibbiltà suffiċjenti biex japplikaw il-ġudizzju espert tagħhom u jagħmlu aġġustamenti għall-approċċ superviżorju kif meħtieġ.</w:t>
      </w:r>
    </w:p>
    <w:p w14:paraId="4F6077A9" w14:textId="69A5EEC6" w:rsidR="00640AC8" w:rsidRPr="00AF5F13" w:rsidRDefault="003865B8" w:rsidP="00640AC8">
      <w:pPr>
        <w:pStyle w:val="body"/>
        <w:numPr>
          <w:ilvl w:val="0"/>
          <w:numId w:val="10"/>
        </w:numPr>
      </w:pPr>
      <w:r w:rsidRPr="00AF5F13">
        <w:t>Jenħtieġ li l-awtoritajiet kompetenti jiżguraw li, fejn rilevanti, is-suġġetti tal-valutazzjoni jaħtru uffiċjali għall-konformità tal-AML/CFT f’konformità mal-Artikolu 8(4) tad-Direttiva (UE) 2015/849. L-awtoritajiet kompetenti għandhom jieħdu wkoll passi sensittivi għar-riskju biex jivverifikaw jekk l-uffiċjal għall-konformità tal-AML/CFT maħtur minn suġġett tal-valutazzjoni għandux jew għadux ikollu l-livelli ta’ integrità, għarfien espert u għarfien meħtieġa biex iwettaq il-funzjonijiet tiegħu b’mod effettiv.</w:t>
      </w:r>
      <w:r w:rsidR="00C732C5" w:rsidRPr="00AF5F13">
        <w:rPr>
          <w:rStyle w:val="FootnoteReference"/>
          <w:lang w:val="en-GB"/>
        </w:rPr>
        <w:footnoteReference w:id="20"/>
      </w:r>
      <w:r w:rsidRPr="00AF5F13">
        <w:t xml:space="preserve"> Dan jista’ jinkludi laqgħa mal-uffiċjal tal-konformità tal-AML/CFT jew talba lis-suġġett ta’ valutazzjoni biex jipprovdi sommarju tal-għarfien espert professjonali tal-uffiċjal għall-konformità tal-AML/CFT u kwalunkwe informazzjoni oħra meqjusa rilevanti mill-awtorità kompetenti. L-awtoritajiet kompetenti għandhom jikkunsidraw jekk iwettqux tali valutazzjoni bħala parti mill-attivitajiet superviżorji tagħhom, inkluż matul spezzjonijiet fuq il-post jew reviżjonijiet mhux fuq il-post, jew bħala valutazzjoni awtonoma</w:t>
      </w:r>
      <w:r w:rsidR="00640AC8">
        <w:t>.</w:t>
      </w:r>
    </w:p>
    <w:p w14:paraId="298162D0" w14:textId="3C51A37B" w:rsidR="002B2684" w:rsidRPr="00AF5F13" w:rsidRDefault="00F26810" w:rsidP="00C47112">
      <w:pPr>
        <w:pStyle w:val="body"/>
        <w:numPr>
          <w:ilvl w:val="0"/>
          <w:numId w:val="10"/>
        </w:numPr>
        <w:tabs>
          <w:tab w:val="left" w:pos="426"/>
        </w:tabs>
        <w:ind w:left="284" w:hanging="284"/>
      </w:pPr>
      <w:r w:rsidRPr="00AF5F13">
        <w:t>Meta, bħala riżultat tal-kontrolli deskritti fil-paragrafu 99, l-awtorità kompetenti tkun imħassba li l-uffiċjal għall-konformità tal-AML/CFT jista’ ma jkunx adegwat, l-awtorità kompetenti għandha tinnotifika lis-superviżur prudenzjali rilevanti</w:t>
      </w:r>
      <w:r w:rsidR="003865B8" w:rsidRPr="00AF5F13">
        <w:rPr>
          <w:vertAlign w:val="superscript"/>
          <w:lang w:val="en-GB"/>
        </w:rPr>
        <w:footnoteReference w:id="21"/>
      </w:r>
      <w:r w:rsidRPr="00AF5F13">
        <w:t xml:space="preserve"> dwar it-tħassib tagħha u għandha tikkondividi b’mod proattiv mas-superviżuri prudenzjali kwalunkwe informazzjoni li tkun wasslet għal dan it-tħassib. Barra minn hekk,</w:t>
      </w:r>
    </w:p>
    <w:p w14:paraId="4E347EB1" w14:textId="571EF9FA" w:rsidR="002B2684" w:rsidRPr="00AF5F13" w:rsidRDefault="00F26810" w:rsidP="00A867D1">
      <w:pPr>
        <w:pStyle w:val="body"/>
        <w:numPr>
          <w:ilvl w:val="0"/>
          <w:numId w:val="97"/>
        </w:numPr>
        <w:ind w:left="697" w:hanging="357"/>
      </w:pPr>
      <w:r w:rsidRPr="00AF5F13">
        <w:t>meta l-valutazzjoni tal-adegwatezza tal-uffiċjal għall-konformità tal-AML/CFT ma tkunx fil-kompetenza ta’ superviżur prudenzjali, l-awtoritajiet kompetenti għandhom japplikaw il-miżuri meħtieġa biex jirrimedjaw il-kwistjoni mingħajr dewmien żejjed, bħal talba biex l-uffiċjal għall-konformità tal-AML/CFT jagħmel taħriġ addizzjonali jew titjib tal-kwalifiki professjonali; talba għal ġestjoni msaħħa jew ir-riorganizzazzjoni tar-rwol tal-uffiċjal għall-konformità tal-AML/CFT; jew talba biex jinħatar sostitut jew uffiċjal għall-konformità tal-AML/CFT addizzjonali;</w:t>
      </w:r>
    </w:p>
    <w:p w14:paraId="4BCBCE0A" w14:textId="5013C6FB" w:rsidR="002B2684" w:rsidRPr="00AF5F13" w:rsidRDefault="00E85682" w:rsidP="00D173E4">
      <w:pPr>
        <w:pStyle w:val="body"/>
        <w:numPr>
          <w:ilvl w:val="0"/>
          <w:numId w:val="97"/>
        </w:numPr>
        <w:ind w:left="697"/>
      </w:pPr>
      <w:r w:rsidRPr="00AF5F13">
        <w:t>meta s-superviżuri prudenzjali jkunu kompetenti biex jivvalutaw l-adegwatezza tal-uffiċjal għall-konformità tal-AML/CFT,</w:t>
      </w:r>
      <w:r w:rsidR="00F51E8D" w:rsidRPr="00AF5F13">
        <w:rPr>
          <w:rStyle w:val="FootnoteReference"/>
          <w:lang w:val="en-GB"/>
        </w:rPr>
        <w:footnoteReference w:id="22"/>
      </w:r>
      <w:r w:rsidRPr="00AF5F13">
        <w:t xml:space="preserve"> l-awtoritajiet kompetenti għandhom jikkooperaw mas-superviżuri prudenzjali matul il-valutazzjoni inizjali kif ukoll matul kwalunkwe rivalutazzjoni tal-adegwatezza mis-superviżuri prudenzjali kif meħtieġ.</w:t>
      </w:r>
      <w:r w:rsidR="003865B8" w:rsidRPr="00AF5F13">
        <w:rPr>
          <w:vertAlign w:val="superscript"/>
          <w:lang w:val="en-GB"/>
        </w:rPr>
        <w:footnoteReference w:id="23"/>
      </w:r>
      <w:r w:rsidRPr="00AF5F13">
        <w:t xml:space="preserve"> L-awtoritajiet kompetenti għandhom jikkondividu l-informazzjoni rilevanti kollha, li jista’ jkollha impatt fuq il-valutazzjoni tal-adegwatezza jew ir-rivalutazzjoni tal-uffiċjal għall-konformità tal-AML/CFT, </w:t>
      </w:r>
      <w:r w:rsidRPr="00AF5F13">
        <w:lastRenderedPageBreak/>
        <w:t>mas-superviżuri prudenzjali rilevanti, inklużi r-rakkomandazzjonijiet ta’ miżuri proposti minnhom, kif deskritt fil-punt a) hawn fuq, li jistgħu jittieħdu minn perspettiva superviżorja tal-AML/CFT biex jittaffew il-kwistjonijiet.</w:t>
      </w:r>
    </w:p>
    <w:p w14:paraId="24681EE2" w14:textId="11427511" w:rsidR="00CE14AE" w:rsidRPr="00AF5F13" w:rsidRDefault="00CE14AE" w:rsidP="00C47112">
      <w:pPr>
        <w:pStyle w:val="body"/>
        <w:numPr>
          <w:ilvl w:val="0"/>
          <w:numId w:val="98"/>
        </w:numPr>
        <w:tabs>
          <w:tab w:val="left" w:pos="426"/>
        </w:tabs>
        <w:ind w:left="340" w:hanging="340"/>
      </w:pPr>
      <w:r w:rsidRPr="00AF5F13">
        <w:t>Fil-manwal superviżorju, l-awtoritajiet kompetenti għandhom jiddeskrivu l-passi li s-superviżuri huma meħtieġa jieħdu meta japplikaw għodod superviżorji differenti. Il-manwal għandu jistabbilixxi mill-inqas:</w:t>
      </w:r>
    </w:p>
    <w:p w14:paraId="6BF75DFF" w14:textId="169B4DC3" w:rsidR="00FD5BCB" w:rsidRDefault="00EE353A" w:rsidP="004D193D">
      <w:pPr>
        <w:pStyle w:val="ListParagraph"/>
        <w:widowControl w:val="0"/>
        <w:numPr>
          <w:ilvl w:val="1"/>
          <w:numId w:val="40"/>
        </w:numPr>
        <w:autoSpaceDE w:val="0"/>
        <w:autoSpaceDN w:val="0"/>
        <w:spacing w:before="160" w:line="274" w:lineRule="auto"/>
        <w:ind w:left="697" w:hanging="357"/>
        <w:jc w:val="both"/>
      </w:pPr>
      <w:r w:rsidRPr="00AF5F13">
        <w:t>il-proċess u l-metodoloġija segwiti mill-awtoritajiet kompetenti meta jivvalutaw ir-riskji ta’ ML/TF assoċjati mas-suġġetti tal-valutazzjoni u mas-setturi/subsetturi. L-awtoritajiet kompetenti għandhom jispjegaw ukoll il-proċess segwit mis-superviżuri meta jkunu jixtiequ jemendaw il-punteġġ tar-riskju tas-suġġett tal-valutazzjoni abbażi tal-ġudizzju professjonali tagħhom;</w:t>
      </w:r>
    </w:p>
    <w:p w14:paraId="5F02EF5B" w14:textId="0EA554C5" w:rsidR="006967AC" w:rsidRPr="00AF5F13" w:rsidRDefault="006967AC" w:rsidP="006967AC">
      <w:pPr>
        <w:widowControl w:val="0"/>
        <w:autoSpaceDE w:val="0"/>
        <w:autoSpaceDN w:val="0"/>
        <w:spacing w:before="160" w:line="274" w:lineRule="auto"/>
        <w:jc w:val="both"/>
      </w:pPr>
      <w:r w:rsidRPr="006967AC">
        <w:rPr>
          <w:rFonts w:ascii="Wingdings" w:eastAsia="Wingdings" w:hAnsi="Wingdings" w:cs="Wingdings"/>
          <w:color w:val="E98E31" w:themeColor="background2"/>
          <w:spacing w:val="-1"/>
        </w:rPr>
        <w:t>Ú</w:t>
      </w:r>
      <w:r w:rsidRPr="006967AC">
        <w:rPr>
          <w:color w:val="E98E31" w:themeColor="background2"/>
          <w:spacing w:val="-1"/>
        </w:rPr>
        <w:t>C1</w:t>
      </w:r>
    </w:p>
    <w:p w14:paraId="01E18EC0" w14:textId="3D8CD9A0" w:rsidR="00364D80" w:rsidRDefault="001A5BE2" w:rsidP="004D193D">
      <w:pPr>
        <w:pStyle w:val="ListParagraph"/>
        <w:widowControl w:val="0"/>
        <w:numPr>
          <w:ilvl w:val="1"/>
          <w:numId w:val="40"/>
        </w:numPr>
        <w:autoSpaceDE w:val="0"/>
        <w:autoSpaceDN w:val="0"/>
        <w:spacing w:before="160" w:line="274" w:lineRule="auto"/>
        <w:ind w:left="697" w:hanging="357"/>
        <w:jc w:val="both"/>
      </w:pPr>
      <w:r w:rsidRPr="00381D0B">
        <w:t xml:space="preserve">każijiet possibbli fejn is-superviżuri jkunu meħtieġa jikkooperaw ma’ partijiet ikkonċernati oħra kif deskritt fit-Taqsima </w:t>
      </w:r>
      <w:r w:rsidRPr="001A5BE2">
        <w:rPr>
          <w:bCs/>
        </w:rPr>
        <w:t>4.1.4</w:t>
      </w:r>
      <w:r w:rsidRPr="00381D0B">
        <w:t xml:space="preserve"> ta’ dawn il-Linji Gwida u jispjegaw il-proċess ta’ kif din il-kooperazzjoni għandha sseħħ fil-prattika</w:t>
      </w:r>
      <w:r w:rsidR="00364D80" w:rsidRPr="00AF5F13">
        <w:t>;</w:t>
      </w:r>
    </w:p>
    <w:p w14:paraId="5F85A657" w14:textId="5312B04B" w:rsidR="006967AC" w:rsidRPr="00AF5F13" w:rsidRDefault="006967AC" w:rsidP="006967AC">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49759673" w14:textId="0F0217B9" w:rsidR="00AB573C" w:rsidRDefault="00EE353A" w:rsidP="004D193D">
      <w:pPr>
        <w:pStyle w:val="ListParagraph"/>
        <w:widowControl w:val="0"/>
        <w:numPr>
          <w:ilvl w:val="1"/>
          <w:numId w:val="40"/>
        </w:numPr>
        <w:autoSpaceDE w:val="0"/>
        <w:autoSpaceDN w:val="0"/>
        <w:spacing w:before="160" w:line="274" w:lineRule="auto"/>
        <w:ind w:left="697" w:hanging="357"/>
        <w:jc w:val="both"/>
      </w:pPr>
      <w:r w:rsidRPr="00AF5F13">
        <w:t>il-proċess li għandu jiġi segwit mis-superviżuri meta jwettqu kull għodda superviżorja u jispjegaw l-elementi li għandhom jiġu ttestjati. L-awtoritajiet kompetenti għandhom jistabbilixxu b’mod ċar id-differenzi ewlenin bejn l-għodod superviżorji differenti disponibbli għalihom. Dan ifisser li l-awtoritajiet kompetenti għandhom mill-inqas jiċċaraw sa liema punt is-superviżuri huma mistennija jittestjaw fis-suġġetti tal-valutazzjoni:</w:t>
      </w:r>
    </w:p>
    <w:p w14:paraId="5E54CBF4" w14:textId="76212EDF" w:rsidR="006967AC" w:rsidRPr="00AF5F13" w:rsidRDefault="006967AC" w:rsidP="006967AC">
      <w:pPr>
        <w:widowControl w:val="0"/>
        <w:autoSpaceDE w:val="0"/>
        <w:autoSpaceDN w:val="0"/>
        <w:spacing w:before="160" w:line="274" w:lineRule="auto"/>
        <w:jc w:val="both"/>
      </w:pPr>
      <w:r w:rsidRPr="006967AC">
        <w:rPr>
          <w:rFonts w:ascii="Wingdings" w:eastAsia="Wingdings" w:hAnsi="Wingdings" w:cs="Wingdings"/>
          <w:color w:val="E98E31" w:themeColor="background2"/>
          <w:spacing w:val="-1"/>
        </w:rPr>
        <w:t>Ú</w:t>
      </w:r>
      <w:r w:rsidRPr="006967AC">
        <w:rPr>
          <w:color w:val="E98E31" w:themeColor="background2"/>
          <w:spacing w:val="-1"/>
        </w:rPr>
        <w:t>A1</w:t>
      </w:r>
    </w:p>
    <w:p w14:paraId="3F198528" w14:textId="13D20DCD" w:rsidR="00D40449" w:rsidRDefault="008F6389" w:rsidP="004D193D">
      <w:pPr>
        <w:pStyle w:val="ListParagraph"/>
        <w:widowControl w:val="0"/>
        <w:numPr>
          <w:ilvl w:val="2"/>
          <w:numId w:val="59"/>
        </w:numPr>
        <w:autoSpaceDE w:val="0"/>
        <w:autoSpaceDN w:val="0"/>
        <w:spacing w:before="160" w:line="273" w:lineRule="auto"/>
        <w:ind w:left="1134"/>
        <w:jc w:val="both"/>
      </w:pPr>
      <w:r w:rsidRPr="00F57386">
        <w:t>l-adegwatezza tal-politiki u tal-proċeduri rilevanti u jekk humiex marbuta mal-valutazzjoni tar-riskju għan-negozju kollu u jekk dawn il-politiki u l-proċeduri humiex rieżaminati u, jekk meħtieġ, aġġornati kull meta tinbidel il-valutazzjoni tar-riskju għan-negozju kollu</w:t>
      </w:r>
      <w:r w:rsidR="00AB573C" w:rsidRPr="00AF5F13">
        <w:t>;</w:t>
      </w:r>
    </w:p>
    <w:p w14:paraId="7C682B9D" w14:textId="5AE79F98" w:rsidR="006967AC" w:rsidRPr="00AF5F13" w:rsidRDefault="006967AC" w:rsidP="006967AC">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1161F08" w14:textId="77777777" w:rsidR="00D40449" w:rsidRPr="00AF5F13" w:rsidRDefault="00AB573C" w:rsidP="004D193D">
      <w:pPr>
        <w:pStyle w:val="ListParagraph"/>
        <w:widowControl w:val="0"/>
        <w:numPr>
          <w:ilvl w:val="2"/>
          <w:numId w:val="59"/>
        </w:numPr>
        <w:autoSpaceDE w:val="0"/>
        <w:autoSpaceDN w:val="0"/>
        <w:spacing w:before="160" w:line="273" w:lineRule="auto"/>
        <w:ind w:left="1134"/>
        <w:jc w:val="both"/>
      </w:pPr>
      <w:r w:rsidRPr="00AF5F13">
        <w:t>li l-proċessi rilevanti jkunu ġew stabbiliti u li joperaw kif mistenni;</w:t>
      </w:r>
    </w:p>
    <w:p w14:paraId="58B14508" w14:textId="77777777" w:rsidR="00D40449" w:rsidRPr="00AF5F13" w:rsidRDefault="00AB573C" w:rsidP="004D193D">
      <w:pPr>
        <w:pStyle w:val="ListParagraph"/>
        <w:widowControl w:val="0"/>
        <w:numPr>
          <w:ilvl w:val="2"/>
          <w:numId w:val="59"/>
        </w:numPr>
        <w:autoSpaceDE w:val="0"/>
        <w:autoSpaceDN w:val="0"/>
        <w:spacing w:before="160" w:line="273" w:lineRule="auto"/>
        <w:ind w:left="1134"/>
        <w:jc w:val="both"/>
      </w:pPr>
      <w:r w:rsidRPr="00AF5F13">
        <w:t>l-adegwatezza u l-kompletezza tal-valutazzjonijiet tar-riskju għan-negozju kollu u sa liema punt tiddetermina l-approċċ ġenerali tal-AML/CFT;</w:t>
      </w:r>
    </w:p>
    <w:p w14:paraId="23B2168E" w14:textId="5C6E8C3E" w:rsidR="00AB573C" w:rsidRPr="00AF5F13" w:rsidRDefault="00AB573C" w:rsidP="004D193D">
      <w:pPr>
        <w:pStyle w:val="ListParagraph"/>
        <w:widowControl w:val="0"/>
        <w:numPr>
          <w:ilvl w:val="2"/>
          <w:numId w:val="59"/>
        </w:numPr>
        <w:autoSpaceDE w:val="0"/>
        <w:autoSpaceDN w:val="0"/>
        <w:spacing w:before="160" w:line="273" w:lineRule="auto"/>
        <w:ind w:left="1134"/>
        <w:jc w:val="both"/>
      </w:pPr>
      <w:r w:rsidRPr="00AF5F13">
        <w:t>l-adegwatezza tal-valutazzjonijiet tar-riskju tal-klijenti u l-punt sa fejn jiddeterminaw il-livell applikabbli tar-rekwiżiti ta’ diliġenza dovuta mal-klijent;</w:t>
      </w:r>
    </w:p>
    <w:p w14:paraId="2F40D83E" w14:textId="2A5D8853" w:rsidR="004E07FB" w:rsidRPr="00AF5F13" w:rsidRDefault="00364D80" w:rsidP="004D193D">
      <w:pPr>
        <w:pStyle w:val="ListParagraph"/>
        <w:widowControl w:val="0"/>
        <w:numPr>
          <w:ilvl w:val="2"/>
          <w:numId w:val="59"/>
        </w:numPr>
        <w:autoSpaceDE w:val="0"/>
        <w:autoSpaceDN w:val="0"/>
        <w:spacing w:before="160" w:line="273" w:lineRule="auto"/>
        <w:ind w:left="1134"/>
        <w:jc w:val="both"/>
      </w:pPr>
      <w:r w:rsidRPr="00AF5F13">
        <w:t>l-adegwatezza tal-arranġamenti ta’ governanza interna u tal-linji ta’ rapportar interni, fir-rigward tal-konformità mal-AML/CFT, inkluż il-kwalità u l-kwantità tal-informazzjoni dwar il-ġestjoni;</w:t>
      </w:r>
    </w:p>
    <w:p w14:paraId="6ACE36C1" w14:textId="6143A075" w:rsidR="00CE2887" w:rsidRPr="00AF5F13" w:rsidRDefault="00466038" w:rsidP="00A12053">
      <w:pPr>
        <w:pStyle w:val="CommentText"/>
        <w:numPr>
          <w:ilvl w:val="2"/>
          <w:numId w:val="59"/>
        </w:numPr>
        <w:spacing w:before="240" w:after="120" w:line="276" w:lineRule="auto"/>
        <w:ind w:left="1134"/>
        <w:jc w:val="both"/>
        <w:rPr>
          <w:rFonts w:asciiTheme="minorHAnsi" w:hAnsiTheme="minorHAnsi" w:cstheme="minorHAnsi"/>
          <w:sz w:val="22"/>
          <w:szCs w:val="22"/>
        </w:rPr>
      </w:pPr>
      <w:r w:rsidRPr="00AF5F13">
        <w:rPr>
          <w:rFonts w:asciiTheme="minorHAnsi" w:hAnsiTheme="minorHAnsi"/>
          <w:sz w:val="22"/>
          <w:szCs w:val="22"/>
        </w:rPr>
        <w:t xml:space="preserve">l-adegwatezza tal-persuna li twettaq ir-rwol tal-uffiċjal għall-konformità tal-AML/CFT fi ħdan is-suġġett tal-valutazzjoni kif definit fl-Artikolu 8(4) tad-Direttiva (UE) 2015/849 </w:t>
      </w:r>
      <w:r w:rsidRPr="00AF5F13">
        <w:rPr>
          <w:rFonts w:asciiTheme="minorHAnsi" w:hAnsiTheme="minorHAnsi"/>
          <w:sz w:val="22"/>
          <w:szCs w:val="22"/>
        </w:rPr>
        <w:lastRenderedPageBreak/>
        <w:t>u l-passi li s-superviżuri għandhom jieħdu biex iwettqu din il-valutazzjoni;</w:t>
      </w:r>
    </w:p>
    <w:p w14:paraId="24F55DCD" w14:textId="77777777" w:rsidR="00713039" w:rsidRPr="00AF5F13" w:rsidRDefault="00CE14AE" w:rsidP="004D193D">
      <w:pPr>
        <w:pStyle w:val="ListParagraph"/>
        <w:widowControl w:val="0"/>
        <w:numPr>
          <w:ilvl w:val="1"/>
          <w:numId w:val="40"/>
        </w:numPr>
        <w:autoSpaceDE w:val="0"/>
        <w:autoSpaceDN w:val="0"/>
        <w:spacing w:before="160" w:line="274" w:lineRule="auto"/>
        <w:ind w:left="697" w:hanging="357"/>
        <w:jc w:val="both"/>
      </w:pPr>
      <w:r w:rsidRPr="00AF5F13">
        <w:t>x’tip ta’ impenji u komunikazzjonijiet għandu jkollu s-superviżur mas-suġġett tal-valutazzjoni qabel, matul u wara l-applikazzjoni ta’ għodda superviżorja partikolari;</w:t>
      </w:r>
    </w:p>
    <w:p w14:paraId="6EBD3555" w14:textId="7A6F8D34" w:rsidR="00CE14AE" w:rsidRPr="00AF5F13" w:rsidRDefault="00713039" w:rsidP="004D193D">
      <w:pPr>
        <w:pStyle w:val="ListParagraph"/>
        <w:widowControl w:val="0"/>
        <w:numPr>
          <w:ilvl w:val="1"/>
          <w:numId w:val="40"/>
        </w:numPr>
        <w:autoSpaceDE w:val="0"/>
        <w:autoSpaceDN w:val="0"/>
        <w:spacing w:before="160" w:line="274" w:lineRule="auto"/>
        <w:ind w:left="697" w:hanging="357"/>
        <w:jc w:val="both"/>
      </w:pPr>
      <w:r w:rsidRPr="00AF5F13">
        <w:t>meta jiġu kkomunikati s-sejbiet mill-ispezzjonijiet jew mir-reviżjonijiet, perjodi ta’ żmien indikattivi li għandhom jiġu osservati mill-awtoritajiet kompetenti u mis-suġġetti tal-valutazzjoni;</w:t>
      </w:r>
    </w:p>
    <w:p w14:paraId="6BB3F4DD" w14:textId="3826D631" w:rsidR="00692D01" w:rsidRPr="00AF5F13" w:rsidRDefault="00CE14AE" w:rsidP="004D193D">
      <w:pPr>
        <w:pStyle w:val="ListParagraph"/>
        <w:widowControl w:val="0"/>
        <w:numPr>
          <w:ilvl w:val="1"/>
          <w:numId w:val="40"/>
        </w:numPr>
        <w:autoSpaceDE w:val="0"/>
        <w:autoSpaceDN w:val="0"/>
        <w:spacing w:before="160" w:line="274" w:lineRule="auto"/>
        <w:ind w:left="697" w:hanging="357"/>
        <w:jc w:val="both"/>
      </w:pPr>
      <w:r w:rsidRPr="00AF5F13">
        <w:t>kif jiġi vvalutat li s-sistemi u l-kontrolli tal-AML/CFT stabbiliti mis-suġġetti tal-valutazzjoni huma effettivi biżżejjed u proporzjonati mar-riskji ta’ ML/TF li għalihom huwa espost is-suġġett tal-valutazzjoni. L-awtoritajiet kompetenti għandhom mill-inqas jistabbilixxu l-oqsma ewlenin li fuqhom għandu jiffoka s-superviżur, li jista’ jissuġġerixxi n-nuqqas ta’ effettività fi ħdan is-suġġett tal-valutazzjoni. Xi indikaturi li jistgħu jissuġġerixxu li l-qafas tal-AML/CFT qed jiġi implimentat b’mod effettiv jinkludu, iżda mhumiex limitati għal:</w:t>
      </w:r>
    </w:p>
    <w:p w14:paraId="71C5C448" w14:textId="77777777" w:rsidR="00B80111" w:rsidRPr="00AF5F13" w:rsidRDefault="00B80111" w:rsidP="004D193D">
      <w:pPr>
        <w:pStyle w:val="ListParagraph"/>
        <w:widowControl w:val="0"/>
        <w:numPr>
          <w:ilvl w:val="2"/>
          <w:numId w:val="59"/>
        </w:numPr>
        <w:autoSpaceDE w:val="0"/>
        <w:autoSpaceDN w:val="0"/>
        <w:spacing w:before="160" w:line="274" w:lineRule="auto"/>
        <w:ind w:left="1089" w:hanging="397"/>
        <w:jc w:val="both"/>
      </w:pPr>
      <w:r w:rsidRPr="00AF5F13">
        <w:t>il-persunal fis-suġġett tal-valutazzjoni juri fehim tajjeb tal-parametri użati għal sistemi differenti u jista’ jispjega r-raġuni għall-eżiti minn dawn is-sistemi;</w:t>
      </w:r>
    </w:p>
    <w:p w14:paraId="4B08040E" w14:textId="5FC56008" w:rsidR="00692D01" w:rsidRPr="00AF5F13" w:rsidRDefault="00B80111" w:rsidP="004D193D">
      <w:pPr>
        <w:pStyle w:val="ListParagraph"/>
        <w:widowControl w:val="0"/>
        <w:numPr>
          <w:ilvl w:val="2"/>
          <w:numId w:val="59"/>
        </w:numPr>
        <w:autoSpaceDE w:val="0"/>
        <w:autoSpaceDN w:val="0"/>
        <w:spacing w:before="160" w:line="274" w:lineRule="auto"/>
        <w:ind w:left="1089" w:hanging="397"/>
        <w:jc w:val="both"/>
      </w:pPr>
      <w:r w:rsidRPr="00AF5F13">
        <w:t>is-sistemi u l-proċessi użati biex jiġu skrinjati l-klijenti u t-tranżazzjonijiet jagħtu l-eżiti mistennija, li huma konformi ma’ suġġetti tal-valutazzjoni simili oħra f’settur;</w:t>
      </w:r>
    </w:p>
    <w:p w14:paraId="28238F75" w14:textId="5AD04B03" w:rsidR="00930C72" w:rsidRPr="00AF5F13" w:rsidRDefault="00D40449" w:rsidP="004D193D">
      <w:pPr>
        <w:pStyle w:val="ListParagraph"/>
        <w:widowControl w:val="0"/>
        <w:numPr>
          <w:ilvl w:val="2"/>
          <w:numId w:val="59"/>
        </w:numPr>
        <w:autoSpaceDE w:val="0"/>
        <w:autoSpaceDN w:val="0"/>
        <w:spacing w:before="160" w:line="274" w:lineRule="auto"/>
        <w:ind w:left="1089" w:hanging="397"/>
        <w:jc w:val="both"/>
      </w:pPr>
      <w:r w:rsidRPr="00AF5F13">
        <w:t xml:space="preserve"> politiki u proċessi għall-identifikazzjoni u l-analiżi ta’ tranżazzjonijiet suspettużi jew mhux tas-soltu u għar-rapportar lill-UIF jew lil awtoritajiet rilevanti oħra;</w:t>
      </w:r>
    </w:p>
    <w:p w14:paraId="0D905758" w14:textId="44F3D497" w:rsidR="00692D01" w:rsidRPr="00AF5F13" w:rsidRDefault="00B80111" w:rsidP="004D193D">
      <w:pPr>
        <w:pStyle w:val="ListParagraph"/>
        <w:widowControl w:val="0"/>
        <w:numPr>
          <w:ilvl w:val="2"/>
          <w:numId w:val="59"/>
        </w:numPr>
        <w:autoSpaceDE w:val="0"/>
        <w:autoSpaceDN w:val="0"/>
        <w:spacing w:before="160" w:line="274" w:lineRule="auto"/>
        <w:ind w:left="1089" w:hanging="397"/>
        <w:jc w:val="both"/>
      </w:pPr>
      <w:r w:rsidRPr="00AF5F13">
        <w:t>il-persunal fis-suġġett tal-valutazzjoni juri fehim tajjeb tal-politiki u l-proċessi tal-AML/CFT u kif dawn jiġu applikati fil-prattika;</w:t>
      </w:r>
    </w:p>
    <w:p w14:paraId="75737EAB" w14:textId="592F86EF" w:rsidR="00692D01" w:rsidRPr="00AF5F13" w:rsidRDefault="00D40449" w:rsidP="004D193D">
      <w:pPr>
        <w:pStyle w:val="ListParagraph"/>
        <w:widowControl w:val="0"/>
        <w:numPr>
          <w:ilvl w:val="2"/>
          <w:numId w:val="59"/>
        </w:numPr>
        <w:autoSpaceDE w:val="0"/>
        <w:autoSpaceDN w:val="0"/>
        <w:spacing w:before="160" w:line="274" w:lineRule="auto"/>
        <w:ind w:left="1089" w:hanging="397"/>
        <w:jc w:val="both"/>
      </w:pPr>
      <w:r w:rsidRPr="00AF5F13">
        <w:t xml:space="preserve"> diversi rapporti interni u esterni, bħal awditjar intern u estern jew konsulenti, ma jqajmu l-ebda tħassib dwar il-konformità mal-AML/CFT tas-suġġett tal-valutazzjoni;</w:t>
      </w:r>
    </w:p>
    <w:p w14:paraId="6ACF4CB2" w14:textId="0F58761D" w:rsidR="00F11F31" w:rsidRPr="00AF5F13" w:rsidRDefault="00542F5E" w:rsidP="004D193D">
      <w:pPr>
        <w:pStyle w:val="ListParagraph"/>
        <w:widowControl w:val="0"/>
        <w:numPr>
          <w:ilvl w:val="2"/>
          <w:numId w:val="59"/>
        </w:numPr>
        <w:autoSpaceDE w:val="0"/>
        <w:autoSpaceDN w:val="0"/>
        <w:spacing w:before="160" w:line="274" w:lineRule="auto"/>
        <w:ind w:left="1089" w:hanging="397"/>
        <w:jc w:val="both"/>
      </w:pPr>
      <w:r w:rsidRPr="00AF5F13">
        <w:t>il-provvista ta’ taħriġ suffiċjenti u rilevanti lill-persunal u lill-maniġment superjuri rilevanti kollha fi ħdan is-suġġett tal-valutazzjoni;</w:t>
      </w:r>
    </w:p>
    <w:p w14:paraId="2DBE3C21" w14:textId="5E963B61" w:rsidR="00692D01" w:rsidRPr="00AF5F13" w:rsidRDefault="00F11F31" w:rsidP="004D193D">
      <w:pPr>
        <w:pStyle w:val="ListParagraph"/>
        <w:widowControl w:val="0"/>
        <w:numPr>
          <w:ilvl w:val="2"/>
          <w:numId w:val="59"/>
        </w:numPr>
        <w:autoSpaceDE w:val="0"/>
        <w:autoSpaceDN w:val="0"/>
        <w:spacing w:before="160" w:line="274" w:lineRule="auto"/>
        <w:ind w:left="1089" w:hanging="397"/>
        <w:jc w:val="both"/>
      </w:pPr>
      <w:r w:rsidRPr="00AF5F13">
        <w:t xml:space="preserve"> prattiki ta’ inċentivi ġusti, inklużi r-remunerazzjoni u premjijiet oħra, ġew implimentati mis-suġġett tal-valutazzjoni li ma jrawmux direttament jew indirettament prattiki jew kultura tax-xogħol mhux sodi;</w:t>
      </w:r>
    </w:p>
    <w:p w14:paraId="76159461" w14:textId="3A4BB781" w:rsidR="00692D01" w:rsidRPr="00AF5F13" w:rsidRDefault="00542F5E" w:rsidP="004D193D">
      <w:pPr>
        <w:pStyle w:val="ListParagraph"/>
        <w:widowControl w:val="0"/>
        <w:numPr>
          <w:ilvl w:val="2"/>
          <w:numId w:val="59"/>
        </w:numPr>
        <w:autoSpaceDE w:val="0"/>
        <w:autoSpaceDN w:val="0"/>
        <w:spacing w:before="160" w:line="274" w:lineRule="auto"/>
        <w:ind w:left="1089" w:hanging="397"/>
        <w:jc w:val="both"/>
      </w:pPr>
      <w:r w:rsidRPr="00AF5F13">
        <w:t>rappurtar suffiċjenti u adegwat tal-ġestjoni fil-livelli kollha tal-maniġment;</w:t>
      </w:r>
    </w:p>
    <w:p w14:paraId="34EA37A3" w14:textId="6EAACD8C" w:rsidR="00D40449" w:rsidRPr="00AF5F13" w:rsidRDefault="00542F5E" w:rsidP="004D193D">
      <w:pPr>
        <w:pStyle w:val="ListParagraph"/>
        <w:widowControl w:val="0"/>
        <w:numPr>
          <w:ilvl w:val="2"/>
          <w:numId w:val="59"/>
        </w:numPr>
        <w:autoSpaceDE w:val="0"/>
        <w:autoSpaceDN w:val="0"/>
        <w:spacing w:before="160" w:line="274" w:lineRule="auto"/>
        <w:ind w:left="1089" w:hanging="397"/>
        <w:jc w:val="both"/>
      </w:pPr>
      <w:r w:rsidRPr="00AF5F13">
        <w:t>l-istabbiliment ta’ arranġamenti ta’ governanza adegwati bi rwol ċar tal-maniġment superjuri fil-qafas tal-AML/CFT.</w:t>
      </w:r>
    </w:p>
    <w:p w14:paraId="18653F5C" w14:textId="138757A6" w:rsidR="00CE14AE" w:rsidRPr="00AF5F13" w:rsidRDefault="00CE14AE" w:rsidP="004D193D">
      <w:pPr>
        <w:pStyle w:val="ListParagraph"/>
        <w:widowControl w:val="0"/>
        <w:numPr>
          <w:ilvl w:val="1"/>
          <w:numId w:val="40"/>
        </w:numPr>
        <w:tabs>
          <w:tab w:val="left" w:pos="941"/>
          <w:tab w:val="left" w:pos="942"/>
        </w:tabs>
        <w:autoSpaceDE w:val="0"/>
        <w:autoSpaceDN w:val="0"/>
        <w:spacing w:before="160" w:line="273" w:lineRule="auto"/>
        <w:jc w:val="both"/>
      </w:pPr>
      <w:r w:rsidRPr="00AF5F13">
        <w:t xml:space="preserve"> il-punt sa fejn is-superviżur huwa mistenni jisfida r-robustezza tas-sistemi u l-kontrolli tal-AML/CFT, l-implimentazzjoni tal-politiki u l-proċeduri tal-AML/CFT u l-effettività tal-valutazzjoni tar-riskju man-negozju kollu;</w:t>
      </w:r>
    </w:p>
    <w:p w14:paraId="7F3C6969" w14:textId="299C6022" w:rsidR="00CE14AE" w:rsidRPr="00AF5F13" w:rsidRDefault="007D5140" w:rsidP="00EC596C">
      <w:pPr>
        <w:pStyle w:val="ListParagraph"/>
        <w:widowControl w:val="0"/>
        <w:numPr>
          <w:ilvl w:val="1"/>
          <w:numId w:val="40"/>
        </w:numPr>
        <w:tabs>
          <w:tab w:val="left" w:pos="941"/>
          <w:tab w:val="left" w:pos="942"/>
        </w:tabs>
        <w:autoSpaceDE w:val="0"/>
        <w:autoSpaceDN w:val="0"/>
        <w:spacing w:before="160" w:line="273" w:lineRule="auto"/>
        <w:ind w:right="222"/>
        <w:jc w:val="both"/>
      </w:pPr>
      <w:r w:rsidRPr="00AF5F13">
        <w:t>eżempji tat-tip ta’ sitwazzjonijiet fejn is-superviżuri huma mistennija li japplikaw il-ġudizzju superviżorju tagħhom;</w:t>
      </w:r>
    </w:p>
    <w:p w14:paraId="4A11548A" w14:textId="6F20BDF5" w:rsidR="007076C5" w:rsidRPr="00AF5F13" w:rsidRDefault="00CE14AE" w:rsidP="004D193D">
      <w:pPr>
        <w:pStyle w:val="ListParagraph"/>
        <w:widowControl w:val="0"/>
        <w:numPr>
          <w:ilvl w:val="1"/>
          <w:numId w:val="40"/>
        </w:numPr>
        <w:tabs>
          <w:tab w:val="left" w:pos="941"/>
          <w:tab w:val="left" w:pos="942"/>
        </w:tabs>
        <w:autoSpaceDE w:val="0"/>
        <w:autoSpaceDN w:val="0"/>
        <w:spacing w:before="160" w:line="273" w:lineRule="auto"/>
        <w:jc w:val="both"/>
      </w:pPr>
      <w:r w:rsidRPr="00AF5F13">
        <w:t>fejn għodda superviżorja tinkludi kampjunar ta’ fajls jew tranżazzjonijiet tal-klijenti, il-</w:t>
      </w:r>
      <w:r w:rsidRPr="00AF5F13">
        <w:lastRenderedPageBreak/>
        <w:t>manwal għandu jispjega l-metodoloġija tal-kampjunar, inkluż id-daqs minimu tal-kampjun u l-kriterji għall-għażla ta’ kampjun;</w:t>
      </w:r>
    </w:p>
    <w:p w14:paraId="4BA4DBCD" w14:textId="56245664" w:rsidR="00CE14AE" w:rsidRPr="00AF5F13" w:rsidRDefault="007076C5" w:rsidP="004D193D">
      <w:pPr>
        <w:pStyle w:val="ListParagraph"/>
        <w:widowControl w:val="0"/>
        <w:numPr>
          <w:ilvl w:val="1"/>
          <w:numId w:val="40"/>
        </w:numPr>
        <w:tabs>
          <w:tab w:val="left" w:pos="941"/>
          <w:tab w:val="left" w:pos="942"/>
        </w:tabs>
        <w:autoSpaceDE w:val="0"/>
        <w:autoSpaceDN w:val="0"/>
        <w:spacing w:before="160" w:line="273" w:lineRule="auto"/>
        <w:jc w:val="both"/>
      </w:pPr>
      <w:r w:rsidRPr="00AF5F13">
        <w:t>il-passi li s-superviżuri huma meħtieġa jieħdu wara l-ispezzjoni biex jiżguraw li s-sejbiet superviżorji jiġu indirizzati b’mod adegwat mis-suġġetti tal-valutazzjoni u eżempji ta’ każijiet li fihom tista’ tkun meħtieġa spezzjoni ta’ segwitu kif stabbilit fit-Taqsima 4.4.8 ta’ dawn il-Linji Gwida; u</w:t>
      </w:r>
    </w:p>
    <w:p w14:paraId="0E912EA7" w14:textId="38B67713" w:rsidR="00CE14AE" w:rsidRPr="00AF5F13" w:rsidRDefault="00CE14AE" w:rsidP="004D193D">
      <w:pPr>
        <w:pStyle w:val="ListParagraph"/>
        <w:widowControl w:val="0"/>
        <w:numPr>
          <w:ilvl w:val="1"/>
          <w:numId w:val="40"/>
        </w:numPr>
        <w:tabs>
          <w:tab w:val="left" w:pos="941"/>
          <w:tab w:val="left" w:pos="942"/>
        </w:tabs>
        <w:autoSpaceDE w:val="0"/>
        <w:autoSpaceDN w:val="0"/>
        <w:spacing w:before="160" w:line="273" w:lineRule="auto"/>
        <w:jc w:val="both"/>
      </w:pPr>
      <w:r w:rsidRPr="00AF5F13">
        <w:t>l-arranġamenti ta’ governanza fi ħdan l-awtorità kompetenti għall-approvazzjoni tal-eżiti minn spezzjonijiet jew reviżjonijiet, inkluż il-proċess tat-teħid ta’ deċiżjonijiet relatat ma’ sanzjonijiet u miżuri amministrattivi.</w:t>
      </w:r>
    </w:p>
    <w:p w14:paraId="72B774B6" w14:textId="6E6CB195" w:rsidR="00D4443A" w:rsidRPr="00AF5F13" w:rsidRDefault="00D4443A" w:rsidP="004D193D">
      <w:pPr>
        <w:pStyle w:val="body"/>
        <w:widowControl w:val="0"/>
        <w:numPr>
          <w:ilvl w:val="0"/>
          <w:numId w:val="10"/>
        </w:numPr>
        <w:tabs>
          <w:tab w:val="left" w:pos="426"/>
        </w:tabs>
        <w:autoSpaceDE w:val="0"/>
        <w:autoSpaceDN w:val="0"/>
        <w:spacing w:before="160" w:after="0"/>
      </w:pPr>
      <w:r w:rsidRPr="00AF5F13">
        <w:t xml:space="preserve"> </w:t>
      </w:r>
      <w:r w:rsidR="003A423D" w:rsidRPr="00E13476">
        <w:t xml:space="preserve">A) </w:t>
      </w:r>
      <w:r w:rsidRPr="00AF5F13">
        <w:t>Meta jiżviluppaw il-politika ta’ kampjunar tagħhom, l-awtoritajiet kompetenti għandhom iżommu f’moħħhom li s-suġġetti tal-valutazzjoni jvarjaw b’ħafna modi, bħan-numru u t-tip ta’ prodotti u servizzi u n-numru u t-tip ta’ klijenti u tranżazzjonijiet. Dan ifisser li l-awtoritajiet kompetenti jista’ jkollhom bżonn ifasslu l-approċċ tagħhom għall-kampjunar fir-rigward ta’ suġġett tal-valutazzjoni partikolari. Bħala parti minn dan, l-awtoritajiet kompetenti għandhom jikkunsidraw mill-inqas il-kriterji li ġejjin għall-għażla ta’ kampjun sinifikanti:</w:t>
      </w:r>
    </w:p>
    <w:p w14:paraId="0305653A" w14:textId="7E9210A2" w:rsidR="001964F0" w:rsidRPr="00AF5F13" w:rsidRDefault="00542F5E" w:rsidP="004D193D">
      <w:pPr>
        <w:pStyle w:val="ListParagraph"/>
        <w:widowControl w:val="0"/>
        <w:numPr>
          <w:ilvl w:val="1"/>
          <w:numId w:val="41"/>
        </w:numPr>
        <w:tabs>
          <w:tab w:val="left" w:pos="941"/>
          <w:tab w:val="left" w:pos="942"/>
        </w:tabs>
        <w:autoSpaceDE w:val="0"/>
        <w:autoSpaceDN w:val="0"/>
        <w:spacing w:before="160" w:line="273" w:lineRule="auto"/>
        <w:jc w:val="both"/>
        <w:rPr>
          <w:iCs/>
        </w:rPr>
      </w:pPr>
      <w:r w:rsidRPr="00AF5F13">
        <w:t>Il-kampjunar għandu jgħin lill-awtoritajiet kompetenti jilħqu l-objettivi ta’ għodda superviżorja partikolari li qed tintuża għall-valutazzjoni. Dan ifisser li kampjun għandu jkun magħmul minn għadd sinifikanti ta’ fajls tal-klijenti jew tranżazzjonijiet li jirrappreżentaw id-diversità ta’ klijenti, prodotti u servizzi f’kategoriji ta’ riskju differenti, madankollu d-daqs u l-kompożizzjoni ta’ dak il-kampjun huma ddeterminati minn:</w:t>
      </w:r>
    </w:p>
    <w:p w14:paraId="01092656" w14:textId="4F30BF12" w:rsidR="001964F0" w:rsidRPr="00AF5F13" w:rsidRDefault="00233E47" w:rsidP="004D193D">
      <w:pPr>
        <w:pStyle w:val="ListParagraph"/>
        <w:widowControl w:val="0"/>
        <w:numPr>
          <w:ilvl w:val="2"/>
          <w:numId w:val="60"/>
        </w:numPr>
        <w:autoSpaceDE w:val="0"/>
        <w:autoSpaceDN w:val="0"/>
        <w:spacing w:before="160" w:line="273" w:lineRule="auto"/>
        <w:jc w:val="both"/>
      </w:pPr>
      <w:r w:rsidRPr="00AF5F13">
        <w:t>l-għan tal-għodda superviżorja użata għall-valutazzjoni;</w:t>
      </w:r>
    </w:p>
    <w:p w14:paraId="57105090" w14:textId="0A06730E" w:rsidR="001964F0" w:rsidRPr="00AF5F13" w:rsidRDefault="001964F0" w:rsidP="004D193D">
      <w:pPr>
        <w:pStyle w:val="ListParagraph"/>
        <w:widowControl w:val="0"/>
        <w:numPr>
          <w:ilvl w:val="2"/>
          <w:numId w:val="60"/>
        </w:numPr>
        <w:autoSpaceDE w:val="0"/>
        <w:autoSpaceDN w:val="0"/>
        <w:spacing w:before="160" w:line="273" w:lineRule="auto"/>
        <w:jc w:val="both"/>
      </w:pPr>
      <w:r w:rsidRPr="00AF5F13">
        <w:t>kategoriji ta’ riskju differenti ta’ klijenti fi ħdan is-suġġett tal-valutazzjoni u l-proporzjon ta’ klijenti li jirrappreżentaw riskju ta’ ML/TF sinifikanti jew sinifikanti ħafna;</w:t>
      </w:r>
    </w:p>
    <w:p w14:paraId="27EF924E" w14:textId="31FB663E" w:rsidR="00CE14AE" w:rsidRPr="00AF5F13" w:rsidRDefault="001964F0" w:rsidP="004D193D">
      <w:pPr>
        <w:pStyle w:val="ListParagraph"/>
        <w:widowControl w:val="0"/>
        <w:numPr>
          <w:ilvl w:val="2"/>
          <w:numId w:val="60"/>
        </w:numPr>
        <w:autoSpaceDE w:val="0"/>
        <w:autoSpaceDN w:val="0"/>
        <w:spacing w:before="160" w:line="273" w:lineRule="auto"/>
        <w:jc w:val="both"/>
      </w:pPr>
      <w:r w:rsidRPr="00AF5F13">
        <w:t xml:space="preserve"> in-natura, id-daqs u l-kumplessità tan-negozju tas-suġġett tal-valutazzjoni.</w:t>
      </w:r>
    </w:p>
    <w:p w14:paraId="2CCC7395" w14:textId="5D55FD72" w:rsidR="00CE14AE" w:rsidRPr="00AF5F13" w:rsidRDefault="00542F5E" w:rsidP="004D193D">
      <w:pPr>
        <w:pStyle w:val="ListParagraph"/>
        <w:widowControl w:val="0"/>
        <w:numPr>
          <w:ilvl w:val="1"/>
          <w:numId w:val="41"/>
        </w:numPr>
        <w:tabs>
          <w:tab w:val="left" w:pos="941"/>
          <w:tab w:val="left" w:pos="942"/>
        </w:tabs>
        <w:autoSpaceDE w:val="0"/>
        <w:autoSpaceDN w:val="0"/>
        <w:spacing w:before="160" w:line="273" w:lineRule="auto"/>
        <w:jc w:val="both"/>
      </w:pPr>
      <w:r w:rsidRPr="00AF5F13">
        <w:t>Il-kontrolli mwettqa bħala parti mill-kampjunar għandhom ikunu komprensivi u intrużivi biżżejjed biex jippermettu lill-awtorità kompetenti tilħaq l-għan superviżorju mixtieq.</w:t>
      </w:r>
    </w:p>
    <w:p w14:paraId="3A7AEC47" w14:textId="72B0AE40" w:rsidR="00CE14AE" w:rsidRPr="00AF5F13" w:rsidRDefault="00542F5E" w:rsidP="004D193D">
      <w:pPr>
        <w:pStyle w:val="ListParagraph"/>
        <w:widowControl w:val="0"/>
        <w:numPr>
          <w:ilvl w:val="1"/>
          <w:numId w:val="41"/>
        </w:numPr>
        <w:tabs>
          <w:tab w:val="left" w:pos="941"/>
          <w:tab w:val="left" w:pos="942"/>
        </w:tabs>
        <w:autoSpaceDE w:val="0"/>
        <w:autoSpaceDN w:val="0"/>
        <w:spacing w:before="160" w:line="273" w:lineRule="auto"/>
        <w:jc w:val="both"/>
      </w:pPr>
      <w:r w:rsidRPr="00AF5F13">
        <w:t>Il-kampjunar għandu jiġi bbilanċjat ma’ attivitajiet superviżorji oħra li jiffurmaw parti mill-għodda superviżorja, bħar-reviżjoni tas-sistemi, l-arranġamenti ta’ governanza u l-politiki u l-proċeduri.</w:t>
      </w:r>
    </w:p>
    <w:p w14:paraId="18C72EC5" w14:textId="5F27C44E" w:rsidR="009E1CAB" w:rsidRPr="00AF5F13" w:rsidRDefault="009E1CAB" w:rsidP="004D193D">
      <w:pPr>
        <w:pStyle w:val="body"/>
        <w:numPr>
          <w:ilvl w:val="0"/>
          <w:numId w:val="10"/>
        </w:numPr>
        <w:tabs>
          <w:tab w:val="left" w:pos="426"/>
        </w:tabs>
      </w:pPr>
      <w:r w:rsidRPr="00AF5F13">
        <w:t>Il-politika tal-kampjunar tal-awtoritajiet kompetenti għandha tkun flessibbli u tippermetti aġġustamenti bbażati fuq il-livell ta’ riskju jew informazzjoni ġdida, inkluża informazzjoni miksuba bħala parti mill-attivitajiet superviżorji tagħhom. Dan ifisser li l-awtoritajiet kompetenti jistgħu jibdlu d-daqs tal-kampjun, il-kategoriji ta’ klijenti, prodotti, servizzi jew tranżazzjonijiet inklużi fil-kampjun jew il-kontrolli speċifiċi mwettqa qabel jew matul l-ispezzjoni jew ir-reviżjoni. Meta l-kampjunar jissuġġerixxi nuqqas sistemiku ta’ konformità mal-obbligi applikabbli tal-AML/CFT f’isem is-suġġett tal-valutazzjoni, l-awtoritajiet kompetenti għandhom jinvestigaw il-kawża ewlenija ta’ dan in-nuqqas, li jista’ jinvolvi aktar kontrolli jew attivitajiet superviżorji, inkluż kampjunar addizzjonali jew intervisti ma’ persunal ewlieni.</w:t>
      </w:r>
    </w:p>
    <w:p w14:paraId="2C5A0047" w14:textId="69A80501" w:rsidR="00CE14AE" w:rsidRPr="00AF5F13" w:rsidRDefault="00CE14AE" w:rsidP="004D193D">
      <w:pPr>
        <w:pStyle w:val="body"/>
        <w:numPr>
          <w:ilvl w:val="0"/>
          <w:numId w:val="10"/>
        </w:numPr>
        <w:tabs>
          <w:tab w:val="left" w:pos="426"/>
        </w:tabs>
      </w:pPr>
      <w:r w:rsidRPr="00AF5F13">
        <w:lastRenderedPageBreak/>
        <w:t>Il-manwal superviżorju għandu jiġi rivedut regolarment u aġġornat meta jkun meħtieġ, b’mod partikolari, jekk ikun hemm bidliet sinifikanti li jista’ jkollhom impatt fuq l-approċċ superviżorju, inklużi bidliet introdotti mill-qafas legali jew il-gwida internazzjonali, jew bidliet meħtieġa bħala riżultat tal-feedback riċevut mill-awtoritajiet kompetenti dwar l-adegwatezza tal-approċċ superviżorju tagħhom, inkluż minn funzjoni tal-awditjar intern jew korpi esterni bħat-Task Force ta’ Azzjoni Finanzjarja, il-Kunsill tal-Ewropa jew l-Awtoritajiet Superviżorji Ewropej. Bħala riżultat ta’ din ir-reviżjoni, l-awtoritajiet kompetenti għandhom jieħdu kont tat-tagħlimiet meħuda u jindirizzaw kwalunkwe nuqqas identifikat, jekk ikun hemm. Is-superviżuri rilevanti għandhom ikunu konxji ta’ kwalunkwe bidla fil-manwal mingħajr dewmien.</w:t>
      </w:r>
    </w:p>
    <w:p w14:paraId="13C96CED" w14:textId="72E1D012" w:rsidR="00CE14AE" w:rsidRPr="00AF5F13" w:rsidRDefault="00CE14AE" w:rsidP="004D193D">
      <w:pPr>
        <w:pStyle w:val="Numberedtitlelevel3"/>
        <w:numPr>
          <w:ilvl w:val="2"/>
          <w:numId w:val="53"/>
        </w:numPr>
      </w:pPr>
      <w:r w:rsidRPr="00AF5F13">
        <w:t>Assigurazzjoni tal-kwalità</w:t>
      </w:r>
    </w:p>
    <w:p w14:paraId="31647E5D" w14:textId="4B187760" w:rsidR="00CE14AE" w:rsidRPr="00AF5F13" w:rsidRDefault="00C0221A" w:rsidP="004D193D">
      <w:pPr>
        <w:pStyle w:val="body"/>
        <w:numPr>
          <w:ilvl w:val="0"/>
          <w:numId w:val="10"/>
        </w:numPr>
        <w:tabs>
          <w:tab w:val="left" w:pos="426"/>
        </w:tabs>
      </w:pPr>
      <w:r w:rsidRPr="00AF5F13">
        <w:t>L-awtoritajiet kompetenti għandhom jiżguraw li s-superviżjoni tal-AML/CFT titwettaq b’mod konsistenti mis-superviżuri kollha. Għalhekk, għandhom jistabbilixxu kontrolli tal-assigurazzjoni tal-kwalità biex jiżguraw l-applikazzjoni konsistenti tal-għodod u l-prattiki superviżorji mis-superviżuri kollha f’konformità mal-manwal superviżorju. Tali kontrolli għandhom jinkludu, mill-inqas, reviżjoni mill-funzjoni tal-awditjar intern u applikazzjoni ta’ prinċipju ta’ erba’ għajnejn aħjar minn tnejn. L-awtoritajiet kompetenti għandhom jagħmlu użu wkoll minn taħriġ tal-persunal, mentoraġġ u apprendiment prattiku fix-xogħol bejn is-superviżuri bħala mezzi oħra biex tinkiseb il-konsistenza superviżorja.</w:t>
      </w:r>
    </w:p>
    <w:p w14:paraId="77508D73" w14:textId="19FFD755" w:rsidR="00CE14AE" w:rsidRPr="00AF5F13" w:rsidRDefault="00CE14AE" w:rsidP="004D193D">
      <w:pPr>
        <w:pStyle w:val="body"/>
        <w:numPr>
          <w:ilvl w:val="0"/>
          <w:numId w:val="10"/>
        </w:numPr>
        <w:tabs>
          <w:tab w:val="left" w:pos="426"/>
        </w:tabs>
      </w:pPr>
      <w:r w:rsidRPr="00AF5F13">
        <w:t>L-awtoritajiet kompetenti għandhom jiżguraw il-preċiżjoni u l-affidabbiltà tal-informazzjoni miġbura mis-suġġetti tal-valutazzjoni għall-finijiet tal-valutazzjoni tar-riskju jew għodod superviżorji oħra. Biex jiżguraw dan, l-awtoritajiet kompetenti għandhom mill-inqas jagħmlu kontroverifika ta’ din l-informazzjoni mal-informazzjoni diġà disponibbli għalihom fir-rigward tas-suġġett tal-valutazzjoni speċifiku jew suġġetti tal-valutazzjoni simili jew mal-informazzjoni riċevuta minn sorsi affidabbli oħra, inklużi superviżuri prudenzjali, awtoritajiet kompetenti oħra jew unitajiet tal-intelligence finanzjarja.</w:t>
      </w:r>
    </w:p>
    <w:p w14:paraId="64F0F483" w14:textId="06F4855D" w:rsidR="00CE14AE" w:rsidRPr="00AF5F13" w:rsidRDefault="00CE14AE" w:rsidP="004D193D">
      <w:pPr>
        <w:pStyle w:val="body"/>
        <w:numPr>
          <w:ilvl w:val="0"/>
          <w:numId w:val="10"/>
        </w:numPr>
        <w:tabs>
          <w:tab w:val="left" w:pos="426"/>
        </w:tabs>
      </w:pPr>
      <w:r w:rsidRPr="00AF5F13">
        <w:t xml:space="preserve">Meta l-awtoritajiet kompetenti jkunu identifikaw li l-informazzjoni pprovduta minn suġġett tal-valutazzjoni wieħed jew aktar tidher li mhijiex preċiża jew mhijiex kompluta, huma għandhom jieħdu passi biex jiċċaraw dawn l-inkonsistenzi u jfittxu li jiksbu informazzjoni preċiża. F’ċirkostanzi bħal dawn, l-awtoritajiet kompetenti għandhom jikkunsidraw l-aktar azzjoni superviżorja adegwata biex jindirizzaw il-kwistjoni abbażi tal-firxa u t-tip ta’ ineżattezzi identifikati. L-azzjonijiet jistgħu jinkludu t-talba għal kjarifiki direttament mis-suġġett tal-valutazzjoni, it-twettiq ta’ spezzjoni </w:t>
      </w:r>
      <w:r w:rsidRPr="00AF5F13">
        <w:rPr>
          <w:i/>
          <w:iCs/>
        </w:rPr>
        <w:t>ad hoc</w:t>
      </w:r>
      <w:r w:rsidRPr="00AF5F13">
        <w:t xml:space="preserve"> dwar is-suġġett tal-valutazzjoni jew l-impożizzjoni ta’ ċerti miżuri superviżorji.</w:t>
      </w:r>
    </w:p>
    <w:p w14:paraId="0AE1280D" w14:textId="6DACFE13" w:rsidR="00DF7E24" w:rsidRPr="00AF5F13" w:rsidRDefault="00DF7E24" w:rsidP="004D193D">
      <w:pPr>
        <w:pStyle w:val="body"/>
        <w:numPr>
          <w:ilvl w:val="0"/>
          <w:numId w:val="10"/>
        </w:numPr>
        <w:tabs>
          <w:tab w:val="left" w:pos="426"/>
        </w:tabs>
      </w:pPr>
      <w:r w:rsidRPr="00AF5F13">
        <w:t>L-awtoritajiet kompetenti għandhom jikkunsidraw ir-riżorsi meħtieġa meta jfasslu u jwettqu l-kontrolli tal-assigurazzjoni tal-kwalità meħtieġa. F’xi każijiet, jista’ jkun meħtieġ li jiġu involuti ċerti riżorsi speċjalizzati mill-IT jew oqsma oħra.</w:t>
      </w:r>
    </w:p>
    <w:p w14:paraId="7ACA21C2" w14:textId="3FC7E7C9" w:rsidR="00CE14AE" w:rsidRPr="00AF5F13" w:rsidRDefault="00080048" w:rsidP="004D193D">
      <w:pPr>
        <w:pStyle w:val="Numberedtitlelevel3"/>
        <w:keepNext/>
        <w:numPr>
          <w:ilvl w:val="2"/>
          <w:numId w:val="53"/>
        </w:numPr>
        <w:ind w:left="856" w:hanging="431"/>
      </w:pPr>
      <w:r w:rsidRPr="00AF5F13">
        <w:lastRenderedPageBreak/>
        <w:t>Użu ta’ servizzi ta’ partijiet esterni</w:t>
      </w:r>
    </w:p>
    <w:p w14:paraId="377E01AB" w14:textId="209C0F12" w:rsidR="00CE14AE" w:rsidRPr="00AF5F13" w:rsidRDefault="00CE14AE" w:rsidP="004D193D">
      <w:pPr>
        <w:pStyle w:val="body"/>
        <w:numPr>
          <w:ilvl w:val="0"/>
          <w:numId w:val="10"/>
        </w:numPr>
        <w:tabs>
          <w:tab w:val="left" w:pos="426"/>
        </w:tabs>
      </w:pPr>
      <w:r w:rsidRPr="00AF5F13">
        <w:t>Meta l-awtoritajiet kompetenti jużaw servizzi ta’ konsulenti jew awdituri esterni biex iwettqu l-pjan superviżorju tagħhom, xi partijiet mill-pjan jew kompitu superviżorju speċifiku, huma għandhom dejjem jiżguraw li dawn il-partijiet esterni:</w:t>
      </w:r>
    </w:p>
    <w:p w14:paraId="7812D010" w14:textId="40AB4358" w:rsidR="00CE14AE" w:rsidRPr="00AF5F13" w:rsidRDefault="00CE14AE" w:rsidP="004D193D">
      <w:pPr>
        <w:pStyle w:val="ListParagraph"/>
        <w:widowControl w:val="0"/>
        <w:numPr>
          <w:ilvl w:val="1"/>
          <w:numId w:val="43"/>
        </w:numPr>
        <w:tabs>
          <w:tab w:val="left" w:pos="941"/>
          <w:tab w:val="left" w:pos="942"/>
        </w:tabs>
        <w:autoSpaceDE w:val="0"/>
        <w:autoSpaceDN w:val="0"/>
        <w:spacing w:before="160" w:line="273" w:lineRule="auto"/>
        <w:jc w:val="both"/>
      </w:pPr>
      <w:r w:rsidRPr="00AF5F13">
        <w:t>ikollhom biżżejjed għarfien u ħiliet biex iwettqu l-kompiti superviżorji speċifiċi li għalihom ikunu inkarigati mill-awtoritajiet kompetenti;</w:t>
      </w:r>
    </w:p>
    <w:p w14:paraId="04C4F8F1" w14:textId="0205D7FC" w:rsidR="00CE14AE" w:rsidRPr="00AF5F13" w:rsidRDefault="00CE14AE" w:rsidP="004D193D">
      <w:pPr>
        <w:pStyle w:val="ListParagraph"/>
        <w:widowControl w:val="0"/>
        <w:numPr>
          <w:ilvl w:val="1"/>
          <w:numId w:val="43"/>
        </w:numPr>
        <w:tabs>
          <w:tab w:val="left" w:pos="941"/>
          <w:tab w:val="left" w:pos="942"/>
        </w:tabs>
        <w:autoSpaceDE w:val="0"/>
        <w:autoSpaceDN w:val="0"/>
        <w:spacing w:before="160" w:line="273" w:lineRule="auto"/>
        <w:jc w:val="both"/>
      </w:pPr>
      <w:r w:rsidRPr="00AF5F13">
        <w:t>ikollhom fehim ċar tal-aspettattivi regolatorji u l-kamp ta’ applikazzjoni tax-xogħol li huma meħtieġa jwettqu;</w:t>
      </w:r>
    </w:p>
    <w:p w14:paraId="138EE43C" w14:textId="466CA3BD" w:rsidR="00CE14AE" w:rsidRPr="00AF5F13" w:rsidRDefault="00CE14AE" w:rsidP="004D193D">
      <w:pPr>
        <w:pStyle w:val="ListParagraph"/>
        <w:widowControl w:val="0"/>
        <w:numPr>
          <w:ilvl w:val="1"/>
          <w:numId w:val="43"/>
        </w:numPr>
        <w:tabs>
          <w:tab w:val="left" w:pos="941"/>
          <w:tab w:val="left" w:pos="942"/>
        </w:tabs>
        <w:autoSpaceDE w:val="0"/>
        <w:autoSpaceDN w:val="0"/>
        <w:spacing w:before="160" w:line="273" w:lineRule="auto"/>
        <w:jc w:val="both"/>
      </w:pPr>
      <w:r w:rsidRPr="00AF5F13">
        <w:t>ikollhom aċċess għal gwida speċifika li tistabbilixxi b’mod ċar it-termini tal-involviment tagħhom, kif ukoll kwalunkwe proċess li huma meħtieġa jsegwu bħala parti mill-involviment tagħhom;</w:t>
      </w:r>
    </w:p>
    <w:p w14:paraId="6BD68B7D" w14:textId="3C663FE2" w:rsidR="00CE14AE" w:rsidRPr="00AF5F13" w:rsidRDefault="00994D57" w:rsidP="004D193D">
      <w:pPr>
        <w:pStyle w:val="ListParagraph"/>
        <w:widowControl w:val="0"/>
        <w:numPr>
          <w:ilvl w:val="1"/>
          <w:numId w:val="43"/>
        </w:numPr>
        <w:tabs>
          <w:tab w:val="left" w:pos="941"/>
          <w:tab w:val="left" w:pos="942"/>
        </w:tabs>
        <w:autoSpaceDE w:val="0"/>
        <w:autoSpaceDN w:val="0"/>
        <w:spacing w:before="160" w:line="273" w:lineRule="auto"/>
        <w:jc w:val="both"/>
      </w:pPr>
      <w:r w:rsidRPr="00AF5F13">
        <w:t>iżommu rekords suffiċjenti bid-dettalji tal-passi li jkunu ħadu biex iwettqu l-kompiti meħtieġa u jispjegaw ir-raġuni għall-konklużjonijiet u s-sejbiet tagħhom;</w:t>
      </w:r>
    </w:p>
    <w:p w14:paraId="20B2355F" w14:textId="30B628E4" w:rsidR="00CE14AE" w:rsidRPr="00AF5F13" w:rsidRDefault="00C54EB4" w:rsidP="004D193D">
      <w:pPr>
        <w:pStyle w:val="ListParagraph"/>
        <w:widowControl w:val="0"/>
        <w:numPr>
          <w:ilvl w:val="1"/>
          <w:numId w:val="43"/>
        </w:numPr>
        <w:tabs>
          <w:tab w:val="left" w:pos="941"/>
          <w:tab w:val="left" w:pos="942"/>
        </w:tabs>
        <w:autoSpaceDE w:val="0"/>
        <w:autoSpaceDN w:val="0"/>
        <w:spacing w:before="160" w:line="273" w:lineRule="auto"/>
        <w:jc w:val="both"/>
      </w:pPr>
      <w:r w:rsidRPr="00AF5F13">
        <w:t>iwettqu l-kompiti meħtieġa bi standard ta’ kwalità għolja. Dan jista’ jinvolvi lill-awtoritajiet kompetenti li jirrieżaminaw ħidma oħra mwettqa mill-parti esterna jew parteċipanti f’xi wħud mill-attivitajiet imwettqa minnhom f’isem l-awtorità kompetenti;</w:t>
      </w:r>
    </w:p>
    <w:p w14:paraId="6FB633D5" w14:textId="06AE4153" w:rsidR="00CE14AE" w:rsidRPr="00AF5F13" w:rsidRDefault="00C54EB4" w:rsidP="004D193D">
      <w:pPr>
        <w:pStyle w:val="ListParagraph"/>
        <w:widowControl w:val="0"/>
        <w:numPr>
          <w:ilvl w:val="1"/>
          <w:numId w:val="43"/>
        </w:numPr>
        <w:tabs>
          <w:tab w:val="left" w:pos="941"/>
          <w:tab w:val="left" w:pos="942"/>
        </w:tabs>
        <w:autoSpaceDE w:val="0"/>
        <w:autoSpaceDN w:val="0"/>
        <w:spacing w:before="160" w:line="273" w:lineRule="auto"/>
        <w:jc w:val="both"/>
      </w:pPr>
      <w:r w:rsidRPr="00AF5F13">
        <w:t>jiddikjaraw kwalunkwe kunflitt ta’ interess potenzjali u, jekk jirriżulta li jeżistu kunflitti ta’ interess, l-awtoritajiet kompetenti għandhom jiżguraw li dawn jiġu ġestiti u solvuti b’mod adegwat. Meta ma jkunx possibbli li jiġu solvuti l-kunflitti ta’ interess, l-awtoritajiet kompetenti għandhom jirrifjutaw jew itemmu l-involviment mal-parti esterna speċifika.</w:t>
      </w:r>
    </w:p>
    <w:p w14:paraId="3BEF66AB" w14:textId="660CC8A5" w:rsidR="00C54EB4" w:rsidRPr="00AF5F13" w:rsidRDefault="00994D57" w:rsidP="004D193D">
      <w:pPr>
        <w:pStyle w:val="body"/>
        <w:numPr>
          <w:ilvl w:val="0"/>
          <w:numId w:val="10"/>
        </w:numPr>
        <w:tabs>
          <w:tab w:val="left" w:pos="426"/>
        </w:tabs>
      </w:pPr>
      <w:r w:rsidRPr="00AF5F13">
        <w:t>Meta l-awtoritajiet kompetenti jużaw l-esperti b’mod konsistenti bħala parti mill-proċess superviżorju tagħhom, huma għandhom jirriflettu dan fil-pjan superviżorju u fil-manwal.</w:t>
      </w:r>
    </w:p>
    <w:p w14:paraId="6A42845C" w14:textId="3424BCC4" w:rsidR="00994D57" w:rsidRPr="00AF5F13" w:rsidRDefault="00994D57" w:rsidP="004D193D">
      <w:pPr>
        <w:pStyle w:val="body"/>
        <w:numPr>
          <w:ilvl w:val="0"/>
          <w:numId w:val="10"/>
        </w:numPr>
        <w:tabs>
          <w:tab w:val="left" w:pos="426"/>
        </w:tabs>
      </w:pPr>
      <w:r w:rsidRPr="00AF5F13">
        <w:t>L-awtoritajiet kompetenti għandhom jiżguraw li jżommu biżżejjed għarfien espert intern biex ikunu jistgħu jirrieżaminaw u jikkontestaw biżżejjed, jekk ikun meħtieġ, il-ħidma mwettqa minn partijiet esterni f’isimhom.</w:t>
      </w:r>
    </w:p>
    <w:p w14:paraId="14DCC040" w14:textId="42F1C25A" w:rsidR="00CE14AE" w:rsidRPr="00AF5F13" w:rsidRDefault="00E8598D" w:rsidP="004D193D">
      <w:pPr>
        <w:pStyle w:val="body"/>
        <w:numPr>
          <w:ilvl w:val="0"/>
          <w:numId w:val="10"/>
        </w:numPr>
        <w:tabs>
          <w:tab w:val="left" w:pos="426"/>
        </w:tabs>
      </w:pPr>
      <w:r w:rsidRPr="00AF5F13">
        <w:t>F’sitwazzjonijiet fejn awdituri esterni jew konsulenti jiġu inkarigati minn suġġetti tal-valutazzjoni biex iwettqu valutazzjoni tal-konformità tagħhom mal-obbligi tal-AML/CFT, jew fuq inizjattiva tagħhom stess jew fuq talba mill-awtoritajiet kompetenti, l-awtoritajiet kompetenti għandhom jiżguraw li jiġu:</w:t>
      </w:r>
    </w:p>
    <w:p w14:paraId="73C81045" w14:textId="137A4453" w:rsidR="00CE14AE" w:rsidRPr="00AF5F13" w:rsidRDefault="00C3265F" w:rsidP="004D193D">
      <w:pPr>
        <w:pStyle w:val="ListParagraph"/>
        <w:widowControl w:val="0"/>
        <w:numPr>
          <w:ilvl w:val="1"/>
          <w:numId w:val="44"/>
        </w:numPr>
        <w:tabs>
          <w:tab w:val="left" w:pos="941"/>
          <w:tab w:val="left" w:pos="942"/>
        </w:tabs>
        <w:autoSpaceDE w:val="0"/>
        <w:autoSpaceDN w:val="0"/>
        <w:spacing w:before="160" w:line="273" w:lineRule="auto"/>
        <w:jc w:val="both"/>
      </w:pPr>
      <w:r w:rsidRPr="00AF5F13">
        <w:t>notifikati dwar il-kamp ta’ applikazzjoni tar-rieżami mwettaq mill-partijiet esterni;</w:t>
      </w:r>
    </w:p>
    <w:p w14:paraId="5D2509AC" w14:textId="4FB9DF4B" w:rsidR="00CE14AE" w:rsidRPr="00AF5F13" w:rsidRDefault="00A77FB1" w:rsidP="004D193D">
      <w:pPr>
        <w:pStyle w:val="ListParagraph"/>
        <w:widowControl w:val="0"/>
        <w:numPr>
          <w:ilvl w:val="1"/>
          <w:numId w:val="44"/>
        </w:numPr>
        <w:tabs>
          <w:tab w:val="left" w:pos="941"/>
          <w:tab w:val="left" w:pos="942"/>
        </w:tabs>
        <w:autoSpaceDE w:val="0"/>
        <w:autoSpaceDN w:val="0"/>
        <w:spacing w:before="160" w:line="273" w:lineRule="auto"/>
        <w:jc w:val="both"/>
      </w:pPr>
      <w:r w:rsidRPr="00AF5F13">
        <w:t>notifikati dwar il-ħiliet, l-għarfien u l-esperjenza tal-esperti impjegati mill-partijiet esterni li se jwettqu l-valutazzjoni; u</w:t>
      </w:r>
    </w:p>
    <w:p w14:paraId="70F0E6D2" w14:textId="549BEA96" w:rsidR="00387A0D" w:rsidRPr="00AF5F13" w:rsidRDefault="00BB1776" w:rsidP="004D193D">
      <w:pPr>
        <w:pStyle w:val="ListParagraph"/>
        <w:widowControl w:val="0"/>
        <w:numPr>
          <w:ilvl w:val="1"/>
          <w:numId w:val="44"/>
        </w:numPr>
        <w:tabs>
          <w:tab w:val="left" w:pos="941"/>
          <w:tab w:val="left" w:pos="942"/>
        </w:tabs>
        <w:autoSpaceDE w:val="0"/>
        <w:autoSpaceDN w:val="0"/>
        <w:spacing w:before="160" w:line="273" w:lineRule="auto"/>
        <w:jc w:val="both"/>
      </w:pPr>
      <w:r w:rsidRPr="00AF5F13">
        <w:t>aġġornati regolarment dwar l-eżiti u s-sejbiet tal-ħidma tal-esperti, inkluż fejn l-esperti jirrapportaw b’mod konsistenti n-nuqqas ta’ dgħufijiet jew sejbiet.</w:t>
      </w:r>
    </w:p>
    <w:p w14:paraId="702C0ECE" w14:textId="45CC7D32" w:rsidR="00F165E5" w:rsidRPr="00AF5F13" w:rsidRDefault="00A62603" w:rsidP="004D193D">
      <w:pPr>
        <w:pStyle w:val="body"/>
        <w:numPr>
          <w:ilvl w:val="0"/>
          <w:numId w:val="10"/>
        </w:numPr>
        <w:tabs>
          <w:tab w:val="left" w:pos="426"/>
        </w:tabs>
      </w:pPr>
      <w:r w:rsidRPr="00AF5F13">
        <w:lastRenderedPageBreak/>
        <w:t>L-awtoritajiet kompetenti għandhom jikkunsidraw il-ħidma tal-partijiet esterni, u għandhom jirriflettu dwarha fis-segwitu superviżorju tagħhom jew bħala parti mis-superviżjoni kontinwa tagħhom kif meħtieġ. L-awtoritajiet kompetenti għandhom janalizzaw ir-raġunijiet għal kwalunkwe diskrepanza identifikata bejn il-ħidma tal-esperti minn partijiet esterni u s-sejbiet tagħhom stess minn spezzjonijiet jew rieżamijiet superviżorji u jirriflettu din l-analiżi fil-valutazzjoni tar-riskju tagħhom tas-suġġett tal-valutazzjoni. Jekk l-awtoritajiet kompetenti jkollhom dubji dwar il-kwalità ġenerali tal-ħidma mwettqa minn esperti minn partijiet esterni kif deskritt fil-paragrafi 108 u 111, l-awtoritajiet kompetenti għandhom jikkunsidraw l-inklużjoni ta’ rieżami ta’ din il-ħidma bħala parti mill-ispezzjonijiet jew ir-rieżamijiet futuri tagħhom fi ħdan is-suġġett tal-valutazzjoni.</w:t>
      </w:r>
    </w:p>
    <w:p w14:paraId="64D3F03C" w14:textId="7E07C42A" w:rsidR="00CE14AE" w:rsidRPr="00AF5F13" w:rsidRDefault="00CE14AE" w:rsidP="00C47112">
      <w:pPr>
        <w:pStyle w:val="body"/>
        <w:numPr>
          <w:ilvl w:val="0"/>
          <w:numId w:val="10"/>
        </w:numPr>
        <w:tabs>
          <w:tab w:val="left" w:pos="426"/>
        </w:tabs>
      </w:pPr>
      <w:r w:rsidRPr="00AF5F13">
        <w:t>L-awtoritajiet kompetenti jenħtieġ li jiżguraw li jkun hemm gateways fis-seħħ biex jiżguraw li l-esperti minn partijiet esterni jkunu jistgħu jirrapportaw kwalunkwe irregolarità, dgħufija jew ksur fis-suġġett tal-valutazzjoni direttament lill-awtoritajiet kompetenti, jekk ikun meħtieġ, irrispettivament minn jekk is-servizzi tagħhom ikunux imqabbda mill-awtoritajiet kompetenti jew mis-suġġetti tal-valutazzjoni.</w:t>
      </w:r>
    </w:p>
    <w:p w14:paraId="676F9204" w14:textId="0AFD6E74" w:rsidR="00CE14AE" w:rsidRPr="00AF5F13" w:rsidRDefault="00CE14AE" w:rsidP="00EC596C">
      <w:pPr>
        <w:pStyle w:val="Numberedtitlelevel3"/>
        <w:numPr>
          <w:ilvl w:val="2"/>
          <w:numId w:val="53"/>
        </w:numPr>
      </w:pPr>
      <w:r w:rsidRPr="00AF5F13">
        <w:t xml:space="preserve">Segwitu superviżorju </w:t>
      </w:r>
    </w:p>
    <w:p w14:paraId="578ADA59" w14:textId="424BCAE1" w:rsidR="00713039" w:rsidRPr="00AF5F13" w:rsidRDefault="00070C8F" w:rsidP="00C47112">
      <w:pPr>
        <w:pStyle w:val="body"/>
        <w:numPr>
          <w:ilvl w:val="0"/>
          <w:numId w:val="10"/>
        </w:numPr>
        <w:tabs>
          <w:tab w:val="left" w:pos="426"/>
        </w:tabs>
      </w:pPr>
      <w:r w:rsidRPr="00AF5F13">
        <w:t>L-awtoritajiet kompetenti għandhom ikunu kunfidenti li l-ksur jew id-dgħufijiet kollha fis-sistemi tal-AML/CFT u l-qafas ta’ kontrolli tas-suġġetti tal-valutazzjoni jiġu indirizzati b’mod adegwat u rrimedjati b’mod effettiv mis-suġġetti tal-valutazzjoni. L-awtoritajiet kompetenti għandhom jieħdu l-passi kollha meħtieġa biex jiżguraw li l-imġiba jew l-attivitajiet tas-suġġetti tal-valutazzjoni jinbidlu jew jitwaqqfu.</w:t>
      </w:r>
    </w:p>
    <w:p w14:paraId="74C91160" w14:textId="1F8BA194" w:rsidR="00CE14AE" w:rsidRPr="00AF5F13" w:rsidRDefault="00CE14AE" w:rsidP="00C47112">
      <w:pPr>
        <w:pStyle w:val="body"/>
        <w:numPr>
          <w:ilvl w:val="0"/>
          <w:numId w:val="10"/>
        </w:numPr>
        <w:tabs>
          <w:tab w:val="left" w:pos="426"/>
        </w:tabs>
      </w:pPr>
      <w:r w:rsidRPr="00AF5F13">
        <w:t>Meta jiddeċiedu dwar is-segwitu superviżorju l-aktar effettiv, l-awtoritajiet kompetenti għandhom jagħżlu għodod jew miżuri superviżorji li jkunu proporzjonati għall-materjalità tad-dgħufijiet u s-serjetà tal-ksur identifikat u jqisu l-livell ta’ riskju li għalih ikun espost is-suġġett tal-valutazzjoni. Dan ifisser li ksur serju u dgħufijiet materjali</w:t>
      </w:r>
      <w:r w:rsidRPr="00AF5F13">
        <w:rPr>
          <w:vertAlign w:val="superscript"/>
          <w:lang w:val="en-GB"/>
        </w:rPr>
        <w:footnoteReference w:id="24"/>
      </w:r>
      <w:r w:rsidRPr="00AF5F13">
        <w:t xml:space="preserve"> identifikati f’suġġett tal-valutazzjoni, li huwa espost għal riskju ta’ ML/TF sinifikanti jew sinifikanti ħafna, se jeħtieġu segwitu aktar intensiv u aktar riżorsi superviżorji minn ksur inqas serju jew dgħufijiet mhux materjali f’suġġetti tal-valutazzjoni b’riskju inqas sinifikanti. Pereżempju, fil-każijiet l-aktar serji, l-awtoritajiet kompetenti jistgħu jwettqu spezzjoni ta’ segwitu biex jiżguraw li d-dgħufijiet kollha jitnaqqsu b’mod effettiv u potenzjalment jikkunsidraw sanzjoni, filwaqt li f’każijiet inqas serji, jista’ jkun biżżejjed li tasal il-konferma mis-suġġett tal-valutazzjoni li l-kwistjonijiet ġew indirizzati f’konformità mal-pjan ta’ rimedju propost minnhom.</w:t>
      </w:r>
    </w:p>
    <w:p w14:paraId="60AC8F2D" w14:textId="4AC27F36" w:rsidR="00CE14AE" w:rsidRPr="00AF5F13" w:rsidRDefault="00CE14AE" w:rsidP="00C47112">
      <w:pPr>
        <w:pStyle w:val="body"/>
        <w:numPr>
          <w:ilvl w:val="0"/>
          <w:numId w:val="10"/>
        </w:numPr>
        <w:tabs>
          <w:tab w:val="left" w:pos="426"/>
        </w:tabs>
      </w:pPr>
      <w:r w:rsidRPr="00AF5F13">
        <w:t>Meta jiddeterminaw is-segwitu superviżorju l-aktar effettiv f’konformità mal-paragrafi 114 u 115 hawn fuq, l-awtoritajiet kompetenti għandhom jikkunsidraw mill-inqas:</w:t>
      </w:r>
    </w:p>
    <w:p w14:paraId="5CDDBF71" w14:textId="2297094B" w:rsidR="002D78EC" w:rsidRPr="00AF5F13" w:rsidRDefault="002C75CD" w:rsidP="004D193D">
      <w:pPr>
        <w:pStyle w:val="ListParagraph"/>
        <w:widowControl w:val="0"/>
        <w:numPr>
          <w:ilvl w:val="1"/>
          <w:numId w:val="45"/>
        </w:numPr>
        <w:tabs>
          <w:tab w:val="left" w:pos="941"/>
          <w:tab w:val="left" w:pos="942"/>
        </w:tabs>
        <w:autoSpaceDE w:val="0"/>
        <w:autoSpaceDN w:val="0"/>
        <w:spacing w:before="160" w:line="273" w:lineRule="auto"/>
        <w:jc w:val="both"/>
      </w:pPr>
      <w:r w:rsidRPr="00AF5F13">
        <w:t xml:space="preserve">jekk, wara l-implimentazzjoni tal-pjan ta’ rimedju propost minn suġġett tal-valutazzjoni lill-awtorità kompetenti, il-ksur u d-dgħufijiet kollha humiex se jiġu indirizzati u rrimedjati b’mod effettiv. L-awtoritajiet kompetenti għandhom ikunu sodisfatti bl-iskeda ta’ żmien </w:t>
      </w:r>
      <w:r w:rsidRPr="00AF5F13">
        <w:lastRenderedPageBreak/>
        <w:t>proposta mis-suġġett tal-valutazzjoni għal meta r-rimedju se jkun komplut, u għandhom jisfidaw is-suġġett tal-valutazzjoni fejn l-iskeda ta’ żmien ma tkunx realistika jew fejn l-azzjonijiet proposti ma jkunux robusti biżżejjed biex jirrimedjaw dgħufijiet speċifiċi;</w:t>
      </w:r>
    </w:p>
    <w:p w14:paraId="0E6BF03C" w14:textId="174C5173" w:rsidR="001B328F" w:rsidRPr="00AF5F13" w:rsidRDefault="001B328F" w:rsidP="004D193D">
      <w:pPr>
        <w:pStyle w:val="ListParagraph"/>
        <w:widowControl w:val="0"/>
        <w:numPr>
          <w:ilvl w:val="1"/>
          <w:numId w:val="45"/>
        </w:numPr>
        <w:tabs>
          <w:tab w:val="left" w:pos="941"/>
          <w:tab w:val="left" w:pos="942"/>
        </w:tabs>
        <w:autoSpaceDE w:val="0"/>
        <w:autoSpaceDN w:val="0"/>
        <w:spacing w:before="160" w:line="273" w:lineRule="auto"/>
        <w:jc w:val="both"/>
      </w:pPr>
      <w:r w:rsidRPr="00AF5F13">
        <w:t>jekk jintużawx għodda superviżorja waħda jew taħlita ta’ għodod superviżorji, miżuri superviżorji jew sanzjonijiet biex jiġi żgurat li l-ksur u n-nuqqasijiet fis-suġġett tal-valutazzjoni jiġu indirizzati u rimedjati bil-mod l-aktar effettiv u f’waqtu;</w:t>
      </w:r>
    </w:p>
    <w:p w14:paraId="56FDA290" w14:textId="604F2EE9" w:rsidR="007350A4" w:rsidRPr="00AF5F13" w:rsidRDefault="002B34CD" w:rsidP="004D193D">
      <w:pPr>
        <w:pStyle w:val="ListParagraph"/>
        <w:widowControl w:val="0"/>
        <w:numPr>
          <w:ilvl w:val="1"/>
          <w:numId w:val="45"/>
        </w:numPr>
        <w:tabs>
          <w:tab w:val="left" w:pos="941"/>
          <w:tab w:val="left" w:pos="942"/>
        </w:tabs>
        <w:autoSpaceDE w:val="0"/>
        <w:autoSpaceDN w:val="0"/>
        <w:spacing w:before="160" w:line="273" w:lineRule="auto"/>
        <w:jc w:val="both"/>
      </w:pPr>
      <w:r w:rsidRPr="00AF5F13">
        <w:t>l-urġenza tar-rimedju peress li xi ksur jew dgħufijiet jistgħu jeħtieġu azzjoni aktar urġenti mis-suġġetti tal-valutazzjoni, li jfisser li l-awtoritajiet kompetenti għandhom jiżguraw li tingħata prijorità suffiċjenti mis-suġġett tal-valutazzjoni biex jirrimedjaw dawn in-nuqqasijiet;</w:t>
      </w:r>
    </w:p>
    <w:p w14:paraId="5B5259C2" w14:textId="65DD5C07" w:rsidR="00CE14AE" w:rsidRPr="00AF5F13" w:rsidRDefault="002B34CD" w:rsidP="004D193D">
      <w:pPr>
        <w:pStyle w:val="ListParagraph"/>
        <w:widowControl w:val="0"/>
        <w:numPr>
          <w:ilvl w:val="1"/>
          <w:numId w:val="45"/>
        </w:numPr>
        <w:tabs>
          <w:tab w:val="left" w:pos="941"/>
          <w:tab w:val="left" w:pos="942"/>
        </w:tabs>
        <w:autoSpaceDE w:val="0"/>
        <w:autoSpaceDN w:val="0"/>
        <w:spacing w:before="160" w:line="273" w:lineRule="auto"/>
        <w:jc w:val="both"/>
      </w:pPr>
      <w:r w:rsidRPr="00AF5F13">
        <w:t>it-tul ta’ żmien meħtieġ biex jiġu rrimedjati ksur jew nuqqasijiet speċifiċi u fejn ir-rimedju jista’ jieħu żmien twil, is-suġġett tal-valutazzjoni għandu jistabbilixxi miżuri temporanji adegwati biex itaffi r-riskju;</w:t>
      </w:r>
    </w:p>
    <w:p w14:paraId="11F6BEF8" w14:textId="78205BAC" w:rsidR="001B328F" w:rsidRPr="00AF5F13" w:rsidRDefault="002B34CD" w:rsidP="004D193D">
      <w:pPr>
        <w:pStyle w:val="ListParagraph"/>
        <w:widowControl w:val="0"/>
        <w:numPr>
          <w:ilvl w:val="1"/>
          <w:numId w:val="45"/>
        </w:numPr>
        <w:tabs>
          <w:tab w:val="left" w:pos="941"/>
          <w:tab w:val="left" w:pos="942"/>
        </w:tabs>
        <w:autoSpaceDE w:val="0"/>
        <w:autoSpaceDN w:val="0"/>
        <w:spacing w:before="160" w:line="273" w:lineRule="auto"/>
        <w:jc w:val="both"/>
      </w:pPr>
      <w:r w:rsidRPr="00AF5F13">
        <w:t>il-probabbiltà ta’ ksur jew dgħufija ripetuta jew sistemika, li tista’ tiġi vvalutata billi jitqiesu n-nuqqasijiet preċedenti fis-suġġett tal-valutazzjoni u t-tul ta’ żmien li għalih is-suġġett tal-valutazzjoni naqas milli jimplimenta sistemi u kontrolli effettivi, is-segwitu tal-awtorità kompetenti għandu jiffoka mhux biss fuq is-soluzzjoni ta’ kwistjoni speċifika waħda iżda fuq l-iżgurar tal-waqfien tal-falliment sistemiku mis-suġġett tal-valutazzjoni;</w:t>
      </w:r>
    </w:p>
    <w:p w14:paraId="7D32A0B8" w14:textId="4F40E069" w:rsidR="00C40EF2" w:rsidRPr="00AF5F13" w:rsidRDefault="001053C8" w:rsidP="004D193D">
      <w:pPr>
        <w:pStyle w:val="ListParagraph"/>
        <w:widowControl w:val="0"/>
        <w:numPr>
          <w:ilvl w:val="1"/>
          <w:numId w:val="45"/>
        </w:numPr>
        <w:tabs>
          <w:tab w:val="left" w:pos="941"/>
          <w:tab w:val="left" w:pos="942"/>
        </w:tabs>
        <w:autoSpaceDE w:val="0"/>
        <w:autoSpaceDN w:val="0"/>
        <w:spacing w:before="160" w:line="273" w:lineRule="auto"/>
        <w:jc w:val="both"/>
      </w:pPr>
      <w:r w:rsidRPr="00AF5F13">
        <w:t>l-impatt potenzjali tal-ksur jew tad-dgħufija fuq il-qafas usa’ tal-kontrolli interni fi ħdan is-suġġetti tal-valutazzjoni, li jista’ jirrikjedi involviment ma’ superviżuri prudenzjali f’konformità mal-Linji Gwida ta’ Kooperazzjoni tal-EBA</w:t>
      </w:r>
      <w:r w:rsidR="00006CE3" w:rsidRPr="00AF5F13">
        <w:rPr>
          <w:rStyle w:val="FootnoteReference"/>
        </w:rPr>
        <w:footnoteReference w:id="25"/>
      </w:r>
      <w:r w:rsidRPr="00AF5F13">
        <w:t xml:space="preserve"> kif ukoll azzjoni ta’ segwitu possibbli minn perspettiva prudenzjali;</w:t>
      </w:r>
    </w:p>
    <w:p w14:paraId="0A11DF7E" w14:textId="51D20DB2" w:rsidR="00C40EF2" w:rsidRDefault="00CE14AE" w:rsidP="004D193D">
      <w:pPr>
        <w:pStyle w:val="ListParagraph"/>
        <w:widowControl w:val="0"/>
        <w:numPr>
          <w:ilvl w:val="1"/>
          <w:numId w:val="45"/>
        </w:numPr>
        <w:tabs>
          <w:tab w:val="left" w:pos="941"/>
          <w:tab w:val="left" w:pos="942"/>
        </w:tabs>
        <w:autoSpaceDE w:val="0"/>
        <w:autoSpaceDN w:val="0"/>
        <w:spacing w:before="160" w:line="273" w:lineRule="auto"/>
        <w:jc w:val="both"/>
      </w:pPr>
      <w:r w:rsidRPr="00AF5F13">
        <w:t>il-kapaċità u r-rieda tas-suġġett tal-valutazzjoni li jirrimedja n-nuqqasijiet identifikati mill-awtoritajiet kompetenti, inkluż il-punt sa fejn id-detenturi ta’ funzjonijiet ewlenin u l-maniġment superjuri fi ħdan is-suġġett tal-valutazzjoni huma involuti fil-proċess ta’ rimedju.</w:t>
      </w:r>
    </w:p>
    <w:p w14:paraId="026452B0" w14:textId="5DC4E86D" w:rsidR="006967AC" w:rsidRPr="00AF5F13" w:rsidRDefault="006967AC" w:rsidP="006967AC">
      <w:pPr>
        <w:widowControl w:val="0"/>
        <w:tabs>
          <w:tab w:val="left" w:pos="941"/>
          <w:tab w:val="left" w:pos="942"/>
        </w:tabs>
        <w:autoSpaceDE w:val="0"/>
        <w:autoSpaceDN w:val="0"/>
        <w:spacing w:before="160" w:line="273" w:lineRule="auto"/>
        <w:jc w:val="both"/>
      </w:pPr>
      <w:r w:rsidRPr="006967AC">
        <w:rPr>
          <w:rFonts w:ascii="Wingdings" w:eastAsia="Wingdings" w:hAnsi="Wingdings" w:cs="Wingdings"/>
          <w:color w:val="E98E31" w:themeColor="background2"/>
          <w:spacing w:val="-1"/>
        </w:rPr>
        <w:t>Ú</w:t>
      </w:r>
      <w:r w:rsidRPr="006967AC">
        <w:rPr>
          <w:color w:val="E98E31" w:themeColor="background2"/>
          <w:spacing w:val="-1"/>
        </w:rPr>
        <w:t>A1</w:t>
      </w:r>
    </w:p>
    <w:p w14:paraId="1DEB95B4" w14:textId="5F0BB942" w:rsidR="00A4108C" w:rsidRDefault="00435FE3" w:rsidP="00C47112">
      <w:pPr>
        <w:pStyle w:val="body"/>
        <w:numPr>
          <w:ilvl w:val="0"/>
          <w:numId w:val="10"/>
        </w:numPr>
        <w:tabs>
          <w:tab w:val="left" w:pos="426"/>
        </w:tabs>
      </w:pPr>
      <w:r w:rsidRPr="00F57386">
        <w:t>Fejn l-awtoritajiet kompetenti jkollhom suspetti li n-nuqqas ta’ implimentazzjoni ta’ sistemi u kontrolli effettivi jista’ jkun intenzjonat, huma għandhom jikkunsidraw azzjoni ta’ segwitu aktar robusta, li tiżgura waqfien immedjat ta’ tali mġiba mis-suġġett tal-valutazzjoni. F’ċirkostanzi bħal dawn, l-awtoritajiet kompetenti għandhom jikkooperaw u jiskambjaw informazzjoni dwar u, fejn meħtieġ, jikkoordinaw azzjonijiet fir-rigward tan-nuqqasijiet tas-suġġett tal-valutazzjoni mas-superviżuri prudenzjali</w:t>
      </w:r>
      <w:r w:rsidR="00CE14AE" w:rsidRPr="00AF5F13">
        <w:t xml:space="preserve">. </w:t>
      </w:r>
    </w:p>
    <w:p w14:paraId="5FCF0CBD" w14:textId="24886E63" w:rsidR="006967AC" w:rsidRPr="00AF5F13" w:rsidRDefault="006967AC" w:rsidP="006967AC">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A59BC04" w14:textId="5DF3E8AB" w:rsidR="00CE14AE" w:rsidRPr="00AF5F13" w:rsidRDefault="003E228C" w:rsidP="00C47112">
      <w:pPr>
        <w:pStyle w:val="body"/>
        <w:numPr>
          <w:ilvl w:val="0"/>
          <w:numId w:val="10"/>
        </w:numPr>
        <w:tabs>
          <w:tab w:val="left" w:pos="426"/>
        </w:tabs>
      </w:pPr>
      <w:r w:rsidRPr="00AF5F13">
        <w:t xml:space="preserve">L-awtoritajiet kompetenti għandhom jifformalizzaw il-proċess ta’ segwitu superviżorju tagħhom u jistabbilixxuh fil-manwal superviżorju tagħhom, filwaqt li jippermettu biżżejjed </w:t>
      </w:r>
      <w:r w:rsidRPr="00AF5F13">
        <w:lastRenderedPageBreak/>
        <w:t>flessibbiltà għall-ġudizzju superviżorju. L-awtoritajiet kompetenti għandhom jistabbilixxu skeda ta’ żmien u deskrizzjoni tal-azzjonijiet u l-miżuri superviżorji ta’ segwitu konkreti li għandhom jittieħdu mis-suġġett tal-valutazzjoni biex jindirizzaw kull ksur jew dgħufija.</w:t>
      </w:r>
    </w:p>
    <w:p w14:paraId="3EA00C3C" w14:textId="7000DA13" w:rsidR="00CE14AE" w:rsidRPr="00AF5F13" w:rsidRDefault="00CE14AE" w:rsidP="00C47112">
      <w:pPr>
        <w:pStyle w:val="body"/>
        <w:numPr>
          <w:ilvl w:val="0"/>
          <w:numId w:val="10"/>
        </w:numPr>
        <w:tabs>
          <w:tab w:val="left" w:pos="426"/>
        </w:tabs>
      </w:pPr>
      <w:r w:rsidRPr="00AF5F13">
        <w:t>Meta l-awtoritajiet kompetenti jkunu identifikaw li s-suġġetti tal-valutazzjoni jkunu naqsu milli jimplimentaw il-politiki u l-proċeduri tagħhom għall-grupp kollu b’mod effettiv fil-partijiet kollha tal-grupp skont l-Artikolu 45(1) tad-Direttiva 2015/849 u li s-sistemi u l-kontrolli tagħhom ma jkunux robusti biżżejjed biex itaffu r-riskju li l-grupp ikun espost għalih f’ġurisdizzjonijiet differenti, l-awtorità kompetenti għandha tieħu l-passi meħtieġa biex tiżgura li:</w:t>
      </w:r>
    </w:p>
    <w:p w14:paraId="1D0236A3" w14:textId="6872C982" w:rsidR="00CE14AE" w:rsidRPr="00AF5F13" w:rsidRDefault="00CE14AE" w:rsidP="004D193D">
      <w:pPr>
        <w:pStyle w:val="ListParagraph"/>
        <w:widowControl w:val="0"/>
        <w:numPr>
          <w:ilvl w:val="1"/>
          <w:numId w:val="46"/>
        </w:numPr>
        <w:tabs>
          <w:tab w:val="left" w:pos="941"/>
          <w:tab w:val="left" w:pos="942"/>
        </w:tabs>
        <w:autoSpaceDE w:val="0"/>
        <w:autoSpaceDN w:val="0"/>
        <w:spacing w:before="160" w:line="273" w:lineRule="auto"/>
        <w:jc w:val="both"/>
      </w:pPr>
      <w:r w:rsidRPr="00AF5F13">
        <w:t>is-suġġetti tal-valutazzjoni stabbilew pjan ta’ rimedju fil-livell ta’ grupp li jistabbilixxi kif se jirrimedjaw id-dgħufijiet identifikati f’ġurisdizzjonijiet differenti;</w:t>
      </w:r>
    </w:p>
    <w:p w14:paraId="78F6C0B6" w14:textId="7D9FE56D" w:rsidR="00CE14AE" w:rsidRPr="00AF5F13" w:rsidRDefault="007C0EB2" w:rsidP="004D193D">
      <w:pPr>
        <w:pStyle w:val="ListParagraph"/>
        <w:widowControl w:val="0"/>
        <w:numPr>
          <w:ilvl w:val="1"/>
          <w:numId w:val="46"/>
        </w:numPr>
        <w:tabs>
          <w:tab w:val="left" w:pos="941"/>
          <w:tab w:val="left" w:pos="942"/>
        </w:tabs>
        <w:autoSpaceDE w:val="0"/>
        <w:autoSpaceDN w:val="0"/>
        <w:spacing w:before="160" w:line="273" w:lineRule="auto"/>
        <w:jc w:val="both"/>
      </w:pPr>
      <w:r w:rsidRPr="00AF5F13">
        <w:t>huma jikkooperaw ma’ awtoritajiet kompetenti oħra involuti fis-superviżjoni tal-entitajiet tal-grupp mingħajr dewmien, jew permezz ta’ kulleġġi tal-AML/CFT jew permezz ta’ mekkaniżmi oħrajn ta’ kooperazzjoni, biex jiżguraw li jkunu konxji ta’ dawn id-dgħufijiet; u</w:t>
      </w:r>
    </w:p>
    <w:p w14:paraId="2D4BFA7B" w14:textId="2F1104AA" w:rsidR="00CE14AE" w:rsidRPr="00AF5F13" w:rsidRDefault="007C0EB2" w:rsidP="004D193D">
      <w:pPr>
        <w:pStyle w:val="ListParagraph"/>
        <w:widowControl w:val="0"/>
        <w:numPr>
          <w:ilvl w:val="1"/>
          <w:numId w:val="46"/>
        </w:numPr>
        <w:tabs>
          <w:tab w:val="left" w:pos="941"/>
          <w:tab w:val="left" w:pos="942"/>
        </w:tabs>
        <w:autoSpaceDE w:val="0"/>
        <w:autoSpaceDN w:val="0"/>
        <w:spacing w:before="160" w:line="273" w:lineRule="auto"/>
        <w:jc w:val="both"/>
      </w:pPr>
      <w:r w:rsidRPr="00AF5F13">
        <w:t>huma jikkooperaw ma’ awtoritajiet kompetenti oħra u, potenzjalment, ma’ superviżuri prudenzjali biex jiddeċiedu dwar l-azzjoni ta’ segwitu l-aktar xierqa, jew fil-livell ta’ grupp jew ta’ entità individwali, kif meħtieġ. Tali segwitu jista’ jinvolvi, fost għodod superviżorji oħra, spezzjoni konġunta fuq il-post jew approċċ komuni bejn awtoritajiet kompetenti differenti.</w:t>
      </w:r>
    </w:p>
    <w:p w14:paraId="56D51DF8" w14:textId="3AECB730" w:rsidR="00CE14AE" w:rsidRPr="00AF5F13" w:rsidRDefault="00CE14AE" w:rsidP="00C47112">
      <w:pPr>
        <w:pStyle w:val="body"/>
        <w:numPr>
          <w:ilvl w:val="0"/>
          <w:numId w:val="10"/>
        </w:numPr>
        <w:tabs>
          <w:tab w:val="left" w:pos="426"/>
        </w:tabs>
      </w:pPr>
      <w:r w:rsidRPr="00AF5F13">
        <w:t>Filwaqt li l-proċess ta’ segwitu superviżorju huwa separat mill-proċess tas-sanzjonar, iż-żewġ proċessi mhumiex reċiprokament esklussivi u għandhom jissupplimentaw lil xulxin. Għalhekk, irrispettivament mis-sanzjonijiet li għandhom jiġu imposti fuq suġġett tal-valutazzjoni, l-awtoritajiet kompetenti għandhom isegwu mill-qrib biex jiżguraw li l-ksur u n-nuqqasijiet jiġu rrimedjati b’mod suffiċjenti.</w:t>
      </w:r>
    </w:p>
    <w:p w14:paraId="48EB9267" w14:textId="263C8694" w:rsidR="00CE14AE" w:rsidRPr="00AF5F13" w:rsidRDefault="00875731" w:rsidP="00C47112">
      <w:pPr>
        <w:pStyle w:val="body"/>
        <w:numPr>
          <w:ilvl w:val="0"/>
          <w:numId w:val="10"/>
        </w:numPr>
        <w:tabs>
          <w:tab w:val="left" w:pos="426"/>
        </w:tabs>
      </w:pPr>
      <w:r w:rsidRPr="00AF5F13">
        <w:t>Mingħajr ma jitqiesu d-dispożizzjonijiet f’dawn il-linji gwida, l-awtoritajiet kompetenti għandhom jirrapportaw kwalunkwe dgħufija materjali lill-Awtorità Bankarja Ewropea f’konformità mal-abbozz tal-istandards tekniċi regolatorji skont l-Artikolu 9a tar-Regolament (UE) Nru 1093/2010.</w:t>
      </w:r>
    </w:p>
    <w:p w14:paraId="105C550F" w14:textId="77777777" w:rsidR="00CE14AE" w:rsidRPr="00AF5F13" w:rsidRDefault="00CE14AE" w:rsidP="00EC596C">
      <w:pPr>
        <w:pStyle w:val="Numberedtitlelevel3"/>
        <w:numPr>
          <w:ilvl w:val="2"/>
          <w:numId w:val="53"/>
        </w:numPr>
      </w:pPr>
      <w:r w:rsidRPr="00AF5F13">
        <w:t>Feedback għas-settur</w:t>
      </w:r>
    </w:p>
    <w:p w14:paraId="4137D98B" w14:textId="2576D500" w:rsidR="00CE14AE" w:rsidRPr="00AF5F13" w:rsidRDefault="00E04030" w:rsidP="00EC596C">
      <w:pPr>
        <w:pStyle w:val="Numberedtitlelevel4"/>
        <w:numPr>
          <w:ilvl w:val="0"/>
          <w:numId w:val="58"/>
        </w:numPr>
      </w:pPr>
      <w:r w:rsidRPr="00AF5F13">
        <w:t>Feedback dwar il-valutazzjonijiet tar-riskju</w:t>
      </w:r>
    </w:p>
    <w:p w14:paraId="16A19313" w14:textId="77777777" w:rsidR="00F30B15" w:rsidRPr="00AF5F13" w:rsidRDefault="00CE14AE" w:rsidP="00890721">
      <w:pPr>
        <w:pStyle w:val="body"/>
        <w:numPr>
          <w:ilvl w:val="0"/>
          <w:numId w:val="10"/>
        </w:numPr>
        <w:tabs>
          <w:tab w:val="left" w:pos="426"/>
        </w:tabs>
      </w:pPr>
      <w:r w:rsidRPr="00AF5F13">
        <w:t>L-awtoritajiet kompetenti għandhom jipprovdu feedback lis-suġġetti tal-valutazzjoni dwar l-eżiti tal-valutazzjoni tar-riskju settorjali tagħhom. L-awtoritajiet kompetenti għandhom jiżvelaw mill-inqas:</w:t>
      </w:r>
    </w:p>
    <w:p w14:paraId="4F93F0C1" w14:textId="77777777" w:rsidR="00F30B15" w:rsidRPr="00AF5F13" w:rsidRDefault="00CE14AE" w:rsidP="004D193D">
      <w:pPr>
        <w:pStyle w:val="ListParagraph"/>
        <w:widowControl w:val="0"/>
        <w:numPr>
          <w:ilvl w:val="1"/>
          <w:numId w:val="47"/>
        </w:numPr>
        <w:tabs>
          <w:tab w:val="left" w:pos="941"/>
          <w:tab w:val="left" w:pos="942"/>
        </w:tabs>
        <w:autoSpaceDE w:val="0"/>
        <w:autoSpaceDN w:val="0"/>
        <w:spacing w:before="160" w:line="273" w:lineRule="auto"/>
        <w:jc w:val="both"/>
      </w:pPr>
      <w:r w:rsidRPr="00AF5F13">
        <w:t xml:space="preserve"> ir-riskji ewlenin li jkunu identifikaw f’kull settur u subsettur;</w:t>
      </w:r>
    </w:p>
    <w:p w14:paraId="7988066F" w14:textId="7B03A2F2" w:rsidR="00F30B15" w:rsidRPr="00AF5F13" w:rsidRDefault="00CE14AE" w:rsidP="004D193D">
      <w:pPr>
        <w:pStyle w:val="ListParagraph"/>
        <w:widowControl w:val="0"/>
        <w:numPr>
          <w:ilvl w:val="1"/>
          <w:numId w:val="47"/>
        </w:numPr>
        <w:tabs>
          <w:tab w:val="left" w:pos="941"/>
          <w:tab w:val="left" w:pos="942"/>
        </w:tabs>
        <w:autoSpaceDE w:val="0"/>
        <w:autoSpaceDN w:val="0"/>
        <w:spacing w:before="160" w:line="273" w:lineRule="auto"/>
        <w:jc w:val="both"/>
      </w:pPr>
      <w:r w:rsidRPr="00AF5F13">
        <w:t>il-valutazzjoni tagħhom ta’ dawn ir-riskji; u</w:t>
      </w:r>
    </w:p>
    <w:p w14:paraId="726BC6DC" w14:textId="1121DE41" w:rsidR="00CE14AE" w:rsidRPr="00AF5F13" w:rsidRDefault="00CE14AE" w:rsidP="004D193D">
      <w:pPr>
        <w:pStyle w:val="ListParagraph"/>
        <w:widowControl w:val="0"/>
        <w:numPr>
          <w:ilvl w:val="1"/>
          <w:numId w:val="47"/>
        </w:numPr>
        <w:tabs>
          <w:tab w:val="left" w:pos="941"/>
          <w:tab w:val="left" w:pos="942"/>
        </w:tabs>
        <w:autoSpaceDE w:val="0"/>
        <w:autoSpaceDN w:val="0"/>
        <w:spacing w:before="160" w:line="273" w:lineRule="auto"/>
        <w:jc w:val="both"/>
      </w:pPr>
      <w:r w:rsidRPr="00AF5F13">
        <w:t>kwalunkwe informazzjoni oħra li tista’ ttejjeb il-fehim tar-riskji mis-suġġetti tal-valutazzjoni u ttejjeb il-valutazzjonijiet tar-riskju tan-negozju kollu u dawk individwali tagħhom.</w:t>
      </w:r>
    </w:p>
    <w:p w14:paraId="2BB8CD8D" w14:textId="7CEFF92C" w:rsidR="006676B9" w:rsidRPr="00AF5F13" w:rsidRDefault="00F139DF" w:rsidP="00890721">
      <w:pPr>
        <w:pStyle w:val="body"/>
        <w:numPr>
          <w:ilvl w:val="0"/>
          <w:numId w:val="10"/>
        </w:numPr>
        <w:tabs>
          <w:tab w:val="left" w:pos="426"/>
        </w:tabs>
        <w:rPr>
          <w:color w:val="000000"/>
        </w:rPr>
      </w:pPr>
      <w:r w:rsidRPr="00AF5F13">
        <w:rPr>
          <w:color w:val="000000"/>
        </w:rPr>
        <w:lastRenderedPageBreak/>
        <w:t>Meta l-awtoritajiet kompetenti jiddeċiedu li jipprovdu lis-suġġetti tal-valutazzjoni b’verżjoni redatta tal-valutazzjoni tar-riskju settorjali jew subsettorjali tagħhom, jenħtieġ li jiżguraw li din ikun fiha informazzjoni suffiċjenti u sinifikanti biex is-suġġetti tal-valutazzjoni jkunu jistgħu jużaw din l-informazzjoni meta jiżviluppaw il-valutazzjonijiet tar-riskju tagħhom stess.</w:t>
      </w:r>
    </w:p>
    <w:p w14:paraId="6BB255CA" w14:textId="1D36FF67" w:rsidR="00CE14AE" w:rsidRPr="00AF5F13" w:rsidRDefault="00CE14AE" w:rsidP="00E04030">
      <w:pPr>
        <w:pStyle w:val="Numberedtitlelevel4"/>
      </w:pPr>
      <w:r w:rsidRPr="00AF5F13">
        <w:t>Gwida għas-settur</w:t>
      </w:r>
    </w:p>
    <w:p w14:paraId="33920FBC" w14:textId="6F011B8C" w:rsidR="00CE14AE" w:rsidRPr="00AF5F13" w:rsidRDefault="00CE14AE" w:rsidP="00890721">
      <w:pPr>
        <w:pStyle w:val="body"/>
        <w:numPr>
          <w:ilvl w:val="0"/>
          <w:numId w:val="10"/>
        </w:numPr>
        <w:tabs>
          <w:tab w:val="left" w:pos="426"/>
        </w:tabs>
      </w:pPr>
      <w:r w:rsidRPr="00AF5F13">
        <w:t>L-awtoritajiet kompetenti għandhom joħorġu l-gwida meħtieġa għas-suġġetti tal-valutazzjoni li tispjega kif huma jistennew li s-suġġetti tal-valutazzjoni jimplimentaw l-approċċ ibbażat fuq ir-riskju fil-prattika u x’inhuma mistennija jagħmlu biex jikkonformaw mal-obbligu tal-AML/CFT tagħhom. L-awtoritajiet kompetenti għandhom jużaw linji gwida rilevanti ppubblikati mill-Awtoritajiet Superviżorji Ewropej bħala bażi għall-gwida tagħhom, filwaqt li jissupplimentawhom b’karatteristiċi speċifiċi fil-livell nazzjonali.</w:t>
      </w:r>
    </w:p>
    <w:p w14:paraId="057261C3" w14:textId="7AC60AE5" w:rsidR="00CE14AE" w:rsidRPr="00AF5F13" w:rsidRDefault="00CE14AE" w:rsidP="00890721">
      <w:pPr>
        <w:pStyle w:val="body"/>
        <w:numPr>
          <w:ilvl w:val="0"/>
          <w:numId w:val="10"/>
        </w:numPr>
        <w:tabs>
          <w:tab w:val="left" w:pos="426"/>
        </w:tabs>
      </w:pPr>
      <w:r w:rsidRPr="00AF5F13">
        <w:t>L-awtoritajiet kompetenti għandhom jivvalutaw ukoll il-ħtieġa għal aktar gwida fis-settur. L-awtoritajiet kompetenti għandhom jivvalutaw il-livell ta’ għarfien u għarfien espert dwar l-AML/CFT fis-settur tagħhom abbażi ta’ kwistjonijiet rikorrenti, riskji emerġenti jew tħassib ieħor li jirriżulta mill-analiżi tagħhom tal-informazzjoni miġbura għall-valutazzjoni tar-riskju, is-sejbiet mill-ispezzjonijiet, inklużi rieżamijiet tematiċi, u minn impenji oħra mas-settur, inklużi assoċjazzjonijiet kummerċjali. Uħud mill-indikaturi li jistgħu jissuġġerixxu li tista’ tkun meħtieġa aktar gwida, jinkludu iżda mhumiex limitati għal:</w:t>
      </w:r>
    </w:p>
    <w:p w14:paraId="101D2DBD" w14:textId="1A9CE250" w:rsidR="00CE14AE" w:rsidRPr="00AF5F13" w:rsidRDefault="002A46AD" w:rsidP="004D193D">
      <w:pPr>
        <w:pStyle w:val="ListParagraph"/>
        <w:widowControl w:val="0"/>
        <w:numPr>
          <w:ilvl w:val="1"/>
          <w:numId w:val="56"/>
        </w:numPr>
        <w:tabs>
          <w:tab w:val="left" w:pos="941"/>
          <w:tab w:val="left" w:pos="942"/>
        </w:tabs>
        <w:autoSpaceDE w:val="0"/>
        <w:autoSpaceDN w:val="0"/>
        <w:spacing w:before="160" w:line="273" w:lineRule="auto"/>
        <w:jc w:val="both"/>
      </w:pPr>
      <w:r w:rsidRPr="00AF5F13">
        <w:t>nuqqasijiet ripetuti mis-suġġetti tal-valutazzjoni biex jikkonformaw ma’ ċerti obbligi tal-AML/CFT;</w:t>
      </w:r>
    </w:p>
    <w:p w14:paraId="4A707278" w14:textId="629D9614" w:rsidR="00CE14AE" w:rsidRPr="00AF5F13" w:rsidRDefault="002A46AD" w:rsidP="004D193D">
      <w:pPr>
        <w:pStyle w:val="ListParagraph"/>
        <w:widowControl w:val="0"/>
        <w:numPr>
          <w:ilvl w:val="1"/>
          <w:numId w:val="56"/>
        </w:numPr>
        <w:tabs>
          <w:tab w:val="left" w:pos="941"/>
          <w:tab w:val="left" w:pos="942"/>
        </w:tabs>
        <w:autoSpaceDE w:val="0"/>
        <w:autoSpaceDN w:val="0"/>
        <w:spacing w:before="160" w:line="273" w:lineRule="auto"/>
        <w:jc w:val="both"/>
      </w:pPr>
      <w:r w:rsidRPr="00AF5F13">
        <w:t>bidliet reċenti fil-qafas leġiżlattiv fil-livell nazzjonali jew tal-UE li jista’ jkollhom impatt fuq il-ħila tas-suġġetti tal-valutazzjoni li jikkonformaw mal-obbligi tal-AML/CFT tagħhom;</w:t>
      </w:r>
    </w:p>
    <w:p w14:paraId="56E43205" w14:textId="152A85A4" w:rsidR="008F6916" w:rsidRPr="00AF5F13" w:rsidRDefault="008F6916" w:rsidP="004D193D">
      <w:pPr>
        <w:pStyle w:val="ListParagraph"/>
        <w:widowControl w:val="0"/>
        <w:numPr>
          <w:ilvl w:val="1"/>
          <w:numId w:val="56"/>
        </w:numPr>
        <w:tabs>
          <w:tab w:val="left" w:pos="941"/>
          <w:tab w:val="left" w:pos="942"/>
        </w:tabs>
        <w:autoSpaceDE w:val="0"/>
        <w:autoSpaceDN w:val="0"/>
        <w:spacing w:before="160" w:line="273" w:lineRule="auto"/>
        <w:jc w:val="both"/>
      </w:pPr>
      <w:r w:rsidRPr="00AF5F13">
        <w:t>evidenza ta’ tneħħija tar-riskji f’xi setturi jew suġġetti tal-valutazzjoni, jew evidenza li s-suġġetti tal-valutazzjoni jevitaw ir-riskji aktar milli jiġġestixxuhom b’mod effettiv;</w:t>
      </w:r>
    </w:p>
    <w:p w14:paraId="0B5FCE26" w14:textId="1A3AAE65" w:rsidR="008F6916" w:rsidRPr="00AF5F13" w:rsidRDefault="008F6916" w:rsidP="004D193D">
      <w:pPr>
        <w:pStyle w:val="ListParagraph"/>
        <w:widowControl w:val="0"/>
        <w:numPr>
          <w:ilvl w:val="1"/>
          <w:numId w:val="56"/>
        </w:numPr>
        <w:tabs>
          <w:tab w:val="left" w:pos="941"/>
          <w:tab w:val="left" w:pos="942"/>
        </w:tabs>
        <w:autoSpaceDE w:val="0"/>
        <w:autoSpaceDN w:val="0"/>
        <w:spacing w:before="160" w:line="273" w:lineRule="auto"/>
        <w:jc w:val="both"/>
      </w:pPr>
      <w:r w:rsidRPr="00AF5F13">
        <w:t>mistoqsijiet ripetuti indirizzati lill-awtoritajiet kompetenti jew talbiet għal gwida dwar ċertu aspett tal-qafas tal-AML/CFT;</w:t>
      </w:r>
    </w:p>
    <w:p w14:paraId="08521C7A" w14:textId="1C0971B2" w:rsidR="008F6916" w:rsidRDefault="008F6916" w:rsidP="004D193D">
      <w:pPr>
        <w:pStyle w:val="ListParagraph"/>
        <w:widowControl w:val="0"/>
        <w:numPr>
          <w:ilvl w:val="1"/>
          <w:numId w:val="56"/>
        </w:numPr>
        <w:tabs>
          <w:tab w:val="left" w:pos="941"/>
          <w:tab w:val="left" w:pos="942"/>
        </w:tabs>
        <w:autoSpaceDE w:val="0"/>
        <w:autoSpaceDN w:val="0"/>
        <w:spacing w:before="160" w:line="273" w:lineRule="auto"/>
        <w:jc w:val="both"/>
      </w:pPr>
      <w:r w:rsidRPr="00AF5F13">
        <w:t>emerġenza ta’ riskji u tipoloġiji ta’ ML/TF ġodda.</w:t>
      </w:r>
    </w:p>
    <w:p w14:paraId="315B7F6C" w14:textId="1E343032" w:rsidR="006967AC" w:rsidRDefault="006967AC" w:rsidP="006967AC">
      <w:pPr>
        <w:widowControl w:val="0"/>
        <w:tabs>
          <w:tab w:val="left" w:pos="941"/>
          <w:tab w:val="left" w:pos="942"/>
        </w:tabs>
        <w:autoSpaceDE w:val="0"/>
        <w:autoSpaceDN w:val="0"/>
        <w:spacing w:before="160" w:line="273" w:lineRule="auto"/>
        <w:jc w:val="both"/>
      </w:pPr>
      <w:r w:rsidRPr="006967AC">
        <w:rPr>
          <w:rFonts w:ascii="Wingdings" w:eastAsia="Wingdings" w:hAnsi="Wingdings" w:cs="Wingdings"/>
          <w:color w:val="E98E31" w:themeColor="background2"/>
          <w:spacing w:val="-1"/>
        </w:rPr>
        <w:t>Ú</w:t>
      </w:r>
      <w:r w:rsidRPr="006967AC">
        <w:rPr>
          <w:color w:val="E98E31" w:themeColor="background2"/>
          <w:spacing w:val="-1"/>
        </w:rPr>
        <w:t>A1</w:t>
      </w:r>
    </w:p>
    <w:p w14:paraId="07F7A5C9" w14:textId="27A5F3C0" w:rsidR="005614D9" w:rsidRDefault="005614D9" w:rsidP="004D193D">
      <w:pPr>
        <w:pStyle w:val="ListParagraph"/>
        <w:widowControl w:val="0"/>
        <w:numPr>
          <w:ilvl w:val="1"/>
          <w:numId w:val="56"/>
        </w:numPr>
        <w:tabs>
          <w:tab w:val="left" w:pos="941"/>
          <w:tab w:val="left" w:pos="942"/>
        </w:tabs>
        <w:autoSpaceDE w:val="0"/>
        <w:autoSpaceDN w:val="0"/>
        <w:spacing w:before="160" w:line="273" w:lineRule="auto"/>
        <w:jc w:val="both"/>
      </w:pPr>
      <w:r w:rsidRPr="00F57386">
        <w:t>tħassib dwar il-kwalità u l-utilità ta’ rapporti ta’ tranżazzjonijiet suspettużi</w:t>
      </w:r>
      <w:r>
        <w:t>.</w:t>
      </w:r>
    </w:p>
    <w:p w14:paraId="2484DFB3" w14:textId="61ACA7CC" w:rsidR="006967AC" w:rsidRPr="00AF5F13" w:rsidRDefault="006967AC" w:rsidP="006967AC">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11B2A58" w14:textId="659EB898" w:rsidR="008F6916" w:rsidRDefault="008F6916" w:rsidP="006A69BF">
      <w:pPr>
        <w:pStyle w:val="ListParagraph"/>
        <w:widowControl w:val="0"/>
        <w:numPr>
          <w:ilvl w:val="0"/>
          <w:numId w:val="10"/>
        </w:numPr>
        <w:tabs>
          <w:tab w:val="left" w:pos="426"/>
        </w:tabs>
        <w:autoSpaceDE w:val="0"/>
        <w:autoSpaceDN w:val="0"/>
        <w:spacing w:before="119" w:line="276" w:lineRule="auto"/>
        <w:ind w:right="219"/>
        <w:jc w:val="both"/>
        <w:rPr>
          <w:color w:val="000000"/>
        </w:rPr>
      </w:pPr>
      <w:r w:rsidRPr="00AF5F13">
        <w:rPr>
          <w:color w:val="000000"/>
        </w:rPr>
        <w:t>L-awtoritajiet kompetenti għandhom jivvalutaw jekk tistax tkun meħtieġa gwida għas-settur kollu kemm hu jew speċifikament għal subsettur partikolari jew jekk tkoprix suġġett speċifiku. L-awtoritajiet kompetenti għandhom jiżguraw li l-gwida pprovduta minnhom tkun ċara u mhux ambigwa kif ukoll:</w:t>
      </w:r>
    </w:p>
    <w:p w14:paraId="151C874C" w14:textId="027F2D8E" w:rsidR="006967AC" w:rsidRPr="006967AC" w:rsidRDefault="006967AC" w:rsidP="006967AC">
      <w:pPr>
        <w:widowControl w:val="0"/>
        <w:tabs>
          <w:tab w:val="left" w:pos="426"/>
        </w:tabs>
        <w:autoSpaceDE w:val="0"/>
        <w:autoSpaceDN w:val="0"/>
        <w:spacing w:before="119" w:line="276" w:lineRule="auto"/>
        <w:ind w:right="219"/>
        <w:jc w:val="both"/>
        <w:rPr>
          <w:color w:val="000000"/>
        </w:rPr>
      </w:pPr>
      <w:r w:rsidRPr="006967AC">
        <w:rPr>
          <w:rFonts w:ascii="Wingdings" w:eastAsia="Wingdings" w:hAnsi="Wingdings" w:cs="Wingdings"/>
          <w:color w:val="E98E31" w:themeColor="background2"/>
          <w:spacing w:val="-1"/>
        </w:rPr>
        <w:t>Ú</w:t>
      </w:r>
      <w:r w:rsidRPr="006967AC">
        <w:rPr>
          <w:color w:val="E98E31" w:themeColor="background2"/>
          <w:spacing w:val="-1"/>
        </w:rPr>
        <w:t>A1</w:t>
      </w:r>
    </w:p>
    <w:p w14:paraId="63167854" w14:textId="56734881" w:rsidR="008F6916" w:rsidRPr="00AF5F13" w:rsidRDefault="009341C1" w:rsidP="004D193D">
      <w:pPr>
        <w:pStyle w:val="ListParagraph"/>
        <w:widowControl w:val="0"/>
        <w:numPr>
          <w:ilvl w:val="1"/>
          <w:numId w:val="57"/>
        </w:numPr>
        <w:tabs>
          <w:tab w:val="left" w:pos="941"/>
          <w:tab w:val="left" w:pos="942"/>
        </w:tabs>
        <w:autoSpaceDE w:val="0"/>
        <w:autoSpaceDN w:val="0"/>
        <w:spacing w:before="160" w:line="273" w:lineRule="auto"/>
        <w:jc w:val="both"/>
      </w:pPr>
      <w:r w:rsidRPr="00F57386">
        <w:t xml:space="preserve">tiffaċilita u tappoġġa l-implimentazzjoni, skont is-suġġetti tal-valutazzjoni, ta’ approċċ </w:t>
      </w:r>
      <w:r w:rsidRPr="00F57386">
        <w:lastRenderedPageBreak/>
        <w:t>effettiv ibbażat fuq ir-riskju, inkluż permezz tal-pubblikazzjoni tal-aħjar prattiki identifikati fis-settur</w:t>
      </w:r>
      <w:r w:rsidR="008F6916" w:rsidRPr="00AF5F13">
        <w:t>;</w:t>
      </w:r>
    </w:p>
    <w:p w14:paraId="7013097A" w14:textId="796E0771" w:rsidR="008F6916" w:rsidRPr="00AF5F13" w:rsidRDefault="00714F64" w:rsidP="004D193D">
      <w:pPr>
        <w:pStyle w:val="ListParagraph"/>
        <w:widowControl w:val="0"/>
        <w:numPr>
          <w:ilvl w:val="1"/>
          <w:numId w:val="57"/>
        </w:numPr>
        <w:tabs>
          <w:tab w:val="left" w:pos="941"/>
          <w:tab w:val="left" w:pos="942"/>
        </w:tabs>
        <w:autoSpaceDE w:val="0"/>
        <w:autoSpaceDN w:val="0"/>
        <w:spacing w:before="160" w:line="273" w:lineRule="auto"/>
        <w:jc w:val="both"/>
      </w:pPr>
      <w:bookmarkStart w:id="2" w:name="_Hlk163122510"/>
      <w:r w:rsidRPr="00F57386">
        <w:t>ma trawwimx jew ma tikkontestax direttament jew indirettament it-tneħħija indiskriminata tar-riskji ta’ kategoriji sħaħ ta’ klijenti f’konformità mal-Linji Gwida dwar il-politiki u l-kontrolli għall-ġestjoni effettiva tar-riskji tal-ħasil tal-flus u tal-finanzjament tat-terroriżmu (ML/TF) meta tipprovdi aċċess għas-servizzi finanzjarji skont id-Direttiva (UE) 2015/849 u l-Linji Gwida tal-EBA dwar il-Fattur ta’ Riskju ta’ ML/TF u b’mod partikolari l-linji gwida 4.9., 4.10. u 4.11.</w:t>
      </w:r>
      <w:r w:rsidRPr="00F57386">
        <w:rPr>
          <w:rStyle w:val="FootnoteReference"/>
        </w:rPr>
        <w:footnoteReference w:id="26"/>
      </w:r>
      <w:bookmarkEnd w:id="2"/>
      <w:r w:rsidR="008F6916" w:rsidRPr="00AF5F13">
        <w:t>.</w:t>
      </w:r>
    </w:p>
    <w:p w14:paraId="255F7ACB" w14:textId="5472336E" w:rsidR="00B10998" w:rsidRPr="00AF5F13" w:rsidRDefault="00B10998" w:rsidP="006A69BF">
      <w:pPr>
        <w:pStyle w:val="ListParagraph"/>
        <w:widowControl w:val="0"/>
        <w:numPr>
          <w:ilvl w:val="0"/>
          <w:numId w:val="10"/>
        </w:numPr>
        <w:tabs>
          <w:tab w:val="left" w:pos="426"/>
        </w:tabs>
        <w:autoSpaceDE w:val="0"/>
        <w:autoSpaceDN w:val="0"/>
        <w:spacing w:before="119" w:line="276" w:lineRule="auto"/>
        <w:ind w:right="219"/>
        <w:jc w:val="both"/>
        <w:rPr>
          <w:color w:val="000000"/>
        </w:rPr>
      </w:pPr>
      <w:r w:rsidRPr="00AF5F13">
        <w:rPr>
          <w:color w:val="000000"/>
        </w:rPr>
        <w:t>L-awtoritajiet kompetenti għandhom jikkunsidraw l-involviment ma’ suġġetti tal-valutazzjoni u partijiet ikkonċernati rilevanti oħra meta jiżviluppaw gwida superviżorja u għandhom jiddeterminaw il-mod l-aktar effettiv għal dan il-kuntatt.  L-involviment jista’ jinkludi, fost affarijiet oħrajn, proċess ta’ konsultazzjoni pubblika, involviment ma’ assoċjazzjonijiet kummerċjali, unitajiet tal-intelligence finanzjarja, infurzar tal-liġi, awtoritajiet kompetenti oħrajn jew aġenziji tal-gvern jew permezz tal-parteċipazzjoni f’fora konsultattivi.  L-awtoritajiet kompetenti għandhom jiżguraw li l-kuntatt jinkludi proporzjon suffiċjenti ta’ partijiet ikkonċernati li se jintlaqtu mill-gwida u li jiġi allokat biżżejjed żmien għall-partijiet ikkonċernati biex jikkomunikaw il-fehmiet tagħhom.</w:t>
      </w:r>
    </w:p>
    <w:p w14:paraId="5AF67FC2" w14:textId="3609EBF9" w:rsidR="00CE14AE" w:rsidRDefault="00CE14AE" w:rsidP="006A69BF">
      <w:pPr>
        <w:pStyle w:val="body"/>
        <w:numPr>
          <w:ilvl w:val="0"/>
          <w:numId w:val="10"/>
        </w:numPr>
        <w:tabs>
          <w:tab w:val="left" w:pos="426"/>
        </w:tabs>
      </w:pPr>
      <w:r w:rsidRPr="00AF5F13">
        <w:t xml:space="preserve">L-awtoritajiet kompetenti għandhom jivvalutaw perjodikament l-adegwatezza tal-gwida eżistenti tagħhom li hija pprovduta lis-settur. Tali valutazzjoni għandha ssir regolarment jew fuq bażi </w:t>
      </w:r>
      <w:r w:rsidRPr="00AF5F13">
        <w:rPr>
          <w:i/>
          <w:iCs/>
        </w:rPr>
        <w:t>ad hoc</w:t>
      </w:r>
      <w:r w:rsidRPr="00AF5F13">
        <w:t>, u tista’ tiġi skattata minn ċerti avvenimenti, inklużi bidliet fil-leġiżlazzjoni nazzjonali jew Ewropea, emendi għall-valutazzjoni tar-riskju nazzjonali jew sovranazzjonali jew abbażi tal-feedback mis-settur. Meta l-awtoritajiet kompetenti jiddeterminaw li l-gwida eżistenti ma għadhiex aġġornata jew rilevanti, għandhom jikkomunikaw l-emendi meħtieġa lis-settur mingħajr dewmien żejjed.</w:t>
      </w:r>
    </w:p>
    <w:p w14:paraId="35AE864D" w14:textId="6AA2CA2E" w:rsidR="006967AC" w:rsidRPr="00AF5F13" w:rsidRDefault="006967AC" w:rsidP="006967AC">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D90104A" w14:textId="77777777" w:rsidR="00C344CB" w:rsidRPr="00AF5F13" w:rsidRDefault="00C344CB" w:rsidP="00C344CB">
      <w:pPr>
        <w:pStyle w:val="Numberedtitlelevel4"/>
      </w:pPr>
      <w:r w:rsidRPr="00AF5F13">
        <w:t>Komunikazzjoni mas-settur</w:t>
      </w:r>
    </w:p>
    <w:p w14:paraId="2341C10D" w14:textId="07F4B30C" w:rsidR="00FF087C" w:rsidRPr="00AF5F13" w:rsidRDefault="00C344CB" w:rsidP="006A69BF">
      <w:pPr>
        <w:pStyle w:val="body"/>
        <w:numPr>
          <w:ilvl w:val="0"/>
          <w:numId w:val="10"/>
        </w:numPr>
        <w:tabs>
          <w:tab w:val="left" w:pos="426"/>
        </w:tabs>
      </w:pPr>
      <w:r w:rsidRPr="00AF5F13">
        <w:t>L-awtoritajiet kompetenti għandhom jistabbilixxu u japplikaw strateġija ta’ komunikazzjoni biex jiżguraw li l-komunikazzjonijiet tagħhom mas-suġġetti tal-valutazzjoni jibqgħu ffukati fuq it-titjib tal-konformità mal-AML/CFT fis-settur jew f’ċerti subsetturi u biex jiżguraw l- użu l-aktar effettiv tar-riżorsi tal-awtoritajiet kompetenti. Bħala parti mill-istrateġija ta’ komunikazzjoni tagħhom, l-awtoritajiet kompetenti għandhom jistabbilixxu kif se jikkomunikaw ma’ partijiet ikkonċernati differenti, inkluż meta jikkomunikaw l-eżiti tal-valutazzjoni tar-riskju tagħhom u l-gwida rilevanti lis-settur.</w:t>
      </w:r>
    </w:p>
    <w:p w14:paraId="2C97E2D2" w14:textId="6AB83EB0" w:rsidR="00FF087C" w:rsidRPr="00AF5F13" w:rsidRDefault="00FF087C" w:rsidP="006A69BF">
      <w:pPr>
        <w:pStyle w:val="body"/>
        <w:numPr>
          <w:ilvl w:val="0"/>
          <w:numId w:val="10"/>
        </w:numPr>
        <w:tabs>
          <w:tab w:val="left" w:pos="426"/>
        </w:tabs>
      </w:pPr>
      <w:r w:rsidRPr="00AF5F13">
        <w:t xml:space="preserve">L-awtoritajiet kompetenti għandhom jidentifikaw l-għodod ta’ komunikazzjoni l-aktar adegwati u effettivi disponibbli għalihom, li jippermettulhom jikkomunikaw l-aspettattivi </w:t>
      </w:r>
      <w:r w:rsidRPr="00AF5F13">
        <w:lastRenderedPageBreak/>
        <w:t>regolatorji tagħhom lill-partijiet ikkonċernati rilevanti b’mod ċar u kostruttiv. Dawn l-għodod jistgħu jinkludu, iżda ma jkunux limitati għal:</w:t>
      </w:r>
    </w:p>
    <w:p w14:paraId="59E5569F" w14:textId="67274729" w:rsidR="00FF087C" w:rsidRPr="00AF5F13" w:rsidRDefault="0023362F" w:rsidP="004D193D">
      <w:pPr>
        <w:pStyle w:val="ListParagraph"/>
        <w:widowControl w:val="0"/>
        <w:numPr>
          <w:ilvl w:val="1"/>
          <w:numId w:val="48"/>
        </w:numPr>
        <w:tabs>
          <w:tab w:val="left" w:pos="941"/>
          <w:tab w:val="left" w:pos="942"/>
        </w:tabs>
        <w:autoSpaceDE w:val="0"/>
        <w:autoSpaceDN w:val="0"/>
        <w:spacing w:before="160" w:line="273" w:lineRule="auto"/>
        <w:jc w:val="both"/>
      </w:pPr>
      <w:r w:rsidRPr="00AF5F13">
        <w:t>komunikazzjoni simultanja mas-suġġetti tal-valutazzjoni kollha, li tista’ tinkludi pubblikazzjoni fuq is-sit web tal-awtorità kompetenti jew permezz ta’ kanali online oħra;</w:t>
      </w:r>
    </w:p>
    <w:p w14:paraId="4E3904C7" w14:textId="68E1D5DF" w:rsidR="0023362F" w:rsidRPr="00AF5F13" w:rsidRDefault="0023362F" w:rsidP="004D193D">
      <w:pPr>
        <w:pStyle w:val="ListParagraph"/>
        <w:widowControl w:val="0"/>
        <w:numPr>
          <w:ilvl w:val="1"/>
          <w:numId w:val="48"/>
        </w:numPr>
        <w:tabs>
          <w:tab w:val="left" w:pos="941"/>
          <w:tab w:val="left" w:pos="942"/>
        </w:tabs>
        <w:autoSpaceDE w:val="0"/>
        <w:autoSpaceDN w:val="0"/>
        <w:spacing w:before="160" w:line="273" w:lineRule="auto"/>
        <w:jc w:val="both"/>
      </w:pPr>
      <w:r w:rsidRPr="00AF5F13">
        <w:t>komunikazzjoni lil grupp limitat ta’ partijiet ikkonċernati, li tista’ tinkludi l-parteċipazzjoni tal-awtorità kompetenti f’diversi konferenzi jew avvenimenti ta’ taħriġ jew permezz ta’ kuntatt ma’ assoċjazzjonijiet kummerċjali u professjonali;</w:t>
      </w:r>
    </w:p>
    <w:p w14:paraId="7C791929" w14:textId="3AD6AE05" w:rsidR="00FF087C" w:rsidRPr="00AF5F13" w:rsidRDefault="0023362F" w:rsidP="004D193D">
      <w:pPr>
        <w:pStyle w:val="ListParagraph"/>
        <w:widowControl w:val="0"/>
        <w:numPr>
          <w:ilvl w:val="1"/>
          <w:numId w:val="48"/>
        </w:numPr>
        <w:tabs>
          <w:tab w:val="left" w:pos="941"/>
          <w:tab w:val="left" w:pos="942"/>
        </w:tabs>
        <w:autoSpaceDE w:val="0"/>
        <w:autoSpaceDN w:val="0"/>
        <w:spacing w:before="160" w:line="273" w:lineRule="auto"/>
        <w:jc w:val="both"/>
      </w:pPr>
      <w:r w:rsidRPr="00AF5F13">
        <w:t>komunikazzjoni permezz ta’ ittri jew ċirkulari, li jistgħu jiġu indirizzati lis-settur kollu kemm hu jew lil gruppi rilevanti ta’ partijiet ikkonċernati; jew</w:t>
      </w:r>
    </w:p>
    <w:p w14:paraId="4CC7360D" w14:textId="09E8A3A7" w:rsidR="00FF087C" w:rsidRPr="00AF5F13" w:rsidRDefault="0023362F" w:rsidP="004D193D">
      <w:pPr>
        <w:pStyle w:val="ListParagraph"/>
        <w:widowControl w:val="0"/>
        <w:numPr>
          <w:ilvl w:val="1"/>
          <w:numId w:val="48"/>
        </w:numPr>
        <w:tabs>
          <w:tab w:val="left" w:pos="941"/>
          <w:tab w:val="left" w:pos="942"/>
        </w:tabs>
        <w:autoSpaceDE w:val="0"/>
        <w:autoSpaceDN w:val="0"/>
        <w:spacing w:before="160" w:line="273" w:lineRule="auto"/>
        <w:jc w:val="both"/>
      </w:pPr>
      <w:r w:rsidRPr="00AF5F13">
        <w:t>komunikazzjoni diretta ma’ suġġetti tal-valutazzjoni jew fuq bażi bilaterali jew multilaterali, inklużi konsultazzjonijiet pubbliċi. Fejn l-awtorità kompetenti tikkomunika bilateralment, għandha tqis ir-rilevanza ta’ din il-komunikazzjoni għal grupp usa’ ta’ partijiet ikkonċernati, li jista’ jindika li għodda ta’ komunikazzjoni potenzjalment differenti tista’ tkun aktar adegwata.</w:t>
      </w:r>
    </w:p>
    <w:p w14:paraId="117169D1" w14:textId="77777777" w:rsidR="00FF087C" w:rsidRPr="00AF5F13" w:rsidRDefault="00FF087C" w:rsidP="006A69BF">
      <w:pPr>
        <w:pStyle w:val="body"/>
        <w:numPr>
          <w:ilvl w:val="0"/>
          <w:numId w:val="10"/>
        </w:numPr>
        <w:tabs>
          <w:tab w:val="left" w:pos="426"/>
        </w:tabs>
      </w:pPr>
      <w:r w:rsidRPr="00AF5F13">
        <w:t>Meta jiddeċiedu dwar l-għodod l-aktar xierqa għall-komunikazzjoni, l-awtoritajiet kompetenti għandhom jikkunsidraw mill-inqas l-elementi li ġejjin:</w:t>
      </w:r>
    </w:p>
    <w:p w14:paraId="46F52947" w14:textId="692A17CA" w:rsidR="00FF087C" w:rsidRPr="00AF5F13" w:rsidRDefault="00DE7A90" w:rsidP="004D193D">
      <w:pPr>
        <w:pStyle w:val="ListParagraph"/>
        <w:widowControl w:val="0"/>
        <w:numPr>
          <w:ilvl w:val="1"/>
          <w:numId w:val="49"/>
        </w:numPr>
        <w:tabs>
          <w:tab w:val="left" w:pos="941"/>
          <w:tab w:val="left" w:pos="942"/>
        </w:tabs>
        <w:autoSpaceDE w:val="0"/>
        <w:autoSpaceDN w:val="0"/>
        <w:spacing w:before="160" w:line="273" w:lineRule="auto"/>
        <w:jc w:val="both"/>
      </w:pPr>
      <w:r w:rsidRPr="00AF5F13">
        <w:t xml:space="preserve"> l-udjenza fil-mira tal-komunikazzjoni, li tista’ tiddetermina l-livell ta’ detall tal-komunikazzjoni;</w:t>
      </w:r>
    </w:p>
    <w:p w14:paraId="463D6508" w14:textId="34C11CDE" w:rsidR="00FF087C" w:rsidRPr="00AF5F13" w:rsidRDefault="00FF087C" w:rsidP="004D193D">
      <w:pPr>
        <w:pStyle w:val="ListParagraph"/>
        <w:widowControl w:val="0"/>
        <w:numPr>
          <w:ilvl w:val="1"/>
          <w:numId w:val="49"/>
        </w:numPr>
        <w:tabs>
          <w:tab w:val="left" w:pos="941"/>
          <w:tab w:val="left" w:pos="942"/>
        </w:tabs>
        <w:autoSpaceDE w:val="0"/>
        <w:autoSpaceDN w:val="0"/>
        <w:spacing w:before="160" w:line="273" w:lineRule="auto"/>
        <w:jc w:val="both"/>
      </w:pPr>
      <w:r w:rsidRPr="00AF5F13">
        <w:t>ir-rilevanza ta’ suġġett speċifiku għal grupp partikolari ta’ partijiet ikkonċernati, is-settur jew is-suq kollu kemm hu;</w:t>
      </w:r>
    </w:p>
    <w:p w14:paraId="3C59AE63" w14:textId="6F7D39C7" w:rsidR="00FF087C" w:rsidRPr="00AF5F13" w:rsidRDefault="00FF087C" w:rsidP="004D193D">
      <w:pPr>
        <w:pStyle w:val="ListParagraph"/>
        <w:widowControl w:val="0"/>
        <w:numPr>
          <w:ilvl w:val="1"/>
          <w:numId w:val="49"/>
        </w:numPr>
        <w:tabs>
          <w:tab w:val="left" w:pos="941"/>
          <w:tab w:val="left" w:pos="942"/>
        </w:tabs>
        <w:autoSpaceDE w:val="0"/>
        <w:autoSpaceDN w:val="0"/>
        <w:spacing w:before="160" w:line="273" w:lineRule="auto"/>
        <w:jc w:val="both"/>
      </w:pPr>
      <w:r w:rsidRPr="00AF5F13">
        <w:t>iż-żmien u l-urġenza tal-komunikazzjoni, filwaqt li jiġi żgurat li l-informazzjoni meħtieġa tkun disponibbli għas-suġġetti tal-valutazzjoni fil-ħin; u</w:t>
      </w:r>
    </w:p>
    <w:p w14:paraId="5783D492" w14:textId="321E6BEC" w:rsidR="00FF087C" w:rsidRPr="00AF5F13" w:rsidRDefault="00FF087C" w:rsidP="00EC596C">
      <w:pPr>
        <w:pStyle w:val="ListParagraph"/>
        <w:widowControl w:val="0"/>
        <w:numPr>
          <w:ilvl w:val="1"/>
          <w:numId w:val="49"/>
        </w:numPr>
        <w:tabs>
          <w:tab w:val="left" w:pos="941"/>
          <w:tab w:val="left" w:pos="942"/>
        </w:tabs>
        <w:autoSpaceDE w:val="0"/>
        <w:autoSpaceDN w:val="0"/>
        <w:spacing w:before="160" w:line="273" w:lineRule="auto"/>
        <w:ind w:right="222"/>
        <w:jc w:val="both"/>
      </w:pPr>
      <w:r w:rsidRPr="00AF5F13">
        <w:t>it-tip ta’ informazzjoni li qed tiġi kkomunikata.</w:t>
      </w:r>
    </w:p>
    <w:p w14:paraId="777EBF40" w14:textId="77777777" w:rsidR="00CE14AE" w:rsidRPr="00AF5F13" w:rsidRDefault="00CE14AE" w:rsidP="00EC596C">
      <w:pPr>
        <w:pStyle w:val="Numberedtitlelevel3"/>
        <w:numPr>
          <w:ilvl w:val="2"/>
          <w:numId w:val="53"/>
        </w:numPr>
      </w:pPr>
      <w:r w:rsidRPr="00AF5F13">
        <w:t>Taħriġ tal-persunal tal-awtorità kompetenti</w:t>
      </w:r>
    </w:p>
    <w:p w14:paraId="547BEEC3" w14:textId="62C49CE4" w:rsidR="00CE14AE" w:rsidRDefault="00CE14AE" w:rsidP="006A69BF">
      <w:pPr>
        <w:pStyle w:val="body"/>
        <w:numPr>
          <w:ilvl w:val="0"/>
          <w:numId w:val="10"/>
        </w:numPr>
        <w:tabs>
          <w:tab w:val="left" w:pos="426"/>
        </w:tabs>
      </w:pPr>
      <w:r w:rsidRPr="00AF5F13">
        <w:t>L-awtoritajiet kompetenti għandhom jiżguraw li l-persunal b’responsabbiltajiet diretti jew indiretti tal-AML/CFT jkollu għarfien u fehim xieraq tal-qafas legali u regolatorju tal-AML/CFT applikabbli u jkun ikkwalifikati u mħarreġ b’mod xieraq, sabiex jeżerċita ġudizzju superviżjorju sod.</w:t>
      </w:r>
    </w:p>
    <w:p w14:paraId="2BC3B7A3" w14:textId="0E68B5C5" w:rsidR="006967AC" w:rsidRPr="00AF5F13" w:rsidRDefault="006967AC" w:rsidP="006967AC">
      <w:pPr>
        <w:pStyle w:val="body"/>
        <w:tabs>
          <w:tab w:val="left" w:pos="426"/>
        </w:tabs>
      </w:pPr>
      <w:r w:rsidRPr="00136375">
        <w:rPr>
          <w:rFonts w:ascii="Wingdings" w:eastAsia="Wingdings" w:hAnsi="Wingdings" w:cs="Wingdings"/>
          <w:color w:val="E98E31" w:themeColor="background2"/>
          <w:spacing w:val="-1"/>
        </w:rPr>
        <w:t>Ú</w:t>
      </w:r>
      <w:r>
        <w:rPr>
          <w:color w:val="E98E31" w:themeColor="background2"/>
          <w:spacing w:val="-1"/>
        </w:rPr>
        <w:t>A1</w:t>
      </w:r>
    </w:p>
    <w:p w14:paraId="31839A10" w14:textId="34DF8FC2" w:rsidR="00CE14AE" w:rsidRDefault="00163C37" w:rsidP="006A69BF">
      <w:pPr>
        <w:pStyle w:val="body"/>
        <w:numPr>
          <w:ilvl w:val="0"/>
          <w:numId w:val="10"/>
        </w:numPr>
        <w:tabs>
          <w:tab w:val="left" w:pos="426"/>
        </w:tabs>
      </w:pPr>
      <w:bookmarkStart w:id="3" w:name="_Hlk163122737"/>
      <w:r w:rsidRPr="00F57386">
        <w:t>L-awtoritajiet kompetenti għandhom jiżviluppaw programm ta’ taħriġ, li għandu jiġi aġġustat biex</w:t>
      </w:r>
      <w:r>
        <w:t xml:space="preserve"> </w:t>
      </w:r>
      <w:r w:rsidRPr="00F57386">
        <w:t>jissodisfa l-ħtiġijiet ta’ funzjonijiet speċifiċi fi ħdan l-awtorità kompetenti, u jqis il-karatteristiċi tas-setturi taħt is-superviżjoni tagħhom, ir-responsabbiltajiet tal-impjieg tagħhom, l-anzjanità u l-esperjenza tal-persunal. L-awtoritajiet kompetenti għandhom iżommu dan il-programm ta’ taħriġ aġġornat u jirreveduh regolarment biex jiżguraw li jibqa’ rilevanti</w:t>
      </w:r>
      <w:bookmarkEnd w:id="3"/>
      <w:r w:rsidR="008F402E" w:rsidRPr="00AF5F13">
        <w:t>.</w:t>
      </w:r>
    </w:p>
    <w:p w14:paraId="70C13743" w14:textId="77777777" w:rsidR="00C30580" w:rsidRDefault="00C30580" w:rsidP="00C30580">
      <w:pPr>
        <w:pStyle w:val="body"/>
        <w:tabs>
          <w:tab w:val="left" w:pos="426"/>
        </w:tabs>
        <w:ind w:left="360"/>
      </w:pPr>
      <w:r w:rsidRPr="00F57386">
        <w:lastRenderedPageBreak/>
        <w:t>L-awtoritajiet kompetenti għandhom jiżguraw li t-taħriġ ipprovdut ikun komprensiv biżżejjed sabiex il-persunal rilevanti jkollu għarfien espert tekniku adegwat għas-superviżjoni tas-suġġetti tal-valutazzjoni. Jekk ikun meħtieġ, l-awtoritajiet kompetenti għandhom jinvolvu fornitur tat-taħriġ estern</w:t>
      </w:r>
      <w:r>
        <w:t>.</w:t>
      </w:r>
    </w:p>
    <w:p w14:paraId="7F9ACD41" w14:textId="13993F44" w:rsidR="00C30580" w:rsidRDefault="00C30580" w:rsidP="00C30580">
      <w:pPr>
        <w:pStyle w:val="body"/>
        <w:tabs>
          <w:tab w:val="left" w:pos="426"/>
        </w:tabs>
        <w:ind w:left="360"/>
      </w:pPr>
      <w:r w:rsidRPr="00F57386">
        <w:t>L-awtoritajiet kompetenti għandhom jimmonitorjaw il-livell ta’ taħriġ ikkompletat minn membri individwali tal-persunal jew minn timijiet sħaħ kif xieraq</w:t>
      </w:r>
      <w:r>
        <w:t>.</w:t>
      </w:r>
    </w:p>
    <w:p w14:paraId="144DD5FE" w14:textId="51B72227" w:rsidR="00C30580" w:rsidRDefault="00C30580" w:rsidP="00C30580">
      <w:pPr>
        <w:pStyle w:val="body"/>
        <w:numPr>
          <w:ilvl w:val="0"/>
          <w:numId w:val="104"/>
        </w:numPr>
        <w:tabs>
          <w:tab w:val="left" w:pos="426"/>
        </w:tabs>
      </w:pPr>
      <w:r>
        <w:t>A)</w:t>
      </w:r>
      <w:r w:rsidRPr="00C30580">
        <w:t xml:space="preserve"> </w:t>
      </w:r>
      <w:r w:rsidRPr="00F57386">
        <w:t>Meta l-awtoritajiet kompetenti jużaw servizzi ta’ partijiet esterni biex iwettqu l-pjan superviżorju tagħhom (jew xi partijiet minnu) jew kompitu superviżorju speċifiku kif imsemmi fit-Taqsima 4.4.7, jew inkella jiddelegaw kompiti superviżorji lil awtoritajiet superviżorji oħra, l-awtoritajiet kompetenti għandhom jikkunsidraw ukoll li jinkludu kwalunkwe parti esterna bħal din fil-programm ta’ taħriġ tagħhom</w:t>
      </w:r>
      <w:r>
        <w:t>.</w:t>
      </w:r>
    </w:p>
    <w:p w14:paraId="79A60D0E" w14:textId="6890B351" w:rsidR="006967AC" w:rsidRDefault="006967AC" w:rsidP="006967AC">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20BA2EE2" w14:textId="7CE1385A" w:rsidR="00CE14AE" w:rsidRPr="00AF5F13" w:rsidRDefault="008F402E" w:rsidP="00C30580">
      <w:pPr>
        <w:pStyle w:val="body"/>
        <w:numPr>
          <w:ilvl w:val="0"/>
          <w:numId w:val="104"/>
        </w:numPr>
        <w:tabs>
          <w:tab w:val="left" w:pos="426"/>
        </w:tabs>
      </w:pPr>
      <w:r w:rsidRPr="00AF5F13">
        <w:t>L-awtoritajiet kompetenti għandhom jiżguraw li l-persunal superviżorju tagħhom ikun imħarreġ fl-applikazzjoni prattika tal-Mudell RBS tal-AML/CFT tal-awtoritajiet kompetenti, sabiex b’hekk is-superviżuri jkunu jistgħu jwettqu superviżjoni tal-AML/CFT ibbażata fuq ir-riskju b’mod effettiv u konsistenti. L-awtoritajiet kompetenti għandhom jiżguraw li l-eżiti tal-valutazzjonijiet tar-riskju ML/TF mas-settur kollu u individwali jiġu kkomunikati lill-persunal rilevanti kollu fi ħdan l-awtorità kompetenti, inkluż il-persunal li mhuwiex involut direttament fis-superviżjoni tal-AML/CFT ibbażata fuq ir-riskju. Fost affarijiet oħrajn, l-awtoritajiet kompetenti għandhom jiżguraw li s-superviżuri jkunu kapaċi:</w:t>
      </w:r>
    </w:p>
    <w:p w14:paraId="21A54A21" w14:textId="52727DB7" w:rsidR="00CE14AE" w:rsidRPr="00AF5F13" w:rsidRDefault="008F402E" w:rsidP="004D193D">
      <w:pPr>
        <w:pStyle w:val="ListParagraph"/>
        <w:widowControl w:val="0"/>
        <w:numPr>
          <w:ilvl w:val="1"/>
          <w:numId w:val="50"/>
        </w:numPr>
        <w:tabs>
          <w:tab w:val="left" w:pos="941"/>
          <w:tab w:val="left" w:pos="942"/>
        </w:tabs>
        <w:autoSpaceDE w:val="0"/>
        <w:autoSpaceDN w:val="0"/>
        <w:spacing w:before="160" w:line="273" w:lineRule="auto"/>
        <w:jc w:val="both"/>
      </w:pPr>
      <w:r w:rsidRPr="00AF5F13">
        <w:t>jifhmu l-ħtieġa għal flessibbiltà meta l-fehmiet tas-suġġetti tal-valutazzjoni tar-riskji u l-kontrolli jkunu differenti mill-fehmiet tal-awtoritajiet kompetenti dwar dawk ir-riskji u jqisu l-argumentazzjoni pprovduta mis-suġġetti tal-valutazzjoni;</w:t>
      </w:r>
    </w:p>
    <w:p w14:paraId="5D19860A" w14:textId="3A0CFDEF" w:rsidR="00CE14AE" w:rsidRDefault="008F402E" w:rsidP="004D193D">
      <w:pPr>
        <w:pStyle w:val="ListParagraph"/>
        <w:widowControl w:val="0"/>
        <w:numPr>
          <w:ilvl w:val="1"/>
          <w:numId w:val="50"/>
        </w:numPr>
        <w:tabs>
          <w:tab w:val="left" w:pos="941"/>
          <w:tab w:val="left" w:pos="942"/>
        </w:tabs>
        <w:autoSpaceDE w:val="0"/>
        <w:autoSpaceDN w:val="0"/>
        <w:spacing w:before="160" w:line="273" w:lineRule="auto"/>
        <w:jc w:val="both"/>
      </w:pPr>
      <w:r w:rsidRPr="00AF5F13">
        <w:t>jivvalutaw il-kwalità tal-valutazzjoni tar-riskju mwettqa mis-suġġetti tal-valutazzjoni;</w:t>
      </w:r>
    </w:p>
    <w:p w14:paraId="1F768DBF" w14:textId="22289CA6" w:rsidR="006967AC" w:rsidRPr="00AF5F13" w:rsidRDefault="006967AC" w:rsidP="006967AC">
      <w:pPr>
        <w:widowControl w:val="0"/>
        <w:tabs>
          <w:tab w:val="left" w:pos="941"/>
          <w:tab w:val="left" w:pos="942"/>
        </w:tabs>
        <w:autoSpaceDE w:val="0"/>
        <w:autoSpaceDN w:val="0"/>
        <w:spacing w:before="160" w:line="273" w:lineRule="auto"/>
        <w:jc w:val="both"/>
      </w:pPr>
      <w:r w:rsidRPr="006967AC">
        <w:rPr>
          <w:rFonts w:ascii="Wingdings" w:eastAsia="Wingdings" w:hAnsi="Wingdings" w:cs="Wingdings"/>
          <w:color w:val="E98E31" w:themeColor="background2"/>
          <w:spacing w:val="-1"/>
        </w:rPr>
        <w:t>Ú</w:t>
      </w:r>
      <w:r w:rsidRPr="006967AC">
        <w:rPr>
          <w:color w:val="E98E31" w:themeColor="background2"/>
          <w:spacing w:val="-1"/>
        </w:rPr>
        <w:t>A1</w:t>
      </w:r>
    </w:p>
    <w:p w14:paraId="3738145C" w14:textId="2EBA3AD2" w:rsidR="00CE14AE" w:rsidRPr="00AF5F13" w:rsidRDefault="008020B5" w:rsidP="004D193D">
      <w:pPr>
        <w:pStyle w:val="ListParagraph"/>
        <w:widowControl w:val="0"/>
        <w:numPr>
          <w:ilvl w:val="1"/>
          <w:numId w:val="50"/>
        </w:numPr>
        <w:tabs>
          <w:tab w:val="left" w:pos="941"/>
          <w:tab w:val="left" w:pos="942"/>
        </w:tabs>
        <w:autoSpaceDE w:val="0"/>
        <w:autoSpaceDN w:val="0"/>
        <w:spacing w:before="160" w:line="273" w:lineRule="auto"/>
        <w:jc w:val="both"/>
      </w:pPr>
      <w:r w:rsidRPr="00F57386">
        <w:t>jivvalutaw l-adegwatezza, il-proporzjonalità u l-effettività tal-politiki u tal-proċeduri tal-AML/CFT tas-suġġetti tal-valutazzjoni, inkluż kwalunkwe software jew għodod teknoloġiċi oħra, u l-arranġamenti ta’ governanza usa’ u l-kontrolli interni fid-dawl tal-mudelli tal-valutazzjoni tar-riskju u tan-negozju tas-suġġetti tal-valutazzjoni stess</w:t>
      </w:r>
      <w:r w:rsidR="008F402E" w:rsidRPr="00AF5F13">
        <w:t>;</w:t>
      </w:r>
    </w:p>
    <w:p w14:paraId="15ECE513" w14:textId="7883C86F" w:rsidR="00CE14AE" w:rsidRDefault="008020B5" w:rsidP="004D193D">
      <w:pPr>
        <w:pStyle w:val="ListParagraph"/>
        <w:widowControl w:val="0"/>
        <w:numPr>
          <w:ilvl w:val="1"/>
          <w:numId w:val="50"/>
        </w:numPr>
        <w:tabs>
          <w:tab w:val="left" w:pos="941"/>
          <w:tab w:val="left" w:pos="942"/>
        </w:tabs>
        <w:autoSpaceDE w:val="0"/>
        <w:autoSpaceDN w:val="0"/>
        <w:spacing w:before="160" w:line="273" w:lineRule="auto"/>
        <w:jc w:val="both"/>
      </w:pPr>
      <w:r w:rsidRPr="00F57386">
        <w:t>jifhmu prodotti, servizzi u strumenti finanzjarji differenti, u r-riskji li huma esposti għalihom, inklużi dawk assoċjati mat-teknoloġiji sottostanti użati fil-forniment ta’ dawk il-prodotti, servizzi u strumenti</w:t>
      </w:r>
      <w:r w:rsidR="008F402E" w:rsidRPr="00AF5F13">
        <w:t>;</w:t>
      </w:r>
    </w:p>
    <w:p w14:paraId="72AD3339" w14:textId="07F87B28" w:rsidR="006967AC" w:rsidRPr="00AF5F13" w:rsidRDefault="006967AC" w:rsidP="006967AC">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C1CCBEA" w14:textId="40EDE413" w:rsidR="00CE14AE" w:rsidRPr="00AF5F13" w:rsidRDefault="008F402E" w:rsidP="004D193D">
      <w:pPr>
        <w:pStyle w:val="ListParagraph"/>
        <w:widowControl w:val="0"/>
        <w:numPr>
          <w:ilvl w:val="1"/>
          <w:numId w:val="50"/>
        </w:numPr>
        <w:tabs>
          <w:tab w:val="left" w:pos="941"/>
          <w:tab w:val="left" w:pos="942"/>
        </w:tabs>
        <w:autoSpaceDE w:val="0"/>
        <w:autoSpaceDN w:val="0"/>
        <w:spacing w:before="160" w:line="273" w:lineRule="auto"/>
        <w:jc w:val="both"/>
      </w:pPr>
      <w:r w:rsidRPr="00AF5F13">
        <w:t>jifhmu l-qafas superviżorju tal-awtoritajiet kompetenti, inklużi l-istrateġija u l-pjan superviżorji tal-AML/CFT; u</w:t>
      </w:r>
    </w:p>
    <w:p w14:paraId="37C7AAD2" w14:textId="5FC4C4DC" w:rsidR="00CE14AE" w:rsidRDefault="008F402E" w:rsidP="004D193D">
      <w:pPr>
        <w:pStyle w:val="ListParagraph"/>
        <w:widowControl w:val="0"/>
        <w:numPr>
          <w:ilvl w:val="1"/>
          <w:numId w:val="50"/>
        </w:numPr>
        <w:tabs>
          <w:tab w:val="left" w:pos="941"/>
          <w:tab w:val="left" w:pos="942"/>
        </w:tabs>
        <w:autoSpaceDE w:val="0"/>
        <w:autoSpaceDN w:val="0"/>
        <w:spacing w:before="160" w:line="273" w:lineRule="auto"/>
        <w:jc w:val="both"/>
      </w:pPr>
      <w:r w:rsidRPr="00AF5F13">
        <w:t xml:space="preserve">jifhmu diversi għodod superviżorji użati u prattiki stabbiliti mill-awtoritajiet kompetenti, u kif dawn huma rilevanti għall-kompiti mwettqa mill-membru tal-persunal, bħall-użu ta’ </w:t>
      </w:r>
      <w:r w:rsidRPr="00AF5F13">
        <w:lastRenderedPageBreak/>
        <w:t>għodod superviżorji differenti fil-prattika, u l-importanza tal-kooperazzjoni ma’ partijiet ikkonċernati oħra.</w:t>
      </w:r>
    </w:p>
    <w:p w14:paraId="1AC10DC8" w14:textId="7B3A6DAC" w:rsidR="006967AC" w:rsidRDefault="006967AC" w:rsidP="006967AC">
      <w:pPr>
        <w:widowControl w:val="0"/>
        <w:tabs>
          <w:tab w:val="left" w:pos="941"/>
          <w:tab w:val="left" w:pos="942"/>
        </w:tabs>
        <w:autoSpaceDE w:val="0"/>
        <w:autoSpaceDN w:val="0"/>
        <w:spacing w:before="160" w:line="273" w:lineRule="auto"/>
        <w:jc w:val="both"/>
      </w:pPr>
      <w:r w:rsidRPr="006967AC">
        <w:rPr>
          <w:rFonts w:ascii="Wingdings" w:eastAsia="Wingdings" w:hAnsi="Wingdings" w:cs="Wingdings"/>
          <w:color w:val="E98E31" w:themeColor="background2"/>
          <w:spacing w:val="-1"/>
        </w:rPr>
        <w:t>Ú</w:t>
      </w:r>
      <w:r w:rsidRPr="006967AC">
        <w:rPr>
          <w:color w:val="E98E31" w:themeColor="background2"/>
          <w:spacing w:val="-1"/>
        </w:rPr>
        <w:t>A1</w:t>
      </w:r>
    </w:p>
    <w:p w14:paraId="7737E4DC" w14:textId="4A91316B" w:rsidR="008020B5" w:rsidRPr="00AF5F13" w:rsidRDefault="008020B5" w:rsidP="004D193D">
      <w:pPr>
        <w:pStyle w:val="ListParagraph"/>
        <w:widowControl w:val="0"/>
        <w:numPr>
          <w:ilvl w:val="1"/>
          <w:numId w:val="50"/>
        </w:numPr>
        <w:tabs>
          <w:tab w:val="left" w:pos="941"/>
          <w:tab w:val="left" w:pos="942"/>
        </w:tabs>
        <w:autoSpaceDE w:val="0"/>
        <w:autoSpaceDN w:val="0"/>
        <w:spacing w:before="160" w:line="273" w:lineRule="auto"/>
        <w:jc w:val="both"/>
      </w:pPr>
      <w:r w:rsidRPr="00F57386">
        <w:t>jifhmu t-teknoloġija li tirfed il-mudelli tan-negozju, l-operazzjonijiet u l-kontrolli tas-suġġetti tal-valutazzjoni sabiex ikunu jistgħu jivvalutaw ir-riskji u l-kontrolli u sabiex jippermettu l-użu xieraq ta’ għodod superviżorji (iffaċilitati mit-teknoloġija)</w:t>
      </w:r>
      <w:r>
        <w:t>.</w:t>
      </w:r>
    </w:p>
    <w:p w14:paraId="01F119D4" w14:textId="7BFD938E" w:rsidR="00CE14AE" w:rsidRDefault="009031B1" w:rsidP="00C30580">
      <w:pPr>
        <w:pStyle w:val="body"/>
        <w:numPr>
          <w:ilvl w:val="0"/>
          <w:numId w:val="104"/>
        </w:numPr>
        <w:tabs>
          <w:tab w:val="left" w:pos="426"/>
        </w:tabs>
      </w:pPr>
      <w:r w:rsidRPr="00F57386">
        <w:t>It-taħriġ għandu jitfassal skont ir-responsabbiltajiet tal-AML/CFT tal-persunal rilevanti, u tal-maniġment superjuri, u jista’ jinkludi korsijiet ta’ taħriġ interni u esterni u konferenzi, korsijiet ta’ tagħlim elettroniku, bulettini, diskussjonijiet ta’ studju tal-każ, reklutaġġ, feedback dwar kompiti kompluti, u forom oħra ta’ “apprendiment bl-għemil”. Fejn ikun meħtieġ u xieraq, l-awtoritajiet kompetenti għandhom jikkunsidraw ukoll li jimlew il-lakuni eżistenti fl-għarfien permezz ta’ ingaġġi strateġiċi jew jużaw l-appoġġ ta’ speċjalisti interni bħall-ispeċjalisti tal-IT</w:t>
      </w:r>
      <w:r w:rsidR="00CE14AE" w:rsidRPr="00AF5F13">
        <w:t>.</w:t>
      </w:r>
    </w:p>
    <w:p w14:paraId="4A12990F" w14:textId="44BC78BE" w:rsidR="009031B1" w:rsidRDefault="009031B1" w:rsidP="009031B1">
      <w:pPr>
        <w:pStyle w:val="body"/>
        <w:numPr>
          <w:ilvl w:val="0"/>
          <w:numId w:val="103"/>
        </w:numPr>
        <w:tabs>
          <w:tab w:val="left" w:pos="426"/>
        </w:tabs>
      </w:pPr>
      <w:r>
        <w:t>A)</w:t>
      </w:r>
      <w:r w:rsidRPr="009031B1">
        <w:t xml:space="preserve"> </w:t>
      </w:r>
      <w:r w:rsidRPr="00F57386">
        <w:t>Meta diversi awtoritajiet kompetenti jkunu responsabbli għas-superviżjoni tal-AML/CFT tal-istess settur fl-Istat Membru, l-awtoritajiet kompetenti għandhom jikkunsidraw li jipprovdu taħriġ konġunt, biex jiksbu fehim komuni tal-qafas applikabbli u kif għandu jiġi applikat, u approċċ superviżorju konsistenti. L-awtoritajiet kompetenti jistgħu jibbenefikaw ukoll mill-kondiviżjoni tal-għarfien fost l-awtoritajiet kompetenti u ma’ awtoritajiet domestiċi u barranin rilevanti oħra, bħal superviżuri prudenzjali, l-UIF, korpi rilevanti tal-UE, superviżuri tal-AML/CFT ta’ pajjiżi oħra</w:t>
      </w:r>
      <w:r>
        <w:t>.</w:t>
      </w:r>
    </w:p>
    <w:p w14:paraId="0D70E8B1" w14:textId="659E742E" w:rsidR="006967AC" w:rsidRDefault="006967AC" w:rsidP="006967AC">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19787DD6" w14:textId="1E7DFCA9" w:rsidR="00CE14AE" w:rsidRPr="00AF5F13" w:rsidRDefault="00CE14AE" w:rsidP="009031B1">
      <w:pPr>
        <w:pStyle w:val="body"/>
        <w:numPr>
          <w:ilvl w:val="0"/>
          <w:numId w:val="103"/>
        </w:numPr>
        <w:tabs>
          <w:tab w:val="left" w:pos="426"/>
        </w:tabs>
      </w:pPr>
      <w:r w:rsidRPr="00AF5F13">
        <w:t>L-awtoritajiet kompetenti għandhom jiżguraw li t-taħriġ rilevanti jiġi pprovdut fil-ħin speċjalment għall-persunal il-ġdid u f’każ ta’ bidliet sinifikanti fil-qafas superviżorju tal-AML/CFT. L-awtoritajiet kompetenti għandhom jiżguraw li l-għarfien espert dwar l-AML/CFT tal-persunal tagħhom jibqa’ aġġornat u rilevanti, u jinkludi sensibilizzazzjoni tar-riskji emerġenti kif xieraq.</w:t>
      </w:r>
    </w:p>
    <w:p w14:paraId="3E80277A" w14:textId="10056DB6" w:rsidR="00E04030" w:rsidRPr="00AF5F13" w:rsidRDefault="00E04030" w:rsidP="00EC596C">
      <w:pPr>
        <w:pStyle w:val="Numberedtitlelevel2"/>
        <w:numPr>
          <w:ilvl w:val="1"/>
          <w:numId w:val="53"/>
        </w:numPr>
      </w:pPr>
      <w:r w:rsidRPr="00AF5F13">
        <w:t xml:space="preserve">Pass 4 – Monitoraġġ u aġġornament tal-Mudell RBS </w:t>
      </w:r>
    </w:p>
    <w:p w14:paraId="55774EA8" w14:textId="77777777" w:rsidR="00E04030" w:rsidRPr="00AF5F13" w:rsidRDefault="00E04030" w:rsidP="005B4570">
      <w:pPr>
        <w:pStyle w:val="Numberedtitlelevel3"/>
        <w:numPr>
          <w:ilvl w:val="2"/>
          <w:numId w:val="53"/>
        </w:numPr>
        <w:ind w:left="1559" w:hanging="1134"/>
      </w:pPr>
      <w:r w:rsidRPr="00AF5F13">
        <w:t>Rieżami tal-valutazzjoni tar-riskju u tal-istrateġija u l-pjanijiet superviżorji (Passi 1, 2 u 3)</w:t>
      </w:r>
    </w:p>
    <w:p w14:paraId="5D116CFA" w14:textId="77777777" w:rsidR="00E04030" w:rsidRPr="00AF5F13" w:rsidRDefault="00E04030" w:rsidP="009031B1">
      <w:pPr>
        <w:pStyle w:val="body"/>
        <w:numPr>
          <w:ilvl w:val="0"/>
          <w:numId w:val="103"/>
        </w:numPr>
        <w:tabs>
          <w:tab w:val="left" w:pos="426"/>
        </w:tabs>
      </w:pPr>
      <w:r w:rsidRPr="00AF5F13">
        <w:t xml:space="preserve">L-RBS mhuwiex eżerċizzju ta’ darba, iżda proċess kontinwu u ċikliku. Għalhekk, l-awtoritajiet kompetenti għandhom iwettqu rieżamijiet perjodiċi jew </w:t>
      </w:r>
      <w:r w:rsidRPr="00AF5F13">
        <w:rPr>
          <w:i/>
          <w:iCs/>
        </w:rPr>
        <w:t>ad hoc</w:t>
      </w:r>
      <w:r w:rsidRPr="00AF5F13">
        <w:t xml:space="preserve"> tal-informazzjoni li fuqha hija bbażata l-valutazzjoni tar-riskju tagħhom, u jaġġornaw din l-informazzjoni kif meħtieġ.</w:t>
      </w:r>
    </w:p>
    <w:p w14:paraId="008EACE2" w14:textId="1EF464C1" w:rsidR="00E04030" w:rsidRPr="00AF5F13" w:rsidRDefault="00E04030" w:rsidP="009031B1">
      <w:pPr>
        <w:pStyle w:val="body"/>
        <w:numPr>
          <w:ilvl w:val="0"/>
          <w:numId w:val="103"/>
        </w:numPr>
        <w:tabs>
          <w:tab w:val="left" w:pos="426"/>
        </w:tabs>
      </w:pPr>
      <w:r w:rsidRPr="00AF5F13">
        <w:t xml:space="preserve">Bħala parti mill-proċess ċikliku, l-awtoritajiet kompetenti għandhom jirrieżaminaw u jaġġornaw il-valutazzjonijiet tar-riskju settorjali u individwali tagħhom tas-suġġetti tal-valutazzjoni b’mod regolari permezz ta’ rieżamijiet perjodiċi jew fuq bażi </w:t>
      </w:r>
      <w:r w:rsidRPr="00AF5F13">
        <w:rPr>
          <w:i/>
          <w:iCs/>
        </w:rPr>
        <w:t>ad hoc</w:t>
      </w:r>
      <w:r w:rsidRPr="00AF5F13">
        <w:t>.</w:t>
      </w:r>
    </w:p>
    <w:p w14:paraId="7C8B0974" w14:textId="77777777" w:rsidR="00E04030" w:rsidRPr="00AF5F13" w:rsidRDefault="00974BDE" w:rsidP="009031B1">
      <w:pPr>
        <w:pStyle w:val="body"/>
        <w:numPr>
          <w:ilvl w:val="0"/>
          <w:numId w:val="103"/>
        </w:numPr>
        <w:tabs>
          <w:tab w:val="left" w:pos="426"/>
        </w:tabs>
      </w:pPr>
      <w:r w:rsidRPr="00AF5F13">
        <w:t>L-istrateġija u l-pjanijiet superviżorji għandhom jiġu aġġornati wkoll kif meħtieġ, jew billi jiġu stabbiliti rieżamijiet perjodiċi jew bħala rispons għal avvenimenti esterni. L-istrateġija u l-</w:t>
      </w:r>
      <w:r w:rsidRPr="00AF5F13">
        <w:lastRenderedPageBreak/>
        <w:t>pjanijiet superviżorji għandhom jirriflettu wkoll il-bidliet rilevanti fil-valutazzjonijiet tar-riskju, b’mod partikolari fejn ikunu ġew identifikati riskji emerġenti. L-awtoritajiet kompetenti għandhom jirriflettu r-riżultati ta’ dawn ir-rieżamijiet u aġġornamenti bħala bidliet fl-RBS.</w:t>
      </w:r>
    </w:p>
    <w:p w14:paraId="7CF69F8C" w14:textId="77777777" w:rsidR="00E04030" w:rsidRPr="00AF5F13" w:rsidRDefault="00E04030" w:rsidP="00EC596C">
      <w:pPr>
        <w:pStyle w:val="Numberedtitlelevel4"/>
        <w:numPr>
          <w:ilvl w:val="0"/>
          <w:numId w:val="26"/>
        </w:numPr>
      </w:pPr>
      <w:r w:rsidRPr="00AF5F13">
        <w:t>Rieżamijiet perjodiċi</w:t>
      </w:r>
    </w:p>
    <w:p w14:paraId="1C53C5B5" w14:textId="4FB97C83" w:rsidR="00E04030" w:rsidRPr="00AF5F13" w:rsidRDefault="00E04030" w:rsidP="009031B1">
      <w:pPr>
        <w:pStyle w:val="body"/>
        <w:numPr>
          <w:ilvl w:val="0"/>
          <w:numId w:val="103"/>
        </w:numPr>
        <w:tabs>
          <w:tab w:val="left" w:pos="426"/>
        </w:tabs>
      </w:pPr>
      <w:r w:rsidRPr="00AF5F13">
        <w:t>L-awtoritajiet kompetenti għandhom iwettqu rieżamijiet perjodiċi tal-valutazzjonijiet tar-riskju individwali u settorjali tagħhom biex jiżguraw li jibqgħu aġġornati u rilevanti. Bħala parti minn dan, huwa importanti li l-awtoritajiet kompetenti jivverifikaw li s-suppożizzjonijiet sottostanti li jappoġġaw il-valutazzjoni tar-riskju għadhom aġġornati, inklużi suppożizzjonijiet relatati mal-livell differenti ta’ riskji ppreżentati mis-setturi u s-suġġetti tal-valutazzjoni rilevanti jew il-fehim tal-effettività assoċjata ma’ ċerta għodda superviżorja.</w:t>
      </w:r>
    </w:p>
    <w:p w14:paraId="54D4705E" w14:textId="68CDCC99" w:rsidR="00E04030" w:rsidRPr="00AF5F13" w:rsidRDefault="00E04030" w:rsidP="009031B1">
      <w:pPr>
        <w:pStyle w:val="body"/>
        <w:numPr>
          <w:ilvl w:val="0"/>
          <w:numId w:val="103"/>
        </w:numPr>
        <w:tabs>
          <w:tab w:val="left" w:pos="426"/>
        </w:tabs>
      </w:pPr>
      <w:r w:rsidRPr="00AF5F13">
        <w:t>L-iskeda ta’ kull rieżami għandha tkun allinjata mal-istrateġija superviżorja u proporzjonata mar-riskju ta’ ML/TF assoċjat mas-settur u s-suġġett tal-valutazzjoni. Fir-rigward tas-setturi u s-suġġetti tal-valutazzjoni li huma esposti għal riskji ta’ ML/TF sinifikanti jew sinifikanti ħafna jew dawk li jiffaċċjaw bidliet frekwenti fl-attivitajiet tagħhom u joperaw f’ambjent li qed jinbidel b’rata mgħaġġla, ir-rieżamijiet għandhom isiru aktar ta’ spiss.</w:t>
      </w:r>
    </w:p>
    <w:p w14:paraId="74E7A827" w14:textId="77777777" w:rsidR="00E04030" w:rsidRPr="00AF5F13" w:rsidRDefault="00E04030" w:rsidP="004D193D">
      <w:pPr>
        <w:pStyle w:val="Numberedtitlelevel4"/>
        <w:keepNext/>
      </w:pPr>
      <w:r w:rsidRPr="00AF5F13">
        <w:t xml:space="preserve">Rieżamijiet </w:t>
      </w:r>
      <w:r w:rsidRPr="00AF5F13">
        <w:rPr>
          <w:i/>
          <w:iCs/>
        </w:rPr>
        <w:t>ad hoc</w:t>
      </w:r>
    </w:p>
    <w:p w14:paraId="762AD07C" w14:textId="77777777" w:rsidR="00E04030" w:rsidRPr="00AF5F13" w:rsidRDefault="00E04030" w:rsidP="009031B1">
      <w:pPr>
        <w:pStyle w:val="body"/>
        <w:numPr>
          <w:ilvl w:val="0"/>
          <w:numId w:val="103"/>
        </w:numPr>
        <w:tabs>
          <w:tab w:val="left" w:pos="426"/>
        </w:tabs>
      </w:pPr>
      <w:r w:rsidRPr="00AF5F13">
        <w:t xml:space="preserve">Ir-rieżamijiet </w:t>
      </w:r>
      <w:r w:rsidRPr="00AF5F13">
        <w:rPr>
          <w:i/>
          <w:iCs/>
        </w:rPr>
        <w:t>ad hoc</w:t>
      </w:r>
      <w:r w:rsidRPr="00AF5F13">
        <w:t xml:space="preserve"> tal-fatturi tar-riskju, il-valutazzjoni tar-riskju u, fejn ikun meħtieġ, l-istrateġija u l-pjanijiet superviżorji, għandhom isiru wara li jseħħu bidliet sinifikanti li jaffettwaw il-profil tar-riskju tas-suġġett tal-valutazzjoni, inklużi:</w:t>
      </w:r>
    </w:p>
    <w:p w14:paraId="638D09AC" w14:textId="03979FB9" w:rsidR="00E04030" w:rsidRPr="00AF5F13" w:rsidRDefault="00811821" w:rsidP="004D193D">
      <w:pPr>
        <w:pStyle w:val="ListParagraph"/>
        <w:widowControl w:val="0"/>
        <w:numPr>
          <w:ilvl w:val="1"/>
          <w:numId w:val="51"/>
        </w:numPr>
        <w:tabs>
          <w:tab w:val="left" w:pos="941"/>
          <w:tab w:val="left" w:pos="942"/>
        </w:tabs>
        <w:autoSpaceDE w:val="0"/>
        <w:autoSpaceDN w:val="0"/>
        <w:spacing w:before="160" w:line="273" w:lineRule="auto"/>
        <w:jc w:val="both"/>
      </w:pPr>
      <w:r w:rsidRPr="00AF5F13">
        <w:t>riskji ta’ ML/TF emerġenti;</w:t>
      </w:r>
    </w:p>
    <w:p w14:paraId="34B90997" w14:textId="6AD72E8E" w:rsidR="00E04030" w:rsidRPr="00AF5F13" w:rsidRDefault="00811821" w:rsidP="004D193D">
      <w:pPr>
        <w:pStyle w:val="ListParagraph"/>
        <w:widowControl w:val="0"/>
        <w:numPr>
          <w:ilvl w:val="1"/>
          <w:numId w:val="51"/>
        </w:numPr>
        <w:tabs>
          <w:tab w:val="left" w:pos="941"/>
          <w:tab w:val="left" w:pos="942"/>
        </w:tabs>
        <w:autoSpaceDE w:val="0"/>
        <w:autoSpaceDN w:val="0"/>
        <w:spacing w:before="160" w:line="273" w:lineRule="auto"/>
        <w:jc w:val="both"/>
      </w:pPr>
      <w:r w:rsidRPr="00AF5F13">
        <w:t>sejbiet li jirriżultaw mis-superviżjoni fuq il-post u mhux fuq il-post u kull segwitu ta’ azzjonijiet korrettivi jew ta’ rimedju mwettqa mis-suġġett tal-valutazzjoni;</w:t>
      </w:r>
    </w:p>
    <w:p w14:paraId="39B1B43B" w14:textId="1F6DFBFE" w:rsidR="00E04030" w:rsidRPr="00AF5F13" w:rsidRDefault="00811821" w:rsidP="004D193D">
      <w:pPr>
        <w:pStyle w:val="ListParagraph"/>
        <w:widowControl w:val="0"/>
        <w:numPr>
          <w:ilvl w:val="1"/>
          <w:numId w:val="51"/>
        </w:numPr>
        <w:tabs>
          <w:tab w:val="left" w:pos="941"/>
          <w:tab w:val="left" w:pos="942"/>
        </w:tabs>
        <w:autoSpaceDE w:val="0"/>
        <w:autoSpaceDN w:val="0"/>
        <w:spacing w:before="160" w:line="273" w:lineRule="auto"/>
        <w:jc w:val="both"/>
      </w:pPr>
      <w:r w:rsidRPr="00AF5F13">
        <w:t>bidliet għal, jew informazzjoni ġdida emerġenti dwar is-sidien ta’ parteċipazzjonijiet kwalifikanti, il-membri tal-bord tat-tmexxija jew l-operazzjonijiet ta’ titolari ta’ funzjonijiet ewlenin jew l-organizzazzjoni tas-suġġett tal-valutazzjoni;</w:t>
      </w:r>
    </w:p>
    <w:p w14:paraId="715C151F" w14:textId="2E6B70ED" w:rsidR="00A37C62" w:rsidRPr="00AF5F13" w:rsidRDefault="007E1787" w:rsidP="004D193D">
      <w:pPr>
        <w:pStyle w:val="ListParagraph"/>
        <w:widowControl w:val="0"/>
        <w:numPr>
          <w:ilvl w:val="1"/>
          <w:numId w:val="51"/>
        </w:numPr>
        <w:tabs>
          <w:tab w:val="left" w:pos="941"/>
          <w:tab w:val="left" w:pos="942"/>
        </w:tabs>
        <w:autoSpaceDE w:val="0"/>
        <w:autoSpaceDN w:val="0"/>
        <w:spacing w:before="160" w:line="273" w:lineRule="auto"/>
        <w:jc w:val="both"/>
      </w:pPr>
      <w:r w:rsidRPr="00AF5F13">
        <w:t>emendi għall-valutazzjoni tar-riskju sovranazzjonali tal-Kummissjoni Ewropea ppubblikati skont l-Artikolu 6(1) tad-Direttiva (UE) 2015/849, il-valutazzjoni tar-riskju nazzjonali jew il-valutazzjoni tar-riskju superviżorja żviluppati f’konformità ma’ dawn il-linji gwida;</w:t>
      </w:r>
    </w:p>
    <w:p w14:paraId="74A3305B" w14:textId="6AD8029F" w:rsidR="00A37C62" w:rsidRPr="00AF5F13" w:rsidRDefault="00A37C62" w:rsidP="004D193D">
      <w:pPr>
        <w:pStyle w:val="ListParagraph"/>
        <w:widowControl w:val="0"/>
        <w:numPr>
          <w:ilvl w:val="1"/>
          <w:numId w:val="51"/>
        </w:numPr>
        <w:tabs>
          <w:tab w:val="left" w:pos="941"/>
          <w:tab w:val="left" w:pos="942"/>
        </w:tabs>
        <w:autoSpaceDE w:val="0"/>
        <w:autoSpaceDN w:val="0"/>
        <w:spacing w:before="160" w:line="273" w:lineRule="auto"/>
        <w:jc w:val="both"/>
      </w:pPr>
      <w:r w:rsidRPr="00AF5F13">
        <w:t xml:space="preserve"> tipi ġodda ta’ ditti li jidħlu fis-settur jew is-subsettur;</w:t>
      </w:r>
    </w:p>
    <w:p w14:paraId="33831B0E" w14:textId="7BE97562" w:rsidR="00F31D9C" w:rsidRPr="00AF5F13" w:rsidRDefault="004559F3" w:rsidP="004D193D">
      <w:pPr>
        <w:pStyle w:val="ListParagraph"/>
        <w:widowControl w:val="0"/>
        <w:numPr>
          <w:ilvl w:val="1"/>
          <w:numId w:val="51"/>
        </w:numPr>
        <w:tabs>
          <w:tab w:val="left" w:pos="941"/>
          <w:tab w:val="left" w:pos="942"/>
        </w:tabs>
        <w:autoSpaceDE w:val="0"/>
        <w:autoSpaceDN w:val="0"/>
        <w:spacing w:before="160" w:line="273" w:lineRule="auto"/>
        <w:jc w:val="both"/>
      </w:pPr>
      <w:r w:rsidRPr="00AF5F13">
        <w:t>bidliet f’daqqa fis-settur jew subsettur, inklużi bidliet fil-bażi tal-klijenti, fis-servizzi u l-prodotti offruti, fil-kanali ta’ konsenja jew fl-iskopertura għal ċerti żoni ġeografiċi;</w:t>
      </w:r>
    </w:p>
    <w:p w14:paraId="47B1B5A3" w14:textId="0218929F" w:rsidR="007E1787" w:rsidRPr="00AF5F13" w:rsidRDefault="00F31D9C" w:rsidP="004D193D">
      <w:pPr>
        <w:pStyle w:val="ListParagraph"/>
        <w:widowControl w:val="0"/>
        <w:numPr>
          <w:ilvl w:val="1"/>
          <w:numId w:val="51"/>
        </w:numPr>
        <w:tabs>
          <w:tab w:val="left" w:pos="941"/>
          <w:tab w:val="left" w:pos="942"/>
        </w:tabs>
        <w:autoSpaceDE w:val="0"/>
        <w:autoSpaceDN w:val="0"/>
        <w:spacing w:before="160" w:line="273" w:lineRule="auto"/>
        <w:jc w:val="both"/>
      </w:pPr>
      <w:r w:rsidRPr="00AF5F13">
        <w:t>informazzjoni emerġenti ġdida li tissuġġerixxi li l-iskopertura għar-riskju ta’ ML/TF fir-rigward ta’ suġġett tal-valutazzjoni jew settur speċifiku żdiedet;</w:t>
      </w:r>
    </w:p>
    <w:p w14:paraId="079207FC" w14:textId="03BD80AF" w:rsidR="00A37C62" w:rsidRPr="00AF5F13" w:rsidRDefault="00811821" w:rsidP="004D193D">
      <w:pPr>
        <w:pStyle w:val="ListParagraph"/>
        <w:widowControl w:val="0"/>
        <w:numPr>
          <w:ilvl w:val="1"/>
          <w:numId w:val="51"/>
        </w:numPr>
        <w:tabs>
          <w:tab w:val="left" w:pos="941"/>
          <w:tab w:val="left" w:pos="942"/>
        </w:tabs>
        <w:autoSpaceDE w:val="0"/>
        <w:autoSpaceDN w:val="0"/>
        <w:spacing w:before="160" w:line="273" w:lineRule="auto"/>
        <w:jc w:val="both"/>
      </w:pPr>
      <w:r w:rsidRPr="00AF5F13">
        <w:t>sitwazzjonijiet oħrajn fejn l-awtorità kompetenti għandha raġunijiet raġonevoli biex temmen li l-informazzjoni li fuqha hija bbażata l-valutazzjoni tar-riskju tagħha, ma għadhiex rilevanti jew għandha nuqqasijiet sinifikanti.</w:t>
      </w:r>
    </w:p>
    <w:p w14:paraId="0848F2E4" w14:textId="7DEF92C2" w:rsidR="00E04030" w:rsidRPr="00AF5F13" w:rsidRDefault="00E04030" w:rsidP="009031B1">
      <w:pPr>
        <w:pStyle w:val="body"/>
        <w:numPr>
          <w:ilvl w:val="0"/>
          <w:numId w:val="103"/>
        </w:numPr>
        <w:tabs>
          <w:tab w:val="left" w:pos="426"/>
        </w:tabs>
      </w:pPr>
      <w:r w:rsidRPr="00AF5F13">
        <w:lastRenderedPageBreak/>
        <w:t>L-awtoritajiet kompetenti għandhom jikkunsidraw ukoll jekk il-bidliet li jaffettwaw suġġett tal-valutazzjoni partikolari, jistgħux jaffettwaw ukoll suġġetti oħrajn tal-valutazzjoni, u huma għandhom jirrieżaminaw ukoll il-valutazzjoni tar-riskju ta’ dawk is-suġġetti tal-valutazzjoni, li huma affettwati b’mod sinifikanti mill-bidla.</w:t>
      </w:r>
    </w:p>
    <w:p w14:paraId="719ACBF9" w14:textId="149F4BEE" w:rsidR="00E04030" w:rsidRPr="00AF5F13" w:rsidRDefault="00E04030" w:rsidP="009031B1">
      <w:pPr>
        <w:pStyle w:val="body"/>
        <w:numPr>
          <w:ilvl w:val="0"/>
          <w:numId w:val="103"/>
        </w:numPr>
        <w:tabs>
          <w:tab w:val="left" w:pos="426"/>
        </w:tabs>
      </w:pPr>
      <w:r w:rsidRPr="00AF5F13">
        <w:t>Meta, bħala riżultat tal-valutazzjoni tar-riskju emendata, il-kategoriji jew il-punteġġi tar-riskju jkunu nbidlu, l-awtoritajiet kompetenti għandhom jiżguraw li s-sistemi interni u l-manwal superviżorju tagħhom jiġu aġġornati kif xieraq.</w:t>
      </w:r>
    </w:p>
    <w:p w14:paraId="5A9003AB" w14:textId="3E30994E" w:rsidR="00E04030" w:rsidRPr="00AF5F13" w:rsidRDefault="00E04030" w:rsidP="00EC596C">
      <w:pPr>
        <w:pStyle w:val="Numberedtitlelevel3"/>
        <w:numPr>
          <w:ilvl w:val="2"/>
          <w:numId w:val="53"/>
        </w:numPr>
      </w:pPr>
      <w:r w:rsidRPr="00AF5F13">
        <w:t>Rieżami tal-Mudell RBS tal-AML/CFT</w:t>
      </w:r>
    </w:p>
    <w:p w14:paraId="61E9ACD5" w14:textId="77777777" w:rsidR="00E04030" w:rsidRPr="00AF5F13" w:rsidRDefault="00E04030" w:rsidP="009031B1">
      <w:pPr>
        <w:pStyle w:val="body"/>
        <w:numPr>
          <w:ilvl w:val="0"/>
          <w:numId w:val="103"/>
        </w:numPr>
        <w:tabs>
          <w:tab w:val="left" w:pos="426"/>
        </w:tabs>
      </w:pPr>
      <w:r w:rsidRPr="00AF5F13">
        <w:t>L-awtoritajiet kompetenti għandhom ifittxu li jissodisfaw lilhom infushom li l-proċessi u l-proċeduri interni tagħhom, inkluż il-metodoloġija tal-valutazzjoni tar-riskju ta’ ML/TF tagħhom, huma aġġornati u jiġu applikati b’mod konsistenti u effettiv. L-awtoritajiet kompetenti għandhom jirrieżaminaw u jaġġornaw il-metodoloġija immedjatament, fejn meħtieġ.</w:t>
      </w:r>
    </w:p>
    <w:p w14:paraId="5C984EEE" w14:textId="204CF266" w:rsidR="00E04030" w:rsidRPr="00AF5F13" w:rsidRDefault="00E04030" w:rsidP="009031B1">
      <w:pPr>
        <w:pStyle w:val="body"/>
        <w:numPr>
          <w:ilvl w:val="0"/>
          <w:numId w:val="103"/>
        </w:numPr>
        <w:tabs>
          <w:tab w:val="left" w:pos="426"/>
        </w:tabs>
      </w:pPr>
      <w:r w:rsidRPr="00AF5F13">
        <w:t>Meta rieżami jidentifika kwistjonijiet relatati mal-Mudell RBS tal-AMF/CFT, l-awtoritajiet kompetenti għandhom jieħdu passi biex jindirizzawhom. Madankollu, l-awtoritajiet kompetenti għandhom iżommu lura milli jagħmlu bidliet ripetuti fil-Mudell RBS tagħhom f’intervalli ta’ żmien qosra, biex jiffaċilitaw it-tqabbil maż-żmien.</w:t>
      </w:r>
    </w:p>
    <w:p w14:paraId="5A18DB59" w14:textId="3435EEDF" w:rsidR="007F75CE" w:rsidRPr="00AF5F13" w:rsidRDefault="007F75CE" w:rsidP="009031B1">
      <w:pPr>
        <w:pStyle w:val="ListParagraph"/>
        <w:widowControl w:val="0"/>
        <w:numPr>
          <w:ilvl w:val="0"/>
          <w:numId w:val="103"/>
        </w:numPr>
        <w:tabs>
          <w:tab w:val="left" w:pos="426"/>
          <w:tab w:val="left" w:pos="648"/>
        </w:tabs>
        <w:autoSpaceDE w:val="0"/>
        <w:autoSpaceDN w:val="0"/>
        <w:spacing w:line="276" w:lineRule="auto"/>
        <w:ind w:right="219"/>
        <w:jc w:val="both"/>
      </w:pPr>
      <w:r w:rsidRPr="00AF5F13">
        <w:t>Meta l-awtoritajiet kompetenti jużaw sistemi ta’ punteġġ awtomatizzati biex iwettqu l-valutazzjoni tar-riskju tagħhom, għandhom jirrieżaminaw</w:t>
      </w:r>
      <w:r w:rsidR="00AE48EC">
        <w:t xml:space="preserve"> i</w:t>
      </w:r>
      <w:r w:rsidRPr="00AF5F13">
        <w:t>l-każijiet li fihom il-punteġġ awtomatizzat ġie emendat abbażi ta’ ġudizzju professjonali, li ssuġġerixxa li l-punteġġ allokat ma kienx jirrifletti b’mod preċiż il-profil tar-riskju tas-suġġett tal-valutazzjoni. F’każijiet bħal dawn, l-awtoritajiet kompetenti għandhom jeżaminaw jekk il-firxa u l-frekwenza ta’ tali emendi jistgħu ma jkunux indikazzjoni ta’ żball fil-metodoloġija tal-valutazzjoni tar-riskju. Jekk jiġi identifikat żball, l-awtoritajiet kompetenti għandhom jieħdu l-passi meħtieġa biex jirrettifikawh.</w:t>
      </w:r>
    </w:p>
    <w:p w14:paraId="06A3CBD6" w14:textId="77777777" w:rsidR="00E04030" w:rsidRPr="00AF5F13" w:rsidRDefault="00E04030" w:rsidP="00EC596C">
      <w:pPr>
        <w:pStyle w:val="Numberedtitlelevel4"/>
        <w:numPr>
          <w:ilvl w:val="0"/>
          <w:numId w:val="27"/>
        </w:numPr>
      </w:pPr>
      <w:r w:rsidRPr="00AF5F13">
        <w:t>Rieżamijiet perjodiċi</w:t>
      </w:r>
    </w:p>
    <w:p w14:paraId="54CF96CD" w14:textId="29A9F479" w:rsidR="00C306B0" w:rsidRDefault="00E04030" w:rsidP="009031B1">
      <w:pPr>
        <w:pStyle w:val="body"/>
        <w:numPr>
          <w:ilvl w:val="0"/>
          <w:numId w:val="103"/>
        </w:numPr>
        <w:tabs>
          <w:tab w:val="left" w:pos="426"/>
        </w:tabs>
      </w:pPr>
      <w:r w:rsidRPr="00AF5F13">
        <w:t>L-awtoritajiet kompetenti għandhom jirrieżaminaw perjodikament jekk il-Mudell RBS tal-AML/CFT tagħhom iwassalx għall-eżitu maħsub u, b’mod partikolari, jekk il-livell tar-riżorsi superviżorji jibqax proporzjonat mar-riskji ta’ ML/TF identifikati. L-awtoritajiet kompetenti għandhom jużaw varjetà ta’ għodod disponibbli għalihom meta jirrieżaminaw u jivvalutaw l-adegwatezza u l-effettività tal-Mudell RBS tal-AML/CFT tagħhom. Dawn l-għodod jinkludu, iżda mhumiex limitati għal:</w:t>
      </w:r>
    </w:p>
    <w:p w14:paraId="78148BF0" w14:textId="4749690D" w:rsidR="006967AC" w:rsidRPr="00AF5F13" w:rsidRDefault="006967AC" w:rsidP="006967AC">
      <w:pPr>
        <w:pStyle w:val="body"/>
        <w:tabs>
          <w:tab w:val="left" w:pos="426"/>
        </w:tabs>
      </w:pPr>
      <w:r w:rsidRPr="00136375">
        <w:rPr>
          <w:rFonts w:ascii="Wingdings" w:eastAsia="Wingdings" w:hAnsi="Wingdings" w:cs="Wingdings"/>
          <w:color w:val="E98E31" w:themeColor="background2"/>
          <w:spacing w:val="-1"/>
        </w:rPr>
        <w:t>Ú</w:t>
      </w:r>
      <w:r>
        <w:rPr>
          <w:color w:val="E98E31" w:themeColor="background2"/>
          <w:spacing w:val="-1"/>
        </w:rPr>
        <w:t>A1</w:t>
      </w:r>
    </w:p>
    <w:p w14:paraId="3AD909F2" w14:textId="381D7F6D" w:rsidR="00C306B0" w:rsidRDefault="000863FF" w:rsidP="004D193D">
      <w:pPr>
        <w:pStyle w:val="ListParagraph"/>
        <w:widowControl w:val="0"/>
        <w:numPr>
          <w:ilvl w:val="1"/>
          <w:numId w:val="54"/>
        </w:numPr>
        <w:tabs>
          <w:tab w:val="left" w:pos="941"/>
          <w:tab w:val="left" w:pos="942"/>
        </w:tabs>
        <w:autoSpaceDE w:val="0"/>
        <w:autoSpaceDN w:val="0"/>
        <w:spacing w:before="160" w:line="273" w:lineRule="auto"/>
        <w:jc w:val="both"/>
      </w:pPr>
      <w:r>
        <w:t>g</w:t>
      </w:r>
      <w:r w:rsidRPr="00F57386">
        <w:t>ħarfien espert professjonali u teknik</w:t>
      </w:r>
      <w:r>
        <w:t>u</w:t>
      </w:r>
      <w:r w:rsidR="00E04030" w:rsidRPr="00AF5F13">
        <w:t>;</w:t>
      </w:r>
    </w:p>
    <w:p w14:paraId="5EAE4373" w14:textId="6F2D277F" w:rsidR="006967AC" w:rsidRPr="00AF5F13" w:rsidRDefault="006967AC" w:rsidP="006967AC">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35F49BA" w14:textId="03D49A85" w:rsidR="00C306B0" w:rsidRPr="00AF5F13" w:rsidRDefault="00E04030" w:rsidP="004D193D">
      <w:pPr>
        <w:pStyle w:val="ListParagraph"/>
        <w:widowControl w:val="0"/>
        <w:numPr>
          <w:ilvl w:val="1"/>
          <w:numId w:val="54"/>
        </w:numPr>
        <w:tabs>
          <w:tab w:val="left" w:pos="941"/>
          <w:tab w:val="left" w:pos="942"/>
        </w:tabs>
        <w:autoSpaceDE w:val="0"/>
        <w:autoSpaceDN w:val="0"/>
        <w:spacing w:before="160" w:line="273" w:lineRule="auto"/>
        <w:jc w:val="both"/>
      </w:pPr>
      <w:r w:rsidRPr="00AF5F13">
        <w:t>il-kwestjonarji tal-awtovalutazzjoni;</w:t>
      </w:r>
    </w:p>
    <w:p w14:paraId="699C42FA" w14:textId="0E389658" w:rsidR="00C306B0" w:rsidRPr="00AF5F13" w:rsidRDefault="00E04030" w:rsidP="004D193D">
      <w:pPr>
        <w:pStyle w:val="ListParagraph"/>
        <w:widowControl w:val="0"/>
        <w:numPr>
          <w:ilvl w:val="1"/>
          <w:numId w:val="54"/>
        </w:numPr>
        <w:tabs>
          <w:tab w:val="left" w:pos="941"/>
          <w:tab w:val="left" w:pos="942"/>
        </w:tabs>
        <w:autoSpaceDE w:val="0"/>
        <w:autoSpaceDN w:val="0"/>
        <w:spacing w:before="160" w:line="273" w:lineRule="auto"/>
        <w:jc w:val="both"/>
      </w:pPr>
      <w:r w:rsidRPr="00AF5F13">
        <w:t>it-testijiet kampjunarji ta’ miżuri u azzjonijiet superviżorji;</w:t>
      </w:r>
    </w:p>
    <w:p w14:paraId="2AC26BEE" w14:textId="2BEC6006" w:rsidR="00C306B0" w:rsidRPr="00AF5F13" w:rsidRDefault="00E04030" w:rsidP="004D193D">
      <w:pPr>
        <w:pStyle w:val="ListParagraph"/>
        <w:widowControl w:val="0"/>
        <w:numPr>
          <w:ilvl w:val="1"/>
          <w:numId w:val="54"/>
        </w:numPr>
        <w:tabs>
          <w:tab w:val="left" w:pos="941"/>
          <w:tab w:val="left" w:pos="942"/>
        </w:tabs>
        <w:autoSpaceDE w:val="0"/>
        <w:autoSpaceDN w:val="0"/>
        <w:spacing w:before="160" w:line="273" w:lineRule="auto"/>
        <w:jc w:val="both"/>
      </w:pPr>
      <w:r w:rsidRPr="00AF5F13">
        <w:lastRenderedPageBreak/>
        <w:t>informazzjoni ġdida bħal rapporti u feedback minn awtoritajiet kompetenti oħra jew awtoritajiet rilevanti tal-AML/CFT,</w:t>
      </w:r>
    </w:p>
    <w:p w14:paraId="7FB34DA4" w14:textId="15325D76" w:rsidR="00C306B0" w:rsidRPr="00AF5F13" w:rsidRDefault="00C306B0" w:rsidP="004D193D">
      <w:pPr>
        <w:pStyle w:val="ListParagraph"/>
        <w:widowControl w:val="0"/>
        <w:numPr>
          <w:ilvl w:val="1"/>
          <w:numId w:val="54"/>
        </w:numPr>
        <w:tabs>
          <w:tab w:val="left" w:pos="941"/>
          <w:tab w:val="left" w:pos="942"/>
        </w:tabs>
        <w:autoSpaceDE w:val="0"/>
        <w:autoSpaceDN w:val="0"/>
        <w:spacing w:before="160" w:line="273" w:lineRule="auto"/>
        <w:jc w:val="both"/>
      </w:pPr>
      <w:r w:rsidRPr="00AF5F13">
        <w:t>feedback mill-unitajiet tal-intelligence finanzjarja, l-aġenziji tal-infurzar tal-liġi u aġenziji nazzjonali oħra; jew</w:t>
      </w:r>
    </w:p>
    <w:p w14:paraId="1CB69806" w14:textId="48383EF9" w:rsidR="00C306B0" w:rsidRPr="00AF5F13" w:rsidRDefault="00C306B0" w:rsidP="004D193D">
      <w:pPr>
        <w:pStyle w:val="ListParagraph"/>
        <w:widowControl w:val="0"/>
        <w:numPr>
          <w:ilvl w:val="1"/>
          <w:numId w:val="54"/>
        </w:numPr>
        <w:tabs>
          <w:tab w:val="left" w:pos="941"/>
          <w:tab w:val="left" w:pos="942"/>
        </w:tabs>
        <w:autoSpaceDE w:val="0"/>
        <w:autoSpaceDN w:val="0"/>
        <w:spacing w:before="160" w:line="273" w:lineRule="auto"/>
        <w:jc w:val="both"/>
      </w:pPr>
      <w:r w:rsidRPr="00AF5F13">
        <w:t>pubblikazzjonijiet minn organizzazzjonijiet Ewropej jew internazzjonali rilevanti.</w:t>
      </w:r>
    </w:p>
    <w:p w14:paraId="23F2D302" w14:textId="77777777" w:rsidR="00E04030" w:rsidRPr="00AF5F13" w:rsidRDefault="00E04030" w:rsidP="009031B1">
      <w:pPr>
        <w:pStyle w:val="body"/>
        <w:widowControl w:val="0"/>
        <w:numPr>
          <w:ilvl w:val="0"/>
          <w:numId w:val="103"/>
        </w:numPr>
        <w:tabs>
          <w:tab w:val="left" w:pos="426"/>
        </w:tabs>
        <w:autoSpaceDE w:val="0"/>
        <w:autoSpaceDN w:val="0"/>
        <w:spacing w:before="160" w:after="0" w:line="273" w:lineRule="auto"/>
        <w:ind w:left="720"/>
      </w:pPr>
      <w:r w:rsidRPr="00AF5F13">
        <w:t>L-awtoritajiet kompetenti għandhom ifittxu wkoll li jiffamiljarizzaw ruħhom mal-aħjar prattiki internazzjonali u jikkunsidraw li jipparteċipaw f’fora internazzjonali u Ewropej rilevanti meta jkun possibbli.</w:t>
      </w:r>
    </w:p>
    <w:p w14:paraId="3595A960" w14:textId="30D4BEC2" w:rsidR="00E04030" w:rsidRPr="00AF5F13" w:rsidRDefault="00E04030" w:rsidP="009031B1">
      <w:pPr>
        <w:pStyle w:val="body"/>
        <w:numPr>
          <w:ilvl w:val="0"/>
          <w:numId w:val="103"/>
        </w:numPr>
        <w:tabs>
          <w:tab w:val="left" w:pos="426"/>
        </w:tabs>
      </w:pPr>
      <w:r w:rsidRPr="00AF5F13">
        <w:t>Il-kejl tal-impatt tas-superviżjoni tal-AML/CFT fuq il-livell tal-konformità u l-effettività tal-kontrolli tal-AML/CFT tas-suġġetti tal-valutazzjoni, jista’ jgħin ukoll lill-awtoritajiet kompetenti biex jivvalutaw l-effettività tal-Mudell RBS tal-AML/CFT tagħhom.</w:t>
      </w:r>
    </w:p>
    <w:p w14:paraId="498FA3D0" w14:textId="4983F710" w:rsidR="00E04030" w:rsidRPr="00AF5F13" w:rsidRDefault="00E04030" w:rsidP="00E04030">
      <w:pPr>
        <w:pStyle w:val="Numberedtitlelevel4"/>
      </w:pPr>
      <w:r w:rsidRPr="00AF5F13">
        <w:t>Rieżamijiet</w:t>
      </w:r>
      <w:r w:rsidR="003A153C">
        <w:t xml:space="preserve"> </w:t>
      </w:r>
      <w:r w:rsidRPr="00AF5F13">
        <w:rPr>
          <w:i/>
          <w:iCs/>
        </w:rPr>
        <w:t>ad hoc</w:t>
      </w:r>
    </w:p>
    <w:p w14:paraId="268C3788" w14:textId="6CA6EC52" w:rsidR="00E04030" w:rsidRPr="00AF5F13" w:rsidRDefault="00E04030" w:rsidP="009031B1">
      <w:pPr>
        <w:pStyle w:val="body"/>
        <w:numPr>
          <w:ilvl w:val="0"/>
          <w:numId w:val="103"/>
        </w:numPr>
        <w:tabs>
          <w:tab w:val="left" w:pos="426"/>
        </w:tabs>
      </w:pPr>
      <w:r w:rsidRPr="00AF5F13">
        <w:t>Minbarra rieżamijiet regolari f’intervalli fissi, l-awtoritajiet kompetenti għandhom jirrieżaminaw, jaġġornaw jew jemendaw il-Mudell RBS tal-AML/CFT tagħhom jekk l-adegwatezza jew l-effettività tiegħu jiġu ddubitati minn avvenimenti bħal:</w:t>
      </w:r>
    </w:p>
    <w:p w14:paraId="6C3B357E" w14:textId="5AC4E971" w:rsidR="00E04030" w:rsidRPr="00AF5F13" w:rsidRDefault="00E04030" w:rsidP="004D193D">
      <w:pPr>
        <w:pStyle w:val="ListParagraph"/>
        <w:widowControl w:val="0"/>
        <w:numPr>
          <w:ilvl w:val="1"/>
          <w:numId w:val="52"/>
        </w:numPr>
        <w:tabs>
          <w:tab w:val="left" w:pos="941"/>
          <w:tab w:val="left" w:pos="942"/>
        </w:tabs>
        <w:autoSpaceDE w:val="0"/>
        <w:autoSpaceDN w:val="0"/>
        <w:spacing w:before="160" w:line="273" w:lineRule="auto"/>
        <w:jc w:val="both"/>
      </w:pPr>
      <w:r w:rsidRPr="00AF5F13">
        <w:t>Evalwazzjonijiet esterni tal-mudell, inkluż permezz tal-FATF, il-Moneyval jew l-awditjar estern;</w:t>
      </w:r>
    </w:p>
    <w:p w14:paraId="368021DA" w14:textId="5FAEEEB3" w:rsidR="00E04030" w:rsidRPr="00AF5F13" w:rsidRDefault="00DC6B47" w:rsidP="004D193D">
      <w:pPr>
        <w:pStyle w:val="ListParagraph"/>
        <w:widowControl w:val="0"/>
        <w:numPr>
          <w:ilvl w:val="1"/>
          <w:numId w:val="52"/>
        </w:numPr>
        <w:tabs>
          <w:tab w:val="left" w:pos="941"/>
          <w:tab w:val="left" w:pos="942"/>
        </w:tabs>
        <w:autoSpaceDE w:val="0"/>
        <w:autoSpaceDN w:val="0"/>
        <w:spacing w:before="160" w:line="273" w:lineRule="auto"/>
        <w:jc w:val="both"/>
      </w:pPr>
      <w:r w:rsidRPr="00AF5F13">
        <w:t xml:space="preserve"> Evalwazzjonijiet interni tal-mudell, inklużi analiżi tan-nuqqasijiet, ir-rapporti dwar l-awditjar intern, l-ittestjar għall-assigurazzjoni tal-kwalità u l-eżerċizzji relatati mat-“tagħlimiet miksuba”;</w:t>
      </w:r>
    </w:p>
    <w:p w14:paraId="6C9F846E" w14:textId="55084016" w:rsidR="00DC6B47" w:rsidRPr="00AF5F13" w:rsidRDefault="00E04030" w:rsidP="00C71B2B">
      <w:pPr>
        <w:pStyle w:val="ListParagraph"/>
        <w:widowControl w:val="0"/>
        <w:numPr>
          <w:ilvl w:val="1"/>
          <w:numId w:val="52"/>
        </w:numPr>
        <w:tabs>
          <w:tab w:val="left" w:pos="941"/>
          <w:tab w:val="left" w:pos="942"/>
        </w:tabs>
        <w:autoSpaceDE w:val="0"/>
        <w:autoSpaceDN w:val="0"/>
        <w:spacing w:before="160" w:line="273" w:lineRule="auto"/>
        <w:jc w:val="both"/>
      </w:pPr>
      <w:r w:rsidRPr="00AF5F13">
        <w:t>Bidliet sinifikanti fl-ambjent leġiżlattiv jew regolatorju tal-AML/CFT;</w:t>
      </w:r>
    </w:p>
    <w:p w14:paraId="3EA860CE" w14:textId="77777777" w:rsidR="00E04030" w:rsidRPr="00AF5F13" w:rsidRDefault="00DC6B47" w:rsidP="00C71B2B">
      <w:pPr>
        <w:pStyle w:val="ListParagraph"/>
        <w:widowControl w:val="0"/>
        <w:numPr>
          <w:ilvl w:val="1"/>
          <w:numId w:val="52"/>
        </w:numPr>
        <w:tabs>
          <w:tab w:val="left" w:pos="941"/>
          <w:tab w:val="left" w:pos="942"/>
        </w:tabs>
        <w:autoSpaceDE w:val="0"/>
        <w:autoSpaceDN w:val="0"/>
        <w:spacing w:before="160" w:line="273" w:lineRule="auto"/>
        <w:jc w:val="both"/>
      </w:pPr>
      <w:r w:rsidRPr="00AF5F13">
        <w:t xml:space="preserve"> Il-pubblikazzjoni ta’ gwida internazzjonali rilevanti; u</w:t>
      </w:r>
    </w:p>
    <w:p w14:paraId="5C968797" w14:textId="77777777" w:rsidR="00E04030" w:rsidRPr="00AF5F13" w:rsidRDefault="00E04030" w:rsidP="00C71B2B">
      <w:pPr>
        <w:pStyle w:val="ListParagraph"/>
        <w:widowControl w:val="0"/>
        <w:numPr>
          <w:ilvl w:val="1"/>
          <w:numId w:val="52"/>
        </w:numPr>
        <w:tabs>
          <w:tab w:val="left" w:pos="941"/>
          <w:tab w:val="left" w:pos="942"/>
        </w:tabs>
        <w:autoSpaceDE w:val="0"/>
        <w:autoSpaceDN w:val="0"/>
        <w:spacing w:before="160" w:line="273" w:lineRule="auto"/>
        <w:jc w:val="both"/>
      </w:pPr>
      <w:r w:rsidRPr="00AF5F13">
        <w:t>Emerġenza jew identifikazzjoni ta’ fatturi ta’ riskju ġodda.</w:t>
      </w:r>
    </w:p>
    <w:p w14:paraId="15DC9402" w14:textId="77777777" w:rsidR="00E04030" w:rsidRPr="00AF5F13" w:rsidRDefault="00E04030" w:rsidP="00EC596C">
      <w:pPr>
        <w:pStyle w:val="Numberedtitlelevel3"/>
        <w:numPr>
          <w:ilvl w:val="2"/>
          <w:numId w:val="53"/>
        </w:numPr>
      </w:pPr>
      <w:r w:rsidRPr="00AF5F13">
        <w:t>L-aspetti organizzattivi u proċedurali tal-proċess tar-rieżami</w:t>
      </w:r>
    </w:p>
    <w:p w14:paraId="4A26D6A2" w14:textId="7D2C2484" w:rsidR="00AF3AE7" w:rsidRPr="00AF5F13" w:rsidRDefault="00F84394" w:rsidP="009031B1">
      <w:pPr>
        <w:pStyle w:val="body"/>
        <w:numPr>
          <w:ilvl w:val="0"/>
          <w:numId w:val="103"/>
        </w:numPr>
        <w:tabs>
          <w:tab w:val="left" w:pos="426"/>
        </w:tabs>
      </w:pPr>
      <w:r w:rsidRPr="00AF5F13">
        <w:t>L-awtoritajiet kompetenti għandhom jistabbilixxu proċess ta’ rieżami oġġettiv tal-Mudell RBS tagħhom, li jkun ibbażat fuq proċeduri interni ċari u trasparenti. Tali proċeduri għandhom mill-inqas jistabbilixxu:</w:t>
      </w:r>
    </w:p>
    <w:p w14:paraId="4F04F0BF" w14:textId="05CF8905" w:rsidR="00AF3AE7" w:rsidRPr="00AF5F13" w:rsidRDefault="00E04030" w:rsidP="00C71B2B">
      <w:pPr>
        <w:pStyle w:val="ListParagraph"/>
        <w:widowControl w:val="0"/>
        <w:numPr>
          <w:ilvl w:val="1"/>
          <w:numId w:val="55"/>
        </w:numPr>
        <w:tabs>
          <w:tab w:val="left" w:pos="941"/>
          <w:tab w:val="left" w:pos="942"/>
        </w:tabs>
        <w:autoSpaceDE w:val="0"/>
        <w:autoSpaceDN w:val="0"/>
        <w:spacing w:before="160" w:line="273" w:lineRule="auto"/>
        <w:jc w:val="both"/>
      </w:pPr>
      <w:r w:rsidRPr="00AF5F13">
        <w:t>meta għandha ssir ir-reviżjoni jew liema avvenimenti jagħtu lok għar-reviżjoni;</w:t>
      </w:r>
    </w:p>
    <w:p w14:paraId="0B94BECF" w14:textId="05C83201" w:rsidR="00AF3AE7" w:rsidRPr="00AF5F13" w:rsidRDefault="00F84394" w:rsidP="00C71B2B">
      <w:pPr>
        <w:pStyle w:val="ListParagraph"/>
        <w:widowControl w:val="0"/>
        <w:numPr>
          <w:ilvl w:val="1"/>
          <w:numId w:val="55"/>
        </w:numPr>
        <w:tabs>
          <w:tab w:val="left" w:pos="941"/>
          <w:tab w:val="left" w:pos="942"/>
        </w:tabs>
        <w:autoSpaceDE w:val="0"/>
        <w:autoSpaceDN w:val="0"/>
        <w:spacing w:before="160" w:line="273" w:lineRule="auto"/>
        <w:jc w:val="both"/>
      </w:pPr>
      <w:r w:rsidRPr="00AF5F13">
        <w:t>x’inhu l-kamp ta’ applikazzjoni tar-reviżjoni jew kif jiġi ddeterminat il-kamp ta’ applikazzjoni; u</w:t>
      </w:r>
    </w:p>
    <w:p w14:paraId="6468C27F" w14:textId="7BD824AF" w:rsidR="00E04030" w:rsidRPr="00AF5F13" w:rsidRDefault="00F84394" w:rsidP="00C71B2B">
      <w:pPr>
        <w:pStyle w:val="ListParagraph"/>
        <w:widowControl w:val="0"/>
        <w:numPr>
          <w:ilvl w:val="1"/>
          <w:numId w:val="55"/>
        </w:numPr>
        <w:tabs>
          <w:tab w:val="left" w:pos="941"/>
          <w:tab w:val="left" w:pos="942"/>
        </w:tabs>
        <w:autoSpaceDE w:val="0"/>
        <w:autoSpaceDN w:val="0"/>
        <w:spacing w:before="160" w:line="273" w:lineRule="auto"/>
        <w:jc w:val="both"/>
      </w:pPr>
      <w:r w:rsidRPr="00AF5F13">
        <w:t>min fl-awtorità kompetenti huwa responsabbli mill-proċess ta’ reviżjoni. L-awtoritajiet kompetenti għandhom jikkunsidraw jekk it-tim jew il-persuna fi ħdan l-awtorità kompetenti li kienet responsabbli mill-istabbiliment tal-Mudell RBS għandhiex tkun responsabbli wkoll mir-rieżami tal-mudell jew jekk persuna jew tim differenti, bħall-assigurazzjoni interna tal-</w:t>
      </w:r>
      <w:r w:rsidRPr="00AF5F13">
        <w:lastRenderedPageBreak/>
        <w:t>kwalità, l-awditjar intern jew it-tim tal-ġestjoni tar-riskju tal-awtorità kompetenti għandhomx ikunu responsabbli mir-rieżami.</w:t>
      </w:r>
    </w:p>
    <w:p w14:paraId="21FA5DED" w14:textId="2E045A97" w:rsidR="00E04030" w:rsidRPr="00AF5F13" w:rsidRDefault="00E04030" w:rsidP="009031B1">
      <w:pPr>
        <w:pStyle w:val="body"/>
        <w:numPr>
          <w:ilvl w:val="0"/>
          <w:numId w:val="103"/>
        </w:numPr>
        <w:tabs>
          <w:tab w:val="left" w:pos="426"/>
        </w:tabs>
      </w:pPr>
      <w:r w:rsidRPr="00AF5F13">
        <w:t>Minbarra l-proċess tar-rieżami intern, l-awtoritajiet kompetenti għandhom jikkunsidraw jekk huwiex meħtieġ li jinkarigaw espert estern biex jiksbu evalwazzjoni oġġettiva tal-Mudell RBS tagħhom jew biex jiżguraw armonizzazzjoni fil-livell nazzjonali mal-mudelli użati minn awtoritajiet kompetenti oħrajn.</w:t>
      </w:r>
    </w:p>
    <w:p w14:paraId="1CF21422" w14:textId="781426FF" w:rsidR="00E04030" w:rsidRPr="00AF5F13" w:rsidRDefault="00B72C4E" w:rsidP="00EC596C">
      <w:pPr>
        <w:pStyle w:val="Numberedtitlelevel3"/>
        <w:numPr>
          <w:ilvl w:val="2"/>
          <w:numId w:val="53"/>
        </w:numPr>
      </w:pPr>
      <w:r w:rsidRPr="00AF5F13">
        <w:t>Żamma tar-reġistri</w:t>
      </w:r>
    </w:p>
    <w:p w14:paraId="0DFB1753" w14:textId="3829042A" w:rsidR="00E04030" w:rsidRPr="00AF5F13" w:rsidRDefault="00E04030" w:rsidP="009031B1">
      <w:pPr>
        <w:pStyle w:val="body"/>
        <w:numPr>
          <w:ilvl w:val="0"/>
          <w:numId w:val="103"/>
        </w:numPr>
        <w:tabs>
          <w:tab w:val="left" w:pos="426"/>
        </w:tabs>
      </w:pPr>
      <w:r w:rsidRPr="00AF5F13">
        <w:t>L-awtoritajiet kompetenti għandhom jiddokumentaw il-Mudell RBS tal-AML/CFT, l-implimentazzjoni u r-rieżamijiet sussegwenti tiegħu b’mod xieraq għall-memorja (superviżorja) istituzzjonali tiegħu u għandhom jipprovdu wkoll reġistru tal-eżiti u d-deċiżjonijiet u r-raġunament sottostanti tagħhom sabiex jiġi żgurat li l-azzjonijiet meħuda mill-awtoritajiet kompetenti fir-rigward tas-suġġetti tal-valutazzjoni differenti jkunu koerenti u konsistenti.</w:t>
      </w:r>
    </w:p>
    <w:p w14:paraId="74BA7CC1" w14:textId="77777777" w:rsidR="00E04030" w:rsidRPr="00AF5F13" w:rsidRDefault="00E04030" w:rsidP="00EC596C">
      <w:pPr>
        <w:pStyle w:val="Numberedtitlelevel3"/>
        <w:numPr>
          <w:ilvl w:val="2"/>
          <w:numId w:val="53"/>
        </w:numPr>
      </w:pPr>
      <w:r w:rsidRPr="00AF5F13">
        <w:t>Responsabbiltà</w:t>
      </w:r>
    </w:p>
    <w:p w14:paraId="3150DB65" w14:textId="4AD54DC1" w:rsidR="00E04030" w:rsidRPr="00AF5F13" w:rsidRDefault="00E04030" w:rsidP="009031B1">
      <w:pPr>
        <w:pStyle w:val="body"/>
        <w:numPr>
          <w:ilvl w:val="0"/>
          <w:numId w:val="103"/>
        </w:numPr>
        <w:tabs>
          <w:tab w:val="left" w:pos="426"/>
        </w:tabs>
      </w:pPr>
      <w:r w:rsidRPr="00AF5F13">
        <w:t>Il-maniġment superjuri tal-awtoritajiet kompetenti għandu jkollu fehim adegwat tar-riskji ta’ ML/TF preżenti fis-settur u fis-subsetturi sorveljati u għandu jiġi informat b’mod regolari dwar l-azzjonijiet superviżorji tal-AML/CFT u l-eżitu tagħhom. Dan huwa hekk biex ikunu jistgħu jiġġudikaw l-effettività ġenerali tal-miżuri implimentati mis-suġġetti tal-valutazzjoni biex jitnaqqsu dawn ir-riskji, kif ukoll il-ħtieġa biex jiġu rieżaminati, fejn ikun xieraq, l-intensità u l-frekwenza tas-superviżjoni u tal-allokazzjoni tar-riżorsi superviżorji.</w:t>
      </w:r>
    </w:p>
    <w:p w14:paraId="05FD7F19" w14:textId="7414D14F" w:rsidR="00316446" w:rsidRPr="00AF5F13" w:rsidDel="00FA751C" w:rsidRDefault="00E06825" w:rsidP="009031B1">
      <w:pPr>
        <w:pStyle w:val="body"/>
        <w:numPr>
          <w:ilvl w:val="0"/>
          <w:numId w:val="103"/>
        </w:numPr>
        <w:tabs>
          <w:tab w:val="left" w:pos="426"/>
        </w:tabs>
      </w:pPr>
      <w:r w:rsidRPr="00AF5F13">
        <w:t>Il-maniġment superjuri tal-awtoritajiet kompetenti għandu jiżgura li jkun hemm arranġamenti ta’ governanza adegwati stabbiliti għall-approvazzjoni tal-istrateġija superviżorja fil-livell maniġerjali superjuri u kwalunkwe emenda minn hemm ’il quddiem u għall-monitoraġġ tal-progress fl-implimentazzjoni tal-istrateġija superviżorja tal-AML/CFT fi ħdan l-awtorità kompetenti. B’mod partikolari, għandhom jiżguraw li l-awtorità kompetenti jkollha biżżejjed riżorsi biex timplimenta l-istrateġija, inkluż riżorsi speċjalisti, legali, ta’ politika u speċjalizzati tar-riskju fil-qasam tal-AML/CFT, u li l-objettivi superviżorji tagħha stabbiliti fl-istrateġija jiġu ssodisfati bis-sħiħ.</w:t>
      </w:r>
    </w:p>
    <w:p w14:paraId="46BF3399" w14:textId="77777777" w:rsidR="00701E89" w:rsidRPr="00AF5F13" w:rsidRDefault="00B43E07" w:rsidP="00C568D1">
      <w:pPr>
        <w:pStyle w:val="Numberedtilelevel1"/>
        <w:numPr>
          <w:ilvl w:val="0"/>
          <w:numId w:val="0"/>
        </w:numPr>
        <w:outlineLvl w:val="0"/>
      </w:pPr>
      <w:r w:rsidRPr="00AF5F13">
        <w:br w:type="page"/>
      </w:r>
      <w:r w:rsidRPr="00AF5F13">
        <w:lastRenderedPageBreak/>
        <w:t>Anness</w:t>
      </w:r>
    </w:p>
    <w:p w14:paraId="302B49A0" w14:textId="5D600E26" w:rsidR="00D135E9" w:rsidRPr="00AF5F13" w:rsidRDefault="00D135E9" w:rsidP="00C568D1">
      <w:pPr>
        <w:pStyle w:val="Numberedtitlelevel2"/>
        <w:numPr>
          <w:ilvl w:val="0"/>
          <w:numId w:val="0"/>
        </w:numPr>
        <w:outlineLvl w:val="1"/>
      </w:pPr>
      <w:r w:rsidRPr="00AF5F13">
        <w:t>Konverżjoni tal-kategoriji ta’ riskju</w:t>
      </w:r>
    </w:p>
    <w:p w14:paraId="07B45F30" w14:textId="77777777" w:rsidR="00701E89" w:rsidRPr="00AF5F13" w:rsidRDefault="00701E89" w:rsidP="00701E89"/>
    <w:tbl>
      <w:tblPr>
        <w:tblStyle w:val="PlainTable5"/>
        <w:tblpPr w:leftFromText="180" w:rightFromText="180" w:vertAnchor="text" w:horzAnchor="margin" w:tblpY="1016"/>
        <w:tblW w:w="0" w:type="auto"/>
        <w:tblLook w:val="04A0" w:firstRow="1" w:lastRow="0" w:firstColumn="1" w:lastColumn="0" w:noHBand="0" w:noVBand="1"/>
      </w:tblPr>
      <w:tblGrid>
        <w:gridCol w:w="4379"/>
        <w:gridCol w:w="4392"/>
      </w:tblGrid>
      <w:tr w:rsidR="00701E89" w:rsidRPr="00AF5F13" w14:paraId="5B86F141" w14:textId="77777777" w:rsidTr="009E1C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8" w:type="dxa"/>
            <w:tcBorders>
              <w:top w:val="single" w:sz="4" w:space="0" w:color="auto"/>
              <w:left w:val="single" w:sz="4" w:space="0" w:color="auto"/>
            </w:tcBorders>
          </w:tcPr>
          <w:p w14:paraId="2DB462AB" w14:textId="77777777" w:rsidR="00701E89" w:rsidRPr="00AF5F13" w:rsidRDefault="00701E89" w:rsidP="009E1CAB">
            <w:r w:rsidRPr="00AF5F13">
              <w:t>Kategoriji ta’ riskju tal-awtorità kompetenti</w:t>
            </w:r>
          </w:p>
        </w:tc>
        <w:tc>
          <w:tcPr>
            <w:tcW w:w="4508" w:type="dxa"/>
            <w:tcBorders>
              <w:top w:val="single" w:sz="4" w:space="0" w:color="auto"/>
              <w:right w:val="single" w:sz="4" w:space="0" w:color="auto"/>
            </w:tcBorders>
          </w:tcPr>
          <w:p w14:paraId="7C3A16BB" w14:textId="77777777" w:rsidR="00701E89" w:rsidRPr="00AF5F13" w:rsidRDefault="00701E89" w:rsidP="00913E04">
            <w:pPr>
              <w:cnfStyle w:val="100000000000" w:firstRow="1" w:lastRow="0" w:firstColumn="0" w:lastColumn="0" w:oddVBand="0" w:evenVBand="0" w:oddHBand="0" w:evenHBand="0" w:firstRowFirstColumn="0" w:firstRowLastColumn="0" w:lastRowFirstColumn="0" w:lastRowLastColumn="0"/>
              <w:rPr>
                <w:rFonts w:cstheme="minorHAnsi"/>
              </w:rPr>
            </w:pPr>
            <w:r w:rsidRPr="00AF5F13">
              <w:t>Kategoriji ta’ riskju ssuġġeriti f’dawn il-linji gwida</w:t>
            </w:r>
          </w:p>
        </w:tc>
      </w:tr>
      <w:tr w:rsidR="00701E89" w:rsidRPr="00AF5F13" w14:paraId="570C1F14" w14:textId="77777777" w:rsidTr="009E1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tcBorders>
          </w:tcPr>
          <w:p w14:paraId="62E2250D" w14:textId="77777777" w:rsidR="00701E89" w:rsidRPr="00AF5F13" w:rsidRDefault="00701E89" w:rsidP="009E1CAB">
            <w:r w:rsidRPr="00AF5F13">
              <w:t>Riskju baxx →</w:t>
            </w:r>
          </w:p>
        </w:tc>
        <w:tc>
          <w:tcPr>
            <w:tcW w:w="4508" w:type="dxa"/>
            <w:tcBorders>
              <w:right w:val="single" w:sz="4" w:space="0" w:color="auto"/>
            </w:tcBorders>
          </w:tcPr>
          <w:p w14:paraId="18B446C8" w14:textId="619F7990" w:rsidR="00701E89" w:rsidRPr="00AF5F13" w:rsidRDefault="00701E89" w:rsidP="009E1CAB">
            <w:pPr>
              <w:cnfStyle w:val="000000100000" w:firstRow="0" w:lastRow="0" w:firstColumn="0" w:lastColumn="0" w:oddVBand="0" w:evenVBand="0" w:oddHBand="1" w:evenHBand="0" w:firstRowFirstColumn="0" w:firstRowLastColumn="0" w:lastRowFirstColumn="0" w:lastRowLastColumn="0"/>
              <w:rPr>
                <w:rFonts w:cstheme="minorHAnsi"/>
              </w:rPr>
            </w:pPr>
            <w:r w:rsidRPr="00AF5F13">
              <w:t>Riskju inqas sinifikanti</w:t>
            </w:r>
          </w:p>
        </w:tc>
      </w:tr>
      <w:tr w:rsidR="00701E89" w:rsidRPr="00AF5F13" w14:paraId="7986FBA5" w14:textId="77777777" w:rsidTr="009E1CAB">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tcBorders>
          </w:tcPr>
          <w:p w14:paraId="0711137E" w14:textId="1B7DA0BD" w:rsidR="00701E89" w:rsidRPr="00AF5F13" w:rsidRDefault="00701E89" w:rsidP="009E1CAB">
            <w:pPr>
              <w:rPr>
                <w:rFonts w:cstheme="minorHAnsi"/>
              </w:rPr>
            </w:pPr>
            <w:r w:rsidRPr="00AF5F13">
              <w:t xml:space="preserve">Riskju medju → </w:t>
            </w:r>
          </w:p>
        </w:tc>
        <w:tc>
          <w:tcPr>
            <w:tcW w:w="4508" w:type="dxa"/>
            <w:tcBorders>
              <w:right w:val="single" w:sz="4" w:space="0" w:color="auto"/>
            </w:tcBorders>
          </w:tcPr>
          <w:p w14:paraId="3525785B" w14:textId="77777777" w:rsidR="00701E89" w:rsidRPr="00AF5F13" w:rsidRDefault="00701E89" w:rsidP="009E1CAB">
            <w:pPr>
              <w:cnfStyle w:val="000000000000" w:firstRow="0" w:lastRow="0" w:firstColumn="0" w:lastColumn="0" w:oddVBand="0" w:evenVBand="0" w:oddHBand="0" w:evenHBand="0" w:firstRowFirstColumn="0" w:firstRowLastColumn="0" w:lastRowFirstColumn="0" w:lastRowLastColumn="0"/>
              <w:rPr>
                <w:rFonts w:cstheme="minorHAnsi"/>
              </w:rPr>
            </w:pPr>
            <w:r w:rsidRPr="00AF5F13">
              <w:t>Riskju moderatament sinifikanti</w:t>
            </w:r>
          </w:p>
        </w:tc>
      </w:tr>
      <w:tr w:rsidR="00701E89" w:rsidRPr="00AF5F13" w14:paraId="68439FA1" w14:textId="77777777" w:rsidTr="009E1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bottom w:val="single" w:sz="4" w:space="0" w:color="auto"/>
            </w:tcBorders>
          </w:tcPr>
          <w:p w14:paraId="4A70D8CF" w14:textId="77777777" w:rsidR="00701E89" w:rsidRPr="00AF5F13" w:rsidRDefault="00701E89" w:rsidP="009E1CAB">
            <w:pPr>
              <w:rPr>
                <w:rFonts w:cstheme="minorHAnsi"/>
              </w:rPr>
            </w:pPr>
            <w:r w:rsidRPr="00AF5F13">
              <w:t>Riskju għoli →</w:t>
            </w:r>
          </w:p>
        </w:tc>
        <w:tc>
          <w:tcPr>
            <w:tcW w:w="4508" w:type="dxa"/>
            <w:tcBorders>
              <w:bottom w:val="single" w:sz="4" w:space="0" w:color="auto"/>
              <w:right w:val="single" w:sz="4" w:space="0" w:color="auto"/>
            </w:tcBorders>
          </w:tcPr>
          <w:p w14:paraId="663A5E61" w14:textId="77777777" w:rsidR="00701E89" w:rsidRPr="00AF5F13" w:rsidRDefault="00701E89" w:rsidP="009E1CAB">
            <w:pPr>
              <w:cnfStyle w:val="000000100000" w:firstRow="0" w:lastRow="0" w:firstColumn="0" w:lastColumn="0" w:oddVBand="0" w:evenVBand="0" w:oddHBand="1" w:evenHBand="0" w:firstRowFirstColumn="0" w:firstRowLastColumn="0" w:lastRowFirstColumn="0" w:lastRowLastColumn="0"/>
              <w:rPr>
                <w:rFonts w:cstheme="minorHAnsi"/>
              </w:rPr>
            </w:pPr>
            <w:r w:rsidRPr="00AF5F13">
              <w:t>Riskju sinifikanti ħafna</w:t>
            </w:r>
          </w:p>
        </w:tc>
      </w:tr>
    </w:tbl>
    <w:p w14:paraId="054FCF04" w14:textId="77777777" w:rsidR="00701E89" w:rsidRPr="00AF5F13" w:rsidRDefault="00701E89" w:rsidP="00701E89">
      <w:r w:rsidRPr="00AF5F13">
        <w:rPr>
          <w:b/>
        </w:rPr>
        <w:t>Xenarju 1</w:t>
      </w:r>
      <w:r w:rsidRPr="00AF5F13">
        <w:t>: Meta awtoritajiet kompetenti jkunu qed jikkategorizzaw is-suġġetti tal-valutazzjoni u s-setturi tagħhom fi tliet kategoriji ta’ riskju, huma għandhom japplikaw l-approċċ stabbilit fit-Tabella 1 meta jintalbu jikkonvertu l-kategoriji ta’ riskju f’erba’ kategoriji kif issuġġerit f’dawn il-linji gwida.</w:t>
      </w:r>
    </w:p>
    <w:p w14:paraId="61C572AA" w14:textId="77777777" w:rsidR="00701E89" w:rsidRPr="00AF5F13" w:rsidRDefault="00701E89" w:rsidP="00701E89"/>
    <w:p w14:paraId="6ECCD605" w14:textId="77777777" w:rsidR="00701E89" w:rsidRPr="00AF5F13" w:rsidRDefault="00701E89" w:rsidP="00701E89"/>
    <w:p w14:paraId="433B7E18" w14:textId="77777777" w:rsidR="00701E89" w:rsidRPr="00AF5F13" w:rsidRDefault="00701E89" w:rsidP="00701E89"/>
    <w:p w14:paraId="5C61375C" w14:textId="77777777" w:rsidR="00701E89" w:rsidRPr="00AF5F13" w:rsidRDefault="00701E89" w:rsidP="00701E89"/>
    <w:p w14:paraId="189599B1" w14:textId="6C8816E4" w:rsidR="00701E89" w:rsidRPr="00AF5F13" w:rsidRDefault="00701E89" w:rsidP="00701E89">
      <w:r w:rsidRPr="00AF5F13">
        <w:rPr>
          <w:b/>
        </w:rPr>
        <w:t>Xenarju 2</w:t>
      </w:r>
      <w:r w:rsidRPr="00AF5F13">
        <w:t>: Meta l-awtoritajiet kompetenti jkunu qed jikkategorizzaw is-suġġetti tal-valutazzjoni u s-setturi tagħhom f’ħames kategoriji ta’ riskju, huma għandhom japplikaw l-approċċ stabbilit fit-Tabella 2 meta jintalbu jikkonvertu l-kategoriji ta’ riskju f’erba’ kategoriji kif issuġġerit f’dawn il-linji gwida.</w:t>
      </w:r>
    </w:p>
    <w:tbl>
      <w:tblPr>
        <w:tblStyle w:val="PlainTable5"/>
        <w:tblpPr w:leftFromText="180" w:rightFromText="180" w:vertAnchor="text" w:horzAnchor="margin" w:tblpY="312"/>
        <w:tblW w:w="0" w:type="auto"/>
        <w:tblLook w:val="04A0" w:firstRow="1" w:lastRow="0" w:firstColumn="1" w:lastColumn="0" w:noHBand="0" w:noVBand="1"/>
      </w:tblPr>
      <w:tblGrid>
        <w:gridCol w:w="4381"/>
        <w:gridCol w:w="4390"/>
      </w:tblGrid>
      <w:tr w:rsidR="00616A3B" w:rsidRPr="00AF5F13" w14:paraId="3956F367" w14:textId="77777777" w:rsidTr="00616A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81" w:type="dxa"/>
            <w:tcBorders>
              <w:top w:val="single" w:sz="4" w:space="0" w:color="auto"/>
              <w:left w:val="single" w:sz="4" w:space="0" w:color="auto"/>
            </w:tcBorders>
          </w:tcPr>
          <w:p w14:paraId="144E7D38" w14:textId="77777777" w:rsidR="00616A3B" w:rsidRPr="00AF5F13" w:rsidRDefault="00616A3B" w:rsidP="00616A3B">
            <w:r w:rsidRPr="00AF5F13">
              <w:t>Kategoriji ta’ riskju tal-awtorità kompetenti</w:t>
            </w:r>
          </w:p>
        </w:tc>
        <w:tc>
          <w:tcPr>
            <w:tcW w:w="4390" w:type="dxa"/>
            <w:tcBorders>
              <w:top w:val="single" w:sz="4" w:space="0" w:color="auto"/>
              <w:right w:val="single" w:sz="4" w:space="0" w:color="auto"/>
            </w:tcBorders>
          </w:tcPr>
          <w:p w14:paraId="22267B5A" w14:textId="77777777" w:rsidR="00616A3B" w:rsidRPr="00AF5F13" w:rsidRDefault="00616A3B" w:rsidP="00616A3B">
            <w:pPr>
              <w:cnfStyle w:val="100000000000" w:firstRow="1" w:lastRow="0" w:firstColumn="0" w:lastColumn="0" w:oddVBand="0" w:evenVBand="0" w:oddHBand="0" w:evenHBand="0" w:firstRowFirstColumn="0" w:firstRowLastColumn="0" w:lastRowFirstColumn="0" w:lastRowLastColumn="0"/>
              <w:rPr>
                <w:rFonts w:cstheme="minorHAnsi"/>
              </w:rPr>
            </w:pPr>
            <w:r w:rsidRPr="00AF5F13">
              <w:t>Kategoriji ta’ riskju ssuġġeriti f’dawn il-linji gwida</w:t>
            </w:r>
          </w:p>
        </w:tc>
      </w:tr>
      <w:tr w:rsidR="00616A3B" w:rsidRPr="00AF5F13" w14:paraId="766F717A" w14:textId="77777777" w:rsidTr="00616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57C489BD" w14:textId="77777777" w:rsidR="00616A3B" w:rsidRPr="00AF5F13" w:rsidRDefault="00616A3B" w:rsidP="00616A3B">
            <w:pPr>
              <w:rPr>
                <w:rFonts w:cstheme="minorHAnsi"/>
              </w:rPr>
            </w:pPr>
            <w:r w:rsidRPr="00AF5F13">
              <w:t>Riskju baxx →</w:t>
            </w:r>
          </w:p>
          <w:p w14:paraId="29E4F0E7" w14:textId="77777777" w:rsidR="00616A3B" w:rsidRPr="00AF5F13" w:rsidRDefault="00616A3B" w:rsidP="00616A3B">
            <w:r w:rsidRPr="00AF5F13">
              <w:t>Riskju medju baxx →</w:t>
            </w:r>
          </w:p>
        </w:tc>
        <w:tc>
          <w:tcPr>
            <w:tcW w:w="4390" w:type="dxa"/>
            <w:tcBorders>
              <w:right w:val="single" w:sz="4" w:space="0" w:color="auto"/>
            </w:tcBorders>
          </w:tcPr>
          <w:p w14:paraId="4EFA8E35" w14:textId="77777777" w:rsidR="00616A3B" w:rsidRPr="00AF5F13" w:rsidRDefault="00616A3B" w:rsidP="00616A3B">
            <w:pPr>
              <w:cnfStyle w:val="000000100000" w:firstRow="0" w:lastRow="0" w:firstColumn="0" w:lastColumn="0" w:oddVBand="0" w:evenVBand="0" w:oddHBand="1" w:evenHBand="0" w:firstRowFirstColumn="0" w:firstRowLastColumn="0" w:lastRowFirstColumn="0" w:lastRowLastColumn="0"/>
              <w:rPr>
                <w:rFonts w:cstheme="minorHAnsi"/>
              </w:rPr>
            </w:pPr>
            <w:r w:rsidRPr="00AF5F13">
              <w:t>Riskju inqas sinifikanti</w:t>
            </w:r>
          </w:p>
          <w:p w14:paraId="7D2E5B3F" w14:textId="77777777" w:rsidR="00616A3B" w:rsidRPr="00AF5F13" w:rsidRDefault="00616A3B" w:rsidP="00616A3B">
            <w:pPr>
              <w:cnfStyle w:val="000000100000" w:firstRow="0" w:lastRow="0" w:firstColumn="0" w:lastColumn="0" w:oddVBand="0" w:evenVBand="0" w:oddHBand="1" w:evenHBand="0" w:firstRowFirstColumn="0" w:firstRowLastColumn="0" w:lastRowFirstColumn="0" w:lastRowLastColumn="0"/>
              <w:rPr>
                <w:rFonts w:cstheme="minorHAnsi"/>
              </w:rPr>
            </w:pPr>
            <w:r w:rsidRPr="00AF5F13">
              <w:t>Riskju inqas sinifikanti</w:t>
            </w:r>
          </w:p>
        </w:tc>
      </w:tr>
      <w:tr w:rsidR="00616A3B" w:rsidRPr="00AF5F13" w14:paraId="66437C61" w14:textId="77777777" w:rsidTr="00616A3B">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2C613D3F" w14:textId="77777777" w:rsidR="00616A3B" w:rsidRPr="00AF5F13" w:rsidRDefault="00616A3B" w:rsidP="00616A3B">
            <w:pPr>
              <w:rPr>
                <w:rFonts w:cstheme="minorHAnsi"/>
              </w:rPr>
            </w:pPr>
            <w:r w:rsidRPr="00AF5F13">
              <w:t xml:space="preserve">Riskju medju għoli → </w:t>
            </w:r>
          </w:p>
        </w:tc>
        <w:tc>
          <w:tcPr>
            <w:tcW w:w="4390" w:type="dxa"/>
            <w:tcBorders>
              <w:right w:val="single" w:sz="4" w:space="0" w:color="auto"/>
            </w:tcBorders>
          </w:tcPr>
          <w:p w14:paraId="29777154" w14:textId="77777777" w:rsidR="00616A3B" w:rsidRPr="00AF5F13" w:rsidRDefault="00616A3B" w:rsidP="00616A3B">
            <w:pPr>
              <w:cnfStyle w:val="000000000000" w:firstRow="0" w:lastRow="0" w:firstColumn="0" w:lastColumn="0" w:oddVBand="0" w:evenVBand="0" w:oddHBand="0" w:evenHBand="0" w:firstRowFirstColumn="0" w:firstRowLastColumn="0" w:lastRowFirstColumn="0" w:lastRowLastColumn="0"/>
              <w:rPr>
                <w:rFonts w:cstheme="minorHAnsi"/>
              </w:rPr>
            </w:pPr>
            <w:r w:rsidRPr="00AF5F13">
              <w:t>Riskju moderatament sinifikanti</w:t>
            </w:r>
          </w:p>
        </w:tc>
      </w:tr>
      <w:tr w:rsidR="00616A3B" w:rsidRPr="00AF5F13" w14:paraId="7A8EB3BD" w14:textId="77777777" w:rsidTr="00616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46077F69" w14:textId="77777777" w:rsidR="00616A3B" w:rsidRPr="00AF5F13" w:rsidRDefault="00616A3B" w:rsidP="00616A3B">
            <w:pPr>
              <w:rPr>
                <w:rFonts w:cstheme="minorHAnsi"/>
              </w:rPr>
            </w:pPr>
            <w:r w:rsidRPr="00AF5F13">
              <w:t>Riskju għoli →</w:t>
            </w:r>
          </w:p>
        </w:tc>
        <w:tc>
          <w:tcPr>
            <w:tcW w:w="4390" w:type="dxa"/>
            <w:tcBorders>
              <w:right w:val="single" w:sz="4" w:space="0" w:color="auto"/>
            </w:tcBorders>
          </w:tcPr>
          <w:p w14:paraId="28AFC7BF" w14:textId="77777777" w:rsidR="00616A3B" w:rsidRPr="00AF5F13" w:rsidRDefault="00616A3B" w:rsidP="00616A3B">
            <w:pPr>
              <w:cnfStyle w:val="000000100000" w:firstRow="0" w:lastRow="0" w:firstColumn="0" w:lastColumn="0" w:oddVBand="0" w:evenVBand="0" w:oddHBand="1" w:evenHBand="0" w:firstRowFirstColumn="0" w:firstRowLastColumn="0" w:lastRowFirstColumn="0" w:lastRowLastColumn="0"/>
              <w:rPr>
                <w:rFonts w:cstheme="minorHAnsi"/>
              </w:rPr>
            </w:pPr>
            <w:r w:rsidRPr="00AF5F13">
              <w:t>Riskju sinifikanti</w:t>
            </w:r>
          </w:p>
        </w:tc>
      </w:tr>
      <w:tr w:rsidR="00616A3B" w:rsidRPr="00AF5F13" w14:paraId="628333DD" w14:textId="77777777" w:rsidTr="00616A3B">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bottom w:val="single" w:sz="4" w:space="0" w:color="auto"/>
            </w:tcBorders>
          </w:tcPr>
          <w:p w14:paraId="4F925331" w14:textId="77777777" w:rsidR="00616A3B" w:rsidRPr="00AF5F13" w:rsidRDefault="00616A3B" w:rsidP="00616A3B">
            <w:pPr>
              <w:rPr>
                <w:rFonts w:cstheme="minorHAnsi"/>
              </w:rPr>
            </w:pPr>
            <w:r w:rsidRPr="00AF5F13">
              <w:t xml:space="preserve">Riskju ultra/għoli ħafna → </w:t>
            </w:r>
          </w:p>
        </w:tc>
        <w:tc>
          <w:tcPr>
            <w:tcW w:w="4390" w:type="dxa"/>
            <w:tcBorders>
              <w:bottom w:val="single" w:sz="4" w:space="0" w:color="auto"/>
              <w:right w:val="single" w:sz="4" w:space="0" w:color="auto"/>
            </w:tcBorders>
          </w:tcPr>
          <w:p w14:paraId="3B8E709E" w14:textId="77777777" w:rsidR="00616A3B" w:rsidRPr="00AF5F13" w:rsidRDefault="00616A3B" w:rsidP="00616A3B">
            <w:pPr>
              <w:cnfStyle w:val="000000000000" w:firstRow="0" w:lastRow="0" w:firstColumn="0" w:lastColumn="0" w:oddVBand="0" w:evenVBand="0" w:oddHBand="0" w:evenHBand="0" w:firstRowFirstColumn="0" w:firstRowLastColumn="0" w:lastRowFirstColumn="0" w:lastRowLastColumn="0"/>
              <w:rPr>
                <w:rFonts w:cstheme="minorHAnsi"/>
              </w:rPr>
            </w:pPr>
            <w:r w:rsidRPr="00AF5F13">
              <w:t>Riskju sinifikanti ħafna</w:t>
            </w:r>
          </w:p>
        </w:tc>
      </w:tr>
    </w:tbl>
    <w:p w14:paraId="4833BF9A" w14:textId="77777777" w:rsidR="00956912" w:rsidRPr="00AF5F13" w:rsidRDefault="00956912" w:rsidP="00203504">
      <w:pPr>
        <w:spacing w:before="240" w:after="240"/>
        <w:outlineLvl w:val="1"/>
        <w:rPr>
          <w:rFonts w:asciiTheme="majorHAnsi" w:eastAsiaTheme="majorEastAsia" w:hAnsiTheme="majorHAnsi" w:cstheme="majorBidi"/>
          <w:bCs/>
          <w:color w:val="2F5773" w:themeColor="text2"/>
          <w:sz w:val="32"/>
        </w:rPr>
      </w:pPr>
    </w:p>
    <w:sectPr w:rsidR="00956912" w:rsidRPr="00AF5F13" w:rsidSect="00616A3B">
      <w:headerReference w:type="even" r:id="rId14"/>
      <w:headerReference w:type="default" r:id="rId15"/>
      <w:footerReference w:type="even" r:id="rId16"/>
      <w:footerReference w:type="default" r:id="rId17"/>
      <w:headerReference w:type="first" r:id="rId18"/>
      <w:footerReference w:type="first" r:id="rId19"/>
      <w:pgSz w:w="11900" w:h="16840" w:code="9"/>
      <w:pgMar w:top="1985"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1BCCF" w14:textId="77777777" w:rsidR="00911013" w:rsidRPr="00AF5F13" w:rsidRDefault="00911013" w:rsidP="00A00E34">
      <w:r w:rsidRPr="00AF5F13">
        <w:separator/>
      </w:r>
    </w:p>
    <w:p w14:paraId="138517B6" w14:textId="77777777" w:rsidR="00911013" w:rsidRPr="00AF5F13" w:rsidRDefault="00911013"/>
  </w:endnote>
  <w:endnote w:type="continuationSeparator" w:id="0">
    <w:p w14:paraId="25A901F0" w14:textId="77777777" w:rsidR="00911013" w:rsidRPr="00AF5F13" w:rsidRDefault="00911013" w:rsidP="00A00E34">
      <w:r w:rsidRPr="00AF5F13">
        <w:continuationSeparator/>
      </w:r>
    </w:p>
    <w:p w14:paraId="5FBC0E8E" w14:textId="77777777" w:rsidR="00911013" w:rsidRPr="00AF5F13" w:rsidRDefault="009110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EUAlbertina">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5728" w14:textId="77777777" w:rsidR="003A423D" w:rsidRDefault="003A4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71344" w14:textId="77777777" w:rsidR="003A423D" w:rsidRDefault="003A42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FC1B" w14:textId="77777777" w:rsidR="003A423D" w:rsidRDefault="003A42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F4BA" w14:textId="77777777" w:rsidR="00866C8B" w:rsidRPr="00AF5F13" w:rsidRDefault="00866C8B" w:rsidP="00C43FD9">
    <w:pPr>
      <w:pStyle w:val="Footer"/>
      <w:framePr w:wrap="around" w:vAnchor="text" w:hAnchor="margin" w:xAlign="right" w:y="1"/>
      <w:rPr>
        <w:rStyle w:val="PageNumber"/>
      </w:rPr>
    </w:pPr>
    <w:r w:rsidRPr="00AF5F13">
      <w:rPr>
        <w:rStyle w:val="PageNumber"/>
      </w:rPr>
      <w:fldChar w:fldCharType="begin"/>
    </w:r>
    <w:r w:rsidRPr="00AF5F13">
      <w:rPr>
        <w:rStyle w:val="PageNumber"/>
      </w:rPr>
      <w:instrText xml:space="preserve">PAGE  </w:instrText>
    </w:r>
    <w:r w:rsidRPr="00AF5F13">
      <w:rPr>
        <w:rStyle w:val="PageNumber"/>
      </w:rPr>
      <w:fldChar w:fldCharType="end"/>
    </w:r>
  </w:p>
  <w:p w14:paraId="22CE74DD" w14:textId="77777777" w:rsidR="00866C8B" w:rsidRPr="00AF5F13" w:rsidRDefault="00866C8B" w:rsidP="00610305">
    <w:pPr>
      <w:pStyle w:val="Footer"/>
      <w:ind w:right="360"/>
    </w:pPr>
  </w:p>
  <w:p w14:paraId="65660E56" w14:textId="77777777" w:rsidR="00866C8B" w:rsidRPr="00AF5F13" w:rsidRDefault="00866C8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22EA" w14:textId="77777777" w:rsidR="00866C8B" w:rsidRPr="00AF5F13" w:rsidRDefault="00866C8B" w:rsidP="00610305">
    <w:pPr>
      <w:pStyle w:val="Footer"/>
      <w:ind w:right="360"/>
    </w:pPr>
    <w:r w:rsidRPr="00AF5F13">
      <w:rPr>
        <w:noProof/>
      </w:rPr>
      <mc:AlternateContent>
        <mc:Choice Requires="wps">
          <w:drawing>
            <wp:inline distT="0" distB="0" distL="0" distR="0" wp14:anchorId="4799D289" wp14:editId="7ACF700F">
              <wp:extent cx="5723890" cy="0"/>
              <wp:effectExtent l="0" t="0" r="0" b="0"/>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41F5E4B0" id="Straight Connector 10" o:spid="_x0000_s1026" style="visibility:visible;mso-wrap-style:square;mso-left-percent:-10001;mso-top-percent:-10001;mso-position-horizontal:absolute;mso-position-horizontal-relative:char;mso-position-vertical:absolute;mso-position-vertical-relative:line;mso-left-percent:-10001;mso-top-percent:-10001" from="0,0" to="45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" strokecolor="#2f5773 [3204]" strokeweight="1pt">
              <o:lock v:ext="edit" shapetype="f"/>
              <w10:anchorlock/>
            </v:line>
          </w:pict>
        </mc:Fallback>
      </mc:AlternateContent>
    </w:r>
  </w:p>
  <w:p w14:paraId="5FDD355F" w14:textId="77777777" w:rsidR="004D193D" w:rsidRPr="00AF5F13" w:rsidRDefault="004D193D" w:rsidP="004D193D">
    <w:pPr>
      <w:pStyle w:val="Footer"/>
      <w:framePr w:wrap="around" w:vAnchor="text" w:hAnchor="margin" w:xAlign="right" w:y="1"/>
      <w:rPr>
        <w:rStyle w:val="PageNumber"/>
      </w:rPr>
    </w:pPr>
    <w:r w:rsidRPr="00AF5F13">
      <w:rPr>
        <w:rStyle w:val="PageNumber"/>
      </w:rPr>
      <w:fldChar w:fldCharType="begin"/>
    </w:r>
    <w:r w:rsidRPr="00AF5F13">
      <w:rPr>
        <w:rStyle w:val="PageNumber"/>
      </w:rPr>
      <w:instrText xml:space="preserve">PAGE  </w:instrText>
    </w:r>
    <w:r w:rsidRPr="00AF5F13">
      <w:rPr>
        <w:rStyle w:val="PageNumber"/>
      </w:rPr>
      <w:fldChar w:fldCharType="separate"/>
    </w:r>
    <w:r w:rsidRPr="00AF5F13">
      <w:rPr>
        <w:rStyle w:val="PageNumber"/>
      </w:rPr>
      <w:t>47</w:t>
    </w:r>
    <w:r w:rsidRPr="00AF5F13">
      <w:rPr>
        <w:rStyle w:val="PageNumber"/>
      </w:rPr>
      <w:fldChar w:fldCharType="end"/>
    </w:r>
  </w:p>
  <w:p w14:paraId="4E6758ED" w14:textId="77777777" w:rsidR="00866C8B" w:rsidRPr="00AF5F13" w:rsidRDefault="00866C8B" w:rsidP="004D193D">
    <w:pP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299E" w14:textId="77777777" w:rsidR="00866C8B" w:rsidRPr="00AF5F13" w:rsidRDefault="00866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2A3CA" w14:textId="77777777" w:rsidR="00911013" w:rsidRPr="00AF5F13" w:rsidRDefault="00911013">
      <w:pPr>
        <w:rPr>
          <w:sz w:val="12"/>
          <w:szCs w:val="12"/>
        </w:rPr>
      </w:pPr>
      <w:r w:rsidRPr="00AF5F13">
        <w:rPr>
          <w:sz w:val="12"/>
          <w:szCs w:val="12"/>
        </w:rPr>
        <w:separator/>
      </w:r>
    </w:p>
  </w:footnote>
  <w:footnote w:type="continuationSeparator" w:id="0">
    <w:p w14:paraId="0E074AA9" w14:textId="77777777" w:rsidR="00911013" w:rsidRPr="00AF5F13" w:rsidRDefault="00911013" w:rsidP="00A00E34">
      <w:r w:rsidRPr="00AF5F13">
        <w:continuationSeparator/>
      </w:r>
    </w:p>
    <w:p w14:paraId="48C7F648" w14:textId="77777777" w:rsidR="00911013" w:rsidRPr="00AF5F13" w:rsidRDefault="00911013"/>
  </w:footnote>
  <w:footnote w:type="continuationNotice" w:id="1">
    <w:p w14:paraId="46541164" w14:textId="77777777" w:rsidR="00911013" w:rsidRPr="00AF5F13" w:rsidRDefault="00911013"/>
  </w:footnote>
  <w:footnote w:id="2">
    <w:p w14:paraId="25F44310" w14:textId="77777777" w:rsidR="00866C8B" w:rsidRPr="00AF5F13" w:rsidRDefault="00866C8B" w:rsidP="004D193D">
      <w:pPr>
        <w:pStyle w:val="FootnoteText"/>
      </w:pPr>
      <w:r w:rsidRPr="00AF5F13">
        <w:rPr>
          <w:rStyle w:val="FootnoteReference"/>
        </w:rPr>
        <w:footnoteRef/>
      </w:r>
      <w:r w:rsidRPr="00AF5F13">
        <w:t xml:space="preserve"> Regolament (UE) Nru 1093/2010 tal-Parlament Ewropew u tal-Kunsill tal-24 ta’ Novembru 2010 li jistabbilixxi Awtorità Superviżorja Ewropea (Awtorità Bankarja Ewropea) u li jemenda d-Deċiżjoni Nru 716/2009/KE u jħassar id-Deċiżjoni tal-Kummissjoni 2009/78/KE (ĠU L 331, 15.12.2010, p. 12).</w:t>
      </w:r>
    </w:p>
  </w:footnote>
  <w:footnote w:id="3">
    <w:p w14:paraId="6DF114B5" w14:textId="77777777" w:rsidR="001F40E9" w:rsidRPr="00F57386" w:rsidRDefault="001F40E9" w:rsidP="001F40E9">
      <w:pPr>
        <w:pStyle w:val="FootnoteText"/>
      </w:pPr>
      <w:r w:rsidRPr="00F57386">
        <w:rPr>
          <w:rStyle w:val="FootnoteReference"/>
        </w:rPr>
        <w:footnoteRef/>
      </w:r>
      <w:r w:rsidRPr="00F57386">
        <w:t xml:space="preserve"> Id-Direttiva (UE) 2015/849 tal-Parlament Ewropew u tal-Kunsill tal-20 ta’ Mejju 2015 dwar il-prevenzjoni tal-użu tas-sistema finanzjarja għall-finijiet tal-ħasil tal-flus jew il-finanzjament tat-terroriżmu, li temenda r-Regolament (UE) Nru 648/2012 tal-Parlament Ewropew u tal-Kunsill, u li tħassar id-Direttiva 2005/60/KE tal-Parlament Ewropew u tal-Kunsill u d-Direttiva tal-Kummissjoni 2006/70/KE (ĠU L 141, 5.6.2015, p. 73–117).</w:t>
      </w:r>
    </w:p>
  </w:footnote>
  <w:footnote w:id="4">
    <w:p w14:paraId="54B45B7D" w14:textId="77777777" w:rsidR="001F40E9" w:rsidRPr="00F57386" w:rsidRDefault="001F40E9" w:rsidP="001F40E9">
      <w:pPr>
        <w:pStyle w:val="FootnoteText"/>
      </w:pPr>
      <w:r w:rsidRPr="00F57386">
        <w:rPr>
          <w:rStyle w:val="FootnoteReference"/>
        </w:rPr>
        <w:footnoteRef/>
      </w:r>
      <w:r w:rsidRPr="00F57386">
        <w:t xml:space="preserve"> Ir-Regolament (UE) 2023/1113 tal-Parlament Ewropew u tal-Kunsill tal-31 ta’ Mejju 2023 dwar l-informazzjoni li takkumpanja t-trasferimenti ta’ fondi u ta’ ċerti kriptoassi u li jemenda d-Direttiva (UE) 2015/849 (riformulazzjoni) (ĠU L 150/ 9.6.2023, p. 1).</w:t>
      </w:r>
    </w:p>
  </w:footnote>
  <w:footnote w:id="5">
    <w:p w14:paraId="56A0B4AB" w14:textId="77777777" w:rsidR="00AA548B" w:rsidRPr="00F57386" w:rsidRDefault="00AA548B" w:rsidP="00AA548B">
      <w:pPr>
        <w:spacing w:before="23"/>
        <w:rPr>
          <w:sz w:val="18"/>
        </w:rPr>
      </w:pPr>
      <w:r w:rsidRPr="00F57386">
        <w:rPr>
          <w:rStyle w:val="FootnoteReference"/>
        </w:rPr>
        <w:footnoteRef/>
      </w:r>
      <w:r w:rsidRPr="00F57386">
        <w:t xml:space="preserve"> </w:t>
      </w:r>
      <w:r w:rsidRPr="00F57386">
        <w:rPr>
          <w:sz w:val="18"/>
        </w:rPr>
        <w:t xml:space="preserve">Il-Linji Gwida konġunti tal-ESMA u tal-EBA dwar il-valutazzjoni tal-idoneità tal-membri tal-korp maniġerjali u tat-titolari ta’ funzjonijiet ewlenin skont id-Direttiva 2013/36/UE u d-Direttiva 2014/65/UE, </w:t>
      </w:r>
      <w:hyperlink r:id="rId1">
        <w:r w:rsidRPr="00F57386">
          <w:rPr>
            <w:color w:val="2E5673"/>
            <w:sz w:val="18"/>
            <w:u w:val="single" w:color="2E5673"/>
          </w:rPr>
          <w:t>EBA/GL/2021/06</w:t>
        </w:r>
        <w:r w:rsidRPr="00F57386">
          <w:rPr>
            <w:sz w:val="18"/>
          </w:rPr>
          <w:t>.</w:t>
        </w:r>
      </w:hyperlink>
    </w:p>
  </w:footnote>
  <w:footnote w:id="6">
    <w:p w14:paraId="6E3FEE97" w14:textId="77777777" w:rsidR="00AA548B" w:rsidRPr="00F57386" w:rsidRDefault="00AA548B" w:rsidP="00AA548B">
      <w:pPr>
        <w:spacing w:before="23"/>
        <w:rPr>
          <w:sz w:val="18"/>
        </w:rPr>
      </w:pPr>
      <w:r w:rsidRPr="00F57386">
        <w:rPr>
          <w:rStyle w:val="FootnoteReference"/>
        </w:rPr>
        <w:footnoteRef/>
      </w:r>
      <w:r w:rsidRPr="00F57386">
        <w:t xml:space="preserve"> </w:t>
      </w:r>
      <w:r w:rsidRPr="00F57386">
        <w:rPr>
          <w:sz w:val="18"/>
        </w:rPr>
        <w:t xml:space="preserve">Il-Linji Gwida tal-EBA dwar il-governanza interna skont id-Direttiva 2013/36/UE, </w:t>
      </w:r>
      <w:hyperlink r:id="rId2" w:history="1">
        <w:r w:rsidRPr="00F57386">
          <w:rPr>
            <w:rStyle w:val="Hyperlink"/>
            <w:sz w:val="18"/>
          </w:rPr>
          <w:t>EBA/GL/2021/05</w:t>
        </w:r>
      </w:hyperlink>
      <w:r w:rsidRPr="00F57386">
        <w:rPr>
          <w:sz w:val="18"/>
        </w:rPr>
        <w:t>.</w:t>
      </w:r>
    </w:p>
  </w:footnote>
  <w:footnote w:id="7">
    <w:p w14:paraId="25B11B55" w14:textId="77777777" w:rsidR="00AA548B" w:rsidRPr="00F57386" w:rsidRDefault="00AA548B" w:rsidP="00AA548B">
      <w:pPr>
        <w:pStyle w:val="FootnoteText"/>
      </w:pPr>
      <w:r w:rsidRPr="00F57386">
        <w:rPr>
          <w:rStyle w:val="FootnoteReference"/>
        </w:rPr>
        <w:footnoteRef/>
      </w:r>
      <w:r w:rsidRPr="00F57386">
        <w:t xml:space="preserve"> Il-Linji Gwida tal-EBA dwar il-governanza interna skont id-Direttiva (UE) 2019/2034, </w:t>
      </w:r>
      <w:hyperlink r:id="rId3" w:history="1">
        <w:r w:rsidRPr="00F57386">
          <w:rPr>
            <w:rStyle w:val="Hyperlink"/>
          </w:rPr>
          <w:t>(EBA/GL/2021/14)</w:t>
        </w:r>
      </w:hyperlink>
      <w:r w:rsidRPr="00F57386">
        <w:t>.</w:t>
      </w:r>
    </w:p>
  </w:footnote>
  <w:footnote w:id="8">
    <w:p w14:paraId="167244C1" w14:textId="77777777" w:rsidR="00AA548B" w:rsidRPr="00F57386" w:rsidRDefault="00AA548B" w:rsidP="00AA548B">
      <w:pPr>
        <w:pStyle w:val="FootnoteText"/>
      </w:pPr>
      <w:r w:rsidRPr="00F57386">
        <w:rPr>
          <w:rStyle w:val="FootnoteReference"/>
        </w:rPr>
        <w:footnoteRef/>
      </w:r>
      <w:r w:rsidRPr="00F57386">
        <w:t xml:space="preserve"> Dan huwa mingħajr preġudizzju għall-Artikolu 68 tar-Regolament (UE) 2023/1114 (MiCA) rigward l-arranġamenti ta’ governanza għall-fornituri ta’ servizzi tal-kriptoassi.</w:t>
      </w:r>
    </w:p>
  </w:footnote>
  <w:footnote w:id="9">
    <w:p w14:paraId="18EC2DAF" w14:textId="77777777" w:rsidR="00C2456C" w:rsidRPr="00381D0B" w:rsidRDefault="00C2456C" w:rsidP="00C2456C">
      <w:pPr>
        <w:pStyle w:val="FootnoteText"/>
        <w:spacing w:line="240" w:lineRule="auto"/>
      </w:pPr>
      <w:r w:rsidRPr="00381D0B">
        <w:rPr>
          <w:rStyle w:val="FootnoteReference"/>
        </w:rPr>
        <w:footnoteRef/>
      </w:r>
      <w:r w:rsidRPr="00381D0B">
        <w:t xml:space="preserve"> Linji gwida konġunti dwar il-kooperazzjoni u l-iskambju ta’ informazzjoni għall-finijiet tad-Direttiva (UE) 2015/849 bejn</w:t>
      </w:r>
    </w:p>
    <w:p w14:paraId="37A15D94" w14:textId="77777777" w:rsidR="00C2456C" w:rsidRPr="00381D0B" w:rsidRDefault="00C2456C" w:rsidP="00C2456C">
      <w:pPr>
        <w:pStyle w:val="FootnoteText"/>
        <w:spacing w:line="240" w:lineRule="auto"/>
      </w:pPr>
      <w:r w:rsidRPr="00381D0B">
        <w:t xml:space="preserve">l-awtoritajiet kompetenti li jissorveljaw l-istituzzjonijiet ta’ kreditu u finanzjarji, “Il-Linji Gwida tal-Kulleġġi tal-AML/CFT”, </w:t>
      </w:r>
      <w:hyperlink r:id="rId4" w:history="1">
        <w:r w:rsidRPr="00381D0B">
          <w:rPr>
            <w:rStyle w:val="Hyperlink"/>
          </w:rPr>
          <w:t>JC 2019 81</w:t>
        </w:r>
      </w:hyperlink>
      <w:r w:rsidRPr="00381D0B">
        <w:t>.</w:t>
      </w:r>
    </w:p>
  </w:footnote>
  <w:footnote w:id="10">
    <w:p w14:paraId="448FC9C9" w14:textId="77777777" w:rsidR="00C2456C" w:rsidRPr="00381D0B" w:rsidRDefault="00C2456C" w:rsidP="00C2456C">
      <w:pPr>
        <w:pStyle w:val="FootnoteText"/>
        <w:spacing w:line="240" w:lineRule="auto"/>
      </w:pPr>
      <w:r w:rsidRPr="00381D0B">
        <w:rPr>
          <w:rStyle w:val="FootnoteReference"/>
        </w:rPr>
        <w:footnoteRef/>
      </w:r>
      <w:r w:rsidRPr="00381D0B">
        <w:t xml:space="preserve"> </w:t>
      </w:r>
      <w:hyperlink r:id="rId5">
        <w:r w:rsidRPr="00381D0B">
          <w:rPr>
            <w:color w:val="2E5673"/>
            <w:u w:val="single" w:color="2E5673"/>
          </w:rPr>
          <w:t>Il-Linji Gwida tal-EBA dwar il-Kooperazzjoni u l-iskambju ta’ informazzjoni bejn is-superviżuri prudenzjali, is-superviżuri tal-AML/CFT u</w:t>
        </w:r>
      </w:hyperlink>
      <w:hyperlink r:id="rId6">
        <w:r w:rsidRPr="00381D0B">
          <w:rPr>
            <w:color w:val="2E5673"/>
            <w:u w:val="single" w:color="2E5673"/>
          </w:rPr>
          <w:t xml:space="preserve"> l-unitajiet tal-intelligence finanzjarja skont l-Artikolu 117(6) tad-Direttiva 2013/36/UE</w:t>
        </w:r>
        <w:r w:rsidRPr="00381D0B">
          <w:t>,</w:t>
        </w:r>
      </w:hyperlink>
      <w:r w:rsidRPr="00381D0B">
        <w:t xml:space="preserve"> Diċembru 2021</w:t>
      </w:r>
    </w:p>
  </w:footnote>
  <w:footnote w:id="11">
    <w:p w14:paraId="5B3D07BF" w14:textId="46DC8CDA" w:rsidR="00C2456C" w:rsidRPr="00381D0B" w:rsidRDefault="00C2456C" w:rsidP="00C2456C">
      <w:pPr>
        <w:pStyle w:val="FootnoteText"/>
        <w:spacing w:line="240" w:lineRule="auto"/>
      </w:pPr>
      <w:r w:rsidRPr="00381D0B">
        <w:rPr>
          <w:rStyle w:val="FootnoteReference"/>
        </w:rPr>
        <w:footnoteRef/>
      </w:r>
      <w:r w:rsidRPr="00381D0B">
        <w:t xml:space="preserve"> </w:t>
      </w:r>
      <w:hyperlink r:id="rId7">
        <w:r w:rsidRPr="00381D0B">
          <w:rPr>
            <w:color w:val="2E5673"/>
            <w:u w:val="single" w:color="2E5673"/>
          </w:rPr>
          <w:t>Ftehim Multilaterali</w:t>
        </w:r>
      </w:hyperlink>
      <w:r w:rsidRPr="00381D0B">
        <w:rPr>
          <w:color w:val="2E5673"/>
        </w:rPr>
        <w:t xml:space="preserve"> </w:t>
      </w:r>
      <w:r w:rsidRPr="00381D0B">
        <w:t>bejn il-Bank Ċentrali Ewropew u l-awtoritajiet nazzjonali kompetenti skont l-Artikolu 57a(2)(b) tad-Direttiva (UE) 2015/849</w:t>
      </w:r>
      <w:r w:rsidR="00A57BEF">
        <w:t>.</w:t>
      </w:r>
    </w:p>
  </w:footnote>
  <w:footnote w:id="12">
    <w:p w14:paraId="14B16390" w14:textId="47C0EEAE" w:rsidR="00866C8B" w:rsidRPr="00AF5F13" w:rsidRDefault="00866C8B">
      <w:pPr>
        <w:pStyle w:val="FootnoteText"/>
      </w:pPr>
      <w:r w:rsidRPr="00AF5F13">
        <w:rPr>
          <w:rStyle w:val="FootnoteReference"/>
        </w:rPr>
        <w:footnoteRef/>
      </w:r>
      <w:r w:rsidRPr="00AF5F13">
        <w:t xml:space="preserve"> Linji Gwida tal-EBA dwar id-diliġenza dovuta tal-klijenti u l-fatturi li l-istituzzjonijiet ta’ kreditu u finanzjarji għandhom jikkunsidraw meta jivvalutaw ir-riskju tal-ħasil tal-flus u l-finanzjament tat-terroriżmu assoċjat ma’ relazzjonijiet ta’ negozju individwali u tranżazzjonijiet okkażjonali (“Il-Linji Gwida dwar il-Fatturi tar-riskju ta’ ML/TF”) skont l-Artikoli 17 u 18(4) tad-Direttiva (UE) 2015/849, </w:t>
      </w:r>
      <w:hyperlink r:id="rId8" w:history="1">
        <w:r w:rsidRPr="00AF5F13">
          <w:rPr>
            <w:rStyle w:val="Hyperlink"/>
          </w:rPr>
          <w:t>EBA/GL/2021/02</w:t>
        </w:r>
      </w:hyperlink>
      <w:r w:rsidRPr="00AF5F13">
        <w:t>.</w:t>
      </w:r>
    </w:p>
  </w:footnote>
  <w:footnote w:id="13">
    <w:p w14:paraId="0B84FC8E" w14:textId="47D4CD9C" w:rsidR="00866C8B" w:rsidRPr="00AF5F13" w:rsidRDefault="00866C8B">
      <w:pPr>
        <w:pStyle w:val="FootnoteText"/>
      </w:pPr>
      <w:r w:rsidRPr="00AF5F13">
        <w:rPr>
          <w:rStyle w:val="FootnoteReference"/>
        </w:rPr>
        <w:footnoteRef/>
      </w:r>
      <w:r w:rsidRPr="00AF5F13">
        <w:t xml:space="preserve"> Il-Linji Gwida Konġunti tal-ASE dwar il-kooperazzjoni u l-iskambju ta’ informazzjoni għall-finijiet tad-Direttiva (UE) 2015/849 bejn l-awtoritajiet kompetenti li jissorveljaw istituzzjonijiet ta’ kreditu u dawk finanzjarji (JC 2019 81).</w:t>
      </w:r>
    </w:p>
  </w:footnote>
  <w:footnote w:id="14">
    <w:p w14:paraId="55DAE16C" w14:textId="12E32F7D" w:rsidR="00866C8B" w:rsidRPr="00AF5F13" w:rsidRDefault="00866C8B">
      <w:pPr>
        <w:pStyle w:val="FootnoteText"/>
      </w:pPr>
      <w:r w:rsidRPr="00AF5F13">
        <w:rPr>
          <w:rStyle w:val="FootnoteReference"/>
        </w:rPr>
        <w:footnoteRef/>
      </w:r>
      <w:r w:rsidRPr="00AF5F13">
        <w:t xml:space="preserve"> Linji Gwida tal-EBA skont l-Artikoli 17 u 18(4) tad-Direttiva (UE) 2015/849 dwar id-diliġenza dovuta tal-klijenti u l-fatturi li l-istituzzjonijiet ta’ kreditu u finanzjarji għandhom jikkunsidraw meta jivvalutaw ir-riskju tal-ħasil tal-flus u l-finanzjament tat-terroriżmu assoċjat ma’ relazzjonijiet ta’ negozju individwali u tranżazzjonijiet okkażjonali (“Il-Linji Gwida dwar il-Fatturi tar-riskju ta’ ML/TF”), </w:t>
      </w:r>
      <w:hyperlink r:id="rId9" w:history="1">
        <w:r w:rsidRPr="00AF5F13">
          <w:rPr>
            <w:rStyle w:val="Hyperlink"/>
          </w:rPr>
          <w:t>EBA/GL/2021/02</w:t>
        </w:r>
      </w:hyperlink>
      <w:r w:rsidRPr="00AF5F13">
        <w:t>.</w:t>
      </w:r>
    </w:p>
  </w:footnote>
  <w:footnote w:id="15">
    <w:p w14:paraId="4DE95C4D" w14:textId="460CF512" w:rsidR="009873C9" w:rsidRPr="00F57386" w:rsidRDefault="009873C9" w:rsidP="009873C9">
      <w:pPr>
        <w:pStyle w:val="FootnoteText"/>
      </w:pPr>
      <w:r w:rsidRPr="00861384">
        <w:rPr>
          <w:rStyle w:val="FootnoteReference"/>
        </w:rPr>
        <w:footnoteRef/>
      </w:r>
      <w:r w:rsidRPr="00F57386">
        <w:t xml:space="preserve"> </w:t>
      </w:r>
      <w:r w:rsidR="00F04DFE" w:rsidRPr="00F04DFE">
        <w:t>Linji Gwida tal-EBA dwar id-diliġenza dovuta tal-klijenti u l-fatturi li l-istituzzjonijiet ta’ kreditu u finanzjarji għandhom jikkunsidraw meta jivvalutaw ir-riskju tal-ħasil tal-flus u l-finanzjament tat-terroriżmu assoċjat ma’ relazzjonijiet ta’ negozju individwali u tranżazzjonijiet okkażjonali (“Il-Linji Gwida dwar il-Fatturi tar-Riskju ta’ ML/TF”) skont l-Artikoli 17 u 18(4) tad-Direttiva (UE) 2015/849, EBA/GL/2021/02.</w:t>
      </w:r>
    </w:p>
  </w:footnote>
  <w:footnote w:id="16">
    <w:p w14:paraId="66C454AA" w14:textId="77777777" w:rsidR="00800E7A" w:rsidRDefault="00800E7A" w:rsidP="00800E7A">
      <w:pPr>
        <w:pStyle w:val="FootnoteText"/>
      </w:pPr>
      <w:r w:rsidRPr="001C7C25">
        <w:rPr>
          <w:rStyle w:val="FootnoteReference"/>
        </w:rPr>
        <w:footnoteRef/>
      </w:r>
      <w:r w:rsidRPr="001C7C25">
        <w:t xml:space="preserve"> </w:t>
      </w:r>
      <w:bookmarkStart w:id="1" w:name="_Hlk163124288"/>
      <w:r w:rsidRPr="001C7C25">
        <w:t>(JC 2019 81)</w:t>
      </w:r>
      <w:r>
        <w:t>.</w:t>
      </w:r>
      <w:bookmarkEnd w:id="1"/>
    </w:p>
  </w:footnote>
  <w:footnote w:id="17">
    <w:p w14:paraId="2544F01C" w14:textId="12CB9B75" w:rsidR="00866C8B" w:rsidRPr="00AF5F13" w:rsidRDefault="00866C8B">
      <w:pPr>
        <w:pStyle w:val="FootnoteText"/>
      </w:pPr>
      <w:r w:rsidRPr="00AF5F13">
        <w:rPr>
          <w:rStyle w:val="FootnoteReference"/>
        </w:rPr>
        <w:footnoteRef/>
      </w:r>
      <w:r w:rsidRPr="00AF5F13">
        <w:t xml:space="preserve"> Skont il-Linji Gwida tal-EBA skont l-Artikolu 17 u 18(4) tad-Direttiva (UE) 2015/849, il-kredibbiltà tal-allegazzjonijiet tista’ tiġi ddeterminata abbażi tal-kwalità u l-indipendenza tas-sors tad-</w:t>
      </w:r>
      <w:r w:rsidRPr="00AF5F13">
        <w:rPr>
          <w:i/>
          <w:iCs/>
        </w:rPr>
        <w:t>data</w:t>
      </w:r>
      <w:r w:rsidRPr="00AF5F13">
        <w:t xml:space="preserve"> u l-persistenza tar-rapportar ta’ dawn l-allegazzjonijiet, fost kunsiderazzjonijiet oħrajn.</w:t>
      </w:r>
    </w:p>
  </w:footnote>
  <w:footnote w:id="18">
    <w:p w14:paraId="11231B0E" w14:textId="354AAA66" w:rsidR="00866C8B" w:rsidRPr="00AF5F13" w:rsidRDefault="00866C8B">
      <w:pPr>
        <w:pStyle w:val="FootnoteText"/>
      </w:pPr>
      <w:r w:rsidRPr="00AF5F13">
        <w:rPr>
          <w:rStyle w:val="FootnoteReference"/>
        </w:rPr>
        <w:footnoteRef/>
      </w:r>
      <w:r w:rsidRPr="00AF5F13">
        <w:t xml:space="preserve"> Is-superviżur ewlieni huwa ddeterminat f’konformità mal-linji gwida konġunti tal-ASE (JC 2019 81) dwar il-kooperazzjoni u l-iskambju ta’ informazzjoni għall-finijiet tad-Direttiva (UE) 2015/849 bejn l-awtoritajiet kompetenti li jissorveljaw istituzzjonijiet ta’ kreditu u dawk finanzjarji (“Il-Linji Gwida tal-Kulleġġi tal-AML/CFT”). B’mod ġenerali, is-superviżur ewlieni huwa awtorità kompetenti li hija responsabbli mis-superviżjoni tal-AML/CFT fi Stat Membru fejn jinsab l-uffiċċju prinċipali tal-grupp.</w:t>
      </w:r>
    </w:p>
  </w:footnote>
  <w:footnote w:id="19">
    <w:p w14:paraId="4472C079" w14:textId="28A0FF3B" w:rsidR="00866C8B" w:rsidRPr="00AF5F13" w:rsidRDefault="00866C8B">
      <w:pPr>
        <w:pStyle w:val="FootnoteText"/>
      </w:pPr>
      <w:r w:rsidRPr="00AF5F13">
        <w:rPr>
          <w:rStyle w:val="FootnoteReference"/>
        </w:rPr>
        <w:footnoteRef/>
      </w:r>
      <w:r w:rsidRPr="00AF5F13">
        <w:t xml:space="preserve"> </w:t>
      </w:r>
      <w:hyperlink r:id="rId10" w:history="1">
        <w:r w:rsidRPr="00AF5F13">
          <w:rPr>
            <w:rStyle w:val="Hyperlink"/>
          </w:rPr>
          <w:t>Il-Linji Gwida tal-EBA dwar il-kooperazzjoni u l-informazzjoni bejn is-superviżuri prudenzjali u tal-AML/CFT u l-unitajiet tal-intelligence finanzjarja skont l-Artikolu 117(6) tad-Direttiva 2013/36/UE</w:t>
        </w:r>
      </w:hyperlink>
      <w:r w:rsidRPr="00AF5F13">
        <w:t>, Diċembru 2021</w:t>
      </w:r>
    </w:p>
  </w:footnote>
  <w:footnote w:id="20">
    <w:p w14:paraId="1EC5CCF1" w14:textId="2322E223" w:rsidR="006967AC" w:rsidRDefault="006967AC" w:rsidP="006967AC">
      <w:pPr>
        <w:pStyle w:val="BodyText"/>
        <w:numPr>
          <w:ilvl w:val="0"/>
          <w:numId w:val="0"/>
        </w:numPr>
        <w:tabs>
          <w:tab w:val="left" w:pos="1802"/>
        </w:tabs>
        <w:spacing w:after="80" w:line="200" w:lineRule="exact"/>
        <w:jc w:val="both"/>
      </w:pPr>
      <w:r>
        <w:rPr>
          <w:rFonts w:asciiTheme="minorHAnsi" w:eastAsia="Wingdings" w:hAnsiTheme="minorHAnsi" w:cstheme="minorHAnsi"/>
          <w:color w:val="E98E31" w:themeColor="background2"/>
          <w:spacing w:val="-1"/>
          <w:sz w:val="18"/>
          <w:szCs w:val="18"/>
        </w:rPr>
        <w:sym w:font="Wingdings" w:char="F0DA"/>
      </w:r>
      <w:r w:rsidRPr="00E23F5D">
        <w:rPr>
          <w:rFonts w:asciiTheme="minorHAnsi" w:hAnsiTheme="minorHAnsi" w:cstheme="minorHAnsi"/>
          <w:color w:val="E98E31" w:themeColor="background2"/>
          <w:spacing w:val="-1"/>
          <w:sz w:val="18"/>
          <w:szCs w:val="18"/>
        </w:rPr>
        <w:t>C1</w:t>
      </w:r>
    </w:p>
    <w:p w14:paraId="08AAF2C3" w14:textId="27F5E102" w:rsidR="00866C8B" w:rsidRPr="00AF5F13" w:rsidRDefault="00866C8B" w:rsidP="00C732C5">
      <w:pPr>
        <w:pStyle w:val="FootnoteText"/>
      </w:pPr>
      <w:r w:rsidRPr="00AF5F13">
        <w:rPr>
          <w:rStyle w:val="FootnoteReference"/>
        </w:rPr>
        <w:footnoteRef/>
      </w:r>
      <w:r w:rsidRPr="00AF5F13">
        <w:t xml:space="preserve"> </w:t>
      </w:r>
      <w:r w:rsidR="00B32C55">
        <w:t xml:space="preserve">Linji Gwida </w:t>
      </w:r>
      <w:r w:rsidRPr="00AF5F13">
        <w:t xml:space="preserve">dwar </w:t>
      </w:r>
      <w:r w:rsidR="0025193E" w:rsidRPr="00381D0B">
        <w:t>politiki u proċeduri fir-rigward tal-ġestjoni tal-konformità u r-rwol u r-responsabbiltajiet tal-Uffiċjal għall-Konformità tal-AML/CFT skont l-Artikolu 8 u l-Kapitolu VI tad-Direttiva (UE) 2015/849</w:t>
      </w:r>
      <w:r w:rsidRPr="00AF5F13">
        <w:t>.</w:t>
      </w:r>
    </w:p>
  </w:footnote>
  <w:footnote w:id="21">
    <w:p w14:paraId="23B777BF" w14:textId="3EF02027" w:rsidR="00866C8B" w:rsidRDefault="00866C8B" w:rsidP="003865B8">
      <w:pPr>
        <w:pStyle w:val="FootnoteText"/>
      </w:pPr>
      <w:r w:rsidRPr="00AF5F13">
        <w:rPr>
          <w:rStyle w:val="FootnoteReference"/>
        </w:rPr>
        <w:footnoteRef/>
      </w:r>
      <w:r w:rsidRPr="00AF5F13">
        <w:t xml:space="preserve"> B’mod partikolari f’konformità mal-paragrafu 19 tal-Linji Gwida tal-EBA dwar il-kooperazzjoni u l-iskambju ta’ informazzjoni bejn is-superviżuri prudenzjali, is-superviżuri tal-AML/CFT u l-unitajiet tal-intelligence finanzjarja skont id-Direttiva 2013/36/UE.</w:t>
      </w:r>
    </w:p>
    <w:p w14:paraId="1D0E4AF7" w14:textId="485EB48E" w:rsidR="006967AC" w:rsidRPr="00AF5F13" w:rsidRDefault="006967AC" w:rsidP="003865B8">
      <w:pPr>
        <w:pStyle w:val="FootnoteText"/>
      </w:pPr>
      <w:r w:rsidRPr="001D69B6">
        <w:rPr>
          <w:rFonts w:ascii="Wingdings" w:eastAsia="Wingdings" w:hAnsi="Wingdings" w:cs="Wingdings"/>
          <w:color w:val="E98E31" w:themeColor="background2"/>
          <w:spacing w:val="-1"/>
        </w:rPr>
        <w:t>Ú</w:t>
      </w:r>
      <w:r w:rsidRPr="001D69B6">
        <w:rPr>
          <w:rFonts w:ascii="Calibri" w:eastAsia="Calibri" w:hAnsi="Calibri" w:cs="Calibri"/>
          <w:color w:val="E98E31" w:themeColor="background2"/>
          <w:spacing w:val="-1"/>
        </w:rPr>
        <w:t>O</w:t>
      </w:r>
    </w:p>
  </w:footnote>
  <w:footnote w:id="22">
    <w:p w14:paraId="4842A51C" w14:textId="1A1D774B" w:rsidR="00866C8B" w:rsidRPr="00AF5F13" w:rsidRDefault="00866C8B">
      <w:pPr>
        <w:pStyle w:val="FootnoteText"/>
      </w:pPr>
      <w:r w:rsidRPr="00AF5F13">
        <w:rPr>
          <w:rStyle w:val="FootnoteReference"/>
        </w:rPr>
        <w:footnoteRef/>
      </w:r>
      <w:r w:rsidRPr="00AF5F13">
        <w:t xml:space="preserve"> Il-Linji Gwida konġunti tal-ESMA u tal-EBA dwar il-valutazzjoni tal-idoneità tal-membri tal-korp maniġerjali u tat-titolari tal-funzjoni ewlenija skont id-Direttiva 2013/36/UE u d-Direttiva 2014/65/UE, </w:t>
      </w:r>
      <w:hyperlink r:id="rId11" w:history="1">
        <w:r w:rsidRPr="00AF5F13">
          <w:rPr>
            <w:rStyle w:val="Hyperlink"/>
          </w:rPr>
          <w:t>EBA/GL/2021/06</w:t>
        </w:r>
      </w:hyperlink>
      <w:r w:rsidRPr="00AF5F13">
        <w:t>.</w:t>
      </w:r>
    </w:p>
  </w:footnote>
  <w:footnote w:id="23">
    <w:p w14:paraId="5079A2C4" w14:textId="32705B7A" w:rsidR="00866C8B" w:rsidRPr="00AF5F13" w:rsidRDefault="00866C8B" w:rsidP="003865B8">
      <w:pPr>
        <w:pStyle w:val="FootnoteText"/>
      </w:pPr>
      <w:r w:rsidRPr="00AF5F13">
        <w:rPr>
          <w:rStyle w:val="FootnoteReference"/>
        </w:rPr>
        <w:footnoteRef/>
      </w:r>
      <w:r w:rsidRPr="00AF5F13">
        <w:t xml:space="preserve"> Inkluż kif previst fit-Taqsimiet 6.1 u 6.3 tal-Linji Gwida futuri tal-EBA dwar il-kooperazzjoni u l-iskambju ta’ informazzjoni bejn is-superviżuri prudenzjali, is-superviżuri tal-AML/CFT u l-unitajiet tal-intelligence finanzjarja skont id-Direttiva 2013/36/UE.</w:t>
      </w:r>
    </w:p>
  </w:footnote>
  <w:footnote w:id="24">
    <w:p w14:paraId="263642D7" w14:textId="1B721B48" w:rsidR="00866C8B" w:rsidRPr="00AF5F13" w:rsidRDefault="00866C8B" w:rsidP="005E484A">
      <w:pPr>
        <w:pStyle w:val="FootnoteText"/>
      </w:pPr>
      <w:r w:rsidRPr="00AF5F13">
        <w:rPr>
          <w:rStyle w:val="FootnoteReference"/>
        </w:rPr>
        <w:footnoteRef/>
      </w:r>
      <w:r w:rsidRPr="00AF5F13">
        <w:t xml:space="preserve"> Għal aktar dettalji dwar kif tiġi ddeterminata l-materjalità tad-dgħufijiet, irreferi għall-Istandards Tekniċi Regolatorji żviluppati mill-EBA skont l-Artikolu 9a tar-Regolament tal-EBA.</w:t>
      </w:r>
    </w:p>
  </w:footnote>
  <w:footnote w:id="25">
    <w:p w14:paraId="07884EDC" w14:textId="0CEF6F27" w:rsidR="00866C8B" w:rsidRPr="00AF5F13" w:rsidRDefault="00866C8B">
      <w:pPr>
        <w:pStyle w:val="FootnoteText"/>
      </w:pPr>
      <w:r w:rsidRPr="00AF5F13">
        <w:rPr>
          <w:rStyle w:val="FootnoteReference"/>
        </w:rPr>
        <w:footnoteRef/>
      </w:r>
      <w:r w:rsidRPr="00AF5F13">
        <w:t xml:space="preserve"> </w:t>
      </w:r>
      <w:hyperlink r:id="rId12" w:history="1">
        <w:r w:rsidRPr="00AF5F13">
          <w:rPr>
            <w:rStyle w:val="Hyperlink"/>
          </w:rPr>
          <w:t>Il-Linji Gwida tal-EBA dwar il-Kooperazzjoni u l-iskambju ta’ informazzjoni bejn is-superviżuri prudenzjali, is-superviżuri tal-AML/CFT u l-unitajiet tal-intelligence finanzjarja skont l-Artikolu 117(6) tad-Direttiva 2013/36/UE</w:t>
        </w:r>
      </w:hyperlink>
      <w:r w:rsidRPr="00AF5F13">
        <w:t>, Diċembru 2021</w:t>
      </w:r>
    </w:p>
  </w:footnote>
  <w:footnote w:id="26">
    <w:p w14:paraId="1C31C1F1" w14:textId="77777777" w:rsidR="00714F64" w:rsidRPr="00F57386" w:rsidRDefault="00714F64" w:rsidP="00714F64">
      <w:pPr>
        <w:pStyle w:val="FootnoteText"/>
      </w:pPr>
      <w:r w:rsidRPr="00F57386">
        <w:rPr>
          <w:rStyle w:val="FootnoteReference"/>
        </w:rPr>
        <w:footnoteRef/>
      </w:r>
      <w:r w:rsidRPr="00F57386">
        <w:t xml:space="preserve"> Linji Gwida tal-EBA dwar id-diliġenza dovuta tal-klijenti u l-fatturi li l-istituzzjonijiet ta’ kreditu u finanzjarji għandhom jikkunsidraw meta jivvalutaw ir-riskju tal-ħasil tal-flus u l-finanzjament tat-terroriżmu assoċjat ma’ relazzjonijiet ta’ negozju individwali u tranżazzjonijiet okkażjonali (“Il-Linji Gwida dwar il-Fatturi tar-Riskju ta’ ML/TF”) skont l-Artikoli 17 u 18(4) tad-Direttiva (UE) 2015/849, </w:t>
      </w:r>
      <w:hyperlink r:id="rId13">
        <w:r w:rsidRPr="00F57386">
          <w:rPr>
            <w:color w:val="2E5673"/>
            <w:u w:val="single" w:color="2E5673"/>
          </w:rPr>
          <w:t>EBA/GL/2021/02</w:t>
        </w:r>
        <w:r w:rsidRPr="00F57386">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4A01" w14:textId="264F6DA7" w:rsidR="003A423D" w:rsidRDefault="003A423D">
    <w:pPr>
      <w:pStyle w:val="Header"/>
    </w:pPr>
    <w:r>
      <w:rPr>
        <w:noProof/>
      </w:rPr>
      <mc:AlternateContent>
        <mc:Choice Requires="wps">
          <w:drawing>
            <wp:anchor distT="0" distB="0" distL="0" distR="0" simplePos="0" relativeHeight="251663872" behindDoc="0" locked="0" layoutInCell="1" allowOverlap="1" wp14:anchorId="502E6187" wp14:editId="664B4105">
              <wp:simplePos x="635" y="635"/>
              <wp:positionH relativeFrom="leftMargin">
                <wp:align>left</wp:align>
              </wp:positionH>
              <wp:positionV relativeFrom="paragraph">
                <wp:posOffset>635</wp:posOffset>
              </wp:positionV>
              <wp:extent cx="443865" cy="443865"/>
              <wp:effectExtent l="0" t="0" r="6985" b="4445"/>
              <wp:wrapSquare wrapText="bothSides"/>
              <wp:docPr id="12" name="Text Box 12"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0090EE" w14:textId="54C4EA41" w:rsidR="003A423D" w:rsidRPr="003A423D" w:rsidRDefault="003A423D">
                          <w:pPr>
                            <w:rPr>
                              <w:rFonts w:ascii="Calibri" w:eastAsia="Calibri" w:hAnsi="Calibri" w:cs="Calibri"/>
                              <w:color w:val="000000"/>
                              <w:sz w:val="24"/>
                            </w:rPr>
                          </w:pPr>
                          <w:r w:rsidRPr="003A423D">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02E6187" id="_x0000_t202" coordsize="21600,21600" o:spt="202" path="m,l,21600r21600,l21600,xe">
              <v:stroke joinstyle="miter"/>
              <v:path gradientshapeok="t" o:connecttype="rect"/>
            </v:shapetype>
            <v:shape id="Text Box 12" o:spid="_x0000_s1026" type="#_x0000_t202" alt="EBA Public" style="position:absolute;margin-left:0;margin-top:.05pt;width:34.95pt;height:34.95pt;z-index:25166387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" filled="f" stroked="f">
              <v:textbox style="mso-fit-shape-to-text:t" inset="5pt,0,0,0">
                <w:txbxContent>
                  <w:p w14:paraId="740090EE" w14:textId="54C4EA41" w:rsidR="003A423D" w:rsidRPr="003A423D" w:rsidRDefault="003A423D">
                    <w:pPr>
                      <w:rPr>
                        <w:rFonts w:ascii="Calibri" w:eastAsia="Calibri" w:hAnsi="Calibri" w:cs="Calibri"/>
                        <w:color w:val="000000"/>
                        <w:sz w:val="24"/>
                      </w:rPr>
                    </w:pPr>
                    <w:r w:rsidRPr="003A423D">
                      <w:rPr>
                        <w:rFonts w:ascii="Calibri" w:eastAsia="Calibri" w:hAnsi="Calibri" w:cs="Calibri"/>
                        <w:color w:val="000000"/>
                        <w:sz w:val="24"/>
                      </w:rPr>
                      <w:t xml:space="preserve">EBA </w:t>
                    </w:r>
                    <w:proofErr w:type="spellStart"/>
                    <w:r w:rsidRPr="003A423D">
                      <w:rPr>
                        <w:rFonts w:ascii="Calibri" w:eastAsia="Calibri" w:hAnsi="Calibri" w:cs="Calibri"/>
                        <w:color w:val="000000"/>
                        <w:sz w:val="24"/>
                      </w:rPr>
                      <w:t>Public</w:t>
                    </w:r>
                    <w:proofErr w:type="spellEnd"/>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E84A" w14:textId="550D439D" w:rsidR="00866C8B" w:rsidRPr="00AF5F13" w:rsidRDefault="003A423D" w:rsidP="00B95D4B">
    <w:pPr>
      <w:pStyle w:val="Runningtitle"/>
    </w:pPr>
    <w:r>
      <w:rPr>
        <w:noProof/>
      </w:rPr>
      <mc:AlternateContent>
        <mc:Choice Requires="wps">
          <w:drawing>
            <wp:anchor distT="0" distB="0" distL="0" distR="0" simplePos="0" relativeHeight="251664896" behindDoc="0" locked="0" layoutInCell="1" allowOverlap="1" wp14:anchorId="78E7BD91" wp14:editId="3184EB55">
              <wp:simplePos x="1079500" y="457200"/>
              <wp:positionH relativeFrom="leftMargin">
                <wp:align>left</wp:align>
              </wp:positionH>
              <wp:positionV relativeFrom="paragraph">
                <wp:posOffset>635</wp:posOffset>
              </wp:positionV>
              <wp:extent cx="443865" cy="443865"/>
              <wp:effectExtent l="0" t="0" r="6985" b="4445"/>
              <wp:wrapSquare wrapText="bothSides"/>
              <wp:docPr id="13" name="Text Box 13"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8BBB97" w14:textId="42A86234" w:rsidR="003A423D" w:rsidRPr="003A423D" w:rsidRDefault="003A423D">
                          <w:pPr>
                            <w:rPr>
                              <w:rFonts w:ascii="Calibri" w:eastAsia="Calibri" w:hAnsi="Calibri" w:cs="Calibri"/>
                              <w:color w:val="000000"/>
                              <w:sz w:val="24"/>
                            </w:rPr>
                          </w:pPr>
                          <w:r w:rsidRPr="003A423D">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8E7BD91" id="_x0000_t202" coordsize="21600,21600" o:spt="202" path="m,l,21600r21600,l21600,xe">
              <v:stroke joinstyle="miter"/>
              <v:path gradientshapeok="t" o:connecttype="rect"/>
            </v:shapetype>
            <v:shape id="Text Box 13" o:spid="_x0000_s1027" type="#_x0000_t202" alt="EBA Public" style="position:absolute;margin-left:0;margin-top:.05pt;width:34.95pt;height:34.95pt;z-index:25166489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55KwIAAFUEAAAOAAAAZHJzL2Uyb0RvYy54bWysVMtu2zAQvBfoPxC817LjxA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GwoHnkrAgAAVQQAAA4AAAAAAAAAAAAAAAAALgIAAGRycy9lMm9E&#10;b2MueG1sUEsBAi0AFAAGAAgAAAAhADSBOhbaAAAAAwEAAA8AAAAAAAAAAAAAAAAAhQQAAGRycy9k&#10;b3ducmV2LnhtbFBLBQYAAAAABAAEAPMAAACMBQAAAAA=&#10;" filled="f" stroked="f">
              <v:textbox style="mso-fit-shape-to-text:t" inset="5pt,0,0,0">
                <w:txbxContent>
                  <w:p w14:paraId="238BBB97" w14:textId="42A86234" w:rsidR="003A423D" w:rsidRPr="003A423D" w:rsidRDefault="003A423D">
                    <w:pPr>
                      <w:rPr>
                        <w:rFonts w:ascii="Calibri" w:eastAsia="Calibri" w:hAnsi="Calibri" w:cs="Calibri"/>
                        <w:color w:val="000000"/>
                        <w:sz w:val="24"/>
                      </w:rPr>
                    </w:pPr>
                    <w:r w:rsidRPr="003A423D">
                      <w:rPr>
                        <w:rFonts w:ascii="Calibri" w:eastAsia="Calibri" w:hAnsi="Calibri" w:cs="Calibri"/>
                        <w:color w:val="000000"/>
                        <w:sz w:val="24"/>
                      </w:rPr>
                      <w:t xml:space="preserve">EBA </w:t>
                    </w:r>
                    <w:proofErr w:type="spellStart"/>
                    <w:r w:rsidRPr="003A423D">
                      <w:rPr>
                        <w:rFonts w:ascii="Calibri" w:eastAsia="Calibri" w:hAnsi="Calibri" w:cs="Calibri"/>
                        <w:color w:val="000000"/>
                        <w:sz w:val="24"/>
                      </w:rPr>
                      <w:t>Public</w:t>
                    </w:r>
                    <w:proofErr w:type="spellEnd"/>
                  </w:p>
                </w:txbxContent>
              </v:textbox>
              <w10:wrap type="square" anchorx="margin"/>
            </v:shape>
          </w:pict>
        </mc:Fallback>
      </mc:AlternateContent>
    </w:r>
    <w:r w:rsidR="00866C8B" w:rsidRPr="00AF5F13">
      <w:t>rapport finali dwar il-linji gwida dwar is-superviżjoni bbażata fuq ir-riskji skont l-Artikolu 48(10) tad-Direttiva (UE) 2015/849</w:t>
    </w:r>
  </w:p>
  <w:p w14:paraId="755C0FF5" w14:textId="32C540FF" w:rsidR="00866C8B" w:rsidRPr="00AF5F13" w:rsidRDefault="00866C8B" w:rsidP="004D193D">
    <w:pPr>
      <w:pStyle w:val="Runningtitle"/>
      <w:jc w:val="right"/>
    </w:pPr>
    <w:r w:rsidRPr="00AF5F13">
      <w:rPr>
        <w:noProof/>
      </w:rPr>
      <w:drawing>
        <wp:inline distT="0" distB="0" distL="0" distR="0" wp14:anchorId="3D20EA2B" wp14:editId="5D1FD0FA">
          <wp:extent cx="1207770" cy="447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rto="http://schemas.microsoft.com/office/word/2006/arto" xmlns:a14="http://schemas.microsoft.com/office/drawing/2010/main" xmlns=""/>
                    </a:ext>
                  </a:extLst>
                </pic:spPr>
              </pic:pic>
            </a:graphicData>
          </a:graphic>
        </wp:inline>
      </w:drawing>
    </w:r>
  </w:p>
  <w:p w14:paraId="67DD293B" w14:textId="0D8E9A61" w:rsidR="00866C8B" w:rsidRPr="00AF5F13" w:rsidRDefault="00866C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5320" w14:textId="186EECBA" w:rsidR="003A423D" w:rsidRDefault="003A423D">
    <w:pPr>
      <w:pStyle w:val="Header"/>
    </w:pPr>
    <w:r>
      <w:rPr>
        <w:noProof/>
      </w:rPr>
      <mc:AlternateContent>
        <mc:Choice Requires="wps">
          <w:drawing>
            <wp:anchor distT="0" distB="0" distL="0" distR="0" simplePos="0" relativeHeight="251662848" behindDoc="0" locked="0" layoutInCell="1" allowOverlap="1" wp14:anchorId="727C66B8" wp14:editId="1E5784DA">
              <wp:simplePos x="635" y="635"/>
              <wp:positionH relativeFrom="leftMargin">
                <wp:align>left</wp:align>
              </wp:positionH>
              <wp:positionV relativeFrom="paragraph">
                <wp:posOffset>635</wp:posOffset>
              </wp:positionV>
              <wp:extent cx="443865" cy="443865"/>
              <wp:effectExtent l="0" t="0" r="6985" b="4445"/>
              <wp:wrapSquare wrapText="bothSides"/>
              <wp:docPr id="11" name="Text Box 11"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A92EE5" w14:textId="7978E6A6" w:rsidR="003A423D" w:rsidRPr="003A423D" w:rsidRDefault="003A423D">
                          <w:pPr>
                            <w:rPr>
                              <w:rFonts w:ascii="Calibri" w:eastAsia="Calibri" w:hAnsi="Calibri" w:cs="Calibri"/>
                              <w:color w:val="000000"/>
                              <w:sz w:val="24"/>
                            </w:rPr>
                          </w:pPr>
                          <w:r w:rsidRPr="003A423D">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27C66B8" id="_x0000_t202" coordsize="21600,21600" o:spt="202" path="m,l,21600r21600,l21600,xe">
              <v:stroke joinstyle="miter"/>
              <v:path gradientshapeok="t" o:connecttype="rect"/>
            </v:shapetype>
            <v:shape id="Text Box 11" o:spid="_x0000_s1028" type="#_x0000_t202" alt="EBA Public" style="position:absolute;margin-left:0;margin-top:.05pt;width:34.95pt;height:34.95pt;z-index:25166284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" filled="f" stroked="f">
              <v:textbox style="mso-fit-shape-to-text:t" inset="5pt,0,0,0">
                <w:txbxContent>
                  <w:p w14:paraId="54A92EE5" w14:textId="7978E6A6" w:rsidR="003A423D" w:rsidRPr="003A423D" w:rsidRDefault="003A423D">
                    <w:pPr>
                      <w:rPr>
                        <w:rFonts w:ascii="Calibri" w:eastAsia="Calibri" w:hAnsi="Calibri" w:cs="Calibri"/>
                        <w:color w:val="000000"/>
                        <w:sz w:val="24"/>
                      </w:rPr>
                    </w:pPr>
                    <w:r w:rsidRPr="003A423D">
                      <w:rPr>
                        <w:rFonts w:ascii="Calibri" w:eastAsia="Calibri" w:hAnsi="Calibri" w:cs="Calibri"/>
                        <w:color w:val="000000"/>
                        <w:sz w:val="24"/>
                      </w:rPr>
                      <w:t xml:space="preserve">EBA </w:t>
                    </w:r>
                    <w:proofErr w:type="spellStart"/>
                    <w:r w:rsidRPr="003A423D">
                      <w:rPr>
                        <w:rFonts w:ascii="Calibri" w:eastAsia="Calibri" w:hAnsi="Calibri" w:cs="Calibri"/>
                        <w:color w:val="000000"/>
                        <w:sz w:val="24"/>
                      </w:rPr>
                      <w:t>Public</w:t>
                    </w:r>
                    <w:proofErr w:type="spellEnd"/>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0011" w14:textId="0900E5D3" w:rsidR="00866C8B" w:rsidRPr="00AF5F13" w:rsidRDefault="003A423D" w:rsidP="00931807">
    <w:pPr>
      <w:pStyle w:val="Header"/>
    </w:pPr>
    <w:r>
      <w:rPr>
        <w:noProof/>
      </w:rPr>
      <mc:AlternateContent>
        <mc:Choice Requires="wps">
          <w:drawing>
            <wp:anchor distT="0" distB="0" distL="0" distR="0" simplePos="0" relativeHeight="251666944" behindDoc="0" locked="0" layoutInCell="1" allowOverlap="1" wp14:anchorId="027D836F" wp14:editId="68BF951B">
              <wp:simplePos x="635" y="635"/>
              <wp:positionH relativeFrom="leftMargin">
                <wp:align>left</wp:align>
              </wp:positionH>
              <wp:positionV relativeFrom="paragraph">
                <wp:posOffset>635</wp:posOffset>
              </wp:positionV>
              <wp:extent cx="443865" cy="443865"/>
              <wp:effectExtent l="0" t="0" r="6985" b="4445"/>
              <wp:wrapSquare wrapText="bothSides"/>
              <wp:docPr id="15" name="Text Box 15"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E8865A" w14:textId="1E76EB10" w:rsidR="003A423D" w:rsidRPr="003A423D" w:rsidRDefault="003A423D">
                          <w:pPr>
                            <w:rPr>
                              <w:rFonts w:ascii="Calibri" w:eastAsia="Calibri" w:hAnsi="Calibri" w:cs="Calibri"/>
                              <w:color w:val="000000"/>
                              <w:sz w:val="24"/>
                            </w:rPr>
                          </w:pPr>
                          <w:r w:rsidRPr="003A423D">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27D836F" id="_x0000_t202" coordsize="21600,21600" o:spt="202" path="m,l,21600r21600,l21600,xe">
              <v:stroke joinstyle="miter"/>
              <v:path gradientshapeok="t" o:connecttype="rect"/>
            </v:shapetype>
            <v:shape id="Text Box 15" o:spid="_x0000_s1029" type="#_x0000_t202" alt="EBA Public" style="position:absolute;margin-left:0;margin-top:.05pt;width:34.95pt;height:34.95pt;z-index:25166694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m3KwIAAFUEAAAOAAAAZHJzL2Uyb0RvYy54bWysVMtu2zAQvBfoPxC817LjxA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IkSKbcrAgAAVQQAAA4AAAAAAAAAAAAAAAAALgIAAGRycy9lMm9E&#10;b2MueG1sUEsBAi0AFAAGAAgAAAAhADSBOhbaAAAAAwEAAA8AAAAAAAAAAAAAAAAAhQQAAGRycy9k&#10;b3ducmV2LnhtbFBLBQYAAAAABAAEAPMAAACMBQAAAAA=&#10;" filled="f" stroked="f">
              <v:textbox style="mso-fit-shape-to-text:t" inset="5pt,0,0,0">
                <w:txbxContent>
                  <w:p w14:paraId="27E8865A" w14:textId="1E76EB10" w:rsidR="003A423D" w:rsidRPr="003A423D" w:rsidRDefault="003A423D">
                    <w:pPr>
                      <w:rPr>
                        <w:rFonts w:ascii="Calibri" w:eastAsia="Calibri" w:hAnsi="Calibri" w:cs="Calibri"/>
                        <w:color w:val="000000"/>
                        <w:sz w:val="24"/>
                      </w:rPr>
                    </w:pPr>
                    <w:r w:rsidRPr="003A423D">
                      <w:rPr>
                        <w:rFonts w:ascii="Calibri" w:eastAsia="Calibri" w:hAnsi="Calibri" w:cs="Calibri"/>
                        <w:color w:val="000000"/>
                        <w:sz w:val="24"/>
                      </w:rPr>
                      <w:t xml:space="preserve">EBA </w:t>
                    </w:r>
                    <w:proofErr w:type="spellStart"/>
                    <w:r w:rsidRPr="003A423D">
                      <w:rPr>
                        <w:rFonts w:ascii="Calibri" w:eastAsia="Calibri" w:hAnsi="Calibri" w:cs="Calibri"/>
                        <w:color w:val="000000"/>
                        <w:sz w:val="24"/>
                      </w:rPr>
                      <w:t>Public</w:t>
                    </w:r>
                    <w:proofErr w:type="spellEnd"/>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8EE9" w14:textId="51F80352" w:rsidR="00866C8B" w:rsidRPr="00AF5F13" w:rsidRDefault="003A423D" w:rsidP="00B95D4B">
    <w:pPr>
      <w:pStyle w:val="Runningtitle"/>
    </w:pPr>
    <w:r>
      <w:rPr>
        <w:noProof/>
      </w:rPr>
      <mc:AlternateContent>
        <mc:Choice Requires="wps">
          <w:drawing>
            <wp:anchor distT="0" distB="0" distL="0" distR="0" simplePos="0" relativeHeight="251667968" behindDoc="0" locked="0" layoutInCell="1" allowOverlap="1" wp14:anchorId="32A451EF" wp14:editId="4A6AE43D">
              <wp:simplePos x="635" y="635"/>
              <wp:positionH relativeFrom="leftMargin">
                <wp:align>left</wp:align>
              </wp:positionH>
              <wp:positionV relativeFrom="paragraph">
                <wp:posOffset>635</wp:posOffset>
              </wp:positionV>
              <wp:extent cx="443865" cy="443865"/>
              <wp:effectExtent l="0" t="0" r="6985" b="4445"/>
              <wp:wrapSquare wrapText="bothSides"/>
              <wp:docPr id="16" name="Text Box 16"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B91648" w14:textId="019897CF" w:rsidR="003A423D" w:rsidRPr="003A423D" w:rsidRDefault="003A423D">
                          <w:pPr>
                            <w:rPr>
                              <w:rFonts w:ascii="Calibri" w:eastAsia="Calibri" w:hAnsi="Calibri" w:cs="Calibri"/>
                              <w:color w:val="000000"/>
                              <w:sz w:val="24"/>
                            </w:rPr>
                          </w:pPr>
                          <w:r w:rsidRPr="003A423D">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2A451EF" id="_x0000_t202" coordsize="21600,21600" o:spt="202" path="m,l,21600r21600,l21600,xe">
              <v:stroke joinstyle="miter"/>
              <v:path gradientshapeok="t" o:connecttype="rect"/>
            </v:shapetype>
            <v:shape id="Text Box 16" o:spid="_x0000_s1030" type="#_x0000_t202" alt="EBA Public" style="position:absolute;margin-left:0;margin-top:.05pt;width:34.95pt;height:34.95pt;z-index:25166796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SaLAIAAFUEAAAOAAAAZHJzL2Uyb0RvYy54bWysVMtu2zAQvBfoPxC817ITxw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DElwSaLAIAAFUEAAAOAAAAAAAAAAAAAAAAAC4CAABkcnMvZTJv&#10;RG9jLnhtbFBLAQItABQABgAIAAAAIQA0gToW2gAAAAMBAAAPAAAAAAAAAAAAAAAAAIYEAABkcnMv&#10;ZG93bnJldi54bWxQSwUGAAAAAAQABADzAAAAjQUAAAAA&#10;" filled="f" stroked="f">
              <v:textbox style="mso-fit-shape-to-text:t" inset="5pt,0,0,0">
                <w:txbxContent>
                  <w:p w14:paraId="32B91648" w14:textId="019897CF" w:rsidR="003A423D" w:rsidRPr="003A423D" w:rsidRDefault="003A423D">
                    <w:pPr>
                      <w:rPr>
                        <w:rFonts w:ascii="Calibri" w:eastAsia="Calibri" w:hAnsi="Calibri" w:cs="Calibri"/>
                        <w:color w:val="000000"/>
                        <w:sz w:val="24"/>
                      </w:rPr>
                    </w:pPr>
                    <w:r w:rsidRPr="003A423D">
                      <w:rPr>
                        <w:rFonts w:ascii="Calibri" w:eastAsia="Calibri" w:hAnsi="Calibri" w:cs="Calibri"/>
                        <w:color w:val="000000"/>
                        <w:sz w:val="24"/>
                      </w:rPr>
                      <w:t xml:space="preserve">EBA </w:t>
                    </w:r>
                    <w:proofErr w:type="spellStart"/>
                    <w:r w:rsidRPr="003A423D">
                      <w:rPr>
                        <w:rFonts w:ascii="Calibri" w:eastAsia="Calibri" w:hAnsi="Calibri" w:cs="Calibri"/>
                        <w:color w:val="000000"/>
                        <w:sz w:val="24"/>
                      </w:rPr>
                      <w:t>Public</w:t>
                    </w:r>
                    <w:proofErr w:type="spellEnd"/>
                  </w:p>
                </w:txbxContent>
              </v:textbox>
              <w10:wrap type="square" anchorx="margin"/>
            </v:shape>
          </w:pict>
        </mc:Fallback>
      </mc:AlternateContent>
    </w:r>
    <w:r w:rsidR="00866C8B" w:rsidRPr="00AF5F13">
      <w:t>rapport finali dwar il-linji gwida dwar is-superviżjoni bbażata fuq ir-riskji skont l-Artikolu 48(10) tad-Direttiva (UE) 2015/849</w:t>
    </w:r>
  </w:p>
  <w:p w14:paraId="7A444760" w14:textId="77777777" w:rsidR="00866C8B" w:rsidRPr="00AF5F13" w:rsidRDefault="00866C8B" w:rsidP="00224D96">
    <w:pPr>
      <w:pStyle w:val="Runningtitle"/>
    </w:pPr>
  </w:p>
  <w:p w14:paraId="287319B3" w14:textId="77777777" w:rsidR="00866C8B" w:rsidRPr="00AF5F13" w:rsidRDefault="00866C8B">
    <w:pPr>
      <w:pStyle w:val="Header"/>
    </w:pPr>
    <w:r w:rsidRPr="00AF5F13">
      <w:rPr>
        <w:noProof/>
      </w:rPr>
      <w:drawing>
        <wp:anchor distT="0" distB="0" distL="114300" distR="114300" simplePos="0" relativeHeight="251661824" behindDoc="1" locked="0" layoutInCell="1" allowOverlap="1" wp14:anchorId="2F2D216E" wp14:editId="0F364731">
          <wp:simplePos x="0" y="0"/>
          <wp:positionH relativeFrom="margin">
            <wp:align>right</wp:align>
          </wp:positionH>
          <wp:positionV relativeFrom="page">
            <wp:posOffset>716605</wp:posOffset>
          </wp:positionV>
          <wp:extent cx="1207770" cy="447675"/>
          <wp:effectExtent l="0" t="0" r="0" b="9525"/>
          <wp:wrapTight wrapText="bothSides">
            <wp:wrapPolygon edited="0">
              <wp:start x="0" y="0"/>
              <wp:lineTo x="0" y="21140"/>
              <wp:lineTo x="21123" y="21140"/>
              <wp:lineTo x="211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arto="http://schemas.microsoft.com/office/word/2006/arto"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xmlns=""/>
                    </a:ext>
                  </a:extLst>
                </pic:spPr>
              </pic:pic>
            </a:graphicData>
          </a:graphic>
        </wp:anchor>
      </w:drawing>
    </w:r>
  </w:p>
  <w:p w14:paraId="62ADAA30" w14:textId="77777777" w:rsidR="00866C8B" w:rsidRPr="00AF5F13" w:rsidRDefault="00866C8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AAF4" w14:textId="18489460" w:rsidR="00866C8B" w:rsidRPr="00AF5F13" w:rsidRDefault="003A423D" w:rsidP="00E677EF">
    <w:pPr>
      <w:pStyle w:val="Runningtitle"/>
    </w:pPr>
    <w:r>
      <w:rPr>
        <w:noProof/>
      </w:rPr>
      <mc:AlternateContent>
        <mc:Choice Requires="wps">
          <w:drawing>
            <wp:anchor distT="0" distB="0" distL="0" distR="0" simplePos="0" relativeHeight="251665920" behindDoc="0" locked="0" layoutInCell="1" allowOverlap="1" wp14:anchorId="3370D9C1" wp14:editId="5E5DFED1">
              <wp:simplePos x="635" y="635"/>
              <wp:positionH relativeFrom="leftMargin">
                <wp:align>left</wp:align>
              </wp:positionH>
              <wp:positionV relativeFrom="paragraph">
                <wp:posOffset>635</wp:posOffset>
              </wp:positionV>
              <wp:extent cx="443865" cy="443865"/>
              <wp:effectExtent l="0" t="0" r="6985" b="4445"/>
              <wp:wrapSquare wrapText="bothSides"/>
              <wp:docPr id="14" name="Text Box 14"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97206A" w14:textId="17C34DBD" w:rsidR="003A423D" w:rsidRPr="003A423D" w:rsidRDefault="003A423D">
                          <w:pPr>
                            <w:rPr>
                              <w:rFonts w:ascii="Calibri" w:eastAsia="Calibri" w:hAnsi="Calibri" w:cs="Calibri"/>
                              <w:color w:val="000000"/>
                              <w:sz w:val="24"/>
                            </w:rPr>
                          </w:pPr>
                          <w:r w:rsidRPr="003A423D">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370D9C1" id="_x0000_t202" coordsize="21600,21600" o:spt="202" path="m,l,21600r21600,l21600,xe">
              <v:stroke joinstyle="miter"/>
              <v:path gradientshapeok="t" o:connecttype="rect"/>
            </v:shapetype>
            <v:shape id="Text Box 14" o:spid="_x0000_s1031" type="#_x0000_t202" alt="EBA Public" style="position:absolute;margin-left:0;margin-top:.05pt;width:34.95pt;height:34.95pt;z-index:25166592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B76iBPLAIAAFUEAAAOAAAAAAAAAAAAAAAAAC4CAABkcnMvZTJv&#10;RG9jLnhtbFBLAQItABQABgAIAAAAIQA0gToW2gAAAAMBAAAPAAAAAAAAAAAAAAAAAIYEAABkcnMv&#10;ZG93bnJldi54bWxQSwUGAAAAAAQABADzAAAAjQUAAAAA&#10;" filled="f" stroked="f">
              <v:textbox style="mso-fit-shape-to-text:t" inset="5pt,0,0,0">
                <w:txbxContent>
                  <w:p w14:paraId="4397206A" w14:textId="17C34DBD" w:rsidR="003A423D" w:rsidRPr="003A423D" w:rsidRDefault="003A423D">
                    <w:pPr>
                      <w:rPr>
                        <w:rFonts w:ascii="Calibri" w:eastAsia="Calibri" w:hAnsi="Calibri" w:cs="Calibri"/>
                        <w:color w:val="000000"/>
                        <w:sz w:val="24"/>
                      </w:rPr>
                    </w:pPr>
                    <w:r w:rsidRPr="003A423D">
                      <w:rPr>
                        <w:rFonts w:ascii="Calibri" w:eastAsia="Calibri" w:hAnsi="Calibri" w:cs="Calibri"/>
                        <w:color w:val="000000"/>
                        <w:sz w:val="24"/>
                      </w:rPr>
                      <w:t xml:space="preserve">EBA </w:t>
                    </w:r>
                    <w:proofErr w:type="spellStart"/>
                    <w:r w:rsidRPr="003A423D">
                      <w:rPr>
                        <w:rFonts w:ascii="Calibri" w:eastAsia="Calibri" w:hAnsi="Calibri" w:cs="Calibri"/>
                        <w:color w:val="000000"/>
                        <w:sz w:val="24"/>
                      </w:rPr>
                      <w:t>Public</w:t>
                    </w:r>
                    <w:proofErr w:type="spellEnd"/>
                  </w:p>
                </w:txbxContent>
              </v:textbox>
              <w10:wrap type="square" anchorx="margin"/>
            </v:shape>
          </w:pict>
        </mc:Fallback>
      </mc:AlternateContent>
    </w:r>
    <w:r w:rsidR="00866C8B" w:rsidRPr="00AF5F13">
      <w:t>titolu kurrenti jiddaħħal hawn bl-istil tat-titolu kurrenti</w:t>
    </w:r>
    <w:r w:rsidR="00866C8B" w:rsidRPr="00AF5F13">
      <w:rPr>
        <w:noProof/>
      </w:rPr>
      <w:drawing>
        <wp:anchor distT="0" distB="0" distL="114300" distR="114300" simplePos="0" relativeHeight="251653632" behindDoc="1" locked="1" layoutInCell="1" allowOverlap="0" wp14:anchorId="61D341D3" wp14:editId="00911964">
          <wp:simplePos x="0" y="0"/>
          <wp:positionH relativeFrom="page">
            <wp:posOffset>4702175</wp:posOffset>
          </wp:positionH>
          <wp:positionV relativeFrom="page">
            <wp:posOffset>450215</wp:posOffset>
          </wp:positionV>
          <wp:extent cx="1941830" cy="719455"/>
          <wp:effectExtent l="0" t="0" r="0" b="0"/>
          <wp:wrapNone/>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xmlns=""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03C8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E6D3F"/>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D26C72"/>
    <w:multiLevelType w:val="hybridMultilevel"/>
    <w:tmpl w:val="58F05CAE"/>
    <w:lvl w:ilvl="0" w:tplc="D1D44174">
      <w:start w:val="1"/>
      <w:numFmt w:val="decimal"/>
      <w:pStyle w:val="Level1EBAstylenumberedparagraphGL9"/>
      <w:lvlText w:val="9.%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05232B"/>
    <w:multiLevelType w:val="hybridMultilevel"/>
    <w:tmpl w:val="DAB4D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FB51CB"/>
    <w:multiLevelType w:val="hybridMultilevel"/>
    <w:tmpl w:val="F732FD36"/>
    <w:lvl w:ilvl="0" w:tplc="9B9C3F12">
      <w:start w:val="1"/>
      <w:numFmt w:val="lowerRoman"/>
      <w:pStyle w:val="Level3EBAstylenumberedparagraph"/>
      <w:lvlText w:val="%1."/>
      <w:lvlJc w:val="right"/>
      <w:pPr>
        <w:ind w:left="2568"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B">
      <w:start w:val="1"/>
      <w:numFmt w:val="lowerRoman"/>
      <w:lvlText w:val="%2."/>
      <w:lvlJc w:val="right"/>
      <w:pPr>
        <w:ind w:left="3288" w:hanging="360"/>
      </w:pPr>
    </w:lvl>
    <w:lvl w:ilvl="2" w:tplc="0809001B" w:tentative="1">
      <w:start w:val="1"/>
      <w:numFmt w:val="lowerRoman"/>
      <w:lvlText w:val="%3."/>
      <w:lvlJc w:val="right"/>
      <w:pPr>
        <w:ind w:left="4008" w:hanging="180"/>
      </w:pPr>
    </w:lvl>
    <w:lvl w:ilvl="3" w:tplc="0809000F" w:tentative="1">
      <w:start w:val="1"/>
      <w:numFmt w:val="decimal"/>
      <w:lvlText w:val="%4."/>
      <w:lvlJc w:val="left"/>
      <w:pPr>
        <w:ind w:left="4728" w:hanging="360"/>
      </w:pPr>
    </w:lvl>
    <w:lvl w:ilvl="4" w:tplc="08090019" w:tentative="1">
      <w:start w:val="1"/>
      <w:numFmt w:val="lowerLetter"/>
      <w:lvlText w:val="%5."/>
      <w:lvlJc w:val="left"/>
      <w:pPr>
        <w:ind w:left="5448" w:hanging="360"/>
      </w:pPr>
    </w:lvl>
    <w:lvl w:ilvl="5" w:tplc="0809001B" w:tentative="1">
      <w:start w:val="1"/>
      <w:numFmt w:val="lowerRoman"/>
      <w:lvlText w:val="%6."/>
      <w:lvlJc w:val="right"/>
      <w:pPr>
        <w:ind w:left="6168" w:hanging="180"/>
      </w:pPr>
    </w:lvl>
    <w:lvl w:ilvl="6" w:tplc="0809000F" w:tentative="1">
      <w:start w:val="1"/>
      <w:numFmt w:val="decimal"/>
      <w:lvlText w:val="%7."/>
      <w:lvlJc w:val="left"/>
      <w:pPr>
        <w:ind w:left="6888" w:hanging="360"/>
      </w:pPr>
    </w:lvl>
    <w:lvl w:ilvl="7" w:tplc="08090019" w:tentative="1">
      <w:start w:val="1"/>
      <w:numFmt w:val="lowerLetter"/>
      <w:lvlText w:val="%8."/>
      <w:lvlJc w:val="left"/>
      <w:pPr>
        <w:ind w:left="7608" w:hanging="360"/>
      </w:pPr>
    </w:lvl>
    <w:lvl w:ilvl="8" w:tplc="0809001B" w:tentative="1">
      <w:start w:val="1"/>
      <w:numFmt w:val="lowerRoman"/>
      <w:lvlText w:val="%9."/>
      <w:lvlJc w:val="right"/>
      <w:pPr>
        <w:ind w:left="8328" w:hanging="180"/>
      </w:pPr>
    </w:lvl>
  </w:abstractNum>
  <w:abstractNum w:abstractNumId="8" w15:restartNumberingAfterBreak="0">
    <w:nsid w:val="0904203B"/>
    <w:multiLevelType w:val="hybridMultilevel"/>
    <w:tmpl w:val="9B60214C"/>
    <w:lvl w:ilvl="0" w:tplc="D1EABC88">
      <w:start w:val="1"/>
      <w:numFmt w:val="decimal"/>
      <w:pStyle w:val="Level1EBAstylenumberedparagraphGL2"/>
      <w:lvlText w:val="2.%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033828"/>
    <w:multiLevelType w:val="hybridMultilevel"/>
    <w:tmpl w:val="9D64AE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E114D1A"/>
    <w:multiLevelType w:val="hybridMultilevel"/>
    <w:tmpl w:val="16A2BEA4"/>
    <w:lvl w:ilvl="0" w:tplc="233E6E10">
      <w:start w:val="1"/>
      <w:numFmt w:val="decimal"/>
      <w:pStyle w:val="Level1EBAstylenumberedparagraphGL8"/>
      <w:lvlText w:val="8.%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531715"/>
    <w:multiLevelType w:val="hybridMultilevel"/>
    <w:tmpl w:val="6DE0CBAA"/>
    <w:lvl w:ilvl="0" w:tplc="67BAC6AA">
      <w:start w:val="13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1B442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27719E9"/>
    <w:multiLevelType w:val="hybridMultilevel"/>
    <w:tmpl w:val="763080B0"/>
    <w:styleLink w:val="ImportedStyle4"/>
    <w:lvl w:ilvl="0" w:tplc="89448C7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70CA1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42EE38">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9A25D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2763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83F5C">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72BF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BEAC5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E062AC">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27A082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30C7946"/>
    <w:multiLevelType w:val="multilevel"/>
    <w:tmpl w:val="7480B896"/>
    <w:lvl w:ilvl="0">
      <w:start w:val="1"/>
      <w:numFmt w:val="decimal"/>
      <w:lvlText w:val="2.%1"/>
      <w:lvlJc w:val="left"/>
      <w:pPr>
        <w:ind w:left="360" w:hanging="360"/>
      </w:pPr>
      <w:rPr>
        <w:rFonts w:asciiTheme="minorHAnsi" w:hAnsiTheme="minorHAnsi" w:hint="default"/>
        <w:sz w:val="22"/>
      </w:rPr>
    </w:lvl>
    <w:lvl w:ilvl="1">
      <w:start w:val="1"/>
      <w:numFmt w:val="lowerLetter"/>
      <w:pStyle w:val="Style1"/>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549468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5B86532"/>
    <w:multiLevelType w:val="multilevel"/>
    <w:tmpl w:val="306E41C2"/>
    <w:styleLink w:val="Style3"/>
    <w:lvl w:ilvl="0">
      <w:start w:val="1"/>
      <w:numFmt w:val="decimal"/>
      <w:lvlText w:val="3.%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86A5806"/>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CF6E2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BD208D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F5D61E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FA532A6"/>
    <w:multiLevelType w:val="hybridMultilevel"/>
    <w:tmpl w:val="85F2F77A"/>
    <w:lvl w:ilvl="0" w:tplc="C644A5BE">
      <w:start w:val="1"/>
      <w:numFmt w:val="decimal"/>
      <w:pStyle w:val="Level1EBAstylenumberedparagraphGL19"/>
      <w:lvlText w:val="1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FCD24E3"/>
    <w:multiLevelType w:val="hybridMultilevel"/>
    <w:tmpl w:val="D084E058"/>
    <w:lvl w:ilvl="0" w:tplc="2B663526">
      <w:start w:val="1"/>
      <w:numFmt w:val="lowerLetter"/>
      <w:pStyle w:val="Level4EBAstylenumberedparagraph"/>
      <w:lvlText w:val="%1."/>
      <w:lvlJc w:val="left"/>
      <w:pPr>
        <w:ind w:left="3158"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878" w:hanging="360"/>
      </w:pPr>
    </w:lvl>
    <w:lvl w:ilvl="2" w:tplc="0809001B" w:tentative="1">
      <w:start w:val="1"/>
      <w:numFmt w:val="lowerRoman"/>
      <w:lvlText w:val="%3."/>
      <w:lvlJc w:val="right"/>
      <w:pPr>
        <w:ind w:left="4598" w:hanging="180"/>
      </w:pPr>
    </w:lvl>
    <w:lvl w:ilvl="3" w:tplc="0809000F" w:tentative="1">
      <w:start w:val="1"/>
      <w:numFmt w:val="decimal"/>
      <w:lvlText w:val="%4."/>
      <w:lvlJc w:val="left"/>
      <w:pPr>
        <w:ind w:left="5318" w:hanging="360"/>
      </w:pPr>
    </w:lvl>
    <w:lvl w:ilvl="4" w:tplc="08090019" w:tentative="1">
      <w:start w:val="1"/>
      <w:numFmt w:val="lowerLetter"/>
      <w:lvlText w:val="%5."/>
      <w:lvlJc w:val="left"/>
      <w:pPr>
        <w:ind w:left="6038" w:hanging="360"/>
      </w:pPr>
    </w:lvl>
    <w:lvl w:ilvl="5" w:tplc="0809001B" w:tentative="1">
      <w:start w:val="1"/>
      <w:numFmt w:val="lowerRoman"/>
      <w:lvlText w:val="%6."/>
      <w:lvlJc w:val="right"/>
      <w:pPr>
        <w:ind w:left="6758" w:hanging="180"/>
      </w:pPr>
    </w:lvl>
    <w:lvl w:ilvl="6" w:tplc="0809000F" w:tentative="1">
      <w:start w:val="1"/>
      <w:numFmt w:val="decimal"/>
      <w:lvlText w:val="%7."/>
      <w:lvlJc w:val="left"/>
      <w:pPr>
        <w:ind w:left="7478" w:hanging="360"/>
      </w:pPr>
    </w:lvl>
    <w:lvl w:ilvl="7" w:tplc="08090019" w:tentative="1">
      <w:start w:val="1"/>
      <w:numFmt w:val="lowerLetter"/>
      <w:lvlText w:val="%8."/>
      <w:lvlJc w:val="left"/>
      <w:pPr>
        <w:ind w:left="8198" w:hanging="360"/>
      </w:pPr>
    </w:lvl>
    <w:lvl w:ilvl="8" w:tplc="0809001B" w:tentative="1">
      <w:start w:val="1"/>
      <w:numFmt w:val="lowerRoman"/>
      <w:lvlText w:val="%9."/>
      <w:lvlJc w:val="right"/>
      <w:pPr>
        <w:ind w:left="8918" w:hanging="180"/>
      </w:pPr>
    </w:lvl>
  </w:abstractNum>
  <w:abstractNum w:abstractNumId="24" w15:restartNumberingAfterBreak="0">
    <w:nsid w:val="20A2289E"/>
    <w:multiLevelType w:val="hybridMultilevel"/>
    <w:tmpl w:val="C290C24A"/>
    <w:lvl w:ilvl="0" w:tplc="23D86A6C">
      <w:start w:val="1"/>
      <w:numFmt w:val="decimal"/>
      <w:pStyle w:val="Level1EBAstylenumberedparagraphGL20"/>
      <w:lvlText w:val="20.%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1D22AB4"/>
    <w:multiLevelType w:val="hybridMultilevel"/>
    <w:tmpl w:val="CF4C54AE"/>
    <w:lvl w:ilvl="0" w:tplc="09869C1E">
      <w:start w:val="1"/>
      <w:numFmt w:val="decimal"/>
      <w:pStyle w:val="Level1EBAstylenumberedparagraphGL7"/>
      <w:lvlText w:val="7.%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274034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2BB14EC"/>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5BB293B"/>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69F56E0"/>
    <w:multiLevelType w:val="hybridMultilevel"/>
    <w:tmpl w:val="7E366D4A"/>
    <w:lvl w:ilvl="0" w:tplc="3886D9FE">
      <w:start w:val="1"/>
      <w:numFmt w:val="decimal"/>
      <w:pStyle w:val="Level1EBAstylenumberedparagraphGL13"/>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6E713B4"/>
    <w:multiLevelType w:val="hybridMultilevel"/>
    <w:tmpl w:val="A6323AF0"/>
    <w:lvl w:ilvl="0" w:tplc="6226E836">
      <w:start w:val="1"/>
      <w:numFmt w:val="decimal"/>
      <w:pStyle w:val="Level1EBAstylenumberedparagraphGL12"/>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7A6486A"/>
    <w:multiLevelType w:val="hybridMultilevel"/>
    <w:tmpl w:val="641AA484"/>
    <w:lvl w:ilvl="0" w:tplc="EA208108">
      <w:start w:val="1"/>
      <w:numFmt w:val="decimal"/>
      <w:pStyle w:val="Level1EBAstylenumberedparagraphGL11"/>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8F755DC"/>
    <w:multiLevelType w:val="hybridMultilevel"/>
    <w:tmpl w:val="4A1A5A4E"/>
    <w:lvl w:ilvl="0" w:tplc="EBA49DCA">
      <w:numFmt w:val="bullet"/>
      <w:lvlText w:val="-"/>
      <w:lvlJc w:val="left"/>
      <w:pPr>
        <w:ind w:left="1122" w:hanging="360"/>
      </w:pPr>
      <w:rPr>
        <w:rFonts w:ascii="Calibri" w:eastAsia="Calibri" w:hAnsi="Calibri" w:cs="Calibri" w:hint="default"/>
        <w:b w:val="0"/>
        <w:bCs w:val="0"/>
        <w:i w:val="0"/>
        <w:iCs w:val="0"/>
        <w:w w:val="100"/>
        <w:sz w:val="18"/>
        <w:szCs w:val="18"/>
        <w:lang w:val="en-US" w:eastAsia="en-US" w:bidi="ar-SA"/>
      </w:rPr>
    </w:lvl>
    <w:lvl w:ilvl="1" w:tplc="08090003" w:tentative="1">
      <w:start w:val="1"/>
      <w:numFmt w:val="bullet"/>
      <w:lvlText w:val="o"/>
      <w:lvlJc w:val="left"/>
      <w:pPr>
        <w:ind w:left="1842" w:hanging="360"/>
      </w:pPr>
      <w:rPr>
        <w:rFonts w:ascii="Courier New" w:hAnsi="Courier New" w:cs="Courier New" w:hint="default"/>
      </w:rPr>
    </w:lvl>
    <w:lvl w:ilvl="2" w:tplc="08090005" w:tentative="1">
      <w:start w:val="1"/>
      <w:numFmt w:val="bullet"/>
      <w:lvlText w:val=""/>
      <w:lvlJc w:val="left"/>
      <w:pPr>
        <w:ind w:left="2562" w:hanging="360"/>
      </w:pPr>
      <w:rPr>
        <w:rFonts w:ascii="Wingdings" w:hAnsi="Wingdings" w:hint="default"/>
      </w:rPr>
    </w:lvl>
    <w:lvl w:ilvl="3" w:tplc="08090001" w:tentative="1">
      <w:start w:val="1"/>
      <w:numFmt w:val="bullet"/>
      <w:lvlText w:val=""/>
      <w:lvlJc w:val="left"/>
      <w:pPr>
        <w:ind w:left="3282" w:hanging="360"/>
      </w:pPr>
      <w:rPr>
        <w:rFonts w:ascii="Symbol" w:hAnsi="Symbol" w:hint="default"/>
      </w:rPr>
    </w:lvl>
    <w:lvl w:ilvl="4" w:tplc="08090003" w:tentative="1">
      <w:start w:val="1"/>
      <w:numFmt w:val="bullet"/>
      <w:lvlText w:val="o"/>
      <w:lvlJc w:val="left"/>
      <w:pPr>
        <w:ind w:left="4002" w:hanging="360"/>
      </w:pPr>
      <w:rPr>
        <w:rFonts w:ascii="Courier New" w:hAnsi="Courier New" w:cs="Courier New" w:hint="default"/>
      </w:rPr>
    </w:lvl>
    <w:lvl w:ilvl="5" w:tplc="08090005" w:tentative="1">
      <w:start w:val="1"/>
      <w:numFmt w:val="bullet"/>
      <w:lvlText w:val=""/>
      <w:lvlJc w:val="left"/>
      <w:pPr>
        <w:ind w:left="4722" w:hanging="360"/>
      </w:pPr>
      <w:rPr>
        <w:rFonts w:ascii="Wingdings" w:hAnsi="Wingdings" w:hint="default"/>
      </w:rPr>
    </w:lvl>
    <w:lvl w:ilvl="6" w:tplc="08090001" w:tentative="1">
      <w:start w:val="1"/>
      <w:numFmt w:val="bullet"/>
      <w:lvlText w:val=""/>
      <w:lvlJc w:val="left"/>
      <w:pPr>
        <w:ind w:left="5442" w:hanging="360"/>
      </w:pPr>
      <w:rPr>
        <w:rFonts w:ascii="Symbol" w:hAnsi="Symbol" w:hint="default"/>
      </w:rPr>
    </w:lvl>
    <w:lvl w:ilvl="7" w:tplc="08090003" w:tentative="1">
      <w:start w:val="1"/>
      <w:numFmt w:val="bullet"/>
      <w:lvlText w:val="o"/>
      <w:lvlJc w:val="left"/>
      <w:pPr>
        <w:ind w:left="6162" w:hanging="360"/>
      </w:pPr>
      <w:rPr>
        <w:rFonts w:ascii="Courier New" w:hAnsi="Courier New" w:cs="Courier New" w:hint="default"/>
      </w:rPr>
    </w:lvl>
    <w:lvl w:ilvl="8" w:tplc="08090005" w:tentative="1">
      <w:start w:val="1"/>
      <w:numFmt w:val="bullet"/>
      <w:lvlText w:val=""/>
      <w:lvlJc w:val="left"/>
      <w:pPr>
        <w:ind w:left="6882" w:hanging="360"/>
      </w:pPr>
      <w:rPr>
        <w:rFonts w:ascii="Wingdings" w:hAnsi="Wingdings" w:hint="default"/>
      </w:rPr>
    </w:lvl>
  </w:abstractNum>
  <w:abstractNum w:abstractNumId="33"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34"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35" w15:restartNumberingAfterBreak="0">
    <w:nsid w:val="2E7E516C"/>
    <w:multiLevelType w:val="hybridMultilevel"/>
    <w:tmpl w:val="D56877B2"/>
    <w:lvl w:ilvl="0" w:tplc="FF5E4B3C">
      <w:start w:val="1"/>
      <w:numFmt w:val="decimal"/>
      <w:pStyle w:val="Para"/>
      <w:lvlText w:val="%1."/>
      <w:lvlJc w:val="left"/>
      <w:pPr>
        <w:ind w:left="680" w:hanging="340"/>
      </w:pPr>
      <w:rPr>
        <w:rFonts w:hint="default"/>
        <w:b w:val="0"/>
        <w:i w:val="0"/>
        <w:color w:val="auto"/>
        <w:sz w:val="22"/>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2F6B598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037593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40E2A9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68D096D"/>
    <w:multiLevelType w:val="hybridMultilevel"/>
    <w:tmpl w:val="254E7FCE"/>
    <w:lvl w:ilvl="0" w:tplc="9C6A2ED6">
      <w:start w:val="1"/>
      <w:numFmt w:val="decimal"/>
      <w:pStyle w:val="Level1EBAstylenumberedparagraphGL6"/>
      <w:lvlText w:val="6.%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6C1403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6FB0B54"/>
    <w:multiLevelType w:val="hybridMultilevel"/>
    <w:tmpl w:val="F2E4BAB4"/>
    <w:lvl w:ilvl="0" w:tplc="139480B0">
      <w:start w:val="1"/>
      <w:numFmt w:val="decimal"/>
      <w:pStyle w:val="Level1EBAstylenumberedparagraphGL15"/>
      <w:lvlText w:val="1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720027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C7524C8"/>
    <w:multiLevelType w:val="hybridMultilevel"/>
    <w:tmpl w:val="F8241B10"/>
    <w:lvl w:ilvl="0" w:tplc="8528C5E6">
      <w:start w:val="1"/>
      <w:numFmt w:val="decimal"/>
      <w:pStyle w:val="Level1EBAstylenumberedparagraphGL14"/>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D2909B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3D911E3E"/>
    <w:multiLevelType w:val="hybridMultilevel"/>
    <w:tmpl w:val="7AF44C96"/>
    <w:lvl w:ilvl="0" w:tplc="6AF6FB18">
      <w:start w:val="10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DD550C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E3B262B"/>
    <w:multiLevelType w:val="hybridMultilevel"/>
    <w:tmpl w:val="A93C1308"/>
    <w:lvl w:ilvl="0" w:tplc="62C4524A">
      <w:start w:val="1"/>
      <w:numFmt w:val="decimal"/>
      <w:pStyle w:val="Level1EBAstylenumberedparagraphGL16"/>
      <w:lvlText w:val="1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EA619B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3F9572FA"/>
    <w:multiLevelType w:val="multilevel"/>
    <w:tmpl w:val="3F1C7584"/>
    <w:lvl w:ilvl="0">
      <w:start w:val="1"/>
      <w:numFmt w:val="decimal"/>
      <w:pStyle w:val="Style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08D20F5"/>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22B346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2574346"/>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3183780"/>
    <w:multiLevelType w:val="hybridMultilevel"/>
    <w:tmpl w:val="C77466A4"/>
    <w:lvl w:ilvl="0" w:tplc="36D29A80">
      <w:start w:val="13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4F10A84"/>
    <w:multiLevelType w:val="hybridMultilevel"/>
    <w:tmpl w:val="C7440156"/>
    <w:lvl w:ilvl="0" w:tplc="BF803796">
      <w:start w:val="1"/>
      <w:numFmt w:val="decimal"/>
      <w:pStyle w:val="Level1EBAstylenumberedparagraphGL4"/>
      <w:lvlText w:val="4.%1."/>
      <w:lvlJc w:val="left"/>
      <w:pPr>
        <w:ind w:left="720" w:hanging="36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54F39F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45DF414C"/>
    <w:multiLevelType w:val="multilevel"/>
    <w:tmpl w:val="9BF0B6D2"/>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46573DF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483F6A31"/>
    <w:multiLevelType w:val="hybridMultilevel"/>
    <w:tmpl w:val="C4BACA58"/>
    <w:lvl w:ilvl="0" w:tplc="0809000F">
      <w:start w:val="8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4A404A7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4AE1598B"/>
    <w:multiLevelType w:val="hybridMultilevel"/>
    <w:tmpl w:val="67D6FA54"/>
    <w:lvl w:ilvl="0" w:tplc="F05CA5CC">
      <w:start w:val="1"/>
      <w:numFmt w:val="decimal"/>
      <w:pStyle w:val="Level1EBAstylenumberedparagraphGL5"/>
      <w:lvlText w:val="5.%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CC44ECA"/>
    <w:multiLevelType w:val="hybridMultilevel"/>
    <w:tmpl w:val="C4AA21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4" w15:restartNumberingAfterBreak="0">
    <w:nsid w:val="4E056B25"/>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08F460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50E92F33"/>
    <w:multiLevelType w:val="hybridMultilevel"/>
    <w:tmpl w:val="FA18241E"/>
    <w:lvl w:ilvl="0" w:tplc="F0F21470">
      <w:start w:val="1"/>
      <w:numFmt w:val="decimal"/>
      <w:pStyle w:val="Level1EBAstylenumberedparagraphGL17"/>
      <w:lvlText w:val="1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3BC0FB0"/>
    <w:multiLevelType w:val="hybridMultilevel"/>
    <w:tmpl w:val="6BC4D3B4"/>
    <w:lvl w:ilvl="0" w:tplc="21E4AD8C">
      <w:start w:val="1"/>
      <w:numFmt w:val="decimal"/>
      <w:pStyle w:val="Level1EBAstylenumberedparagraphGL1"/>
      <w:lvlText w:val="1.%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40347FF"/>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544228DD"/>
    <w:multiLevelType w:val="hybridMultilevel"/>
    <w:tmpl w:val="3978427E"/>
    <w:lvl w:ilvl="0" w:tplc="2646B7EA">
      <w:start w:val="1"/>
      <w:numFmt w:val="decimal"/>
      <w:pStyle w:val="Level1EBAstylenumberedparagraphGL18"/>
      <w:lvlText w:val="1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5002EE2"/>
    <w:multiLevelType w:val="multilevel"/>
    <w:tmpl w:val="5BB0FEBE"/>
    <w:lvl w:ilvl="0">
      <w:start w:val="1"/>
      <w:numFmt w:val="decimal"/>
      <w:lvlText w:val="%1."/>
      <w:lvlJc w:val="left"/>
      <w:pPr>
        <w:ind w:left="357" w:hanging="357"/>
      </w:pPr>
      <w:rPr>
        <w:rFonts w:hint="default"/>
        <w:w w:val="100"/>
        <w:sz w:val="20"/>
        <w:szCs w:val="20"/>
      </w:rPr>
    </w:lvl>
    <w:lvl w:ilvl="1">
      <w:start w:val="1"/>
      <w:numFmt w:val="decimal"/>
      <w:pStyle w:val="BodyText"/>
      <w:lvlText w:val="%1.%2."/>
      <w:lvlJc w:val="left"/>
      <w:pPr>
        <w:ind w:left="783"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2" w15:restartNumberingAfterBreak="0">
    <w:nsid w:val="55473F3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58770D95"/>
    <w:multiLevelType w:val="hybridMultilevel"/>
    <w:tmpl w:val="59B2679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4" w15:restartNumberingAfterBreak="0">
    <w:nsid w:val="59E7462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5AEE151B"/>
    <w:multiLevelType w:val="hybridMultilevel"/>
    <w:tmpl w:val="6C3469AA"/>
    <w:lvl w:ilvl="0" w:tplc="18BE77F8">
      <w:start w:val="1"/>
      <w:numFmt w:val="decimal"/>
      <w:pStyle w:val="Level1EBAstylenumberedparagraphGL10"/>
      <w:lvlText w:val="10.%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D457BF8"/>
    <w:multiLevelType w:val="hybridMultilevel"/>
    <w:tmpl w:val="47AC13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7" w15:restartNumberingAfterBreak="0">
    <w:nsid w:val="5DC2382C"/>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677F4041"/>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67EC27B0"/>
    <w:multiLevelType w:val="hybridMultilevel"/>
    <w:tmpl w:val="26F6019A"/>
    <w:lvl w:ilvl="0" w:tplc="0809000F">
      <w:start w:val="9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69023D48"/>
    <w:multiLevelType w:val="hybridMultilevel"/>
    <w:tmpl w:val="2040B5EA"/>
    <w:lvl w:ilvl="0" w:tplc="0809000F">
      <w:start w:val="9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98029E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69AF255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6A4E060C"/>
    <w:multiLevelType w:val="multilevel"/>
    <w:tmpl w:val="96DAD716"/>
    <w:styleLink w:val="Style5"/>
    <w:lvl w:ilvl="0">
      <w:start w:val="1"/>
      <w:numFmt w:val="decimal"/>
      <w:lvlText w:val="5.%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4" w15:restartNumberingAfterBreak="0">
    <w:nsid w:val="6BCD57BB"/>
    <w:multiLevelType w:val="multilevel"/>
    <w:tmpl w:val="FA6EFF84"/>
    <w:lvl w:ilvl="0">
      <w:start w:val="1"/>
      <w:numFmt w:val="decimal"/>
      <w:pStyle w:val="Numberedtilelevel1"/>
      <w:lvlText w:val="%1."/>
      <w:lvlJc w:val="left"/>
      <w:pPr>
        <w:ind w:left="2552"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4.%2.%3"/>
      <w:lvlJc w:val="left"/>
      <w:pPr>
        <w:ind w:left="858"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5" w15:restartNumberingAfterBreak="0">
    <w:nsid w:val="6C9273B1"/>
    <w:multiLevelType w:val="hybridMultilevel"/>
    <w:tmpl w:val="FD266472"/>
    <w:lvl w:ilvl="0" w:tplc="58CC256C">
      <w:start w:val="1"/>
      <w:numFmt w:val="lowerLetter"/>
      <w:pStyle w:val="Level2EBAstylenumberedparagraph"/>
      <w:lvlText w:val="%1)"/>
      <w:lvlJc w:val="left"/>
      <w:pPr>
        <w:ind w:left="1644"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B">
      <w:start w:val="1"/>
      <w:numFmt w:val="lowerRoman"/>
      <w:lvlText w:val="%2."/>
      <w:lvlJc w:val="righ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86"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4B3540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75603F8D"/>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76DE7CB1"/>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777C1A7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790B705D"/>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793E1228"/>
    <w:multiLevelType w:val="hybridMultilevel"/>
    <w:tmpl w:val="A79A56DA"/>
    <w:lvl w:ilvl="0" w:tplc="6942A5C4">
      <w:start w:val="1"/>
      <w:numFmt w:val="decimal"/>
      <w:pStyle w:val="Level1EBAstylenumberedparagraphGL3"/>
      <w:lvlText w:val="3.%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A0A1380"/>
    <w:multiLevelType w:val="hybridMultilevel"/>
    <w:tmpl w:val="3A1494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4" w15:restartNumberingAfterBreak="0">
    <w:nsid w:val="7D3364A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7DAE4142"/>
    <w:multiLevelType w:val="hybridMultilevel"/>
    <w:tmpl w:val="6DA851F6"/>
    <w:lvl w:ilvl="0" w:tplc="29C03782">
      <w:start w:val="1"/>
      <w:numFmt w:val="decimal"/>
      <w:pStyle w:val="Agendaitem"/>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E3D3F1F"/>
    <w:multiLevelType w:val="hybridMultilevel"/>
    <w:tmpl w:val="50321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FD31F73"/>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5"/>
  </w:num>
  <w:num w:numId="2">
    <w:abstractNumId w:val="3"/>
  </w:num>
  <w:num w:numId="3">
    <w:abstractNumId w:val="34"/>
  </w:num>
  <w:num w:numId="4">
    <w:abstractNumId w:val="43"/>
  </w:num>
  <w:num w:numId="5">
    <w:abstractNumId w:val="86"/>
  </w:num>
  <w:num w:numId="6">
    <w:abstractNumId w:val="1"/>
  </w:num>
  <w:num w:numId="7">
    <w:abstractNumId w:val="84"/>
  </w:num>
  <w:num w:numId="8">
    <w:abstractNumId w:val="65"/>
  </w:num>
  <w:num w:numId="9">
    <w:abstractNumId w:val="0"/>
  </w:num>
  <w:num w:numId="10">
    <w:abstractNumId w:val="93"/>
  </w:num>
  <w:num w:numId="11">
    <w:abstractNumId w:val="33"/>
  </w:num>
  <w:num w:numId="1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1"/>
  </w:num>
  <w:num w:numId="14">
    <w:abstractNumId w:val="15"/>
  </w:num>
  <w:num w:numId="15">
    <w:abstractNumId w:val="52"/>
  </w:num>
  <w:num w:numId="16">
    <w:abstractNumId w:val="38"/>
  </w:num>
  <w:num w:numId="17">
    <w:abstractNumId w:val="12"/>
  </w:num>
  <w:num w:numId="18">
    <w:abstractNumId w:val="77"/>
  </w:num>
  <w:num w:numId="19">
    <w:abstractNumId w:val="17"/>
  </w:num>
  <w:num w:numId="20">
    <w:abstractNumId w:val="19"/>
  </w:num>
  <w:num w:numId="21">
    <w:abstractNumId w:val="49"/>
  </w:num>
  <w:num w:numId="22">
    <w:abstractNumId w:val="4"/>
  </w:num>
  <w:num w:numId="23">
    <w:abstractNumId w:val="53"/>
  </w:num>
  <w:num w:numId="24">
    <w:abstractNumId w:val="27"/>
  </w:num>
  <w:num w:numId="25">
    <w:abstractNumId w:val="83"/>
  </w:num>
  <w:num w:numId="26">
    <w:abstractNumId w:val="43"/>
    <w:lvlOverride w:ilvl="0">
      <w:startOverride w:val="1"/>
    </w:lvlOverride>
  </w:num>
  <w:num w:numId="27">
    <w:abstractNumId w:val="43"/>
    <w:lvlOverride w:ilvl="0">
      <w:startOverride w:val="1"/>
    </w:lvlOverride>
  </w:num>
  <w:num w:numId="28">
    <w:abstractNumId w:val="59"/>
  </w:num>
  <w:num w:numId="29">
    <w:abstractNumId w:val="94"/>
  </w:num>
  <w:num w:numId="30">
    <w:abstractNumId w:val="74"/>
  </w:num>
  <w:num w:numId="31">
    <w:abstractNumId w:val="20"/>
  </w:num>
  <w:num w:numId="32">
    <w:abstractNumId w:val="35"/>
  </w:num>
  <w:num w:numId="33">
    <w:abstractNumId w:val="87"/>
  </w:num>
  <w:num w:numId="34">
    <w:abstractNumId w:val="90"/>
  </w:num>
  <w:num w:numId="35">
    <w:abstractNumId w:val="47"/>
  </w:num>
  <w:num w:numId="36">
    <w:abstractNumId w:val="97"/>
  </w:num>
  <w:num w:numId="37">
    <w:abstractNumId w:val="18"/>
  </w:num>
  <w:num w:numId="38">
    <w:abstractNumId w:val="66"/>
  </w:num>
  <w:num w:numId="39">
    <w:abstractNumId w:val="81"/>
  </w:num>
  <w:num w:numId="40">
    <w:abstractNumId w:val="69"/>
  </w:num>
  <w:num w:numId="41">
    <w:abstractNumId w:val="45"/>
  </w:num>
  <w:num w:numId="42">
    <w:abstractNumId w:val="21"/>
  </w:num>
  <w:num w:numId="43">
    <w:abstractNumId w:val="61"/>
  </w:num>
  <w:num w:numId="44">
    <w:abstractNumId w:val="26"/>
  </w:num>
  <w:num w:numId="45">
    <w:abstractNumId w:val="51"/>
  </w:num>
  <w:num w:numId="46">
    <w:abstractNumId w:val="88"/>
  </w:num>
  <w:num w:numId="47">
    <w:abstractNumId w:val="57"/>
  </w:num>
  <w:num w:numId="48">
    <w:abstractNumId w:val="91"/>
  </w:num>
  <w:num w:numId="49">
    <w:abstractNumId w:val="40"/>
  </w:num>
  <w:num w:numId="50">
    <w:abstractNumId w:val="82"/>
  </w:num>
  <w:num w:numId="51">
    <w:abstractNumId w:val="2"/>
  </w:num>
  <w:num w:numId="52">
    <w:abstractNumId w:val="42"/>
  </w:num>
  <w:num w:numId="53">
    <w:abstractNumId w:val="84"/>
    <w:lvlOverride w:ilvl="0">
      <w:lvl w:ilvl="0">
        <w:start w:val="1"/>
        <w:numFmt w:val="decimal"/>
        <w:pStyle w:val="Numberedtilelevel1"/>
        <w:lvlText w:val="%1."/>
        <w:lvlJc w:val="left"/>
        <w:pPr>
          <w:ind w:left="1985" w:firstLine="0"/>
        </w:pPr>
        <w:rPr>
          <w:rFonts w:hint="default"/>
        </w:rPr>
      </w:lvl>
    </w:lvlOverride>
    <w:lvlOverride w:ilvl="1">
      <w:lvl w:ilvl="1">
        <w:start w:val="1"/>
        <w:numFmt w:val="decimal"/>
        <w:pStyle w:val="Numberedtitlelevel2"/>
        <w:lvlText w:val="%1.%2"/>
        <w:lvlJc w:val="left"/>
        <w:pPr>
          <w:ind w:left="0" w:firstLine="0"/>
        </w:pPr>
        <w:rPr>
          <w:rFonts w:hint="default"/>
        </w:rPr>
      </w:lvl>
    </w:lvlOverride>
    <w:lvlOverride w:ilvl="2">
      <w:lvl w:ilvl="2">
        <w:start w:val="1"/>
        <w:numFmt w:val="decimal"/>
        <w:pStyle w:val="Numberedtitlelevel3"/>
        <w:lvlText w:val="4.%2.%3"/>
        <w:lvlJc w:val="left"/>
        <w:pPr>
          <w:ind w:left="858" w:hanging="432"/>
        </w:pPr>
        <w:rPr>
          <w:rFonts w:hint="default"/>
        </w:rPr>
      </w:lvl>
    </w:lvlOverride>
    <w:lvlOverride w:ilvl="3">
      <w:lvl w:ilvl="3">
        <w:start w:val="1"/>
        <w:numFmt w:val="lowerRoman"/>
        <w:lvlText w:val="(%4)"/>
        <w:lvlJc w:val="right"/>
        <w:pPr>
          <w:ind w:left="864" w:hanging="144"/>
        </w:pPr>
        <w:rPr>
          <w:rFonts w:hint="default"/>
        </w:rPr>
      </w:lvl>
    </w:lvlOverride>
    <w:lvlOverride w:ilvl="4">
      <w:lvl w:ilvl="4">
        <w:start w:val="1"/>
        <w:numFmt w:val="decimal"/>
        <w:lvlText w:val="%5)"/>
        <w:lvlJc w:val="left"/>
        <w:pPr>
          <w:ind w:left="1008" w:hanging="432"/>
        </w:pPr>
        <w:rPr>
          <w:rFonts w:hint="default"/>
        </w:rPr>
      </w:lvl>
    </w:lvlOverride>
    <w:lvlOverride w:ilvl="5">
      <w:lvl w:ilvl="5">
        <w:start w:val="1"/>
        <w:numFmt w:val="lowerLetter"/>
        <w:lvlText w:val="%6)"/>
        <w:lvlJc w:val="left"/>
        <w:pPr>
          <w:ind w:left="1152" w:hanging="432"/>
        </w:pPr>
        <w:rPr>
          <w:rFonts w:hint="default"/>
        </w:rPr>
      </w:lvl>
    </w:lvlOverride>
    <w:lvlOverride w:ilvl="6">
      <w:lvl w:ilvl="6">
        <w:start w:val="1"/>
        <w:numFmt w:val="lowerRoman"/>
        <w:lvlText w:val="%7)"/>
        <w:lvlJc w:val="right"/>
        <w:pPr>
          <w:ind w:left="1296" w:hanging="288"/>
        </w:pPr>
        <w:rPr>
          <w:rFonts w:hint="default"/>
        </w:rPr>
      </w:lvl>
    </w:lvlOverride>
    <w:lvlOverride w:ilvl="7">
      <w:lvl w:ilvl="7">
        <w:start w:val="1"/>
        <w:numFmt w:val="lowerLetter"/>
        <w:lvlText w:val="%8."/>
        <w:lvlJc w:val="left"/>
        <w:pPr>
          <w:ind w:left="1440" w:hanging="432"/>
        </w:pPr>
        <w:rPr>
          <w:rFonts w:hint="default"/>
        </w:rPr>
      </w:lvl>
    </w:lvlOverride>
    <w:lvlOverride w:ilvl="8">
      <w:lvl w:ilvl="8">
        <w:start w:val="1"/>
        <w:numFmt w:val="lowerRoman"/>
        <w:lvlText w:val="%9."/>
        <w:lvlJc w:val="right"/>
        <w:pPr>
          <w:ind w:left="1584" w:hanging="144"/>
        </w:pPr>
        <w:rPr>
          <w:rFonts w:hint="default"/>
        </w:rPr>
      </w:lvl>
    </w:lvlOverride>
  </w:num>
  <w:num w:numId="54">
    <w:abstractNumId w:val="14"/>
  </w:num>
  <w:num w:numId="55">
    <w:abstractNumId w:val="78"/>
  </w:num>
  <w:num w:numId="56">
    <w:abstractNumId w:val="16"/>
  </w:num>
  <w:num w:numId="57">
    <w:abstractNumId w:val="36"/>
  </w:num>
  <w:num w:numId="58">
    <w:abstractNumId w:val="43"/>
    <w:lvlOverride w:ilvl="0">
      <w:startOverride w:val="1"/>
    </w:lvlOverride>
  </w:num>
  <w:num w:numId="59">
    <w:abstractNumId w:val="64"/>
  </w:num>
  <w:num w:numId="60">
    <w:abstractNumId w:val="28"/>
  </w:num>
  <w:num w:numId="61">
    <w:abstractNumId w:val="89"/>
  </w:num>
  <w:num w:numId="62">
    <w:abstractNumId w:val="37"/>
  </w:num>
  <w:num w:numId="63">
    <w:abstractNumId w:val="9"/>
  </w:num>
  <w:num w:numId="64">
    <w:abstractNumId w:val="85"/>
    <w:lvlOverride w:ilvl="0">
      <w:startOverride w:val="1"/>
    </w:lvlOverride>
  </w:num>
  <w:num w:numId="65">
    <w:abstractNumId w:val="76"/>
  </w:num>
  <w:num w:numId="66">
    <w:abstractNumId w:val="95"/>
  </w:num>
  <w:num w:numId="67">
    <w:abstractNumId w:val="50"/>
  </w:num>
  <w:num w:numId="68">
    <w:abstractNumId w:val="68"/>
  </w:num>
  <w:num w:numId="69">
    <w:abstractNumId w:val="7"/>
  </w:num>
  <w:num w:numId="70">
    <w:abstractNumId w:val="23"/>
    <w:lvlOverride w:ilvl="0">
      <w:startOverride w:val="1"/>
    </w:lvlOverride>
  </w:num>
  <w:num w:numId="71">
    <w:abstractNumId w:val="8"/>
  </w:num>
  <w:num w:numId="72">
    <w:abstractNumId w:val="92"/>
  </w:num>
  <w:num w:numId="73">
    <w:abstractNumId w:val="56"/>
  </w:num>
  <w:num w:numId="74">
    <w:abstractNumId w:val="62"/>
  </w:num>
  <w:num w:numId="75">
    <w:abstractNumId w:val="39"/>
  </w:num>
  <w:num w:numId="76">
    <w:abstractNumId w:val="25"/>
  </w:num>
  <w:num w:numId="77">
    <w:abstractNumId w:val="10"/>
  </w:num>
  <w:num w:numId="78">
    <w:abstractNumId w:val="5"/>
  </w:num>
  <w:num w:numId="79">
    <w:abstractNumId w:val="75"/>
  </w:num>
  <w:num w:numId="80">
    <w:abstractNumId w:val="31"/>
  </w:num>
  <w:num w:numId="81">
    <w:abstractNumId w:val="30"/>
  </w:num>
  <w:num w:numId="82">
    <w:abstractNumId w:val="29"/>
  </w:num>
  <w:num w:numId="83">
    <w:abstractNumId w:val="44"/>
  </w:num>
  <w:num w:numId="84">
    <w:abstractNumId w:val="41"/>
  </w:num>
  <w:num w:numId="85">
    <w:abstractNumId w:val="48"/>
  </w:num>
  <w:num w:numId="86">
    <w:abstractNumId w:val="67"/>
  </w:num>
  <w:num w:numId="87">
    <w:abstractNumId w:val="70"/>
  </w:num>
  <w:num w:numId="88">
    <w:abstractNumId w:val="22"/>
  </w:num>
  <w:num w:numId="89">
    <w:abstractNumId w:val="24"/>
  </w:num>
  <w:num w:numId="90">
    <w:abstractNumId w:val="13"/>
  </w:num>
  <w:num w:numId="91">
    <w:abstractNumId w:val="96"/>
  </w:num>
  <w:num w:numId="92">
    <w:abstractNumId w:val="80"/>
  </w:num>
  <w:num w:numId="93">
    <w:abstractNumId w:val="60"/>
  </w:num>
  <w:num w:numId="94">
    <w:abstractNumId w:val="79"/>
  </w:num>
  <w:num w:numId="95">
    <w:abstractNumId w:val="6"/>
  </w:num>
  <w:num w:numId="96">
    <w:abstractNumId w:val="73"/>
  </w:num>
  <w:num w:numId="97">
    <w:abstractNumId w:val="63"/>
  </w:num>
  <w:num w:numId="98">
    <w:abstractNumId w:val="46"/>
  </w:num>
  <w:num w:numId="99">
    <w:abstractNumId w:val="32"/>
  </w:num>
  <w:num w:numId="1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8"/>
  </w:num>
  <w:num w:numId="102">
    <w:abstractNumId w:val="72"/>
  </w:num>
  <w:num w:numId="103">
    <w:abstractNumId w:val="54"/>
  </w:num>
  <w:num w:numId="104">
    <w:abstractNumId w:val="1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BA GL-REC 20XX XX (FINAL GLS-REC ON"/>
  </w:docVars>
  <w:rsids>
    <w:rsidRoot w:val="006307A5"/>
    <w:rsid w:val="0000164A"/>
    <w:rsid w:val="00001873"/>
    <w:rsid w:val="00003F50"/>
    <w:rsid w:val="00003FE7"/>
    <w:rsid w:val="000050BD"/>
    <w:rsid w:val="000054F0"/>
    <w:rsid w:val="00006CE3"/>
    <w:rsid w:val="000103CE"/>
    <w:rsid w:val="00011112"/>
    <w:rsid w:val="000127FB"/>
    <w:rsid w:val="00013281"/>
    <w:rsid w:val="000139F5"/>
    <w:rsid w:val="00013D59"/>
    <w:rsid w:val="00014736"/>
    <w:rsid w:val="0001565B"/>
    <w:rsid w:val="00017B92"/>
    <w:rsid w:val="00021D00"/>
    <w:rsid w:val="000231B7"/>
    <w:rsid w:val="00025FB8"/>
    <w:rsid w:val="00027CA0"/>
    <w:rsid w:val="00030D65"/>
    <w:rsid w:val="000319F9"/>
    <w:rsid w:val="00032BB4"/>
    <w:rsid w:val="00037139"/>
    <w:rsid w:val="00040129"/>
    <w:rsid w:val="00045C28"/>
    <w:rsid w:val="00051446"/>
    <w:rsid w:val="00054493"/>
    <w:rsid w:val="00055F28"/>
    <w:rsid w:val="00060F40"/>
    <w:rsid w:val="00062830"/>
    <w:rsid w:val="00064B03"/>
    <w:rsid w:val="00064E6E"/>
    <w:rsid w:val="00066E93"/>
    <w:rsid w:val="0006781F"/>
    <w:rsid w:val="00070C8F"/>
    <w:rsid w:val="0007510B"/>
    <w:rsid w:val="000774B3"/>
    <w:rsid w:val="00080048"/>
    <w:rsid w:val="000810A8"/>
    <w:rsid w:val="00082E15"/>
    <w:rsid w:val="00083BCD"/>
    <w:rsid w:val="000843CD"/>
    <w:rsid w:val="000863FF"/>
    <w:rsid w:val="0008648E"/>
    <w:rsid w:val="000871FF"/>
    <w:rsid w:val="00091146"/>
    <w:rsid w:val="00093FCE"/>
    <w:rsid w:val="00096976"/>
    <w:rsid w:val="00097D87"/>
    <w:rsid w:val="000A015A"/>
    <w:rsid w:val="000A0C8A"/>
    <w:rsid w:val="000A0D00"/>
    <w:rsid w:val="000A1AE2"/>
    <w:rsid w:val="000A1C81"/>
    <w:rsid w:val="000A1C82"/>
    <w:rsid w:val="000A1DA1"/>
    <w:rsid w:val="000A290A"/>
    <w:rsid w:val="000A2B13"/>
    <w:rsid w:val="000A3851"/>
    <w:rsid w:val="000A5508"/>
    <w:rsid w:val="000B1645"/>
    <w:rsid w:val="000B1ED1"/>
    <w:rsid w:val="000B3400"/>
    <w:rsid w:val="000B41B7"/>
    <w:rsid w:val="000B4240"/>
    <w:rsid w:val="000B4BF7"/>
    <w:rsid w:val="000B6B88"/>
    <w:rsid w:val="000B6D35"/>
    <w:rsid w:val="000B7483"/>
    <w:rsid w:val="000B7C34"/>
    <w:rsid w:val="000C1171"/>
    <w:rsid w:val="000C2A99"/>
    <w:rsid w:val="000C5A8A"/>
    <w:rsid w:val="000C5BB2"/>
    <w:rsid w:val="000C5DB1"/>
    <w:rsid w:val="000C6E72"/>
    <w:rsid w:val="000C7FD8"/>
    <w:rsid w:val="000D1CEB"/>
    <w:rsid w:val="000D3170"/>
    <w:rsid w:val="000D446C"/>
    <w:rsid w:val="000D6D74"/>
    <w:rsid w:val="000D7A44"/>
    <w:rsid w:val="000D7AD5"/>
    <w:rsid w:val="000E0C27"/>
    <w:rsid w:val="000E2B47"/>
    <w:rsid w:val="000E33AA"/>
    <w:rsid w:val="000E3EE9"/>
    <w:rsid w:val="000E671A"/>
    <w:rsid w:val="000E692A"/>
    <w:rsid w:val="000E6D15"/>
    <w:rsid w:val="000F33D3"/>
    <w:rsid w:val="000F3B80"/>
    <w:rsid w:val="000F599B"/>
    <w:rsid w:val="000F607B"/>
    <w:rsid w:val="000F6495"/>
    <w:rsid w:val="000F6514"/>
    <w:rsid w:val="000F6FD8"/>
    <w:rsid w:val="000F76F8"/>
    <w:rsid w:val="0010112A"/>
    <w:rsid w:val="001012C2"/>
    <w:rsid w:val="001053C8"/>
    <w:rsid w:val="001056C9"/>
    <w:rsid w:val="001061FA"/>
    <w:rsid w:val="001062B8"/>
    <w:rsid w:val="00106F35"/>
    <w:rsid w:val="0011029C"/>
    <w:rsid w:val="0011262B"/>
    <w:rsid w:val="00114F3E"/>
    <w:rsid w:val="0011517F"/>
    <w:rsid w:val="00115EC2"/>
    <w:rsid w:val="00121BB0"/>
    <w:rsid w:val="0012300A"/>
    <w:rsid w:val="0012338A"/>
    <w:rsid w:val="0012686C"/>
    <w:rsid w:val="0013060C"/>
    <w:rsid w:val="0013090C"/>
    <w:rsid w:val="001315E6"/>
    <w:rsid w:val="00131C5D"/>
    <w:rsid w:val="001354D3"/>
    <w:rsid w:val="00145D24"/>
    <w:rsid w:val="001473BA"/>
    <w:rsid w:val="00151DA0"/>
    <w:rsid w:val="00151FD0"/>
    <w:rsid w:val="00152832"/>
    <w:rsid w:val="00153504"/>
    <w:rsid w:val="00154113"/>
    <w:rsid w:val="00154AA3"/>
    <w:rsid w:val="00155258"/>
    <w:rsid w:val="0015530F"/>
    <w:rsid w:val="001553EA"/>
    <w:rsid w:val="0015684C"/>
    <w:rsid w:val="001600FC"/>
    <w:rsid w:val="00160786"/>
    <w:rsid w:val="0016099C"/>
    <w:rsid w:val="00161169"/>
    <w:rsid w:val="0016132A"/>
    <w:rsid w:val="00163C37"/>
    <w:rsid w:val="0016411D"/>
    <w:rsid w:val="00170589"/>
    <w:rsid w:val="00172007"/>
    <w:rsid w:val="001729AB"/>
    <w:rsid w:val="0017335B"/>
    <w:rsid w:val="00173A6C"/>
    <w:rsid w:val="0017446F"/>
    <w:rsid w:val="00177CB9"/>
    <w:rsid w:val="00180998"/>
    <w:rsid w:val="001834D4"/>
    <w:rsid w:val="00183F03"/>
    <w:rsid w:val="00184935"/>
    <w:rsid w:val="001864AE"/>
    <w:rsid w:val="0018719D"/>
    <w:rsid w:val="00191579"/>
    <w:rsid w:val="00192287"/>
    <w:rsid w:val="00194113"/>
    <w:rsid w:val="001964F0"/>
    <w:rsid w:val="00196CF5"/>
    <w:rsid w:val="001A016C"/>
    <w:rsid w:val="001A05D7"/>
    <w:rsid w:val="001A181F"/>
    <w:rsid w:val="001A2A81"/>
    <w:rsid w:val="001A2D02"/>
    <w:rsid w:val="001A3BB4"/>
    <w:rsid w:val="001A4516"/>
    <w:rsid w:val="001A4F68"/>
    <w:rsid w:val="001A5BD4"/>
    <w:rsid w:val="001A5BE2"/>
    <w:rsid w:val="001A6C10"/>
    <w:rsid w:val="001A70A8"/>
    <w:rsid w:val="001A7315"/>
    <w:rsid w:val="001B0409"/>
    <w:rsid w:val="001B2C0D"/>
    <w:rsid w:val="001B328F"/>
    <w:rsid w:val="001B6017"/>
    <w:rsid w:val="001B7A0B"/>
    <w:rsid w:val="001B7A20"/>
    <w:rsid w:val="001B7EB3"/>
    <w:rsid w:val="001C0FA8"/>
    <w:rsid w:val="001C1FD9"/>
    <w:rsid w:val="001C2168"/>
    <w:rsid w:val="001C256A"/>
    <w:rsid w:val="001C3BA1"/>
    <w:rsid w:val="001C405C"/>
    <w:rsid w:val="001C5BC2"/>
    <w:rsid w:val="001C7C25"/>
    <w:rsid w:val="001D0179"/>
    <w:rsid w:val="001D686C"/>
    <w:rsid w:val="001E02B5"/>
    <w:rsid w:val="001E1188"/>
    <w:rsid w:val="001E14A9"/>
    <w:rsid w:val="001E17DC"/>
    <w:rsid w:val="001E1BFB"/>
    <w:rsid w:val="001E3599"/>
    <w:rsid w:val="001E4450"/>
    <w:rsid w:val="001E7CEB"/>
    <w:rsid w:val="001F1C7A"/>
    <w:rsid w:val="001F1CB9"/>
    <w:rsid w:val="001F40E9"/>
    <w:rsid w:val="001F5455"/>
    <w:rsid w:val="001F7501"/>
    <w:rsid w:val="00203504"/>
    <w:rsid w:val="00204D15"/>
    <w:rsid w:val="002052D3"/>
    <w:rsid w:val="00205878"/>
    <w:rsid w:val="0021159E"/>
    <w:rsid w:val="0021384E"/>
    <w:rsid w:val="00213D7B"/>
    <w:rsid w:val="00214DEC"/>
    <w:rsid w:val="002167A6"/>
    <w:rsid w:val="00217FFB"/>
    <w:rsid w:val="002209ED"/>
    <w:rsid w:val="00220E9E"/>
    <w:rsid w:val="002239FF"/>
    <w:rsid w:val="00223E63"/>
    <w:rsid w:val="00224761"/>
    <w:rsid w:val="00224A3F"/>
    <w:rsid w:val="00224D96"/>
    <w:rsid w:val="002250AE"/>
    <w:rsid w:val="00225ACA"/>
    <w:rsid w:val="002261E4"/>
    <w:rsid w:val="00226FB0"/>
    <w:rsid w:val="00227B17"/>
    <w:rsid w:val="00227FBC"/>
    <w:rsid w:val="002306C7"/>
    <w:rsid w:val="00231418"/>
    <w:rsid w:val="0023362F"/>
    <w:rsid w:val="00233E47"/>
    <w:rsid w:val="00235461"/>
    <w:rsid w:val="00240364"/>
    <w:rsid w:val="0024156A"/>
    <w:rsid w:val="00241BD8"/>
    <w:rsid w:val="002434B0"/>
    <w:rsid w:val="00243BC6"/>
    <w:rsid w:val="00244F64"/>
    <w:rsid w:val="00250098"/>
    <w:rsid w:val="0025193E"/>
    <w:rsid w:val="00254CA9"/>
    <w:rsid w:val="00260401"/>
    <w:rsid w:val="00263D2C"/>
    <w:rsid w:val="00264C94"/>
    <w:rsid w:val="002652C4"/>
    <w:rsid w:val="00267258"/>
    <w:rsid w:val="0027418E"/>
    <w:rsid w:val="00275AAF"/>
    <w:rsid w:val="00281650"/>
    <w:rsid w:val="00286133"/>
    <w:rsid w:val="00287244"/>
    <w:rsid w:val="00287654"/>
    <w:rsid w:val="00287AE3"/>
    <w:rsid w:val="002906F8"/>
    <w:rsid w:val="00290DA3"/>
    <w:rsid w:val="0029310F"/>
    <w:rsid w:val="00293B41"/>
    <w:rsid w:val="00294AED"/>
    <w:rsid w:val="002A3766"/>
    <w:rsid w:val="002A3A19"/>
    <w:rsid w:val="002A46AD"/>
    <w:rsid w:val="002B0C2B"/>
    <w:rsid w:val="002B2684"/>
    <w:rsid w:val="002B31E9"/>
    <w:rsid w:val="002B34CD"/>
    <w:rsid w:val="002B3691"/>
    <w:rsid w:val="002B4E80"/>
    <w:rsid w:val="002B5EB3"/>
    <w:rsid w:val="002B7740"/>
    <w:rsid w:val="002B79CF"/>
    <w:rsid w:val="002C0DCF"/>
    <w:rsid w:val="002C3BC5"/>
    <w:rsid w:val="002C3F40"/>
    <w:rsid w:val="002C5467"/>
    <w:rsid w:val="002C75CD"/>
    <w:rsid w:val="002D1867"/>
    <w:rsid w:val="002D295E"/>
    <w:rsid w:val="002D5247"/>
    <w:rsid w:val="002D78EC"/>
    <w:rsid w:val="002E4A9C"/>
    <w:rsid w:val="002F003B"/>
    <w:rsid w:val="002F2009"/>
    <w:rsid w:val="002F2A06"/>
    <w:rsid w:val="002F4218"/>
    <w:rsid w:val="002F421D"/>
    <w:rsid w:val="002F58CD"/>
    <w:rsid w:val="002F75CA"/>
    <w:rsid w:val="00300924"/>
    <w:rsid w:val="003013DE"/>
    <w:rsid w:val="00301E04"/>
    <w:rsid w:val="003025A8"/>
    <w:rsid w:val="00302B31"/>
    <w:rsid w:val="00305315"/>
    <w:rsid w:val="003129B6"/>
    <w:rsid w:val="00312E22"/>
    <w:rsid w:val="00312F7E"/>
    <w:rsid w:val="003147B0"/>
    <w:rsid w:val="00314D6E"/>
    <w:rsid w:val="00316446"/>
    <w:rsid w:val="00320E57"/>
    <w:rsid w:val="003221EF"/>
    <w:rsid w:val="00322C23"/>
    <w:rsid w:val="003232A8"/>
    <w:rsid w:val="003236F4"/>
    <w:rsid w:val="003248A2"/>
    <w:rsid w:val="00324ADB"/>
    <w:rsid w:val="00325BAF"/>
    <w:rsid w:val="00326000"/>
    <w:rsid w:val="00330AFD"/>
    <w:rsid w:val="0033269F"/>
    <w:rsid w:val="003330B2"/>
    <w:rsid w:val="00336846"/>
    <w:rsid w:val="00341603"/>
    <w:rsid w:val="003422EE"/>
    <w:rsid w:val="00342DDB"/>
    <w:rsid w:val="00342FC5"/>
    <w:rsid w:val="00345B68"/>
    <w:rsid w:val="003472FA"/>
    <w:rsid w:val="00350F35"/>
    <w:rsid w:val="0035477B"/>
    <w:rsid w:val="00354C77"/>
    <w:rsid w:val="0035511D"/>
    <w:rsid w:val="003604AA"/>
    <w:rsid w:val="00362332"/>
    <w:rsid w:val="00364D80"/>
    <w:rsid w:val="0036621C"/>
    <w:rsid w:val="00370C32"/>
    <w:rsid w:val="00370D2D"/>
    <w:rsid w:val="00372BEC"/>
    <w:rsid w:val="003734B7"/>
    <w:rsid w:val="00374408"/>
    <w:rsid w:val="00374A74"/>
    <w:rsid w:val="00374B36"/>
    <w:rsid w:val="00380B5B"/>
    <w:rsid w:val="00381B8C"/>
    <w:rsid w:val="00383AF3"/>
    <w:rsid w:val="00383B0B"/>
    <w:rsid w:val="00383D59"/>
    <w:rsid w:val="0038409B"/>
    <w:rsid w:val="00385F26"/>
    <w:rsid w:val="003865B8"/>
    <w:rsid w:val="00387A0D"/>
    <w:rsid w:val="00392385"/>
    <w:rsid w:val="00392DA5"/>
    <w:rsid w:val="003978EF"/>
    <w:rsid w:val="003A0C17"/>
    <w:rsid w:val="003A153C"/>
    <w:rsid w:val="003A32FD"/>
    <w:rsid w:val="003A3C73"/>
    <w:rsid w:val="003A423D"/>
    <w:rsid w:val="003A4FE3"/>
    <w:rsid w:val="003A7054"/>
    <w:rsid w:val="003B006B"/>
    <w:rsid w:val="003B3572"/>
    <w:rsid w:val="003B44C6"/>
    <w:rsid w:val="003C0268"/>
    <w:rsid w:val="003C1707"/>
    <w:rsid w:val="003C60DD"/>
    <w:rsid w:val="003C7923"/>
    <w:rsid w:val="003D2E32"/>
    <w:rsid w:val="003D37C4"/>
    <w:rsid w:val="003D45EA"/>
    <w:rsid w:val="003D52A9"/>
    <w:rsid w:val="003D63BC"/>
    <w:rsid w:val="003D7471"/>
    <w:rsid w:val="003D7588"/>
    <w:rsid w:val="003D7A72"/>
    <w:rsid w:val="003D7CBD"/>
    <w:rsid w:val="003E228C"/>
    <w:rsid w:val="003E318D"/>
    <w:rsid w:val="003E75C1"/>
    <w:rsid w:val="00401618"/>
    <w:rsid w:val="0040363F"/>
    <w:rsid w:val="00404C6C"/>
    <w:rsid w:val="00405AB0"/>
    <w:rsid w:val="00410DCE"/>
    <w:rsid w:val="00411D58"/>
    <w:rsid w:val="00412567"/>
    <w:rsid w:val="00415865"/>
    <w:rsid w:val="004172D1"/>
    <w:rsid w:val="00417D80"/>
    <w:rsid w:val="004228AD"/>
    <w:rsid w:val="00423FEE"/>
    <w:rsid w:val="00424507"/>
    <w:rsid w:val="00424530"/>
    <w:rsid w:val="00426614"/>
    <w:rsid w:val="00426944"/>
    <w:rsid w:val="00427D21"/>
    <w:rsid w:val="0043189A"/>
    <w:rsid w:val="004329AF"/>
    <w:rsid w:val="0043577F"/>
    <w:rsid w:val="00435FE3"/>
    <w:rsid w:val="0043675A"/>
    <w:rsid w:val="00440B71"/>
    <w:rsid w:val="00441F85"/>
    <w:rsid w:val="004437C6"/>
    <w:rsid w:val="00446BEC"/>
    <w:rsid w:val="0045301B"/>
    <w:rsid w:val="00453575"/>
    <w:rsid w:val="004559F3"/>
    <w:rsid w:val="00455E0E"/>
    <w:rsid w:val="0045613B"/>
    <w:rsid w:val="004578B9"/>
    <w:rsid w:val="00466038"/>
    <w:rsid w:val="0046628F"/>
    <w:rsid w:val="00466D82"/>
    <w:rsid w:val="00470AE0"/>
    <w:rsid w:val="004719B4"/>
    <w:rsid w:val="00471CA1"/>
    <w:rsid w:val="00471CCE"/>
    <w:rsid w:val="00474C81"/>
    <w:rsid w:val="004769AA"/>
    <w:rsid w:val="0047798B"/>
    <w:rsid w:val="00481AC4"/>
    <w:rsid w:val="00482FB6"/>
    <w:rsid w:val="00484737"/>
    <w:rsid w:val="004868DB"/>
    <w:rsid w:val="004909C6"/>
    <w:rsid w:val="00491086"/>
    <w:rsid w:val="00491E5E"/>
    <w:rsid w:val="004955E7"/>
    <w:rsid w:val="0049566E"/>
    <w:rsid w:val="004A40E7"/>
    <w:rsid w:val="004A432F"/>
    <w:rsid w:val="004A571D"/>
    <w:rsid w:val="004A5D8B"/>
    <w:rsid w:val="004B02B1"/>
    <w:rsid w:val="004B061E"/>
    <w:rsid w:val="004B2FC0"/>
    <w:rsid w:val="004B5F94"/>
    <w:rsid w:val="004B7719"/>
    <w:rsid w:val="004B7784"/>
    <w:rsid w:val="004C1B19"/>
    <w:rsid w:val="004C2766"/>
    <w:rsid w:val="004C29D3"/>
    <w:rsid w:val="004C31B7"/>
    <w:rsid w:val="004C54D4"/>
    <w:rsid w:val="004C6137"/>
    <w:rsid w:val="004C6392"/>
    <w:rsid w:val="004C7B3C"/>
    <w:rsid w:val="004D15A8"/>
    <w:rsid w:val="004D193D"/>
    <w:rsid w:val="004D3523"/>
    <w:rsid w:val="004D420E"/>
    <w:rsid w:val="004D7668"/>
    <w:rsid w:val="004E07FB"/>
    <w:rsid w:val="004E1640"/>
    <w:rsid w:val="004E28CA"/>
    <w:rsid w:val="004E2EBB"/>
    <w:rsid w:val="004E405B"/>
    <w:rsid w:val="004E4301"/>
    <w:rsid w:val="004E7816"/>
    <w:rsid w:val="004F0AB6"/>
    <w:rsid w:val="004F2128"/>
    <w:rsid w:val="004F4191"/>
    <w:rsid w:val="004F63DB"/>
    <w:rsid w:val="005033AB"/>
    <w:rsid w:val="00503607"/>
    <w:rsid w:val="00503F51"/>
    <w:rsid w:val="00504DF3"/>
    <w:rsid w:val="00505C64"/>
    <w:rsid w:val="00506034"/>
    <w:rsid w:val="005102E6"/>
    <w:rsid w:val="005105EF"/>
    <w:rsid w:val="00511EAB"/>
    <w:rsid w:val="00512343"/>
    <w:rsid w:val="00512BE4"/>
    <w:rsid w:val="005159E8"/>
    <w:rsid w:val="0051674D"/>
    <w:rsid w:val="00517844"/>
    <w:rsid w:val="00523867"/>
    <w:rsid w:val="00523895"/>
    <w:rsid w:val="00523C52"/>
    <w:rsid w:val="00525956"/>
    <w:rsid w:val="00526A57"/>
    <w:rsid w:val="00526E71"/>
    <w:rsid w:val="0053068F"/>
    <w:rsid w:val="00532A7D"/>
    <w:rsid w:val="0053302E"/>
    <w:rsid w:val="00533636"/>
    <w:rsid w:val="00536003"/>
    <w:rsid w:val="00536A1C"/>
    <w:rsid w:val="005370A5"/>
    <w:rsid w:val="005410AB"/>
    <w:rsid w:val="0054133A"/>
    <w:rsid w:val="00542057"/>
    <w:rsid w:val="00542B75"/>
    <w:rsid w:val="00542F5E"/>
    <w:rsid w:val="00543A44"/>
    <w:rsid w:val="00544B1C"/>
    <w:rsid w:val="005455FB"/>
    <w:rsid w:val="0055721D"/>
    <w:rsid w:val="00557A7E"/>
    <w:rsid w:val="005610CB"/>
    <w:rsid w:val="005614D9"/>
    <w:rsid w:val="00564B6C"/>
    <w:rsid w:val="00565691"/>
    <w:rsid w:val="00565DDE"/>
    <w:rsid w:val="00567BAF"/>
    <w:rsid w:val="0057041B"/>
    <w:rsid w:val="00571BB6"/>
    <w:rsid w:val="00573345"/>
    <w:rsid w:val="00575BA7"/>
    <w:rsid w:val="00576931"/>
    <w:rsid w:val="00576DCF"/>
    <w:rsid w:val="00581A79"/>
    <w:rsid w:val="00582AA7"/>
    <w:rsid w:val="00582ABB"/>
    <w:rsid w:val="00583DFB"/>
    <w:rsid w:val="00584538"/>
    <w:rsid w:val="0058477C"/>
    <w:rsid w:val="0058568F"/>
    <w:rsid w:val="00585E97"/>
    <w:rsid w:val="00586FFF"/>
    <w:rsid w:val="0059109E"/>
    <w:rsid w:val="00591430"/>
    <w:rsid w:val="00592AFF"/>
    <w:rsid w:val="00594D95"/>
    <w:rsid w:val="00594DCF"/>
    <w:rsid w:val="0059752F"/>
    <w:rsid w:val="005A2C8E"/>
    <w:rsid w:val="005A5EF3"/>
    <w:rsid w:val="005A6911"/>
    <w:rsid w:val="005A7A54"/>
    <w:rsid w:val="005B05FB"/>
    <w:rsid w:val="005B08DC"/>
    <w:rsid w:val="005B1A35"/>
    <w:rsid w:val="005B1D72"/>
    <w:rsid w:val="005B4570"/>
    <w:rsid w:val="005B5C09"/>
    <w:rsid w:val="005B6C03"/>
    <w:rsid w:val="005C06A8"/>
    <w:rsid w:val="005C1655"/>
    <w:rsid w:val="005C3DFF"/>
    <w:rsid w:val="005C498B"/>
    <w:rsid w:val="005D089E"/>
    <w:rsid w:val="005D3CD2"/>
    <w:rsid w:val="005D4005"/>
    <w:rsid w:val="005D40D1"/>
    <w:rsid w:val="005D4FB4"/>
    <w:rsid w:val="005E00C8"/>
    <w:rsid w:val="005E0590"/>
    <w:rsid w:val="005E0EFF"/>
    <w:rsid w:val="005E3D12"/>
    <w:rsid w:val="005E484A"/>
    <w:rsid w:val="005E5F40"/>
    <w:rsid w:val="005F08C3"/>
    <w:rsid w:val="005F1F68"/>
    <w:rsid w:val="005F2090"/>
    <w:rsid w:val="005F7798"/>
    <w:rsid w:val="006017FA"/>
    <w:rsid w:val="0060319E"/>
    <w:rsid w:val="0060504F"/>
    <w:rsid w:val="006059B2"/>
    <w:rsid w:val="00605C43"/>
    <w:rsid w:val="00607BAD"/>
    <w:rsid w:val="00610305"/>
    <w:rsid w:val="00610419"/>
    <w:rsid w:val="00611DDB"/>
    <w:rsid w:val="006121DA"/>
    <w:rsid w:val="00612513"/>
    <w:rsid w:val="00612C7B"/>
    <w:rsid w:val="00613819"/>
    <w:rsid w:val="00616518"/>
    <w:rsid w:val="00616A3B"/>
    <w:rsid w:val="006203CA"/>
    <w:rsid w:val="006209BD"/>
    <w:rsid w:val="00621CC0"/>
    <w:rsid w:val="006224C1"/>
    <w:rsid w:val="00623A32"/>
    <w:rsid w:val="00624513"/>
    <w:rsid w:val="006269B7"/>
    <w:rsid w:val="006275DB"/>
    <w:rsid w:val="00627CF7"/>
    <w:rsid w:val="006307A5"/>
    <w:rsid w:val="006315BC"/>
    <w:rsid w:val="00633DC7"/>
    <w:rsid w:val="00633FEA"/>
    <w:rsid w:val="00635EDB"/>
    <w:rsid w:val="00636E1D"/>
    <w:rsid w:val="00637AAD"/>
    <w:rsid w:val="00640AC8"/>
    <w:rsid w:val="006435B7"/>
    <w:rsid w:val="00643904"/>
    <w:rsid w:val="00644DF2"/>
    <w:rsid w:val="00645591"/>
    <w:rsid w:val="00647136"/>
    <w:rsid w:val="0065013B"/>
    <w:rsid w:val="006508F4"/>
    <w:rsid w:val="00652CBA"/>
    <w:rsid w:val="006530E2"/>
    <w:rsid w:val="006545F2"/>
    <w:rsid w:val="00655112"/>
    <w:rsid w:val="0066063F"/>
    <w:rsid w:val="00660D38"/>
    <w:rsid w:val="00661296"/>
    <w:rsid w:val="00661C8D"/>
    <w:rsid w:val="00663026"/>
    <w:rsid w:val="00663A8F"/>
    <w:rsid w:val="00663B0A"/>
    <w:rsid w:val="00663CBD"/>
    <w:rsid w:val="006641F8"/>
    <w:rsid w:val="00665FCC"/>
    <w:rsid w:val="00667482"/>
    <w:rsid w:val="006676B9"/>
    <w:rsid w:val="00670254"/>
    <w:rsid w:val="006710AA"/>
    <w:rsid w:val="006714CB"/>
    <w:rsid w:val="006803E9"/>
    <w:rsid w:val="00680BAA"/>
    <w:rsid w:val="006812EE"/>
    <w:rsid w:val="006817CA"/>
    <w:rsid w:val="00683E47"/>
    <w:rsid w:val="0068487B"/>
    <w:rsid w:val="00685245"/>
    <w:rsid w:val="00685CE0"/>
    <w:rsid w:val="006861C3"/>
    <w:rsid w:val="00690A91"/>
    <w:rsid w:val="006922BD"/>
    <w:rsid w:val="00692D01"/>
    <w:rsid w:val="006933C0"/>
    <w:rsid w:val="00695592"/>
    <w:rsid w:val="00695FCA"/>
    <w:rsid w:val="006967AC"/>
    <w:rsid w:val="00696DB5"/>
    <w:rsid w:val="006973AC"/>
    <w:rsid w:val="00697422"/>
    <w:rsid w:val="006A05FE"/>
    <w:rsid w:val="006A1ED3"/>
    <w:rsid w:val="006A2EEA"/>
    <w:rsid w:val="006A4629"/>
    <w:rsid w:val="006A53E4"/>
    <w:rsid w:val="006A69BF"/>
    <w:rsid w:val="006A7ABD"/>
    <w:rsid w:val="006B16F1"/>
    <w:rsid w:val="006B19CA"/>
    <w:rsid w:val="006B49B0"/>
    <w:rsid w:val="006B65C1"/>
    <w:rsid w:val="006C186D"/>
    <w:rsid w:val="006C33BC"/>
    <w:rsid w:val="006C692B"/>
    <w:rsid w:val="006C7A10"/>
    <w:rsid w:val="006D0FC2"/>
    <w:rsid w:val="006D2673"/>
    <w:rsid w:val="006D676A"/>
    <w:rsid w:val="006D7393"/>
    <w:rsid w:val="006D7EEE"/>
    <w:rsid w:val="006E08F8"/>
    <w:rsid w:val="006E0BA4"/>
    <w:rsid w:val="006E110E"/>
    <w:rsid w:val="006E1745"/>
    <w:rsid w:val="006E284E"/>
    <w:rsid w:val="006E55E1"/>
    <w:rsid w:val="006F2E13"/>
    <w:rsid w:val="006F3266"/>
    <w:rsid w:val="006F445D"/>
    <w:rsid w:val="006F606D"/>
    <w:rsid w:val="006F6849"/>
    <w:rsid w:val="006F72C6"/>
    <w:rsid w:val="006F78FA"/>
    <w:rsid w:val="00700008"/>
    <w:rsid w:val="00700104"/>
    <w:rsid w:val="00701095"/>
    <w:rsid w:val="00701E89"/>
    <w:rsid w:val="007031D3"/>
    <w:rsid w:val="00703E4E"/>
    <w:rsid w:val="00706FA2"/>
    <w:rsid w:val="007071C6"/>
    <w:rsid w:val="007076C5"/>
    <w:rsid w:val="00711E1C"/>
    <w:rsid w:val="00712A3F"/>
    <w:rsid w:val="00713039"/>
    <w:rsid w:val="00714F64"/>
    <w:rsid w:val="00715E81"/>
    <w:rsid w:val="007166B3"/>
    <w:rsid w:val="00717577"/>
    <w:rsid w:val="00717C4E"/>
    <w:rsid w:val="00721FBA"/>
    <w:rsid w:val="00722BBB"/>
    <w:rsid w:val="00727E4E"/>
    <w:rsid w:val="00730352"/>
    <w:rsid w:val="007320FF"/>
    <w:rsid w:val="00732383"/>
    <w:rsid w:val="00732A46"/>
    <w:rsid w:val="00732D26"/>
    <w:rsid w:val="00732E48"/>
    <w:rsid w:val="00733026"/>
    <w:rsid w:val="00733883"/>
    <w:rsid w:val="00733C5C"/>
    <w:rsid w:val="007350A4"/>
    <w:rsid w:val="00735BEE"/>
    <w:rsid w:val="007367E7"/>
    <w:rsid w:val="00742839"/>
    <w:rsid w:val="00746300"/>
    <w:rsid w:val="0075036E"/>
    <w:rsid w:val="00751067"/>
    <w:rsid w:val="007514B4"/>
    <w:rsid w:val="0075232B"/>
    <w:rsid w:val="00752651"/>
    <w:rsid w:val="00753BAC"/>
    <w:rsid w:val="00755505"/>
    <w:rsid w:val="00756CBE"/>
    <w:rsid w:val="007570C1"/>
    <w:rsid w:val="007575AC"/>
    <w:rsid w:val="00757F6B"/>
    <w:rsid w:val="00762532"/>
    <w:rsid w:val="00762690"/>
    <w:rsid w:val="0076316D"/>
    <w:rsid w:val="0076366C"/>
    <w:rsid w:val="007708C9"/>
    <w:rsid w:val="00772993"/>
    <w:rsid w:val="00773E1D"/>
    <w:rsid w:val="00775705"/>
    <w:rsid w:val="00775D00"/>
    <w:rsid w:val="007815FB"/>
    <w:rsid w:val="00781D80"/>
    <w:rsid w:val="00783BEA"/>
    <w:rsid w:val="00787212"/>
    <w:rsid w:val="00790EFE"/>
    <w:rsid w:val="00793FCE"/>
    <w:rsid w:val="0079576A"/>
    <w:rsid w:val="00796F65"/>
    <w:rsid w:val="00797E31"/>
    <w:rsid w:val="007A0054"/>
    <w:rsid w:val="007A0824"/>
    <w:rsid w:val="007A1E70"/>
    <w:rsid w:val="007A31D2"/>
    <w:rsid w:val="007A44A6"/>
    <w:rsid w:val="007A5353"/>
    <w:rsid w:val="007A5862"/>
    <w:rsid w:val="007A7A63"/>
    <w:rsid w:val="007B2436"/>
    <w:rsid w:val="007B3D63"/>
    <w:rsid w:val="007B69D6"/>
    <w:rsid w:val="007C0EB2"/>
    <w:rsid w:val="007C55D0"/>
    <w:rsid w:val="007C59AC"/>
    <w:rsid w:val="007C62FC"/>
    <w:rsid w:val="007C6322"/>
    <w:rsid w:val="007D0CC3"/>
    <w:rsid w:val="007D40CC"/>
    <w:rsid w:val="007D5140"/>
    <w:rsid w:val="007D5379"/>
    <w:rsid w:val="007D78E6"/>
    <w:rsid w:val="007E01F5"/>
    <w:rsid w:val="007E0FF1"/>
    <w:rsid w:val="007E1787"/>
    <w:rsid w:val="007E1C15"/>
    <w:rsid w:val="007E4A28"/>
    <w:rsid w:val="007E6839"/>
    <w:rsid w:val="007E7260"/>
    <w:rsid w:val="007E7A88"/>
    <w:rsid w:val="007F16D8"/>
    <w:rsid w:val="007F270B"/>
    <w:rsid w:val="007F59EF"/>
    <w:rsid w:val="007F75CE"/>
    <w:rsid w:val="00800E7A"/>
    <w:rsid w:val="008018CB"/>
    <w:rsid w:val="008020B5"/>
    <w:rsid w:val="008022FF"/>
    <w:rsid w:val="008042C5"/>
    <w:rsid w:val="008054D4"/>
    <w:rsid w:val="00807AB5"/>
    <w:rsid w:val="00810385"/>
    <w:rsid w:val="00810E60"/>
    <w:rsid w:val="00811821"/>
    <w:rsid w:val="00813BAC"/>
    <w:rsid w:val="00813CD4"/>
    <w:rsid w:val="008153E3"/>
    <w:rsid w:val="0081550E"/>
    <w:rsid w:val="00821103"/>
    <w:rsid w:val="00821B9D"/>
    <w:rsid w:val="00825406"/>
    <w:rsid w:val="00825B63"/>
    <w:rsid w:val="00825F4D"/>
    <w:rsid w:val="00830A22"/>
    <w:rsid w:val="00830E28"/>
    <w:rsid w:val="00831D66"/>
    <w:rsid w:val="00833290"/>
    <w:rsid w:val="0083388B"/>
    <w:rsid w:val="0083440E"/>
    <w:rsid w:val="008344AD"/>
    <w:rsid w:val="00836E6F"/>
    <w:rsid w:val="008373E2"/>
    <w:rsid w:val="008376E9"/>
    <w:rsid w:val="00837D88"/>
    <w:rsid w:val="0084468C"/>
    <w:rsid w:val="0084753E"/>
    <w:rsid w:val="008501B0"/>
    <w:rsid w:val="008552A0"/>
    <w:rsid w:val="00857E87"/>
    <w:rsid w:val="00860C0B"/>
    <w:rsid w:val="00861384"/>
    <w:rsid w:val="008633CF"/>
    <w:rsid w:val="00863D01"/>
    <w:rsid w:val="0086423A"/>
    <w:rsid w:val="00865043"/>
    <w:rsid w:val="00865492"/>
    <w:rsid w:val="00866C8B"/>
    <w:rsid w:val="00867CB4"/>
    <w:rsid w:val="008708AB"/>
    <w:rsid w:val="00872E8A"/>
    <w:rsid w:val="00874ED5"/>
    <w:rsid w:val="00875731"/>
    <w:rsid w:val="008761B3"/>
    <w:rsid w:val="00876E2E"/>
    <w:rsid w:val="00880C5B"/>
    <w:rsid w:val="00884CF0"/>
    <w:rsid w:val="0088724C"/>
    <w:rsid w:val="00890721"/>
    <w:rsid w:val="008940AC"/>
    <w:rsid w:val="0089493F"/>
    <w:rsid w:val="00897F12"/>
    <w:rsid w:val="008A55BB"/>
    <w:rsid w:val="008A65D7"/>
    <w:rsid w:val="008B168B"/>
    <w:rsid w:val="008B43A5"/>
    <w:rsid w:val="008B4A35"/>
    <w:rsid w:val="008B6ED3"/>
    <w:rsid w:val="008C0F3E"/>
    <w:rsid w:val="008C1A94"/>
    <w:rsid w:val="008C3D3F"/>
    <w:rsid w:val="008C5B82"/>
    <w:rsid w:val="008D054C"/>
    <w:rsid w:val="008D2CB9"/>
    <w:rsid w:val="008D3A00"/>
    <w:rsid w:val="008D3F7C"/>
    <w:rsid w:val="008D6839"/>
    <w:rsid w:val="008D752F"/>
    <w:rsid w:val="008E081B"/>
    <w:rsid w:val="008E1499"/>
    <w:rsid w:val="008E3442"/>
    <w:rsid w:val="008E3B19"/>
    <w:rsid w:val="008E59A6"/>
    <w:rsid w:val="008F03E4"/>
    <w:rsid w:val="008F3908"/>
    <w:rsid w:val="008F402E"/>
    <w:rsid w:val="008F585D"/>
    <w:rsid w:val="008F5E14"/>
    <w:rsid w:val="008F6389"/>
    <w:rsid w:val="008F6916"/>
    <w:rsid w:val="009014B6"/>
    <w:rsid w:val="009031B1"/>
    <w:rsid w:val="0090371F"/>
    <w:rsid w:val="00905139"/>
    <w:rsid w:val="00911013"/>
    <w:rsid w:val="00911B39"/>
    <w:rsid w:val="00912882"/>
    <w:rsid w:val="00912895"/>
    <w:rsid w:val="009130CC"/>
    <w:rsid w:val="00913E04"/>
    <w:rsid w:val="009143B1"/>
    <w:rsid w:val="00916F9D"/>
    <w:rsid w:val="009210DE"/>
    <w:rsid w:val="00921363"/>
    <w:rsid w:val="00923294"/>
    <w:rsid w:val="00923A04"/>
    <w:rsid w:val="00923A8E"/>
    <w:rsid w:val="00923AA4"/>
    <w:rsid w:val="00924F4F"/>
    <w:rsid w:val="00926D57"/>
    <w:rsid w:val="0092700D"/>
    <w:rsid w:val="009303F2"/>
    <w:rsid w:val="00930C72"/>
    <w:rsid w:val="0093123C"/>
    <w:rsid w:val="00931619"/>
    <w:rsid w:val="00931807"/>
    <w:rsid w:val="009341C1"/>
    <w:rsid w:val="0093475D"/>
    <w:rsid w:val="00936876"/>
    <w:rsid w:val="00937940"/>
    <w:rsid w:val="00943B87"/>
    <w:rsid w:val="00943DE4"/>
    <w:rsid w:val="00950496"/>
    <w:rsid w:val="009508CD"/>
    <w:rsid w:val="00956912"/>
    <w:rsid w:val="00956C96"/>
    <w:rsid w:val="00956DFE"/>
    <w:rsid w:val="00957E7C"/>
    <w:rsid w:val="00960B74"/>
    <w:rsid w:val="0096160F"/>
    <w:rsid w:val="00961F32"/>
    <w:rsid w:val="00963F12"/>
    <w:rsid w:val="0096401F"/>
    <w:rsid w:val="00965B80"/>
    <w:rsid w:val="00970869"/>
    <w:rsid w:val="00970CCD"/>
    <w:rsid w:val="009710C3"/>
    <w:rsid w:val="009717DF"/>
    <w:rsid w:val="009719E0"/>
    <w:rsid w:val="009726D1"/>
    <w:rsid w:val="00974BDE"/>
    <w:rsid w:val="009804F1"/>
    <w:rsid w:val="0098202C"/>
    <w:rsid w:val="00982C8D"/>
    <w:rsid w:val="00982D12"/>
    <w:rsid w:val="009864C8"/>
    <w:rsid w:val="00986ACD"/>
    <w:rsid w:val="00986CDB"/>
    <w:rsid w:val="009873C9"/>
    <w:rsid w:val="0099084D"/>
    <w:rsid w:val="00990CC6"/>
    <w:rsid w:val="0099143B"/>
    <w:rsid w:val="009920C5"/>
    <w:rsid w:val="00993B1E"/>
    <w:rsid w:val="00994D57"/>
    <w:rsid w:val="00995241"/>
    <w:rsid w:val="009A2AE9"/>
    <w:rsid w:val="009A304B"/>
    <w:rsid w:val="009A3970"/>
    <w:rsid w:val="009A3B1B"/>
    <w:rsid w:val="009B0216"/>
    <w:rsid w:val="009B06AD"/>
    <w:rsid w:val="009B0743"/>
    <w:rsid w:val="009B3DCD"/>
    <w:rsid w:val="009B45D4"/>
    <w:rsid w:val="009C050A"/>
    <w:rsid w:val="009C12C9"/>
    <w:rsid w:val="009C1CE7"/>
    <w:rsid w:val="009C364F"/>
    <w:rsid w:val="009C3D1C"/>
    <w:rsid w:val="009C6A9A"/>
    <w:rsid w:val="009C71BB"/>
    <w:rsid w:val="009D0CD1"/>
    <w:rsid w:val="009D19D0"/>
    <w:rsid w:val="009D1AD7"/>
    <w:rsid w:val="009D1B62"/>
    <w:rsid w:val="009D3392"/>
    <w:rsid w:val="009D55F7"/>
    <w:rsid w:val="009D7E7D"/>
    <w:rsid w:val="009E0D5F"/>
    <w:rsid w:val="009E1CAB"/>
    <w:rsid w:val="009E38A2"/>
    <w:rsid w:val="009E5680"/>
    <w:rsid w:val="009E56DA"/>
    <w:rsid w:val="009E6075"/>
    <w:rsid w:val="009E76BE"/>
    <w:rsid w:val="009E79BF"/>
    <w:rsid w:val="009F0DE1"/>
    <w:rsid w:val="009F12DA"/>
    <w:rsid w:val="009F3FE6"/>
    <w:rsid w:val="009F53AF"/>
    <w:rsid w:val="009F6460"/>
    <w:rsid w:val="00A00E34"/>
    <w:rsid w:val="00A02343"/>
    <w:rsid w:val="00A03F92"/>
    <w:rsid w:val="00A052C9"/>
    <w:rsid w:val="00A05D16"/>
    <w:rsid w:val="00A0611D"/>
    <w:rsid w:val="00A062C7"/>
    <w:rsid w:val="00A10257"/>
    <w:rsid w:val="00A12053"/>
    <w:rsid w:val="00A13558"/>
    <w:rsid w:val="00A14332"/>
    <w:rsid w:val="00A1504B"/>
    <w:rsid w:val="00A16BAA"/>
    <w:rsid w:val="00A17875"/>
    <w:rsid w:val="00A17AD7"/>
    <w:rsid w:val="00A23608"/>
    <w:rsid w:val="00A2522A"/>
    <w:rsid w:val="00A25C4F"/>
    <w:rsid w:val="00A26159"/>
    <w:rsid w:val="00A26528"/>
    <w:rsid w:val="00A27B9D"/>
    <w:rsid w:val="00A27D88"/>
    <w:rsid w:val="00A304D0"/>
    <w:rsid w:val="00A3140E"/>
    <w:rsid w:val="00A33EDC"/>
    <w:rsid w:val="00A35C1D"/>
    <w:rsid w:val="00A35DA1"/>
    <w:rsid w:val="00A37C62"/>
    <w:rsid w:val="00A40DC8"/>
    <w:rsid w:val="00A4108C"/>
    <w:rsid w:val="00A4607D"/>
    <w:rsid w:val="00A46230"/>
    <w:rsid w:val="00A46EE7"/>
    <w:rsid w:val="00A47D74"/>
    <w:rsid w:val="00A5271D"/>
    <w:rsid w:val="00A5388A"/>
    <w:rsid w:val="00A53EC9"/>
    <w:rsid w:val="00A5413F"/>
    <w:rsid w:val="00A54710"/>
    <w:rsid w:val="00A55050"/>
    <w:rsid w:val="00A5672D"/>
    <w:rsid w:val="00A57BEF"/>
    <w:rsid w:val="00A60AA0"/>
    <w:rsid w:val="00A60C9C"/>
    <w:rsid w:val="00A62603"/>
    <w:rsid w:val="00A642C0"/>
    <w:rsid w:val="00A701E5"/>
    <w:rsid w:val="00A71E8B"/>
    <w:rsid w:val="00A72208"/>
    <w:rsid w:val="00A725D6"/>
    <w:rsid w:val="00A72C7D"/>
    <w:rsid w:val="00A74AD4"/>
    <w:rsid w:val="00A77FB1"/>
    <w:rsid w:val="00A81586"/>
    <w:rsid w:val="00A81F06"/>
    <w:rsid w:val="00A83B4D"/>
    <w:rsid w:val="00A83C50"/>
    <w:rsid w:val="00A85C33"/>
    <w:rsid w:val="00A867D1"/>
    <w:rsid w:val="00A87D75"/>
    <w:rsid w:val="00A92440"/>
    <w:rsid w:val="00A94C7F"/>
    <w:rsid w:val="00A95878"/>
    <w:rsid w:val="00A963B1"/>
    <w:rsid w:val="00A967C1"/>
    <w:rsid w:val="00AA08AE"/>
    <w:rsid w:val="00AA0A5D"/>
    <w:rsid w:val="00AA3E04"/>
    <w:rsid w:val="00AA4D84"/>
    <w:rsid w:val="00AA548B"/>
    <w:rsid w:val="00AB0064"/>
    <w:rsid w:val="00AB03CB"/>
    <w:rsid w:val="00AB104D"/>
    <w:rsid w:val="00AB2435"/>
    <w:rsid w:val="00AB2476"/>
    <w:rsid w:val="00AB573C"/>
    <w:rsid w:val="00AC0AD5"/>
    <w:rsid w:val="00AC2195"/>
    <w:rsid w:val="00AC67D4"/>
    <w:rsid w:val="00AD0C73"/>
    <w:rsid w:val="00AD2796"/>
    <w:rsid w:val="00AD331C"/>
    <w:rsid w:val="00AD5707"/>
    <w:rsid w:val="00AD6904"/>
    <w:rsid w:val="00AD7DAA"/>
    <w:rsid w:val="00AE1A2D"/>
    <w:rsid w:val="00AE440A"/>
    <w:rsid w:val="00AE48EC"/>
    <w:rsid w:val="00AE5347"/>
    <w:rsid w:val="00AE55F6"/>
    <w:rsid w:val="00AE56DB"/>
    <w:rsid w:val="00AE7416"/>
    <w:rsid w:val="00AE74CE"/>
    <w:rsid w:val="00AF3AE7"/>
    <w:rsid w:val="00AF4CBA"/>
    <w:rsid w:val="00AF4D13"/>
    <w:rsid w:val="00AF5F13"/>
    <w:rsid w:val="00AF6D89"/>
    <w:rsid w:val="00B00F5D"/>
    <w:rsid w:val="00B0520F"/>
    <w:rsid w:val="00B10998"/>
    <w:rsid w:val="00B10FD9"/>
    <w:rsid w:val="00B1216D"/>
    <w:rsid w:val="00B13C87"/>
    <w:rsid w:val="00B13F9A"/>
    <w:rsid w:val="00B16399"/>
    <w:rsid w:val="00B1710D"/>
    <w:rsid w:val="00B2167D"/>
    <w:rsid w:val="00B21A37"/>
    <w:rsid w:val="00B278C2"/>
    <w:rsid w:val="00B3137C"/>
    <w:rsid w:val="00B32510"/>
    <w:rsid w:val="00B32C55"/>
    <w:rsid w:val="00B3358F"/>
    <w:rsid w:val="00B3595C"/>
    <w:rsid w:val="00B35AA6"/>
    <w:rsid w:val="00B35D7E"/>
    <w:rsid w:val="00B36D5E"/>
    <w:rsid w:val="00B40A24"/>
    <w:rsid w:val="00B40DF1"/>
    <w:rsid w:val="00B41E2E"/>
    <w:rsid w:val="00B43E07"/>
    <w:rsid w:val="00B4428E"/>
    <w:rsid w:val="00B44A06"/>
    <w:rsid w:val="00B46813"/>
    <w:rsid w:val="00B470AC"/>
    <w:rsid w:val="00B511AA"/>
    <w:rsid w:val="00B526A8"/>
    <w:rsid w:val="00B52B9B"/>
    <w:rsid w:val="00B52F84"/>
    <w:rsid w:val="00B55FAB"/>
    <w:rsid w:val="00B565F3"/>
    <w:rsid w:val="00B56689"/>
    <w:rsid w:val="00B57E79"/>
    <w:rsid w:val="00B60D7B"/>
    <w:rsid w:val="00B6689B"/>
    <w:rsid w:val="00B6734E"/>
    <w:rsid w:val="00B67718"/>
    <w:rsid w:val="00B70021"/>
    <w:rsid w:val="00B70C92"/>
    <w:rsid w:val="00B72C4E"/>
    <w:rsid w:val="00B7396A"/>
    <w:rsid w:val="00B76198"/>
    <w:rsid w:val="00B77386"/>
    <w:rsid w:val="00B773CE"/>
    <w:rsid w:val="00B776EB"/>
    <w:rsid w:val="00B80111"/>
    <w:rsid w:val="00B809DE"/>
    <w:rsid w:val="00B83180"/>
    <w:rsid w:val="00B83D9D"/>
    <w:rsid w:val="00B84529"/>
    <w:rsid w:val="00B85E09"/>
    <w:rsid w:val="00B9235A"/>
    <w:rsid w:val="00B948C7"/>
    <w:rsid w:val="00B95D4B"/>
    <w:rsid w:val="00B96F7F"/>
    <w:rsid w:val="00BA26A9"/>
    <w:rsid w:val="00BA45A4"/>
    <w:rsid w:val="00BA4C73"/>
    <w:rsid w:val="00BA59FB"/>
    <w:rsid w:val="00BB1776"/>
    <w:rsid w:val="00BB2111"/>
    <w:rsid w:val="00BB301F"/>
    <w:rsid w:val="00BB3BD9"/>
    <w:rsid w:val="00BB5219"/>
    <w:rsid w:val="00BB5778"/>
    <w:rsid w:val="00BB7F09"/>
    <w:rsid w:val="00BC7ECB"/>
    <w:rsid w:val="00BC7FD2"/>
    <w:rsid w:val="00BD0E5C"/>
    <w:rsid w:val="00BD2576"/>
    <w:rsid w:val="00BD4F6B"/>
    <w:rsid w:val="00BE184C"/>
    <w:rsid w:val="00BE2784"/>
    <w:rsid w:val="00BE3014"/>
    <w:rsid w:val="00BF23FF"/>
    <w:rsid w:val="00BF2FD9"/>
    <w:rsid w:val="00BF4176"/>
    <w:rsid w:val="00BF41FF"/>
    <w:rsid w:val="00BF50E9"/>
    <w:rsid w:val="00BF7C8B"/>
    <w:rsid w:val="00BF7EFC"/>
    <w:rsid w:val="00C010B6"/>
    <w:rsid w:val="00C0221A"/>
    <w:rsid w:val="00C02F61"/>
    <w:rsid w:val="00C03A0B"/>
    <w:rsid w:val="00C03AE7"/>
    <w:rsid w:val="00C03AF6"/>
    <w:rsid w:val="00C040ED"/>
    <w:rsid w:val="00C05D9D"/>
    <w:rsid w:val="00C11BBE"/>
    <w:rsid w:val="00C128F3"/>
    <w:rsid w:val="00C12FA8"/>
    <w:rsid w:val="00C133CA"/>
    <w:rsid w:val="00C14ECF"/>
    <w:rsid w:val="00C14F20"/>
    <w:rsid w:val="00C15412"/>
    <w:rsid w:val="00C16073"/>
    <w:rsid w:val="00C176E9"/>
    <w:rsid w:val="00C17DE2"/>
    <w:rsid w:val="00C20D6C"/>
    <w:rsid w:val="00C22C06"/>
    <w:rsid w:val="00C23937"/>
    <w:rsid w:val="00C2456C"/>
    <w:rsid w:val="00C255AC"/>
    <w:rsid w:val="00C30580"/>
    <w:rsid w:val="00C306B0"/>
    <w:rsid w:val="00C3237B"/>
    <w:rsid w:val="00C3265F"/>
    <w:rsid w:val="00C344CB"/>
    <w:rsid w:val="00C35592"/>
    <w:rsid w:val="00C356AF"/>
    <w:rsid w:val="00C36D2F"/>
    <w:rsid w:val="00C37478"/>
    <w:rsid w:val="00C40EF2"/>
    <w:rsid w:val="00C417FB"/>
    <w:rsid w:val="00C41927"/>
    <w:rsid w:val="00C41E39"/>
    <w:rsid w:val="00C42013"/>
    <w:rsid w:val="00C43555"/>
    <w:rsid w:val="00C43590"/>
    <w:rsid w:val="00C439D6"/>
    <w:rsid w:val="00C43AA7"/>
    <w:rsid w:val="00C43FD9"/>
    <w:rsid w:val="00C447D1"/>
    <w:rsid w:val="00C44C6B"/>
    <w:rsid w:val="00C44EB2"/>
    <w:rsid w:val="00C461FB"/>
    <w:rsid w:val="00C47112"/>
    <w:rsid w:val="00C47E8F"/>
    <w:rsid w:val="00C5005D"/>
    <w:rsid w:val="00C50D01"/>
    <w:rsid w:val="00C536C1"/>
    <w:rsid w:val="00C54EB4"/>
    <w:rsid w:val="00C562EB"/>
    <w:rsid w:val="00C568D1"/>
    <w:rsid w:val="00C57BC4"/>
    <w:rsid w:val="00C60915"/>
    <w:rsid w:val="00C609B2"/>
    <w:rsid w:val="00C62914"/>
    <w:rsid w:val="00C63E53"/>
    <w:rsid w:val="00C70C05"/>
    <w:rsid w:val="00C70EEE"/>
    <w:rsid w:val="00C71B2B"/>
    <w:rsid w:val="00C732C5"/>
    <w:rsid w:val="00C733A0"/>
    <w:rsid w:val="00C75C53"/>
    <w:rsid w:val="00C808D8"/>
    <w:rsid w:val="00C81689"/>
    <w:rsid w:val="00C82348"/>
    <w:rsid w:val="00C82479"/>
    <w:rsid w:val="00C82BA8"/>
    <w:rsid w:val="00C84497"/>
    <w:rsid w:val="00C8489A"/>
    <w:rsid w:val="00C852CA"/>
    <w:rsid w:val="00C913A0"/>
    <w:rsid w:val="00C93791"/>
    <w:rsid w:val="00C93B1A"/>
    <w:rsid w:val="00C9594D"/>
    <w:rsid w:val="00C964B8"/>
    <w:rsid w:val="00C97939"/>
    <w:rsid w:val="00CA221B"/>
    <w:rsid w:val="00CA3D2E"/>
    <w:rsid w:val="00CA689B"/>
    <w:rsid w:val="00CA7C86"/>
    <w:rsid w:val="00CB0E86"/>
    <w:rsid w:val="00CB2453"/>
    <w:rsid w:val="00CB2B9E"/>
    <w:rsid w:val="00CC1847"/>
    <w:rsid w:val="00CC19D3"/>
    <w:rsid w:val="00CC4467"/>
    <w:rsid w:val="00CC7B4F"/>
    <w:rsid w:val="00CC7C67"/>
    <w:rsid w:val="00CD119E"/>
    <w:rsid w:val="00CD4AF7"/>
    <w:rsid w:val="00CD5C57"/>
    <w:rsid w:val="00CE14AE"/>
    <w:rsid w:val="00CE1B1E"/>
    <w:rsid w:val="00CE2164"/>
    <w:rsid w:val="00CE2887"/>
    <w:rsid w:val="00CE3517"/>
    <w:rsid w:val="00CE39D7"/>
    <w:rsid w:val="00CE7507"/>
    <w:rsid w:val="00CE7657"/>
    <w:rsid w:val="00CF1439"/>
    <w:rsid w:val="00CF4EA3"/>
    <w:rsid w:val="00CF555E"/>
    <w:rsid w:val="00CF6EDE"/>
    <w:rsid w:val="00CF72E6"/>
    <w:rsid w:val="00CF7EB5"/>
    <w:rsid w:val="00D00C0F"/>
    <w:rsid w:val="00D01670"/>
    <w:rsid w:val="00D05C26"/>
    <w:rsid w:val="00D062AC"/>
    <w:rsid w:val="00D1270E"/>
    <w:rsid w:val="00D135E9"/>
    <w:rsid w:val="00D14EE4"/>
    <w:rsid w:val="00D152E7"/>
    <w:rsid w:val="00D173E4"/>
    <w:rsid w:val="00D21F91"/>
    <w:rsid w:val="00D2254C"/>
    <w:rsid w:val="00D23849"/>
    <w:rsid w:val="00D239C1"/>
    <w:rsid w:val="00D245AA"/>
    <w:rsid w:val="00D24BFB"/>
    <w:rsid w:val="00D252D2"/>
    <w:rsid w:val="00D25419"/>
    <w:rsid w:val="00D343F8"/>
    <w:rsid w:val="00D37366"/>
    <w:rsid w:val="00D37691"/>
    <w:rsid w:val="00D3796C"/>
    <w:rsid w:val="00D37F19"/>
    <w:rsid w:val="00D37F64"/>
    <w:rsid w:val="00D40449"/>
    <w:rsid w:val="00D4045B"/>
    <w:rsid w:val="00D44360"/>
    <w:rsid w:val="00D4443A"/>
    <w:rsid w:val="00D44E10"/>
    <w:rsid w:val="00D45559"/>
    <w:rsid w:val="00D46FAE"/>
    <w:rsid w:val="00D47246"/>
    <w:rsid w:val="00D53948"/>
    <w:rsid w:val="00D549B9"/>
    <w:rsid w:val="00D557EE"/>
    <w:rsid w:val="00D56058"/>
    <w:rsid w:val="00D5686D"/>
    <w:rsid w:val="00D57F4B"/>
    <w:rsid w:val="00D619D5"/>
    <w:rsid w:val="00D63347"/>
    <w:rsid w:val="00D656AD"/>
    <w:rsid w:val="00D658FE"/>
    <w:rsid w:val="00D722B3"/>
    <w:rsid w:val="00D7445C"/>
    <w:rsid w:val="00D76E91"/>
    <w:rsid w:val="00D80CD5"/>
    <w:rsid w:val="00D83857"/>
    <w:rsid w:val="00D849AA"/>
    <w:rsid w:val="00D84F06"/>
    <w:rsid w:val="00D854F0"/>
    <w:rsid w:val="00D85A77"/>
    <w:rsid w:val="00D872D1"/>
    <w:rsid w:val="00D90A6A"/>
    <w:rsid w:val="00D94D77"/>
    <w:rsid w:val="00D94F85"/>
    <w:rsid w:val="00D95BE0"/>
    <w:rsid w:val="00D9665E"/>
    <w:rsid w:val="00D96974"/>
    <w:rsid w:val="00DA1653"/>
    <w:rsid w:val="00DA23B2"/>
    <w:rsid w:val="00DA34CE"/>
    <w:rsid w:val="00DA6122"/>
    <w:rsid w:val="00DA638F"/>
    <w:rsid w:val="00DB03FF"/>
    <w:rsid w:val="00DB055E"/>
    <w:rsid w:val="00DB1579"/>
    <w:rsid w:val="00DB1F29"/>
    <w:rsid w:val="00DB32D1"/>
    <w:rsid w:val="00DB3747"/>
    <w:rsid w:val="00DB4809"/>
    <w:rsid w:val="00DB52B4"/>
    <w:rsid w:val="00DB5E8F"/>
    <w:rsid w:val="00DC0167"/>
    <w:rsid w:val="00DC173F"/>
    <w:rsid w:val="00DC3E99"/>
    <w:rsid w:val="00DC6B47"/>
    <w:rsid w:val="00DC7C3E"/>
    <w:rsid w:val="00DD2961"/>
    <w:rsid w:val="00DE0EC0"/>
    <w:rsid w:val="00DE1203"/>
    <w:rsid w:val="00DE15F7"/>
    <w:rsid w:val="00DE30E0"/>
    <w:rsid w:val="00DE3328"/>
    <w:rsid w:val="00DE3CE7"/>
    <w:rsid w:val="00DE409A"/>
    <w:rsid w:val="00DE566D"/>
    <w:rsid w:val="00DE5955"/>
    <w:rsid w:val="00DE6603"/>
    <w:rsid w:val="00DE6FAC"/>
    <w:rsid w:val="00DE7A90"/>
    <w:rsid w:val="00DF02D9"/>
    <w:rsid w:val="00DF0647"/>
    <w:rsid w:val="00DF7517"/>
    <w:rsid w:val="00DF7E24"/>
    <w:rsid w:val="00E009C7"/>
    <w:rsid w:val="00E03331"/>
    <w:rsid w:val="00E04030"/>
    <w:rsid w:val="00E044D6"/>
    <w:rsid w:val="00E05632"/>
    <w:rsid w:val="00E05A57"/>
    <w:rsid w:val="00E06825"/>
    <w:rsid w:val="00E07F1C"/>
    <w:rsid w:val="00E12C5D"/>
    <w:rsid w:val="00E13476"/>
    <w:rsid w:val="00E13F6C"/>
    <w:rsid w:val="00E16335"/>
    <w:rsid w:val="00E16E94"/>
    <w:rsid w:val="00E17858"/>
    <w:rsid w:val="00E17FA6"/>
    <w:rsid w:val="00E228D5"/>
    <w:rsid w:val="00E22BCE"/>
    <w:rsid w:val="00E25203"/>
    <w:rsid w:val="00E2546A"/>
    <w:rsid w:val="00E27321"/>
    <w:rsid w:val="00E2797E"/>
    <w:rsid w:val="00E31138"/>
    <w:rsid w:val="00E3132C"/>
    <w:rsid w:val="00E31879"/>
    <w:rsid w:val="00E31C1B"/>
    <w:rsid w:val="00E326FF"/>
    <w:rsid w:val="00E32A32"/>
    <w:rsid w:val="00E337DC"/>
    <w:rsid w:val="00E3431C"/>
    <w:rsid w:val="00E34911"/>
    <w:rsid w:val="00E3511F"/>
    <w:rsid w:val="00E361B0"/>
    <w:rsid w:val="00E37C9A"/>
    <w:rsid w:val="00E40520"/>
    <w:rsid w:val="00E40DEA"/>
    <w:rsid w:val="00E434B3"/>
    <w:rsid w:val="00E43CA2"/>
    <w:rsid w:val="00E45F1E"/>
    <w:rsid w:val="00E47DC9"/>
    <w:rsid w:val="00E5496A"/>
    <w:rsid w:val="00E61EF3"/>
    <w:rsid w:val="00E61FD7"/>
    <w:rsid w:val="00E62DB8"/>
    <w:rsid w:val="00E670AE"/>
    <w:rsid w:val="00E677EF"/>
    <w:rsid w:val="00E72BE2"/>
    <w:rsid w:val="00E745CF"/>
    <w:rsid w:val="00E75F0E"/>
    <w:rsid w:val="00E76963"/>
    <w:rsid w:val="00E772FB"/>
    <w:rsid w:val="00E77867"/>
    <w:rsid w:val="00E8052A"/>
    <w:rsid w:val="00E85682"/>
    <w:rsid w:val="00E8598D"/>
    <w:rsid w:val="00E859DF"/>
    <w:rsid w:val="00E87041"/>
    <w:rsid w:val="00E94506"/>
    <w:rsid w:val="00E94C2F"/>
    <w:rsid w:val="00E95201"/>
    <w:rsid w:val="00E97F58"/>
    <w:rsid w:val="00EA0855"/>
    <w:rsid w:val="00EA094D"/>
    <w:rsid w:val="00EA14FD"/>
    <w:rsid w:val="00EA1807"/>
    <w:rsid w:val="00EA281E"/>
    <w:rsid w:val="00EA37AF"/>
    <w:rsid w:val="00EA3EC3"/>
    <w:rsid w:val="00EA4947"/>
    <w:rsid w:val="00EA4D30"/>
    <w:rsid w:val="00EA4DDB"/>
    <w:rsid w:val="00EA521F"/>
    <w:rsid w:val="00EA6EA7"/>
    <w:rsid w:val="00EA7533"/>
    <w:rsid w:val="00EB1091"/>
    <w:rsid w:val="00EB12D5"/>
    <w:rsid w:val="00EB2C5B"/>
    <w:rsid w:val="00EB4C88"/>
    <w:rsid w:val="00EC0572"/>
    <w:rsid w:val="00EC0C41"/>
    <w:rsid w:val="00EC11F0"/>
    <w:rsid w:val="00EC1594"/>
    <w:rsid w:val="00EC43FD"/>
    <w:rsid w:val="00EC596C"/>
    <w:rsid w:val="00EC63C7"/>
    <w:rsid w:val="00ED039A"/>
    <w:rsid w:val="00ED2521"/>
    <w:rsid w:val="00ED2FB9"/>
    <w:rsid w:val="00ED3F52"/>
    <w:rsid w:val="00ED4581"/>
    <w:rsid w:val="00ED4E30"/>
    <w:rsid w:val="00ED6266"/>
    <w:rsid w:val="00ED66A7"/>
    <w:rsid w:val="00ED6C48"/>
    <w:rsid w:val="00EE0CD3"/>
    <w:rsid w:val="00EE160E"/>
    <w:rsid w:val="00EE1C35"/>
    <w:rsid w:val="00EE2AE4"/>
    <w:rsid w:val="00EE3501"/>
    <w:rsid w:val="00EE353A"/>
    <w:rsid w:val="00EE377E"/>
    <w:rsid w:val="00EE43D4"/>
    <w:rsid w:val="00EE456B"/>
    <w:rsid w:val="00EF0D30"/>
    <w:rsid w:val="00EF35BF"/>
    <w:rsid w:val="00EF58B5"/>
    <w:rsid w:val="00F00C37"/>
    <w:rsid w:val="00F0177D"/>
    <w:rsid w:val="00F032B7"/>
    <w:rsid w:val="00F034AC"/>
    <w:rsid w:val="00F04DFE"/>
    <w:rsid w:val="00F10E09"/>
    <w:rsid w:val="00F11E9A"/>
    <w:rsid w:val="00F11F31"/>
    <w:rsid w:val="00F12A61"/>
    <w:rsid w:val="00F13110"/>
    <w:rsid w:val="00F139DF"/>
    <w:rsid w:val="00F14B48"/>
    <w:rsid w:val="00F1526C"/>
    <w:rsid w:val="00F160D2"/>
    <w:rsid w:val="00F165E5"/>
    <w:rsid w:val="00F204A5"/>
    <w:rsid w:val="00F212E0"/>
    <w:rsid w:val="00F21E79"/>
    <w:rsid w:val="00F22EB3"/>
    <w:rsid w:val="00F23EF5"/>
    <w:rsid w:val="00F26810"/>
    <w:rsid w:val="00F30161"/>
    <w:rsid w:val="00F30772"/>
    <w:rsid w:val="00F30B15"/>
    <w:rsid w:val="00F31D9C"/>
    <w:rsid w:val="00F3350E"/>
    <w:rsid w:val="00F33736"/>
    <w:rsid w:val="00F339A7"/>
    <w:rsid w:val="00F33BDB"/>
    <w:rsid w:val="00F441CD"/>
    <w:rsid w:val="00F45FF6"/>
    <w:rsid w:val="00F462CE"/>
    <w:rsid w:val="00F465E9"/>
    <w:rsid w:val="00F4748D"/>
    <w:rsid w:val="00F51C4E"/>
    <w:rsid w:val="00F51E8D"/>
    <w:rsid w:val="00F522CA"/>
    <w:rsid w:val="00F52628"/>
    <w:rsid w:val="00F52CCE"/>
    <w:rsid w:val="00F5382E"/>
    <w:rsid w:val="00F55DF4"/>
    <w:rsid w:val="00F562E9"/>
    <w:rsid w:val="00F606E3"/>
    <w:rsid w:val="00F612B3"/>
    <w:rsid w:val="00F620DB"/>
    <w:rsid w:val="00F62494"/>
    <w:rsid w:val="00F64871"/>
    <w:rsid w:val="00F653FF"/>
    <w:rsid w:val="00F665B4"/>
    <w:rsid w:val="00F7064A"/>
    <w:rsid w:val="00F72CE0"/>
    <w:rsid w:val="00F74005"/>
    <w:rsid w:val="00F7432D"/>
    <w:rsid w:val="00F747AD"/>
    <w:rsid w:val="00F748BC"/>
    <w:rsid w:val="00F7514D"/>
    <w:rsid w:val="00F801F5"/>
    <w:rsid w:val="00F81486"/>
    <w:rsid w:val="00F830F7"/>
    <w:rsid w:val="00F84394"/>
    <w:rsid w:val="00F85C8B"/>
    <w:rsid w:val="00F87C54"/>
    <w:rsid w:val="00F9353C"/>
    <w:rsid w:val="00F942CA"/>
    <w:rsid w:val="00F9452C"/>
    <w:rsid w:val="00F96843"/>
    <w:rsid w:val="00F96896"/>
    <w:rsid w:val="00F97564"/>
    <w:rsid w:val="00FA34B4"/>
    <w:rsid w:val="00FA3ADF"/>
    <w:rsid w:val="00FA3F73"/>
    <w:rsid w:val="00FA4901"/>
    <w:rsid w:val="00FA6A48"/>
    <w:rsid w:val="00FA6BD6"/>
    <w:rsid w:val="00FA6E2B"/>
    <w:rsid w:val="00FA74FA"/>
    <w:rsid w:val="00FB0F7F"/>
    <w:rsid w:val="00FB10A2"/>
    <w:rsid w:val="00FB4D0B"/>
    <w:rsid w:val="00FB7206"/>
    <w:rsid w:val="00FC157A"/>
    <w:rsid w:val="00FC1D72"/>
    <w:rsid w:val="00FC3345"/>
    <w:rsid w:val="00FC3D4E"/>
    <w:rsid w:val="00FC5E4A"/>
    <w:rsid w:val="00FC7B13"/>
    <w:rsid w:val="00FD06BF"/>
    <w:rsid w:val="00FD2DA9"/>
    <w:rsid w:val="00FD5BCB"/>
    <w:rsid w:val="00FE052B"/>
    <w:rsid w:val="00FE0C92"/>
    <w:rsid w:val="00FE1694"/>
    <w:rsid w:val="00FE238E"/>
    <w:rsid w:val="00FE2E73"/>
    <w:rsid w:val="00FE5577"/>
    <w:rsid w:val="00FE62B8"/>
    <w:rsid w:val="00FE6FB8"/>
    <w:rsid w:val="00FF087C"/>
    <w:rsid w:val="00FF34CA"/>
    <w:rsid w:val="00FF34D9"/>
    <w:rsid w:val="00FF670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99F9589"/>
  <w15:docId w15:val="{5360B0C9-EE82-4159-9B6F-36D4F774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mt-M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A3"/>
    <w:rPr>
      <w:sz w:val="22"/>
    </w:rPr>
  </w:style>
  <w:style w:type="paragraph" w:styleId="Heading1">
    <w:name w:val="heading 1"/>
    <w:aliases w:val="Cover title white"/>
    <w:next w:val="Normal"/>
    <w:link w:val="Heading1Char"/>
    <w:uiPriority w:val="9"/>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qFormat/>
    <w:rsid w:val="002F2009"/>
    <w:pPr>
      <w:outlineLvl w:val="1"/>
    </w:pPr>
  </w:style>
  <w:style w:type="paragraph" w:styleId="Heading3">
    <w:name w:val="heading 3"/>
    <w:aliases w:val="Title 2"/>
    <w:basedOn w:val="Numberedtitlelevel2"/>
    <w:next w:val="Normal"/>
    <w:link w:val="Heading3Char"/>
    <w:uiPriority w:val="9"/>
    <w:qFormat/>
    <w:rsid w:val="002F2009"/>
    <w:pPr>
      <w:outlineLvl w:val="2"/>
    </w:pPr>
  </w:style>
  <w:style w:type="paragraph" w:styleId="Heading4">
    <w:name w:val="heading 4"/>
    <w:basedOn w:val="Normal"/>
    <w:next w:val="Normal"/>
    <w:link w:val="Heading4Char"/>
    <w:uiPriority w:val="9"/>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uiPriority w:val="9"/>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aliases w:val="Footnote Text Char Char,Footnote,Fußnote,FSR footnote,lábléc Car Car Car,Fodnotetekst Tegn Tegn Tegn Tegn Tegn Tegn Tegn Char Char,Fodnotetekst Tegn Tegn Tegn Tegn Tegn Tegn Tegn Char Char Char Char,fn,lábléc,Fußnotentext Char,ft"/>
    <w:basedOn w:val="body"/>
    <w:link w:val="FootnoteTextChar"/>
    <w:autoRedefine/>
    <w:qFormat/>
    <w:rsid w:val="005E484A"/>
    <w:pPr>
      <w:spacing w:before="80" w:after="0" w:line="200" w:lineRule="exact"/>
    </w:pPr>
    <w:rPr>
      <w:sz w:val="18"/>
      <w:szCs w:val="18"/>
    </w:rPr>
  </w:style>
  <w:style w:type="character" w:customStyle="1" w:styleId="FootnoteTextChar">
    <w:name w:val="Footnote Text Char"/>
    <w:aliases w:val="Footnote Text Char Char Char,Footnote Char,Fußnote Char,FSR footnote Char,lábléc Car Car Car Char,Fodnotetekst Tegn Tegn Tegn Tegn Tegn Tegn Tegn Char Char Char,Fodnotetekst Tegn Tegn Tegn Tegn Tegn Tegn Tegn Char Char Char Char Char"/>
    <w:basedOn w:val="DefaultParagraphFont"/>
    <w:link w:val="FootnoteText"/>
    <w:uiPriority w:val="8"/>
    <w:rsid w:val="005E484A"/>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Nota,16 Point"/>
    <w:basedOn w:val="DefaultParagraphFont"/>
    <w:autoRedefine/>
    <w:qFormat/>
    <w:rsid w:val="00861384"/>
    <w:rPr>
      <w:sz w:val="22"/>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BF2FD9"/>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rsid w:val="00A92440"/>
    <w:pPr>
      <w:tabs>
        <w:tab w:val="center" w:pos="4320"/>
        <w:tab w:val="right" w:pos="8640"/>
      </w:tabs>
    </w:pPr>
  </w:style>
  <w:style w:type="character" w:customStyle="1" w:styleId="HeaderChar">
    <w:name w:val="Header Char"/>
    <w:basedOn w:val="DefaultParagraphFont"/>
    <w:link w:val="Header"/>
    <w:uiPriority w:val="99"/>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16099C"/>
    <w:pPr>
      <w:numPr>
        <w:ilvl w:val="1"/>
      </w:numPr>
      <w:spacing w:before="240" w:after="120"/>
    </w:pPr>
    <w:rPr>
      <w:rFonts w:asciiTheme="majorHAnsi" w:eastAsiaTheme="majorEastAsia" w:hAnsiTheme="majorHAnsi" w:cstheme="majorBidi"/>
      <w:color w:val="2F5772"/>
      <w:sz w:val="32"/>
      <w:szCs w:val="32"/>
      <w:lang w:eastAsia="en-GB"/>
    </w:rPr>
  </w:style>
  <w:style w:type="character" w:customStyle="1" w:styleId="SubtitleChar">
    <w:name w:val="Subtitle Char"/>
    <w:basedOn w:val="DefaultParagraphFont"/>
    <w:link w:val="Subtitle"/>
    <w:uiPriority w:val="11"/>
    <w:rsid w:val="0016099C"/>
    <w:rPr>
      <w:rFonts w:asciiTheme="majorHAnsi" w:eastAsiaTheme="majorEastAsia" w:hAnsiTheme="majorHAnsi" w:cstheme="majorBidi"/>
      <w:color w:val="2F5772"/>
      <w:sz w:val="32"/>
      <w:szCs w:val="32"/>
      <w:lang w:val="mt-MT" w:eastAsia="en-GB"/>
    </w:rPr>
  </w:style>
  <w:style w:type="character" w:styleId="BookTitle">
    <w:name w:val="Book Title"/>
    <w:basedOn w:val="DefaultParagraphFont"/>
    <w:uiPriority w:val="33"/>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link w:val="numberedparagraphChar"/>
    <w:qFormat/>
    <w:rsid w:val="00E22BCE"/>
    <w:pPr>
      <w:numPr>
        <w:numId w:val="8"/>
      </w:numPr>
    </w:pPr>
  </w:style>
  <w:style w:type="paragraph" w:styleId="TOC5">
    <w:name w:val="toc 5"/>
    <w:basedOn w:val="Normal"/>
    <w:next w:val="Normal"/>
    <w:autoRedefine/>
    <w:uiPriority w:val="39"/>
    <w:rsid w:val="00B526A8"/>
    <w:pPr>
      <w:ind w:left="880"/>
    </w:pPr>
  </w:style>
  <w:style w:type="paragraph" w:styleId="TOC6">
    <w:name w:val="toc 6"/>
    <w:basedOn w:val="Normal"/>
    <w:next w:val="Normal"/>
    <w:autoRedefine/>
    <w:uiPriority w:val="39"/>
    <w:rsid w:val="00B526A8"/>
    <w:pPr>
      <w:ind w:left="1100"/>
    </w:pPr>
  </w:style>
  <w:style w:type="paragraph" w:styleId="TOC7">
    <w:name w:val="toc 7"/>
    <w:basedOn w:val="Normal"/>
    <w:next w:val="Normal"/>
    <w:autoRedefine/>
    <w:uiPriority w:val="39"/>
    <w:rsid w:val="00B526A8"/>
    <w:pPr>
      <w:ind w:left="1320"/>
    </w:pPr>
  </w:style>
  <w:style w:type="paragraph" w:styleId="TOC8">
    <w:name w:val="toc 8"/>
    <w:basedOn w:val="Normal"/>
    <w:next w:val="Normal"/>
    <w:autoRedefine/>
    <w:uiPriority w:val="39"/>
    <w:rsid w:val="00B526A8"/>
    <w:pPr>
      <w:ind w:left="1540"/>
    </w:pPr>
  </w:style>
  <w:style w:type="paragraph" w:styleId="TOC9">
    <w:name w:val="toc 9"/>
    <w:basedOn w:val="Normal"/>
    <w:next w:val="Normal"/>
    <w:autoRedefine/>
    <w:uiPriority w:val="39"/>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rPr>
  </w:style>
  <w:style w:type="paragraph" w:styleId="TOCHeading">
    <w:name w:val="TOC Heading"/>
    <w:basedOn w:val="Heading1"/>
    <w:next w:val="Normal"/>
    <w:uiPriority w:val="39"/>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rPr>
  </w:style>
  <w:style w:type="paragraph" w:customStyle="1" w:styleId="Considrant">
    <w:name w:val="Considérant"/>
    <w:basedOn w:val="Normal"/>
    <w:rsid w:val="00B43E07"/>
    <w:pPr>
      <w:numPr>
        <w:numId w:val="11"/>
      </w:numPr>
      <w:spacing w:before="120" w:after="120"/>
      <w:jc w:val="both"/>
    </w:pPr>
    <w:rPr>
      <w:rFonts w:ascii="Times New Roman" w:eastAsia="Times New Roman" w:hAnsi="Times New Roman" w:cs="Times New Roman"/>
      <w:sz w:val="24"/>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rPr>
  </w:style>
  <w:style w:type="paragraph" w:styleId="ListParagraph">
    <w:name w:val="List Paragraph"/>
    <w:aliases w:val="Paragraphe EI,Paragraphe de liste1,EC"/>
    <w:basedOn w:val="Normal"/>
    <w:link w:val="ListParagraphChar"/>
    <w:uiPriority w:val="1"/>
    <w:qFormat/>
    <w:rsid w:val="009F12DA"/>
    <w:pPr>
      <w:ind w:left="720"/>
    </w:pPr>
    <w:rPr>
      <w:rFonts w:ascii="Calibri" w:eastAsia="Calibri" w:hAnsi="Calibri" w:cs="Times New Roman"/>
      <w:szCs w:val="22"/>
    </w:rPr>
  </w:style>
  <w:style w:type="paragraph" w:styleId="BodyText">
    <w:name w:val="Body Text"/>
    <w:basedOn w:val="Normal"/>
    <w:link w:val="BodyTextChar"/>
    <w:uiPriority w:val="1"/>
    <w:qFormat/>
    <w:rsid w:val="009C3D1C"/>
    <w:pPr>
      <w:widowControl w:val="0"/>
      <w:numPr>
        <w:ilvl w:val="1"/>
        <w:numId w:val="13"/>
      </w:numPr>
      <w:autoSpaceDE w:val="0"/>
      <w:autoSpaceDN w:val="0"/>
    </w:pPr>
    <w:rPr>
      <w:rFonts w:ascii="Calibri" w:eastAsia="Calibri" w:hAnsi="Calibri" w:cs="Calibri"/>
      <w:szCs w:val="22"/>
    </w:rPr>
  </w:style>
  <w:style w:type="character" w:customStyle="1" w:styleId="BodyTextChar">
    <w:name w:val="Body Text Char"/>
    <w:basedOn w:val="DefaultParagraphFont"/>
    <w:link w:val="BodyText"/>
    <w:uiPriority w:val="1"/>
    <w:rsid w:val="009C3D1C"/>
    <w:rPr>
      <w:rFonts w:ascii="Calibri" w:eastAsia="Calibri" w:hAnsi="Calibri" w:cs="Calibri"/>
      <w:sz w:val="22"/>
      <w:szCs w:val="22"/>
    </w:rPr>
  </w:style>
  <w:style w:type="character" w:styleId="CommentReference">
    <w:name w:val="annotation reference"/>
    <w:basedOn w:val="DefaultParagraphFont"/>
    <w:uiPriority w:val="99"/>
    <w:unhideWhenUsed/>
    <w:rsid w:val="00AE440A"/>
    <w:rPr>
      <w:sz w:val="16"/>
      <w:szCs w:val="16"/>
    </w:rPr>
  </w:style>
  <w:style w:type="paragraph" w:styleId="CommentText">
    <w:name w:val="annotation text"/>
    <w:basedOn w:val="Normal"/>
    <w:link w:val="CommentTextChar"/>
    <w:uiPriority w:val="99"/>
    <w:unhideWhenUsed/>
    <w:rsid w:val="00AE440A"/>
    <w:pPr>
      <w:widowControl w:val="0"/>
      <w:autoSpaceDE w:val="0"/>
      <w:autoSpaceDN w:val="0"/>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AE440A"/>
    <w:rPr>
      <w:rFonts w:ascii="Calibri" w:eastAsia="Calibri" w:hAnsi="Calibri" w:cs="Calibri"/>
      <w:sz w:val="20"/>
      <w:szCs w:val="20"/>
    </w:rPr>
  </w:style>
  <w:style w:type="character" w:customStyle="1" w:styleId="ListParagraphChar">
    <w:name w:val="List Paragraph Char"/>
    <w:aliases w:val="Paragraphe EI Char,Paragraphe de liste1 Char,EC Char"/>
    <w:basedOn w:val="DefaultParagraphFont"/>
    <w:link w:val="ListParagraph"/>
    <w:uiPriority w:val="34"/>
    <w:rsid w:val="00AE440A"/>
    <w:rPr>
      <w:rFonts w:ascii="Calibri" w:eastAsia="Calibri" w:hAnsi="Calibri" w:cs="Times New Roman"/>
      <w:sz w:val="22"/>
      <w:szCs w:val="22"/>
      <w:lang w:val="mt-MT"/>
    </w:rPr>
  </w:style>
  <w:style w:type="paragraph" w:styleId="PlainText">
    <w:name w:val="Plain Text"/>
    <w:basedOn w:val="Normal"/>
    <w:link w:val="PlainTextChar"/>
    <w:uiPriority w:val="99"/>
    <w:unhideWhenUsed/>
    <w:rsid w:val="00905139"/>
    <w:rPr>
      <w:rFonts w:ascii="Calibri" w:eastAsiaTheme="minorHAnsi" w:hAnsi="Calibri"/>
      <w:szCs w:val="21"/>
    </w:rPr>
  </w:style>
  <w:style w:type="character" w:customStyle="1" w:styleId="PlainTextChar">
    <w:name w:val="Plain Text Char"/>
    <w:basedOn w:val="DefaultParagraphFont"/>
    <w:link w:val="PlainText"/>
    <w:uiPriority w:val="99"/>
    <w:rsid w:val="00905139"/>
    <w:rPr>
      <w:rFonts w:ascii="Calibri" w:eastAsiaTheme="minorHAnsi" w:hAnsi="Calibri"/>
      <w:sz w:val="22"/>
      <w:szCs w:val="21"/>
      <w:lang w:val="mt-MT"/>
    </w:rPr>
  </w:style>
  <w:style w:type="numbering" w:customStyle="1" w:styleId="Style3">
    <w:name w:val="Style3"/>
    <w:uiPriority w:val="99"/>
    <w:rsid w:val="00CE14AE"/>
    <w:pPr>
      <w:numPr>
        <w:numId w:val="19"/>
      </w:numPr>
    </w:pPr>
  </w:style>
  <w:style w:type="numbering" w:customStyle="1" w:styleId="Style5">
    <w:name w:val="Style5"/>
    <w:uiPriority w:val="99"/>
    <w:rsid w:val="00E04030"/>
    <w:pPr>
      <w:numPr>
        <w:numId w:val="25"/>
      </w:numPr>
    </w:pPr>
  </w:style>
  <w:style w:type="character" w:customStyle="1" w:styleId="numberedparagraphChar">
    <w:name w:val="numbered paragraph Char"/>
    <w:basedOn w:val="DefaultParagraphFont"/>
    <w:link w:val="numberedparagraph"/>
    <w:rsid w:val="005370A5"/>
    <w:rPr>
      <w:sz w:val="22"/>
    </w:rPr>
  </w:style>
  <w:style w:type="table" w:customStyle="1" w:styleId="TableGrid1">
    <w:name w:val="Table Grid1"/>
    <w:basedOn w:val="TableProfessional"/>
    <w:next w:val="TableGrid"/>
    <w:uiPriority w:val="59"/>
    <w:rsid w:val="0057041B"/>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paragraph" w:styleId="CommentSubject">
    <w:name w:val="annotation subject"/>
    <w:basedOn w:val="CommentText"/>
    <w:next w:val="CommentText"/>
    <w:link w:val="CommentSubjectChar"/>
    <w:unhideWhenUsed/>
    <w:rsid w:val="00796F65"/>
    <w:pPr>
      <w:widowControl/>
      <w:autoSpaceDE/>
      <w:autoSpaceDN/>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796F65"/>
    <w:rPr>
      <w:rFonts w:ascii="Calibri" w:eastAsia="Calibri" w:hAnsi="Calibri" w:cs="Calibri"/>
      <w:b/>
      <w:bCs/>
      <w:sz w:val="20"/>
      <w:szCs w:val="20"/>
    </w:rPr>
  </w:style>
  <w:style w:type="paragraph" w:customStyle="1" w:styleId="Para">
    <w:name w:val="Para #"/>
    <w:basedOn w:val="Normal"/>
    <w:link w:val="ParaChar"/>
    <w:uiPriority w:val="4"/>
    <w:qFormat/>
    <w:rsid w:val="003D45EA"/>
    <w:pPr>
      <w:numPr>
        <w:numId w:val="32"/>
      </w:numPr>
      <w:tabs>
        <w:tab w:val="left" w:pos="1361"/>
      </w:tabs>
      <w:spacing w:before="120" w:after="120"/>
      <w:ind w:right="680"/>
      <w:jc w:val="both"/>
    </w:pPr>
    <w:rPr>
      <w:rFonts w:ascii="Times New Roman" w:eastAsia="SimSun" w:hAnsi="Times New Roman" w:cs="Times New Roman"/>
      <w:szCs w:val="20"/>
    </w:rPr>
  </w:style>
  <w:style w:type="character" w:customStyle="1" w:styleId="ParaChar">
    <w:name w:val="Para # Char"/>
    <w:basedOn w:val="DefaultParagraphFont"/>
    <w:link w:val="Para"/>
    <w:uiPriority w:val="4"/>
    <w:rsid w:val="003D45EA"/>
    <w:rPr>
      <w:rFonts w:ascii="Times New Roman" w:eastAsia="SimSun" w:hAnsi="Times New Roman" w:cs="Times New Roman"/>
      <w:sz w:val="22"/>
      <w:szCs w:val="20"/>
      <w:lang w:val="mt-MT"/>
    </w:rPr>
  </w:style>
  <w:style w:type="paragraph" w:styleId="NormalWeb">
    <w:name w:val="Normal (Web)"/>
    <w:basedOn w:val="Normal"/>
    <w:uiPriority w:val="99"/>
    <w:unhideWhenUsed/>
    <w:rsid w:val="00324ADB"/>
    <w:pPr>
      <w:spacing w:before="100" w:beforeAutospacing="1" w:after="100" w:afterAutospacing="1"/>
    </w:pPr>
    <w:rPr>
      <w:rFonts w:ascii="Times New Roman" w:eastAsiaTheme="minorHAnsi" w:hAnsi="Times New Roman" w:cs="Times New Roman"/>
      <w:sz w:val="24"/>
      <w:lang w:eastAsia="en-GB"/>
    </w:rPr>
  </w:style>
  <w:style w:type="table" w:customStyle="1" w:styleId="TableGrid2">
    <w:name w:val="Table Grid2"/>
    <w:basedOn w:val="TableProfessional"/>
    <w:next w:val="TableGrid"/>
    <w:uiPriority w:val="59"/>
    <w:rsid w:val="00DE0EC0"/>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PlainTable5">
    <w:name w:val="Plain Table 5"/>
    <w:basedOn w:val="TableNormal"/>
    <w:uiPriority w:val="45"/>
    <w:rsid w:val="00701E89"/>
    <w:rPr>
      <w:rFonts w:eastAsiaTheme="minorHAns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0D6D74"/>
    <w:rPr>
      <w:sz w:val="22"/>
    </w:rPr>
  </w:style>
  <w:style w:type="paragraph" w:customStyle="1" w:styleId="Level2EBAstylenumberedparagraph">
    <w:name w:val="Level 2 EBA style numbered paragraph"/>
    <w:basedOn w:val="Normal"/>
    <w:qFormat/>
    <w:rsid w:val="00C8489A"/>
    <w:pPr>
      <w:numPr>
        <w:numId w:val="64"/>
      </w:numPr>
      <w:spacing w:before="240" w:after="120" w:line="276" w:lineRule="auto"/>
      <w:jc w:val="both"/>
    </w:pPr>
  </w:style>
  <w:style w:type="character" w:customStyle="1" w:styleId="UnresolvedMention1">
    <w:name w:val="Unresolved Mention1"/>
    <w:basedOn w:val="DefaultParagraphFont"/>
    <w:uiPriority w:val="99"/>
    <w:semiHidden/>
    <w:unhideWhenUsed/>
    <w:rsid w:val="003A0C17"/>
    <w:rPr>
      <w:color w:val="605E5C"/>
      <w:shd w:val="clear" w:color="auto" w:fill="E1DFDD"/>
    </w:rPr>
  </w:style>
  <w:style w:type="paragraph" w:customStyle="1" w:styleId="TableParagraph">
    <w:name w:val="Table Paragraph"/>
    <w:basedOn w:val="Normal"/>
    <w:uiPriority w:val="1"/>
    <w:qFormat/>
    <w:rsid w:val="00EC596C"/>
    <w:pPr>
      <w:widowControl w:val="0"/>
    </w:pPr>
    <w:rPr>
      <w:rFonts w:eastAsiaTheme="minorHAnsi"/>
      <w:szCs w:val="22"/>
    </w:rPr>
  </w:style>
  <w:style w:type="character" w:styleId="IntenseReference">
    <w:name w:val="Intense Reference"/>
    <w:basedOn w:val="DefaultParagraphFont"/>
    <w:uiPriority w:val="32"/>
    <w:qFormat/>
    <w:rsid w:val="00EC596C"/>
    <w:rPr>
      <w:b/>
      <w:bCs/>
      <w:smallCaps/>
      <w:color w:val="2F5773" w:themeColor="accent1"/>
      <w:spacing w:val="5"/>
    </w:rPr>
  </w:style>
  <w:style w:type="character" w:styleId="Emphasis">
    <w:name w:val="Emphasis"/>
    <w:basedOn w:val="DefaultParagraphFont"/>
    <w:uiPriority w:val="20"/>
    <w:qFormat/>
    <w:rsid w:val="00EC596C"/>
    <w:rPr>
      <w:i/>
      <w:iCs/>
    </w:rPr>
  </w:style>
  <w:style w:type="character" w:styleId="FollowedHyperlink">
    <w:name w:val="FollowedHyperlink"/>
    <w:basedOn w:val="DefaultParagraphFont"/>
    <w:uiPriority w:val="99"/>
    <w:semiHidden/>
    <w:unhideWhenUsed/>
    <w:rsid w:val="00EC596C"/>
    <w:rPr>
      <w:color w:val="800080" w:themeColor="followedHyperlink"/>
      <w:u w:val="single"/>
    </w:rPr>
  </w:style>
  <w:style w:type="paragraph" w:customStyle="1" w:styleId="Agendaitem">
    <w:name w:val="Agenda item"/>
    <w:qFormat/>
    <w:rsid w:val="00EC596C"/>
    <w:pPr>
      <w:numPr>
        <w:numId w:val="66"/>
      </w:numPr>
      <w:spacing w:before="120" w:after="80"/>
    </w:pPr>
    <w:rPr>
      <w:rFonts w:eastAsia="Times New Roman" w:cstheme="minorHAnsi"/>
      <w:b/>
      <w:color w:val="000000"/>
      <w:sz w:val="22"/>
      <w:szCs w:val="22"/>
      <w:lang w:eastAsia="en-GB"/>
    </w:rPr>
  </w:style>
  <w:style w:type="paragraph" w:styleId="EndnoteText">
    <w:name w:val="endnote text"/>
    <w:basedOn w:val="Normal"/>
    <w:link w:val="EndnoteTextChar"/>
    <w:uiPriority w:val="99"/>
    <w:semiHidden/>
    <w:unhideWhenUsed/>
    <w:rsid w:val="00EC596C"/>
    <w:pPr>
      <w:widowControl w:val="0"/>
    </w:pPr>
    <w:rPr>
      <w:rFonts w:eastAsiaTheme="minorHAnsi"/>
      <w:sz w:val="20"/>
      <w:szCs w:val="20"/>
    </w:rPr>
  </w:style>
  <w:style w:type="character" w:customStyle="1" w:styleId="EndnoteTextChar">
    <w:name w:val="Endnote Text Char"/>
    <w:basedOn w:val="DefaultParagraphFont"/>
    <w:link w:val="EndnoteText"/>
    <w:uiPriority w:val="99"/>
    <w:semiHidden/>
    <w:rsid w:val="00EC596C"/>
    <w:rPr>
      <w:rFonts w:eastAsiaTheme="minorHAnsi"/>
      <w:sz w:val="20"/>
      <w:szCs w:val="20"/>
    </w:rPr>
  </w:style>
  <w:style w:type="character" w:styleId="EndnoteReference">
    <w:name w:val="endnote reference"/>
    <w:basedOn w:val="DefaultParagraphFont"/>
    <w:uiPriority w:val="99"/>
    <w:semiHidden/>
    <w:unhideWhenUsed/>
    <w:rsid w:val="00EC596C"/>
    <w:rPr>
      <w:vertAlign w:val="superscript"/>
    </w:rPr>
  </w:style>
  <w:style w:type="paragraph" w:customStyle="1" w:styleId="Normal1">
    <w:name w:val="Normal1"/>
    <w:basedOn w:val="Normal"/>
    <w:rsid w:val="00EC596C"/>
    <w:pPr>
      <w:spacing w:before="120"/>
      <w:jc w:val="both"/>
    </w:pPr>
    <w:rPr>
      <w:rFonts w:ascii="Times New Roman" w:eastAsia="Times New Roman" w:hAnsi="Times New Roman" w:cs="Times New Roman"/>
      <w:sz w:val="24"/>
      <w:lang w:eastAsia="de-DE"/>
    </w:rPr>
  </w:style>
  <w:style w:type="paragraph" w:customStyle="1" w:styleId="Style6">
    <w:name w:val="Style6"/>
    <w:basedOn w:val="Normal"/>
    <w:link w:val="Style6Char"/>
    <w:qFormat/>
    <w:rsid w:val="00EC596C"/>
    <w:pPr>
      <w:widowControl w:val="0"/>
      <w:numPr>
        <w:numId w:val="67"/>
      </w:numPr>
      <w:spacing w:before="120" w:after="120"/>
      <w:ind w:left="357" w:hanging="357"/>
      <w:jc w:val="both"/>
    </w:pPr>
    <w:rPr>
      <w:rFonts w:asciiTheme="majorHAnsi" w:eastAsia="Times New Roman" w:hAnsiTheme="majorHAnsi"/>
      <w:szCs w:val="22"/>
    </w:rPr>
  </w:style>
  <w:style w:type="character" w:customStyle="1" w:styleId="Style6Char">
    <w:name w:val="Style6 Char"/>
    <w:basedOn w:val="DefaultParagraphFont"/>
    <w:link w:val="Style6"/>
    <w:rsid w:val="00EC596C"/>
    <w:rPr>
      <w:rFonts w:asciiTheme="majorHAnsi" w:eastAsia="Times New Roman" w:hAnsiTheme="majorHAnsi"/>
      <w:sz w:val="22"/>
      <w:szCs w:val="22"/>
    </w:rPr>
  </w:style>
  <w:style w:type="paragraph" w:customStyle="1" w:styleId="CM1">
    <w:name w:val="CM1"/>
    <w:basedOn w:val="Default"/>
    <w:next w:val="Default"/>
    <w:uiPriority w:val="99"/>
    <w:rsid w:val="00EC596C"/>
    <w:rPr>
      <w:rFonts w:ascii="Times New Roman" w:eastAsiaTheme="minorEastAsia" w:hAnsi="Times New Roman" w:cs="Times New Roman"/>
      <w:color w:val="auto"/>
    </w:rPr>
  </w:style>
  <w:style w:type="paragraph" w:customStyle="1" w:styleId="EBA">
    <w:name w:val="EBA"/>
    <w:basedOn w:val="BodyText"/>
    <w:uiPriority w:val="1"/>
    <w:qFormat/>
    <w:rsid w:val="00EC596C"/>
    <w:pPr>
      <w:numPr>
        <w:ilvl w:val="0"/>
        <w:numId w:val="0"/>
      </w:numPr>
      <w:autoSpaceDE/>
      <w:autoSpaceDN/>
    </w:pPr>
    <w:rPr>
      <w:rFonts w:cstheme="minorBidi"/>
      <w:color w:val="1E487C"/>
      <w:spacing w:val="-1"/>
    </w:rPr>
  </w:style>
  <w:style w:type="character" w:customStyle="1" w:styleId="epname">
    <w:name w:val="ep_name"/>
    <w:basedOn w:val="DefaultParagraphFont"/>
    <w:rsid w:val="00EC596C"/>
  </w:style>
  <w:style w:type="character" w:styleId="Strong">
    <w:name w:val="Strong"/>
    <w:basedOn w:val="DefaultParagraphFont"/>
    <w:uiPriority w:val="22"/>
    <w:qFormat/>
    <w:rsid w:val="00EC596C"/>
    <w:rPr>
      <w:b/>
      <w:bCs/>
    </w:rPr>
  </w:style>
  <w:style w:type="paragraph" w:customStyle="1" w:styleId="Unnumberedtitlelevel1">
    <w:name w:val="Unnumbered title level 1"/>
    <w:basedOn w:val="Numberedtilelevel1"/>
    <w:qFormat/>
    <w:rsid w:val="00EC596C"/>
    <w:pPr>
      <w:numPr>
        <w:numId w:val="0"/>
      </w:numPr>
    </w:pPr>
    <w:rPr>
      <w:sz w:val="40"/>
      <w:szCs w:val="40"/>
    </w:rPr>
  </w:style>
  <w:style w:type="paragraph" w:customStyle="1" w:styleId="Unnumberedtitlelevel2">
    <w:name w:val="Unnumbered title level 2"/>
    <w:basedOn w:val="Numberedtitlelevel2"/>
    <w:qFormat/>
    <w:rsid w:val="00EC596C"/>
    <w:pPr>
      <w:numPr>
        <w:ilvl w:val="0"/>
        <w:numId w:val="0"/>
      </w:numPr>
    </w:pPr>
  </w:style>
  <w:style w:type="paragraph" w:customStyle="1" w:styleId="Unnumberedtitlelevel3">
    <w:name w:val="Unnumbered title level 3"/>
    <w:basedOn w:val="Numberedtitlelevel3"/>
    <w:qFormat/>
    <w:rsid w:val="00EC596C"/>
    <w:pPr>
      <w:numPr>
        <w:ilvl w:val="0"/>
        <w:numId w:val="0"/>
      </w:numPr>
    </w:pPr>
    <w:rPr>
      <w:sz w:val="28"/>
    </w:rPr>
  </w:style>
  <w:style w:type="paragraph" w:customStyle="1" w:styleId="Unnumberedtitlelevel4">
    <w:name w:val="Unnumbered title level 4"/>
    <w:basedOn w:val="Numberedtitlelevel4"/>
    <w:qFormat/>
    <w:rsid w:val="00EC596C"/>
    <w:pPr>
      <w:numPr>
        <w:numId w:val="0"/>
      </w:numPr>
    </w:pPr>
    <w:rPr>
      <w:b/>
    </w:rPr>
  </w:style>
  <w:style w:type="paragraph" w:customStyle="1" w:styleId="Level1EBAstylenumberedparagraphGL1">
    <w:name w:val="Level 1 EBA style numbered paragraph GL1"/>
    <w:basedOn w:val="numberedparagraph"/>
    <w:qFormat/>
    <w:rsid w:val="00EC596C"/>
    <w:pPr>
      <w:numPr>
        <w:numId w:val="68"/>
      </w:numPr>
      <w:ind w:left="567" w:hanging="567"/>
    </w:pPr>
  </w:style>
  <w:style w:type="paragraph" w:customStyle="1" w:styleId="Level3EBAstylenumberedparagraph">
    <w:name w:val="Level 3 EBA style numbered paragraph"/>
    <w:basedOn w:val="Level2EBAstylenumberedparagraph"/>
    <w:qFormat/>
    <w:rsid w:val="00EC596C"/>
    <w:pPr>
      <w:numPr>
        <w:numId w:val="69"/>
      </w:numPr>
    </w:pPr>
  </w:style>
  <w:style w:type="paragraph" w:customStyle="1" w:styleId="Level4EBAstylenumberedparagraph">
    <w:name w:val="Level 4 EBA style numbered paragraph"/>
    <w:basedOn w:val="Level3EBAstylenumberedparagraph"/>
    <w:qFormat/>
    <w:rsid w:val="00EC596C"/>
    <w:pPr>
      <w:numPr>
        <w:numId w:val="70"/>
      </w:numPr>
    </w:pPr>
  </w:style>
  <w:style w:type="paragraph" w:customStyle="1" w:styleId="Level1EBAstylenumberedparagraphGL2">
    <w:name w:val="Level 1 EBA style numbered paragraph GL2"/>
    <w:basedOn w:val="Level1EBAstylenumberedparagraphGL1"/>
    <w:qFormat/>
    <w:rsid w:val="00EC596C"/>
    <w:pPr>
      <w:numPr>
        <w:numId w:val="71"/>
      </w:numPr>
    </w:pPr>
  </w:style>
  <w:style w:type="paragraph" w:customStyle="1" w:styleId="Level1EBAstylenumberedparagraphGL3">
    <w:name w:val="Level 1 EBA style numbered paragraph GL3"/>
    <w:basedOn w:val="Level1EBAstylenumberedparagraphGL2"/>
    <w:qFormat/>
    <w:rsid w:val="00EC596C"/>
    <w:pPr>
      <w:numPr>
        <w:numId w:val="72"/>
      </w:numPr>
      <w:ind w:left="567" w:hanging="567"/>
    </w:pPr>
  </w:style>
  <w:style w:type="paragraph" w:customStyle="1" w:styleId="Level1EBAstylenumberedparagraphGL4">
    <w:name w:val="Level 1 EBA style numbered paragraph GL4"/>
    <w:basedOn w:val="Level1EBAstylenumberedparagraphGL3"/>
    <w:qFormat/>
    <w:rsid w:val="00EC596C"/>
    <w:pPr>
      <w:numPr>
        <w:numId w:val="73"/>
      </w:numPr>
    </w:pPr>
  </w:style>
  <w:style w:type="paragraph" w:customStyle="1" w:styleId="Level1EBAstylenumberedparagraphGL5">
    <w:name w:val="Level 1 EBA style numbered paragraph GL5"/>
    <w:basedOn w:val="Level1EBAstylenumberedparagraphGL4"/>
    <w:qFormat/>
    <w:rsid w:val="00EC596C"/>
    <w:pPr>
      <w:numPr>
        <w:numId w:val="74"/>
      </w:numPr>
      <w:ind w:left="567" w:hanging="567"/>
    </w:pPr>
  </w:style>
  <w:style w:type="paragraph" w:customStyle="1" w:styleId="Level1EBAstylenumberedparagraphGL6">
    <w:name w:val="Level 1 EBA style numbered paragraph GL6"/>
    <w:basedOn w:val="Level1EBAstylenumberedparagraphGL5"/>
    <w:qFormat/>
    <w:rsid w:val="00EC596C"/>
    <w:pPr>
      <w:numPr>
        <w:numId w:val="75"/>
      </w:numPr>
      <w:ind w:left="567" w:hanging="567"/>
    </w:pPr>
  </w:style>
  <w:style w:type="paragraph" w:customStyle="1" w:styleId="Level1EBAstylenumberedparagraphGL7">
    <w:name w:val="Level 1 EBA style numbered paragraph GL7"/>
    <w:basedOn w:val="Level1EBAstylenumberedparagraphGL6"/>
    <w:qFormat/>
    <w:rsid w:val="00EC596C"/>
    <w:pPr>
      <w:numPr>
        <w:numId w:val="76"/>
      </w:numPr>
      <w:ind w:left="567" w:hanging="567"/>
    </w:pPr>
  </w:style>
  <w:style w:type="paragraph" w:customStyle="1" w:styleId="Level1EBAstylenumberedparagraphGL8">
    <w:name w:val="Level 1 EBA style numbered paragraph GL8"/>
    <w:basedOn w:val="Level1EBAstylenumberedparagraphGL7"/>
    <w:qFormat/>
    <w:rsid w:val="00EC596C"/>
    <w:pPr>
      <w:numPr>
        <w:numId w:val="77"/>
      </w:numPr>
      <w:ind w:left="567" w:hanging="567"/>
    </w:pPr>
  </w:style>
  <w:style w:type="paragraph" w:customStyle="1" w:styleId="Level1EBAstylenumberedparagraphGL9">
    <w:name w:val="Level 1 EBA style numbered paragraph GL9"/>
    <w:basedOn w:val="Level1EBAstylenumberedparagraphGL8"/>
    <w:qFormat/>
    <w:rsid w:val="00EC596C"/>
    <w:pPr>
      <w:numPr>
        <w:numId w:val="78"/>
      </w:numPr>
    </w:pPr>
  </w:style>
  <w:style w:type="paragraph" w:customStyle="1" w:styleId="Level1EBAstylenumberedparagraphGL10">
    <w:name w:val="Level 1 EBA style numbered paragraph GL10"/>
    <w:basedOn w:val="Level1EBAstylenumberedparagraphGL1"/>
    <w:qFormat/>
    <w:rsid w:val="00EC596C"/>
    <w:pPr>
      <w:numPr>
        <w:numId w:val="79"/>
      </w:numPr>
      <w:ind w:left="567" w:hanging="567"/>
    </w:pPr>
  </w:style>
  <w:style w:type="paragraph" w:customStyle="1" w:styleId="Level1EBAstylenumberedparagraphGL11">
    <w:name w:val="Level 1 EBA style numbered paragraph GL11"/>
    <w:basedOn w:val="Level1EBAstylenumberedparagraphGL1"/>
    <w:qFormat/>
    <w:rsid w:val="00EC596C"/>
    <w:pPr>
      <w:numPr>
        <w:numId w:val="80"/>
      </w:numPr>
      <w:ind w:left="567" w:hanging="567"/>
    </w:pPr>
  </w:style>
  <w:style w:type="paragraph" w:customStyle="1" w:styleId="Level1EBAstylenumberedparagraphGL12">
    <w:name w:val="Level 1 EBA style numbered paragraph GL12"/>
    <w:basedOn w:val="Level1EBAstylenumberedparagraphGL1"/>
    <w:qFormat/>
    <w:rsid w:val="00EC596C"/>
    <w:pPr>
      <w:numPr>
        <w:numId w:val="81"/>
      </w:numPr>
      <w:ind w:left="567" w:hanging="567"/>
    </w:pPr>
  </w:style>
  <w:style w:type="paragraph" w:customStyle="1" w:styleId="Level1EBAstylenumberedparagraphGL13">
    <w:name w:val="Level 1 EBA style numbered paragraph GL13"/>
    <w:basedOn w:val="Level1EBAstylenumberedparagraphGL1"/>
    <w:qFormat/>
    <w:rsid w:val="00EC596C"/>
    <w:pPr>
      <w:numPr>
        <w:numId w:val="82"/>
      </w:numPr>
      <w:ind w:left="567" w:hanging="567"/>
    </w:pPr>
  </w:style>
  <w:style w:type="paragraph" w:customStyle="1" w:styleId="Level1EBAstylenumberedparagraphGL14">
    <w:name w:val="Level 1 EBA style numbered paragraph GL14"/>
    <w:basedOn w:val="Level1EBAstylenumberedparagraphGL1"/>
    <w:qFormat/>
    <w:rsid w:val="00EC596C"/>
    <w:pPr>
      <w:numPr>
        <w:numId w:val="83"/>
      </w:numPr>
      <w:ind w:left="567" w:hanging="567"/>
    </w:pPr>
  </w:style>
  <w:style w:type="paragraph" w:customStyle="1" w:styleId="Level1EBAstylenumberedparagraphGL15">
    <w:name w:val="Level 1 EBA style numbered paragraph GL15"/>
    <w:basedOn w:val="Level1EBAstylenumberedparagraphGL1"/>
    <w:qFormat/>
    <w:rsid w:val="00EC596C"/>
    <w:pPr>
      <w:numPr>
        <w:numId w:val="84"/>
      </w:numPr>
    </w:pPr>
  </w:style>
  <w:style w:type="paragraph" w:customStyle="1" w:styleId="Level1EBAstylenumberedparagraphGL16">
    <w:name w:val="Level 1 EBA style numbered paragraph GL16"/>
    <w:basedOn w:val="Level1EBAstylenumberedparagraphGL1"/>
    <w:qFormat/>
    <w:rsid w:val="00EC596C"/>
    <w:pPr>
      <w:numPr>
        <w:numId w:val="85"/>
      </w:numPr>
      <w:ind w:left="567" w:hanging="567"/>
    </w:pPr>
  </w:style>
  <w:style w:type="paragraph" w:customStyle="1" w:styleId="Level1EBAstylenumberedparagraphGL17">
    <w:name w:val="Level 1 EBA style numbered paragraph GL17"/>
    <w:basedOn w:val="Level1EBAstylenumberedparagraphGL1"/>
    <w:qFormat/>
    <w:rsid w:val="00EC596C"/>
    <w:pPr>
      <w:numPr>
        <w:numId w:val="86"/>
      </w:numPr>
      <w:ind w:left="567" w:hanging="567"/>
    </w:pPr>
  </w:style>
  <w:style w:type="paragraph" w:customStyle="1" w:styleId="Level1EBAstylenumberedparagraphGL18">
    <w:name w:val="Level 1 EBA style numbered paragraph GL18"/>
    <w:basedOn w:val="Level1EBAstylenumberedparagraphGL1"/>
    <w:qFormat/>
    <w:rsid w:val="00EC596C"/>
    <w:pPr>
      <w:numPr>
        <w:numId w:val="87"/>
      </w:numPr>
      <w:ind w:left="567" w:hanging="567"/>
    </w:pPr>
  </w:style>
  <w:style w:type="paragraph" w:customStyle="1" w:styleId="Level1EBAstylenumberedparagraphGL19">
    <w:name w:val="Level 1 EBA style numbered paragraph GL19"/>
    <w:basedOn w:val="Level1EBAstylenumberedparagraphGL1"/>
    <w:qFormat/>
    <w:rsid w:val="00EC596C"/>
    <w:pPr>
      <w:numPr>
        <w:numId w:val="88"/>
      </w:numPr>
      <w:ind w:left="567" w:hanging="567"/>
    </w:pPr>
  </w:style>
  <w:style w:type="paragraph" w:customStyle="1" w:styleId="Level1EBAstylenumberedparagraphGL20">
    <w:name w:val="Level 1 EBA style numbered paragraph GL20"/>
    <w:basedOn w:val="Level1EBAstylenumberedparagraphGL1"/>
    <w:qFormat/>
    <w:rsid w:val="00EC596C"/>
    <w:pPr>
      <w:numPr>
        <w:numId w:val="89"/>
      </w:numPr>
      <w:ind w:left="567" w:hanging="567"/>
    </w:pPr>
  </w:style>
  <w:style w:type="paragraph" w:customStyle="1" w:styleId="Unnumberedtitlelevel5">
    <w:name w:val="Unnumbered title level 5"/>
    <w:basedOn w:val="Unnumberedtitlelevel4"/>
    <w:qFormat/>
    <w:rsid w:val="00EC596C"/>
    <w:rPr>
      <w:b w:val="0"/>
      <w:i/>
    </w:rPr>
  </w:style>
  <w:style w:type="paragraph" w:customStyle="1" w:styleId="Numberedtitlelevel5">
    <w:name w:val="Numbered title level 5"/>
    <w:basedOn w:val="Numberedtitlelevel4"/>
    <w:qFormat/>
    <w:rsid w:val="00EC596C"/>
    <w:rPr>
      <w:i/>
    </w:rPr>
  </w:style>
  <w:style w:type="paragraph" w:customStyle="1" w:styleId="Unnumberedtitlelevel1noappearingintableofcontents">
    <w:name w:val="Unnumbered title level 1 (no appearing in table of contents)"/>
    <w:basedOn w:val="Unnumberedtitlelevel1"/>
    <w:qFormat/>
    <w:rsid w:val="00EC596C"/>
  </w:style>
  <w:style w:type="character" w:customStyle="1" w:styleId="e24kjd">
    <w:name w:val="e24kjd"/>
    <w:basedOn w:val="DefaultParagraphFont"/>
    <w:rsid w:val="00EC596C"/>
  </w:style>
  <w:style w:type="paragraph" w:customStyle="1" w:styleId="CM3">
    <w:name w:val="CM3"/>
    <w:basedOn w:val="Default"/>
    <w:next w:val="Default"/>
    <w:uiPriority w:val="99"/>
    <w:rsid w:val="00EC596C"/>
    <w:rPr>
      <w:rFonts w:ascii="EUAlbertina" w:eastAsiaTheme="minorEastAsia" w:hAnsi="EUAlbertina" w:cstheme="minorBidi"/>
      <w:color w:val="auto"/>
    </w:rPr>
  </w:style>
  <w:style w:type="table" w:customStyle="1" w:styleId="TableGrid11">
    <w:name w:val="Table Grid11"/>
    <w:basedOn w:val="TableProfessional"/>
    <w:next w:val="TableGrid"/>
    <w:uiPriority w:val="59"/>
    <w:rsid w:val="00EC596C"/>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numbering" w:customStyle="1" w:styleId="ImportedStyle4">
    <w:name w:val="Imported Style 4"/>
    <w:rsid w:val="00EC596C"/>
    <w:pPr>
      <w:numPr>
        <w:numId w:val="90"/>
      </w:numPr>
    </w:pPr>
  </w:style>
  <w:style w:type="character" w:customStyle="1" w:styleId="Hyperlink0">
    <w:name w:val="Hyperlink.0"/>
    <w:basedOn w:val="DefaultParagraphFont"/>
    <w:rsid w:val="00EC596C"/>
    <w:rPr>
      <w:lang w:val="mt-MT"/>
    </w:rPr>
  </w:style>
  <w:style w:type="character" w:customStyle="1" w:styleId="apple-converted-space">
    <w:name w:val="apple-converted-space"/>
    <w:basedOn w:val="DefaultParagraphFont"/>
    <w:rsid w:val="00EC596C"/>
  </w:style>
  <w:style w:type="paragraph" w:customStyle="1" w:styleId="qamanpar">
    <w:name w:val="qa man par"/>
    <w:basedOn w:val="Normal"/>
    <w:link w:val="qamanparChar"/>
    <w:qFormat/>
    <w:rsid w:val="00EC596C"/>
    <w:pPr>
      <w:jc w:val="center"/>
    </w:pPr>
    <w:rPr>
      <w:i/>
      <w:color w:val="92D050"/>
    </w:rPr>
  </w:style>
  <w:style w:type="character" w:customStyle="1" w:styleId="qamanparChar">
    <w:name w:val="qa man par Char"/>
    <w:basedOn w:val="DefaultParagraphFont"/>
    <w:link w:val="qamanpar"/>
    <w:rsid w:val="00EC596C"/>
    <w:rPr>
      <w:i/>
      <w:color w:val="92D050"/>
      <w:sz w:val="22"/>
    </w:rPr>
  </w:style>
  <w:style w:type="paragraph" w:customStyle="1" w:styleId="manheading">
    <w:name w:val="manheading"/>
    <w:basedOn w:val="Heading1"/>
    <w:link w:val="manheadingChar"/>
    <w:qFormat/>
    <w:rsid w:val="00EC596C"/>
    <w:pPr>
      <w:spacing w:before="480"/>
      <w:jc w:val="center"/>
    </w:pPr>
    <w:rPr>
      <w:i/>
      <w:caps w:val="0"/>
      <w:color w:val="FFC000"/>
      <w:sz w:val="32"/>
      <w:szCs w:val="32"/>
    </w:rPr>
  </w:style>
  <w:style w:type="character" w:customStyle="1" w:styleId="manheadingChar">
    <w:name w:val="manheading Char"/>
    <w:basedOn w:val="Heading1Char"/>
    <w:link w:val="manheading"/>
    <w:rsid w:val="00EC596C"/>
    <w:rPr>
      <w:rFonts w:asciiTheme="majorHAnsi" w:eastAsiaTheme="majorEastAsia" w:hAnsiTheme="majorHAnsi" w:cstheme="majorBidi"/>
      <w:b/>
      <w:bCs/>
      <w:i/>
      <w:caps w:val="0"/>
      <w:color w:val="FFC000"/>
      <w:sz w:val="32"/>
      <w:szCs w:val="32"/>
    </w:rPr>
  </w:style>
  <w:style w:type="paragraph" w:styleId="Caption">
    <w:name w:val="caption"/>
    <w:basedOn w:val="Normal"/>
    <w:next w:val="Normal"/>
    <w:uiPriority w:val="35"/>
    <w:unhideWhenUsed/>
    <w:qFormat/>
    <w:rsid w:val="00EC596C"/>
    <w:pPr>
      <w:spacing w:after="200"/>
    </w:pPr>
    <w:rPr>
      <w:b/>
      <w:bCs/>
      <w:color w:val="2F5773" w:themeColor="accent1"/>
      <w:sz w:val="18"/>
      <w:szCs w:val="18"/>
    </w:rPr>
  </w:style>
  <w:style w:type="paragraph" w:customStyle="1" w:styleId="Normal2">
    <w:name w:val="Normal2"/>
    <w:basedOn w:val="Normal"/>
    <w:rsid w:val="00EC596C"/>
    <w:pPr>
      <w:spacing w:before="100" w:beforeAutospacing="1" w:after="100" w:afterAutospacing="1"/>
    </w:pPr>
    <w:rPr>
      <w:rFonts w:ascii="Times New Roman" w:eastAsia="Times New Roman" w:hAnsi="Times New Roman" w:cs="Times New Roman"/>
      <w:sz w:val="24"/>
      <w:lang w:eastAsia="es-ES"/>
    </w:rPr>
  </w:style>
  <w:style w:type="character" w:customStyle="1" w:styleId="highlight">
    <w:name w:val="highlight"/>
    <w:basedOn w:val="DefaultParagraphFont"/>
    <w:rsid w:val="00EC596C"/>
  </w:style>
  <w:style w:type="character" w:styleId="UnresolvedMention">
    <w:name w:val="Unresolved Mention"/>
    <w:basedOn w:val="DefaultParagraphFont"/>
    <w:uiPriority w:val="99"/>
    <w:semiHidden/>
    <w:unhideWhenUsed/>
    <w:rsid w:val="006B49B0"/>
    <w:rPr>
      <w:color w:val="605E5C"/>
      <w:shd w:val="clear" w:color="auto" w:fill="E1DFDD"/>
    </w:rPr>
  </w:style>
  <w:style w:type="paragraph" w:customStyle="1" w:styleId="Style1">
    <w:name w:val="Style1"/>
    <w:basedOn w:val="ListParagraph"/>
    <w:qFormat/>
    <w:rsid w:val="00592AFF"/>
    <w:pPr>
      <w:widowControl w:val="0"/>
      <w:numPr>
        <w:ilvl w:val="1"/>
        <w:numId w:val="14"/>
      </w:numPr>
      <w:tabs>
        <w:tab w:val="left" w:pos="941"/>
        <w:tab w:val="left" w:pos="942"/>
      </w:tabs>
      <w:autoSpaceDE w:val="0"/>
      <w:autoSpaceDN w:val="0"/>
      <w:spacing w:before="160" w:line="273" w:lineRule="auto"/>
      <w:ind w:right="222"/>
      <w:jc w:val="both"/>
    </w:pPr>
  </w:style>
  <w:style w:type="character" w:customStyle="1" w:styleId="normaltextrun">
    <w:name w:val="normaltextrun"/>
    <w:basedOn w:val="DefaultParagraphFont"/>
    <w:rsid w:val="001F4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7072">
      <w:bodyDiv w:val="1"/>
      <w:marLeft w:val="0"/>
      <w:marRight w:val="0"/>
      <w:marTop w:val="0"/>
      <w:marBottom w:val="0"/>
      <w:divBdr>
        <w:top w:val="none" w:sz="0" w:space="0" w:color="auto"/>
        <w:left w:val="none" w:sz="0" w:space="0" w:color="auto"/>
        <w:bottom w:val="none" w:sz="0" w:space="0" w:color="auto"/>
        <w:right w:val="none" w:sz="0" w:space="0" w:color="auto"/>
      </w:divBdr>
    </w:div>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291447538">
      <w:bodyDiv w:val="1"/>
      <w:marLeft w:val="0"/>
      <w:marRight w:val="0"/>
      <w:marTop w:val="0"/>
      <w:marBottom w:val="0"/>
      <w:divBdr>
        <w:top w:val="none" w:sz="0" w:space="0" w:color="auto"/>
        <w:left w:val="none" w:sz="0" w:space="0" w:color="auto"/>
        <w:bottom w:val="none" w:sz="0" w:space="0" w:color="auto"/>
        <w:right w:val="none" w:sz="0" w:space="0" w:color="auto"/>
      </w:divBdr>
    </w:div>
    <w:div w:id="462382382">
      <w:bodyDiv w:val="1"/>
      <w:marLeft w:val="0"/>
      <w:marRight w:val="0"/>
      <w:marTop w:val="0"/>
      <w:marBottom w:val="0"/>
      <w:divBdr>
        <w:top w:val="none" w:sz="0" w:space="0" w:color="auto"/>
        <w:left w:val="none" w:sz="0" w:space="0" w:color="auto"/>
        <w:bottom w:val="none" w:sz="0" w:space="0" w:color="auto"/>
        <w:right w:val="none" w:sz="0" w:space="0" w:color="auto"/>
      </w:divBdr>
    </w:div>
    <w:div w:id="498811772">
      <w:bodyDiv w:val="1"/>
      <w:marLeft w:val="0"/>
      <w:marRight w:val="0"/>
      <w:marTop w:val="0"/>
      <w:marBottom w:val="0"/>
      <w:divBdr>
        <w:top w:val="none" w:sz="0" w:space="0" w:color="auto"/>
        <w:left w:val="none" w:sz="0" w:space="0" w:color="auto"/>
        <w:bottom w:val="none" w:sz="0" w:space="0" w:color="auto"/>
        <w:right w:val="none" w:sz="0" w:space="0" w:color="auto"/>
      </w:divBdr>
    </w:div>
    <w:div w:id="541676531">
      <w:bodyDiv w:val="1"/>
      <w:marLeft w:val="0"/>
      <w:marRight w:val="0"/>
      <w:marTop w:val="0"/>
      <w:marBottom w:val="0"/>
      <w:divBdr>
        <w:top w:val="none" w:sz="0" w:space="0" w:color="auto"/>
        <w:left w:val="none" w:sz="0" w:space="0" w:color="auto"/>
        <w:bottom w:val="none" w:sz="0" w:space="0" w:color="auto"/>
        <w:right w:val="none" w:sz="0" w:space="0" w:color="auto"/>
      </w:divBdr>
    </w:div>
    <w:div w:id="954288024">
      <w:bodyDiv w:val="1"/>
      <w:marLeft w:val="0"/>
      <w:marRight w:val="0"/>
      <w:marTop w:val="0"/>
      <w:marBottom w:val="0"/>
      <w:divBdr>
        <w:top w:val="none" w:sz="0" w:space="0" w:color="auto"/>
        <w:left w:val="none" w:sz="0" w:space="0" w:color="auto"/>
        <w:bottom w:val="none" w:sz="0" w:space="0" w:color="auto"/>
        <w:right w:val="none" w:sz="0" w:space="0" w:color="auto"/>
      </w:divBdr>
    </w:div>
    <w:div w:id="978459488">
      <w:bodyDiv w:val="1"/>
      <w:marLeft w:val="0"/>
      <w:marRight w:val="0"/>
      <w:marTop w:val="0"/>
      <w:marBottom w:val="0"/>
      <w:divBdr>
        <w:top w:val="none" w:sz="0" w:space="0" w:color="auto"/>
        <w:left w:val="none" w:sz="0" w:space="0" w:color="auto"/>
        <w:bottom w:val="none" w:sz="0" w:space="0" w:color="auto"/>
        <w:right w:val="none" w:sz="0" w:space="0" w:color="auto"/>
      </w:divBdr>
    </w:div>
    <w:div w:id="995377792">
      <w:bodyDiv w:val="1"/>
      <w:marLeft w:val="0"/>
      <w:marRight w:val="0"/>
      <w:marTop w:val="0"/>
      <w:marBottom w:val="0"/>
      <w:divBdr>
        <w:top w:val="none" w:sz="0" w:space="0" w:color="auto"/>
        <w:left w:val="none" w:sz="0" w:space="0" w:color="auto"/>
        <w:bottom w:val="none" w:sz="0" w:space="0" w:color="auto"/>
        <w:right w:val="none" w:sz="0" w:space="0" w:color="auto"/>
      </w:divBdr>
    </w:div>
    <w:div w:id="996759894">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195918861">
      <w:bodyDiv w:val="1"/>
      <w:marLeft w:val="0"/>
      <w:marRight w:val="0"/>
      <w:marTop w:val="0"/>
      <w:marBottom w:val="0"/>
      <w:divBdr>
        <w:top w:val="none" w:sz="0" w:space="0" w:color="auto"/>
        <w:left w:val="none" w:sz="0" w:space="0" w:color="auto"/>
        <w:bottom w:val="none" w:sz="0" w:space="0" w:color="auto"/>
        <w:right w:val="none" w:sz="0" w:space="0" w:color="auto"/>
      </w:divBdr>
    </w:div>
    <w:div w:id="1251692206">
      <w:bodyDiv w:val="1"/>
      <w:marLeft w:val="0"/>
      <w:marRight w:val="0"/>
      <w:marTop w:val="0"/>
      <w:marBottom w:val="0"/>
      <w:divBdr>
        <w:top w:val="none" w:sz="0" w:space="0" w:color="auto"/>
        <w:left w:val="none" w:sz="0" w:space="0" w:color="auto"/>
        <w:bottom w:val="none" w:sz="0" w:space="0" w:color="auto"/>
        <w:right w:val="none" w:sz="0" w:space="0" w:color="auto"/>
      </w:divBdr>
    </w:div>
    <w:div w:id="1422601768">
      <w:bodyDiv w:val="1"/>
      <w:marLeft w:val="0"/>
      <w:marRight w:val="0"/>
      <w:marTop w:val="0"/>
      <w:marBottom w:val="0"/>
      <w:divBdr>
        <w:top w:val="none" w:sz="0" w:space="0" w:color="auto"/>
        <w:left w:val="none" w:sz="0" w:space="0" w:color="auto"/>
        <w:bottom w:val="none" w:sz="0" w:space="0" w:color="auto"/>
        <w:right w:val="none" w:sz="0" w:space="0" w:color="auto"/>
      </w:divBdr>
    </w:div>
    <w:div w:id="1559171573">
      <w:bodyDiv w:val="1"/>
      <w:marLeft w:val="0"/>
      <w:marRight w:val="0"/>
      <w:marTop w:val="0"/>
      <w:marBottom w:val="0"/>
      <w:divBdr>
        <w:top w:val="none" w:sz="0" w:space="0" w:color="auto"/>
        <w:left w:val="none" w:sz="0" w:space="0" w:color="auto"/>
        <w:bottom w:val="none" w:sz="0" w:space="0" w:color="auto"/>
        <w:right w:val="none" w:sz="0" w:space="0" w:color="auto"/>
      </w:divBdr>
    </w:div>
    <w:div w:id="1617178157">
      <w:bodyDiv w:val="1"/>
      <w:marLeft w:val="0"/>
      <w:marRight w:val="0"/>
      <w:marTop w:val="0"/>
      <w:marBottom w:val="0"/>
      <w:divBdr>
        <w:top w:val="none" w:sz="0" w:space="0" w:color="auto"/>
        <w:left w:val="none" w:sz="0" w:space="0" w:color="auto"/>
        <w:bottom w:val="none" w:sz="0" w:space="0" w:color="auto"/>
        <w:right w:val="none" w:sz="0" w:space="0" w:color="auto"/>
      </w:divBdr>
    </w:div>
    <w:div w:id="1621953346">
      <w:bodyDiv w:val="1"/>
      <w:marLeft w:val="0"/>
      <w:marRight w:val="0"/>
      <w:marTop w:val="0"/>
      <w:marBottom w:val="0"/>
      <w:divBdr>
        <w:top w:val="none" w:sz="0" w:space="0" w:color="auto"/>
        <w:left w:val="none" w:sz="0" w:space="0" w:color="auto"/>
        <w:bottom w:val="none" w:sz="0" w:space="0" w:color="auto"/>
        <w:right w:val="none" w:sz="0" w:space="0" w:color="auto"/>
      </w:divBdr>
    </w:div>
    <w:div w:id="1660037427">
      <w:bodyDiv w:val="1"/>
      <w:marLeft w:val="0"/>
      <w:marRight w:val="0"/>
      <w:marTop w:val="0"/>
      <w:marBottom w:val="0"/>
      <w:divBdr>
        <w:top w:val="none" w:sz="0" w:space="0" w:color="auto"/>
        <w:left w:val="none" w:sz="0" w:space="0" w:color="auto"/>
        <w:bottom w:val="none" w:sz="0" w:space="0" w:color="auto"/>
        <w:right w:val="none" w:sz="0" w:space="0" w:color="auto"/>
      </w:divBdr>
    </w:div>
    <w:div w:id="1747075319">
      <w:bodyDiv w:val="1"/>
      <w:marLeft w:val="0"/>
      <w:marRight w:val="0"/>
      <w:marTop w:val="0"/>
      <w:marBottom w:val="0"/>
      <w:divBdr>
        <w:top w:val="none" w:sz="0" w:space="0" w:color="auto"/>
        <w:left w:val="none" w:sz="0" w:space="0" w:color="auto"/>
        <w:bottom w:val="none" w:sz="0" w:space="0" w:color="auto"/>
        <w:right w:val="none" w:sz="0" w:space="0" w:color="auto"/>
      </w:divBdr>
    </w:div>
    <w:div w:id="1865170183">
      <w:bodyDiv w:val="1"/>
      <w:marLeft w:val="0"/>
      <w:marRight w:val="0"/>
      <w:marTop w:val="0"/>
      <w:marBottom w:val="0"/>
      <w:divBdr>
        <w:top w:val="none" w:sz="0" w:space="0" w:color="auto"/>
        <w:left w:val="none" w:sz="0" w:space="0" w:color="auto"/>
        <w:bottom w:val="none" w:sz="0" w:space="0" w:color="auto"/>
        <w:right w:val="none" w:sz="0" w:space="0" w:color="auto"/>
      </w:divBdr>
    </w:div>
    <w:div w:id="1956476194">
      <w:bodyDiv w:val="1"/>
      <w:marLeft w:val="0"/>
      <w:marRight w:val="0"/>
      <w:marTop w:val="0"/>
      <w:marBottom w:val="0"/>
      <w:divBdr>
        <w:top w:val="none" w:sz="0" w:space="0" w:color="auto"/>
        <w:left w:val="none" w:sz="0" w:space="0" w:color="auto"/>
        <w:bottom w:val="none" w:sz="0" w:space="0" w:color="auto"/>
        <w:right w:val="none" w:sz="0" w:space="0" w:color="auto"/>
      </w:divBdr>
    </w:div>
    <w:div w:id="2111775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www.eba.europa.eu/sites/default/documents/files/document_library/Publications/Guidelines/2021/963637/Final%20Report%20on%20Guidelines%20on%20revised%20ML%20TF%20Risk%20Factors.pdf" TargetMode="External"/><Relationship Id="rId13" Type="http://schemas.openxmlformats.org/officeDocument/2006/relationships/hyperlink" Target="https://www.eba.europa.eu/sites/default/documents/files/document_library/Publications/Guidelines/2021/963637/Final%20Report%20on%20Guidelines%20on%20revised%20ML%20TF%20Risk%20Factors.pdf" TargetMode="External"/><Relationship Id="rId3" Type="http://schemas.openxmlformats.org/officeDocument/2006/relationships/hyperlink" Target="https://www.eba.europa.eu/sites/default/documents/files/document_library/Publications/Guidelines/2021/EBA-GL-2021-14%20Guidelines%20on%20internal%20governance%20under%20IFD/1024534/Final%20Report%20on%20GL%20on%20internal%20governance%20under%20IFD.pdf?retry=1" TargetMode="External"/><Relationship Id="rId7" Type="http://schemas.openxmlformats.org/officeDocument/2006/relationships/hyperlink" Target="https://www.eba.europa.eu/sites/default/documents/files/documents/10180/2545547/e83dd6ee-78f7-46a1-befb-3e91cedeb51d/Agreement%20between%20CAs%20and%20the%20ECB%20on%20exchange%20of%20information%20on%20AML.pdf" TargetMode="External"/><Relationship Id="rId12"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2" Type="http://schemas.openxmlformats.org/officeDocument/2006/relationships/hyperlink" Target="https://www.eba.europa.eu/sites/default/documents/files/document_library/Publications/Guidelines/2021/1016721/Final%20report%20on%20Guidelines%20on%20internal%20governance%20under%20CRD.pdf" TargetMode="External"/><Relationship Id="rId1" Type="http://schemas.openxmlformats.org/officeDocument/2006/relationships/hyperlink" Target="https://www.eba.europa.eu/sites/default/documents/files/document_library/Publications/Guidelines/2021/EBA-GL-2021-06%20Joint%20GLs%20on%20the%20assessment%20of%20suitability%20%28fit%26propoer%29/1022127/Final%20report%20on%20joint%20EBA%20and%20ESMA%20GL%20on%20the%20assessment%20of%20suitability.pdf" TargetMode="External"/><Relationship Id="rId6"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11" Type="http://schemas.openxmlformats.org/officeDocument/2006/relationships/hyperlink" Target="https://www.eba.europa.eu/sites/default/documents/files/document_library/Publications/Guidelines/2021/EBA-GL-2021-06%20Joint%20GLs%20on%20the%20assessment%20of%20suitability%20%28fit%26propoer%29/1022127/Final%20report%20on%20joint%20EBA%20and%20ESMA%20GL%20on%20the%20assessment%20of%20suitability.pdf" TargetMode="External"/><Relationship Id="rId5"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10"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4" Type="http://schemas.openxmlformats.org/officeDocument/2006/relationships/hyperlink" Target="https://www.eba.europa.eu/sites/default/documents/files/document_library/Joint%20Guidelines%20on%20cooperation%20and%20information%20exchange%20on%20AML%20-%20CFT.pdf" TargetMode="External"/><Relationship Id="rId9" Type="http://schemas.openxmlformats.org/officeDocument/2006/relationships/hyperlink" Target="https://www.eba.europa.eu/sites/default/documents/files/document_library/Publications/Guidelines/2021/963637/Final%20Report%20on%20Guidelines%20on%20revised%20ML%20TF%20Risk%20Facto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D0C9A-1649-4958-A7AB-9E5C24758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52</Pages>
  <Words>19589</Words>
  <Characters>111660</Characters>
  <Application>Microsoft Office Word</Application>
  <DocSecurity>0</DocSecurity>
  <Lines>930</Lines>
  <Paragraphs>261</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130988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Lorena DAGBA</cp:lastModifiedBy>
  <cp:revision>58</cp:revision>
  <cp:lastPrinted>2021-12-16T11:00:00Z</cp:lastPrinted>
  <dcterms:created xsi:type="dcterms:W3CDTF">2022-03-28T08:00:00Z</dcterms:created>
  <dcterms:modified xsi:type="dcterms:W3CDTF">2024-04-19T15:38:00Z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b,c,d,e,f,10</vt:lpwstr>
  </property>
  <property fmtid="{D5CDD505-2E9C-101B-9397-08002B2CF9AE}" pid="3" name="ClassificationContentMarkingHeaderFontProps">
    <vt:lpwstr>#000000,12,Calibri</vt:lpwstr>
  </property>
  <property fmtid="{D5CDD505-2E9C-101B-9397-08002B2CF9AE}" pid="4" name="ClassificationContentMarkingHeaderText">
    <vt:lpwstr>EBA Public</vt:lpwstr>
  </property>
  <property fmtid="{D5CDD505-2E9C-101B-9397-08002B2CF9AE}" pid="5" name="MSIP_Label_71689188-9188-43d8-bdb9-0a0de5358646_Enabled">
    <vt:lpwstr>true</vt:lpwstr>
  </property>
  <property fmtid="{D5CDD505-2E9C-101B-9397-08002B2CF9AE}" pid="6" name="MSIP_Label_71689188-9188-43d8-bdb9-0a0de5358646_SetDate">
    <vt:lpwstr>2022-03-28T07:59:22Z</vt:lpwstr>
  </property>
  <property fmtid="{D5CDD505-2E9C-101B-9397-08002B2CF9AE}" pid="7" name="MSIP_Label_71689188-9188-43d8-bdb9-0a0de5358646_Method">
    <vt:lpwstr>Privileged</vt:lpwstr>
  </property>
  <property fmtid="{D5CDD505-2E9C-101B-9397-08002B2CF9AE}" pid="8" name="MSIP_Label_71689188-9188-43d8-bdb9-0a0de5358646_Name">
    <vt:lpwstr>EBA Public</vt:lpwstr>
  </property>
  <property fmtid="{D5CDD505-2E9C-101B-9397-08002B2CF9AE}" pid="9" name="MSIP_Label_71689188-9188-43d8-bdb9-0a0de5358646_SiteId">
    <vt:lpwstr>3bacb4ff-f1a2-4c92-b96c-e99fec826b68</vt:lpwstr>
  </property>
  <property fmtid="{D5CDD505-2E9C-101B-9397-08002B2CF9AE}" pid="10" name="MSIP_Label_71689188-9188-43d8-bdb9-0a0de5358646_ActionId">
    <vt:lpwstr>47f46b5d-3115-4175-9c95-1b900356d6d5</vt:lpwstr>
  </property>
  <property fmtid="{D5CDD505-2E9C-101B-9397-08002B2CF9AE}" pid="11" name="MSIP_Label_71689188-9188-43d8-bdb9-0a0de5358646_ContentBits">
    <vt:lpwstr>1</vt:lpwstr>
  </property>
</Properties>
</file>