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4B61B0" w:rsidRDefault="00B43E07" w:rsidP="00B43E07"/>
        <w:tbl>
          <w:tblPr>
            <w:tblW w:w="0" w:type="auto"/>
            <w:tblCellMar>
              <w:top w:w="85" w:type="dxa"/>
              <w:bottom w:w="85" w:type="dxa"/>
            </w:tblCellMar>
            <w:tblLook w:val="04A0" w:firstRow="1" w:lastRow="0" w:firstColumn="1" w:lastColumn="0" w:noHBand="0" w:noVBand="1"/>
          </w:tblPr>
          <w:tblGrid>
            <w:gridCol w:w="5670"/>
          </w:tblGrid>
          <w:tr w:rsidR="00B43E07" w:rsidRPr="004B61B0" w14:paraId="2A3831DD" w14:textId="77777777" w:rsidTr="00B87162">
            <w:tc>
              <w:tcPr>
                <w:tcW w:w="5670" w:type="dxa"/>
                <w:tcBorders>
                  <w:bottom w:val="single" w:sz="4" w:space="0" w:color="A6A6A6" w:themeColor="background1" w:themeShade="A6"/>
                </w:tcBorders>
                <w:shd w:val="clear" w:color="auto" w:fill="auto"/>
              </w:tcPr>
              <w:p w14:paraId="512F9A1D" w14:textId="54B84C70" w:rsidR="00B43E07" w:rsidRPr="004B61B0" w:rsidRDefault="0016099C" w:rsidP="00993B1E">
                <w:r w:rsidRPr="004B61B0">
                  <w:fldChar w:fldCharType="begin">
                    <w:ffData>
                      <w:name w:val=""/>
                      <w:enabled/>
                      <w:calcOnExit w:val="0"/>
                      <w:textInput>
                        <w:default w:val="EBA/GL/2021/16"/>
                      </w:textInput>
                    </w:ffData>
                  </w:fldChar>
                </w:r>
                <w:r w:rsidRPr="004B61B0">
                  <w:instrText xml:space="preserve"> FORMTEXT </w:instrText>
                </w:r>
                <w:r w:rsidRPr="004B61B0">
                  <w:fldChar w:fldCharType="separate"/>
                </w:r>
                <w:r w:rsidRPr="004B61B0">
                  <w:t>EBA/GL/2021/16</w:t>
                </w:r>
                <w:r w:rsidRPr="004B61B0">
                  <w:fldChar w:fldCharType="end"/>
                </w:r>
                <w:r w:rsidR="00B87162">
                  <w:t xml:space="preserve"> </w:t>
                </w:r>
                <w:r w:rsidR="00B87162" w:rsidRPr="00B87162">
                  <w:t>(egységes szerkezetbe foglalt változat)</w:t>
                </w:r>
              </w:p>
            </w:tc>
          </w:tr>
          <w:tr w:rsidR="00B43E07" w:rsidRPr="004B61B0" w14:paraId="7BE67091" w14:textId="77777777" w:rsidTr="00B87162">
            <w:tc>
              <w:tcPr>
                <w:tcW w:w="5670"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4B61B0" w:rsidRDefault="00FE052B" w:rsidP="00993B1E">
                <w:r w:rsidRPr="004B61B0">
                  <w:t>2021. december 16.</w:t>
                </w:r>
              </w:p>
            </w:tc>
          </w:tr>
          <w:tr w:rsidR="00B43E07" w:rsidRPr="004B61B0" w14:paraId="13E40F7F" w14:textId="77777777" w:rsidTr="00B87162">
            <w:tc>
              <w:tcPr>
                <w:tcW w:w="5670" w:type="dxa"/>
                <w:tcBorders>
                  <w:top w:val="single" w:sz="4" w:space="0" w:color="A6A6A6" w:themeColor="background1" w:themeShade="A6"/>
                </w:tcBorders>
                <w:shd w:val="clear" w:color="auto" w:fill="auto"/>
              </w:tcPr>
              <w:p w14:paraId="527955F9" w14:textId="77777777" w:rsidR="00B43E07" w:rsidRPr="004B61B0" w:rsidRDefault="00B43E07" w:rsidP="00993B1E"/>
            </w:tc>
          </w:tr>
        </w:tbl>
        <w:p w14:paraId="3CD936F7" w14:textId="77777777" w:rsidR="00B87162" w:rsidRDefault="00B87162" w:rsidP="00A132DF">
          <w:pPr>
            <w:rPr>
              <w:rFonts w:ascii="Wingdings" w:eastAsia="Wingdings" w:hAnsi="Wingdings" w:cs="Wingdings"/>
              <w:color w:val="E98E31" w:themeColor="background2"/>
            </w:rPr>
          </w:pPr>
        </w:p>
        <w:p w14:paraId="4E71F8FD" w14:textId="77777777" w:rsidR="00B87162" w:rsidRDefault="00B87162" w:rsidP="00A132DF">
          <w:pPr>
            <w:rPr>
              <w:rFonts w:ascii="Wingdings" w:eastAsia="Wingdings" w:hAnsi="Wingdings" w:cs="Wingdings"/>
              <w:color w:val="E98E31" w:themeColor="background2"/>
            </w:rPr>
          </w:pPr>
        </w:p>
        <w:p w14:paraId="2F332D0A" w14:textId="0569E857" w:rsidR="00B43E07" w:rsidRPr="00B87162" w:rsidRDefault="00A132DF" w:rsidP="00B87162">
          <w:pPr>
            <w:rPr>
              <w:rFonts w:ascii="Calibri" w:hAnsi="Calibri" w:cs="Calibri"/>
              <w:sz w:val="20"/>
              <w:szCs w:val="18"/>
            </w:rPr>
          </w:pPr>
          <w:r>
            <w:rPr>
              <w:rFonts w:ascii="Wingdings" w:eastAsia="Wingdings" w:hAnsi="Wingdings" w:cs="Wingdings"/>
              <w:color w:val="E98E31" w:themeColor="background2"/>
            </w:rPr>
            <w:t>Ú</w:t>
          </w:r>
          <w:r>
            <w:rPr>
              <w:rFonts w:ascii="Calibri" w:hAnsi="Calibri" w:cs="Calibri"/>
              <w:color w:val="E98E31" w:themeColor="background2"/>
            </w:rPr>
            <w:t>O</w:t>
          </w: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4B61B0"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4B61B0" w:rsidRDefault="00A81586" w:rsidP="00ED039A">
                <w:pPr>
                  <w:pStyle w:val="Contenttitle"/>
                </w:pPr>
                <w:r w:rsidRPr="004B61B0">
                  <w:t>Iránymutatások</w:t>
                </w:r>
              </w:p>
            </w:tc>
          </w:tr>
          <w:tr w:rsidR="00B43E07" w:rsidRPr="004B61B0" w14:paraId="60A6CC42" w14:textId="77777777" w:rsidTr="00993B1E">
            <w:tc>
              <w:tcPr>
                <w:tcW w:w="8781" w:type="dxa"/>
                <w:tcMar>
                  <w:left w:w="0" w:type="dxa"/>
                  <w:right w:w="0" w:type="dxa"/>
                </w:tcMar>
                <w:vAlign w:val="top"/>
              </w:tcPr>
              <w:p w14:paraId="40BC3869" w14:textId="0BB17277" w:rsidR="00ED039A" w:rsidRPr="00EB153A" w:rsidRDefault="00AE440A" w:rsidP="009C050A">
                <w:pPr>
                  <w:spacing w:before="240" w:after="120" w:line="276" w:lineRule="auto"/>
                  <w:jc w:val="both"/>
                  <w:rPr>
                    <w:color w:val="2F5772"/>
                    <w:sz w:val="28"/>
                    <w:szCs w:val="28"/>
                    <w:lang w:val="hu-HU"/>
                  </w:rPr>
                </w:pPr>
                <w:r w:rsidRPr="00EB153A">
                  <w:rPr>
                    <w:rFonts w:asciiTheme="majorHAnsi" w:hAnsiTheme="majorHAnsi"/>
                    <w:bCs/>
                    <w:color w:val="2F5773" w:themeColor="text2"/>
                    <w:sz w:val="28"/>
                    <w:szCs w:val="28"/>
                    <w:lang w:val="hu-HU"/>
                  </w:rPr>
                  <w:t>a pénzmosás elleni küzdelemmel és a terrorizmus finanszírozásával kapcsolatos felügyelet kockázatalapú megközelítésének jellemzőiről, valamint a kockázatalapú felügyelet során szükséges lépésekről, az (EU) 2015/849 irányelv 48. cikkének (10) bekezdése alapján (az ESAs/2016/72 közös iránymutatás módosítása)</w:t>
                </w:r>
              </w:p>
              <w:p w14:paraId="0FCCDD34" w14:textId="77777777" w:rsidR="00ED039A" w:rsidRPr="00EB153A" w:rsidRDefault="00ED039A" w:rsidP="00ED039A">
                <w:pPr>
                  <w:pStyle w:val="BodyText"/>
                  <w:numPr>
                    <w:ilvl w:val="0"/>
                    <w:numId w:val="0"/>
                  </w:numPr>
                  <w:spacing w:before="10"/>
                  <w:ind w:left="714"/>
                  <w:rPr>
                    <w:sz w:val="28"/>
                    <w:szCs w:val="28"/>
                    <w:lang w:val="hu-HU"/>
                  </w:rPr>
                </w:pPr>
              </w:p>
              <w:p w14:paraId="414ECB30" w14:textId="0BA224A9" w:rsidR="00ED039A" w:rsidRPr="00EB153A" w:rsidRDefault="00AF4CBA" w:rsidP="0016099C">
                <w:pPr>
                  <w:spacing w:before="240" w:after="120" w:line="276" w:lineRule="auto"/>
                  <w:jc w:val="both"/>
                  <w:rPr>
                    <w:rFonts w:asciiTheme="majorHAnsi" w:eastAsiaTheme="majorEastAsia" w:hAnsiTheme="majorHAnsi" w:cstheme="majorBidi"/>
                    <w:b/>
                    <w:color w:val="2F5773" w:themeColor="text2"/>
                    <w:spacing w:val="5"/>
                    <w:kern w:val="28"/>
                    <w:sz w:val="28"/>
                    <w:szCs w:val="28"/>
                  </w:rPr>
                </w:pPr>
                <w:r w:rsidRPr="00EB153A">
                  <w:rPr>
                    <w:rFonts w:asciiTheme="majorHAnsi" w:hAnsiTheme="majorHAnsi"/>
                    <w:b/>
                    <w:color w:val="2F5773" w:themeColor="text2"/>
                    <w:sz w:val="28"/>
                    <w:szCs w:val="28"/>
                  </w:rPr>
                  <w:t>A kockázatalapú felügyeletre vonatkozó iránymutatás</w:t>
                </w:r>
              </w:p>
              <w:p w14:paraId="134E2A94" w14:textId="77777777" w:rsidR="00B43E07" w:rsidRDefault="00B43E07" w:rsidP="00993B1E"/>
              <w:tbl>
                <w:tblPr>
                  <w:tblStyle w:val="EBAtable"/>
                  <w:tblW w:w="8704" w:type="dxa"/>
                  <w:tblLook w:val="04A0" w:firstRow="1" w:lastRow="0" w:firstColumn="1" w:lastColumn="0" w:noHBand="0" w:noVBand="1"/>
                </w:tblPr>
                <w:tblGrid>
                  <w:gridCol w:w="4352"/>
                  <w:gridCol w:w="4352"/>
                </w:tblGrid>
                <w:tr w:rsidR="00B87162" w:rsidRPr="00E736F1" w14:paraId="2A11F7C4"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17893C77" w14:textId="77777777" w:rsidR="00B87162" w:rsidRDefault="00B87162" w:rsidP="00B87162">
                      <w:pPr>
                        <w:rPr>
                          <w:lang w:eastAsia="en-GB"/>
                        </w:rPr>
                      </w:pPr>
                    </w:p>
                    <w:p w14:paraId="06E16B1D" w14:textId="77777777" w:rsidR="00B87162" w:rsidRDefault="00B87162" w:rsidP="00B87162">
                      <w:pPr>
                        <w:rPr>
                          <w:lang w:eastAsia="en-GB"/>
                        </w:rPr>
                      </w:pPr>
                    </w:p>
                    <w:p w14:paraId="10D6EEC3" w14:textId="77777777" w:rsidR="00B87162" w:rsidRPr="00E736F1" w:rsidRDefault="00B87162" w:rsidP="00B87162">
                      <w:pPr>
                        <w:rPr>
                          <w:lang w:eastAsia="en-GB"/>
                        </w:rPr>
                      </w:pPr>
                    </w:p>
                  </w:tc>
                  <w:tc>
                    <w:tcPr>
                      <w:tcW w:w="4352" w:type="dxa"/>
                      <w:tcBorders>
                        <w:top w:val="single" w:sz="12" w:space="0" w:color="auto"/>
                        <w:right w:val="single" w:sz="12" w:space="0" w:color="auto"/>
                      </w:tcBorders>
                    </w:tcPr>
                    <w:p w14:paraId="20925D4C" w14:textId="16A5A690" w:rsidR="00B87162" w:rsidRPr="00B87162" w:rsidRDefault="00B87162" w:rsidP="00B87162">
                      <w:pPr>
                        <w:rPr>
                          <w:rFonts w:ascii="Calibri" w:hAnsi="Calibri" w:cs="Calibri"/>
                          <w:color w:val="000000"/>
                          <w:szCs w:val="22"/>
                        </w:rPr>
                      </w:pPr>
                      <w:r>
                        <w:rPr>
                          <w:rFonts w:ascii="Calibri" w:hAnsi="Calibri" w:cs="Calibri"/>
                          <w:color w:val="000000"/>
                          <w:szCs w:val="22"/>
                        </w:rPr>
                        <w:t>Az alkalmazás kezdő időpontja</w:t>
                      </w:r>
                    </w:p>
                  </w:tc>
                </w:tr>
                <w:tr w:rsidR="00B87162" w:rsidRPr="00E736F1" w14:paraId="6BECCC1A" w14:textId="77777777" w:rsidTr="002C1072">
                  <w:trPr>
                    <w:trHeight w:val="300"/>
                  </w:trPr>
                  <w:tc>
                    <w:tcPr>
                      <w:tcW w:w="4352" w:type="dxa"/>
                      <w:tcBorders>
                        <w:left w:val="single" w:sz="12" w:space="0" w:color="auto"/>
                      </w:tcBorders>
                    </w:tcPr>
                    <w:p w14:paraId="0E5AD4CD" w14:textId="77777777" w:rsidR="00B87162" w:rsidRPr="00E736F1" w:rsidRDefault="00B87162" w:rsidP="00B87162">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4DA27199" w14:textId="0AA4D3F4" w:rsidR="00B87162" w:rsidRPr="00E736F1" w:rsidRDefault="00FD71DF" w:rsidP="00B87162">
                      <w:pPr>
                        <w:rPr>
                          <w:lang w:eastAsia="en-GB"/>
                        </w:rPr>
                      </w:pPr>
                      <w:r>
                        <w:rPr>
                          <w:lang w:eastAsia="en-GB"/>
                        </w:rPr>
                        <w:t>2022.07.04</w:t>
                      </w:r>
                    </w:p>
                  </w:tc>
                </w:tr>
                <w:tr w:rsidR="00B87162" w:rsidRPr="00E736F1" w14:paraId="2EB1DB26" w14:textId="77777777" w:rsidTr="002C1072">
                  <w:trPr>
                    <w:trHeight w:val="300"/>
                  </w:trPr>
                  <w:tc>
                    <w:tcPr>
                      <w:tcW w:w="4352" w:type="dxa"/>
                      <w:tcBorders>
                        <w:left w:val="single" w:sz="12" w:space="0" w:color="auto"/>
                      </w:tcBorders>
                    </w:tcPr>
                    <w:p w14:paraId="765EF342" w14:textId="191D668D" w:rsidR="00B87162" w:rsidRPr="00B87162" w:rsidRDefault="00B87162" w:rsidP="00B87162">
                      <w:pPr>
                        <w:rPr>
                          <w:rFonts w:ascii="Calibri" w:hAnsi="Calibri" w:cs="Calibri"/>
                          <w:color w:val="000000"/>
                          <w:szCs w:val="22"/>
                        </w:rPr>
                      </w:pPr>
                      <w:r>
                        <w:rPr>
                          <w:rFonts w:ascii="Calibri" w:hAnsi="Calibri" w:cs="Calibri"/>
                          <w:color w:val="000000"/>
                          <w:szCs w:val="22"/>
                        </w:rPr>
                        <w:t>Módosította a következő:</w:t>
                      </w:r>
                    </w:p>
                  </w:tc>
                  <w:tc>
                    <w:tcPr>
                      <w:tcW w:w="4352" w:type="dxa"/>
                      <w:tcBorders>
                        <w:right w:val="single" w:sz="12" w:space="0" w:color="auto"/>
                      </w:tcBorders>
                    </w:tcPr>
                    <w:p w14:paraId="33A727E2" w14:textId="77777777" w:rsidR="00B87162" w:rsidRPr="00E736F1" w:rsidRDefault="00B87162" w:rsidP="00B87162">
                      <w:pPr>
                        <w:rPr>
                          <w:lang w:eastAsia="en-GB"/>
                        </w:rPr>
                      </w:pPr>
                    </w:p>
                  </w:tc>
                </w:tr>
                <w:tr w:rsidR="00B87162" w:rsidRPr="00E736F1" w14:paraId="3A955D4C" w14:textId="77777777" w:rsidTr="002C1072">
                  <w:trPr>
                    <w:trHeight w:val="300"/>
                  </w:trPr>
                  <w:tc>
                    <w:tcPr>
                      <w:tcW w:w="4352" w:type="dxa"/>
                      <w:tcBorders>
                        <w:left w:val="single" w:sz="12" w:space="0" w:color="auto"/>
                      </w:tcBorders>
                    </w:tcPr>
                    <w:p w14:paraId="783116AB" w14:textId="77777777" w:rsidR="00B87162" w:rsidRPr="00673077" w:rsidRDefault="00B87162" w:rsidP="00B87162">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0E3FA479" w14:textId="3E6A4CE6" w:rsidR="00B87162" w:rsidRPr="00E736F1" w:rsidRDefault="00B87162" w:rsidP="00B87162">
                      <w:r w:rsidRPr="00B87162">
                        <w:t>2024. december 3</w:t>
                      </w:r>
                      <w:r>
                        <w:t>0</w:t>
                      </w:r>
                      <w:r w:rsidRPr="00B87162">
                        <w:t>.</w:t>
                      </w:r>
                    </w:p>
                  </w:tc>
                </w:tr>
                <w:tr w:rsidR="00B87162" w:rsidRPr="00E736F1" w14:paraId="39A941EC" w14:textId="77777777" w:rsidTr="002C1072">
                  <w:trPr>
                    <w:trHeight w:val="58"/>
                  </w:trPr>
                  <w:tc>
                    <w:tcPr>
                      <w:tcW w:w="4352" w:type="dxa"/>
                      <w:tcBorders>
                        <w:left w:val="single" w:sz="12" w:space="0" w:color="auto"/>
                        <w:bottom w:val="single" w:sz="12" w:space="0" w:color="auto"/>
                      </w:tcBorders>
                    </w:tcPr>
                    <w:p w14:paraId="0F28EDF3" w14:textId="77777777" w:rsidR="00B87162" w:rsidRPr="00E736F1" w:rsidRDefault="00B87162" w:rsidP="00B87162">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303D45BD" w14:textId="77777777" w:rsidR="00B87162" w:rsidRPr="00E736F1" w:rsidRDefault="00B87162" w:rsidP="00B87162">
                      <w:r>
                        <w:t>--------------------------</w:t>
                      </w:r>
                    </w:p>
                  </w:tc>
                </w:tr>
              </w:tbl>
              <w:p w14:paraId="0B268AC8" w14:textId="1EA3F72D" w:rsidR="00B87162" w:rsidRPr="004B61B0" w:rsidRDefault="00B87162" w:rsidP="00993B1E"/>
            </w:tc>
          </w:tr>
        </w:tbl>
        <w:p w14:paraId="79F6E341" w14:textId="77777777" w:rsidR="00C568D1" w:rsidRPr="004B61B0" w:rsidRDefault="00C568D1" w:rsidP="00B43E07">
          <w:pPr>
            <w:sectPr w:rsidR="00C568D1" w:rsidRPr="004B61B0"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0F79284E" w14:textId="77777777" w:rsidR="00B43E07" w:rsidRPr="004B61B0" w:rsidRDefault="00FD71DF" w:rsidP="00B43E07"/>
      </w:sdtContent>
    </w:sdt>
    <w:p w14:paraId="5B9EBDDD" w14:textId="77777777" w:rsidR="00DE0EC0" w:rsidRPr="004B61B0" w:rsidRDefault="00DE0EC0">
      <w:pPr>
        <w:rPr>
          <w:rFonts w:asciiTheme="majorHAnsi" w:eastAsiaTheme="majorEastAsia" w:hAnsiTheme="majorHAnsi" w:cstheme="majorBidi"/>
          <w:bCs/>
          <w:color w:val="2F5773" w:themeColor="text2"/>
          <w:sz w:val="32"/>
        </w:rPr>
      </w:pPr>
      <w:r w:rsidRPr="004B61B0">
        <w:br w:type="page"/>
      </w:r>
    </w:p>
    <w:p w14:paraId="73E6ABC3" w14:textId="77777777" w:rsidR="00C568D1" w:rsidRPr="004B61B0" w:rsidRDefault="00C568D1" w:rsidP="00B43E07">
      <w:pPr>
        <w:pStyle w:val="Titlelevel2"/>
        <w:rPr>
          <w:lang w:val="en-GB"/>
        </w:rPr>
        <w:sectPr w:rsidR="00C568D1" w:rsidRPr="004B61B0"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4B61B0" w:rsidRDefault="00B43E07" w:rsidP="009C050A">
      <w:pPr>
        <w:pStyle w:val="Numberedtilelevel1"/>
        <w:numPr>
          <w:ilvl w:val="0"/>
          <w:numId w:val="12"/>
        </w:numPr>
        <w:ind w:left="567" w:hanging="567"/>
      </w:pPr>
      <w:r w:rsidRPr="004B61B0">
        <w:lastRenderedPageBreak/>
        <w:t>Megfelelési és beszámolási kötelezettségek</w:t>
      </w:r>
    </w:p>
    <w:p w14:paraId="6943DE17" w14:textId="2E61CCE1" w:rsidR="00B43E07" w:rsidRPr="004B61B0" w:rsidRDefault="00B43E07" w:rsidP="009C050A">
      <w:pPr>
        <w:pStyle w:val="Titlelevel2"/>
        <w:ind w:left="567" w:hanging="567"/>
      </w:pPr>
      <w:r w:rsidRPr="004B61B0">
        <w:t>Az iránymutatások jogállása</w:t>
      </w:r>
    </w:p>
    <w:p w14:paraId="6BAC1017" w14:textId="78FD91DA" w:rsidR="00B43E07" w:rsidRPr="004B61B0" w:rsidRDefault="00B43E07" w:rsidP="009C050A">
      <w:pPr>
        <w:pStyle w:val="body"/>
        <w:numPr>
          <w:ilvl w:val="0"/>
          <w:numId w:val="10"/>
        </w:numPr>
        <w:ind w:left="340" w:hanging="340"/>
      </w:pPr>
      <w:r w:rsidRPr="004B61B0">
        <w:t>Az e dokumentumban szereplő iránymutatásokat az 1093/2010/EU rendelet</w:t>
      </w:r>
      <w:r w:rsidRPr="004B61B0">
        <w:rPr>
          <w:rStyle w:val="FootnoteReference"/>
          <w:lang w:val="en-GB"/>
        </w:rPr>
        <w:footnoteReference w:id="2"/>
      </w:r>
      <w:r w:rsidRPr="004B61B0">
        <w:t xml:space="preserve"> 16. cikkének rendelkezéseivel összhangban adták ki. Az 1093/2010/EU rendelet 16. cikkének (3) bekezdése szerint az illetékes hatóságok és pénzügyi intézmények minden erőfeszítést megtesznek azért, hogy megfeleljenek az iránymutatásoknak.</w:t>
      </w:r>
    </w:p>
    <w:p w14:paraId="42F2263C" w14:textId="77777777" w:rsidR="00B43E07" w:rsidRPr="004B61B0" w:rsidRDefault="00B43E07" w:rsidP="009C050A">
      <w:pPr>
        <w:pStyle w:val="body"/>
        <w:numPr>
          <w:ilvl w:val="0"/>
          <w:numId w:val="10"/>
        </w:numPr>
        <w:ind w:left="340" w:hanging="340"/>
      </w:pPr>
      <w:r w:rsidRPr="004B61B0">
        <w:t>Az iránymutatások az Európai Bankhatóság (a továbbiakban: EBH) azzal kapcsolatos álláspontját ismertetik, hogy mi a megfelelő felügyeleti gyakorlat a Pénzügyi Felügyeletek Európai Rendszerében, és miként kell alkalmazni az uniós jogot egy adott területen belül. Az 1093/2010/EU rendelet 4. cikkének (2) bekezdésében meghatározott, az iránymutatások hatálya alá tartozó hatáskörrel rendelkező hatóságok azzal tesznek eleget az iránymutatásoknak, hogy megfelelően beépítik azokat saját felügyeleti gyakorlataikba (pl. saját jogi kereteik vagy felügyeleti folyamataik módosításával), beleértve azokat az eseteket is, ahol az iránymutatások elsősorban intézményekre vonatkoznak.</w:t>
      </w:r>
    </w:p>
    <w:p w14:paraId="5EB1AA94" w14:textId="77777777" w:rsidR="00B43E07" w:rsidRPr="004B61B0" w:rsidRDefault="00B43E07" w:rsidP="009C050A">
      <w:pPr>
        <w:pStyle w:val="Titlelevel2"/>
        <w:ind w:left="340" w:hanging="340"/>
      </w:pPr>
      <w:r w:rsidRPr="004B61B0">
        <w:t>Beszámolási kötelezettségek</w:t>
      </w:r>
    </w:p>
    <w:p w14:paraId="60E9E759" w14:textId="327A1146" w:rsidR="00B43E07" w:rsidRPr="004B61B0" w:rsidRDefault="00B43E07" w:rsidP="009C050A">
      <w:pPr>
        <w:pStyle w:val="body"/>
        <w:numPr>
          <w:ilvl w:val="0"/>
          <w:numId w:val="10"/>
        </w:numPr>
        <w:ind w:left="340" w:hanging="340"/>
      </w:pPr>
      <w:r w:rsidRPr="004B61B0">
        <w:t xml:space="preserve">Az 1093/2010/EU rendelet 16. cikkének (3) bekezdése értelmében az egyes hatáskörrel rendelkező hatóságok </w:t>
      </w:r>
      <w:r w:rsidR="00F50532">
        <w:t>30.05.2022</w:t>
      </w:r>
      <w:r w:rsidRPr="004B61B0">
        <w:t>-ig kötelesek értesíteni az EBH-t arról, hogy megfelelnek-e vagy meg kívánnak-e felelni ezeknek az iránymutatásoknak, és ha nem, úgy tájékoztatniuk kell az EBH-t a meg nem felelés indokairól. Amennyiben a fenti határidőig ilyen értesítés nem érkezik, az EBH úgy tekinti, hogy az adott illetékes hatóság nem felel meg az iránymutatásoknak. Az értesítéseket „EBA/GL/2021/16” hivatkozással az EBH honlapján szereplő formanyomtatványon kell megküldeni. Az értesítéseket olyan személyek nyújthatják be, akik megfelelő felhatalmazással rendelkeznek arra, hogy illetékes hatóságuk nevében nyilatkozzanak annak megfeleléséről. Az EBH-nak a megfeleléssel kapcsolatban bekövetkező bármely változást is be kell jelenteni.</w:t>
      </w:r>
    </w:p>
    <w:p w14:paraId="085D3DA4" w14:textId="77777777" w:rsidR="00B43E07" w:rsidRPr="004B61B0" w:rsidRDefault="00B43E07" w:rsidP="009C050A">
      <w:pPr>
        <w:pStyle w:val="body"/>
        <w:numPr>
          <w:ilvl w:val="0"/>
          <w:numId w:val="10"/>
        </w:numPr>
        <w:ind w:left="340" w:hanging="340"/>
      </w:pPr>
      <w:r w:rsidRPr="004B61B0">
        <w:t>A 16. cikk (3) bekezdésének megfelelően az értesítések közzétételre kerülnek az EBH honlapján.</w:t>
      </w:r>
    </w:p>
    <w:p w14:paraId="7C127D2A" w14:textId="77777777" w:rsidR="00B43E07" w:rsidRPr="004B61B0" w:rsidRDefault="00B43E07" w:rsidP="00B43E07">
      <w:pPr>
        <w:pStyle w:val="Titlelevel2"/>
      </w:pPr>
      <w:r w:rsidRPr="004B61B0">
        <w:br w:type="page"/>
      </w:r>
    </w:p>
    <w:p w14:paraId="6C58A420" w14:textId="77777777" w:rsidR="00B43E07" w:rsidRPr="004B61B0" w:rsidRDefault="00B43E07" w:rsidP="00DE0EC0">
      <w:pPr>
        <w:pStyle w:val="Numberedtilelevel1"/>
        <w:ind w:left="0"/>
      </w:pPr>
      <w:r w:rsidRPr="004B61B0">
        <w:lastRenderedPageBreak/>
        <w:t>Tárgy, hatály és fogalommeghatározások</w:t>
      </w:r>
    </w:p>
    <w:p w14:paraId="1F9D40CF" w14:textId="77777777" w:rsidR="00B43E07" w:rsidRPr="004B61B0" w:rsidRDefault="00B43E07" w:rsidP="00B43E07">
      <w:pPr>
        <w:pStyle w:val="Titlelevel2"/>
      </w:pPr>
      <w:r w:rsidRPr="004B61B0">
        <w:t>Tárgy</w:t>
      </w:r>
    </w:p>
    <w:p w14:paraId="718B82E3" w14:textId="74127942" w:rsidR="00A132DF" w:rsidRPr="00A132DF" w:rsidRDefault="00A132DF" w:rsidP="00A132DF">
      <w:pPr>
        <w:widowControl w:val="0"/>
        <w:tabs>
          <w:tab w:val="left" w:pos="790"/>
        </w:tabs>
        <w:autoSpaceDE w:val="0"/>
        <w:autoSpaceDN w:val="0"/>
        <w:spacing w:before="166" w:line="276" w:lineRule="auto"/>
        <w:jc w:val="both"/>
        <w:rPr>
          <w:rStyle w:val="normaltextrun"/>
        </w:rPr>
      </w:pPr>
      <w:bookmarkStart w:id="0" w:name="_Hlk149126575"/>
      <w:r w:rsidRPr="00A132DF">
        <w:rPr>
          <w:rFonts w:ascii="Wingdings" w:eastAsia="Wingdings" w:hAnsi="Wingdings" w:cs="Wingdings"/>
          <w:color w:val="E98E31" w:themeColor="background2"/>
          <w:spacing w:val="-1"/>
          <w:lang w:val="en-US"/>
        </w:rPr>
        <w:t>Ú</w:t>
      </w:r>
      <w:bookmarkEnd w:id="0"/>
      <w:r w:rsidRPr="00A132DF">
        <w:rPr>
          <w:color w:val="E98E31" w:themeColor="background2"/>
          <w:spacing w:val="-1"/>
          <w:lang w:val="en-US"/>
        </w:rPr>
        <w:t>A1</w:t>
      </w:r>
    </w:p>
    <w:p w14:paraId="6ECC0F4D" w14:textId="194850E4" w:rsidR="00AE440A" w:rsidRPr="00A132DF" w:rsidRDefault="00B83476" w:rsidP="009C050A">
      <w:pPr>
        <w:pStyle w:val="ListParagraph"/>
        <w:widowControl w:val="0"/>
        <w:numPr>
          <w:ilvl w:val="0"/>
          <w:numId w:val="10"/>
        </w:numPr>
        <w:tabs>
          <w:tab w:val="left" w:pos="790"/>
        </w:tabs>
        <w:autoSpaceDE w:val="0"/>
        <w:autoSpaceDN w:val="0"/>
        <w:spacing w:before="166" w:line="276" w:lineRule="auto"/>
        <w:jc w:val="both"/>
        <w:rPr>
          <w:rStyle w:val="normaltextrun"/>
        </w:rPr>
      </w:pPr>
      <w:r w:rsidRPr="00E6582A">
        <w:rPr>
          <w:rStyle w:val="normaltextrun"/>
          <w:shd w:val="clear" w:color="auto" w:fill="FFFFFF"/>
        </w:rPr>
        <w:t>Ezek az iránymutatások az (EU) 2015/849 irányelv 48. cikkének (10) bekezdésével</w:t>
      </w:r>
      <w:r w:rsidRPr="002A66CF">
        <w:rPr>
          <w:rStyle w:val="normaltextrun"/>
          <w:shd w:val="clear" w:color="auto" w:fill="FFFFFF"/>
          <w:vertAlign w:val="superscript"/>
        </w:rPr>
        <w:footnoteReference w:id="3"/>
      </w:r>
      <w:r w:rsidRPr="00E6582A">
        <w:rPr>
          <w:rStyle w:val="normaltextrun"/>
          <w:shd w:val="clear" w:color="auto" w:fill="FFFFFF"/>
        </w:rPr>
        <w:t xml:space="preserve"> és az (EU) 2023/1113 rendelet 36. cikkének (3) bekezdésével</w:t>
      </w:r>
      <w:r w:rsidRPr="00E6582A">
        <w:rPr>
          <w:rStyle w:val="normaltextrun"/>
          <w:shd w:val="clear" w:color="auto" w:fill="FFFFFF"/>
          <w:vertAlign w:val="superscript"/>
        </w:rPr>
        <w:footnoteReference w:id="4"/>
      </w:r>
      <w:r w:rsidRPr="00E6582A">
        <w:rPr>
          <w:rStyle w:val="normaltextrun"/>
          <w:shd w:val="clear" w:color="auto" w:fill="FFFFFF"/>
        </w:rPr>
        <w:t xml:space="preserve"> összhangban meghatározzák a pénzmosás és a terrorizmus finanszírozása elleni küzdelem</w:t>
      </w:r>
      <w:r>
        <w:rPr>
          <w:rStyle w:val="normaltextrun"/>
          <w:shd w:val="clear" w:color="auto" w:fill="FFFFFF"/>
        </w:rPr>
        <w:t>re</w:t>
      </w:r>
      <w:r w:rsidRPr="00E6582A">
        <w:rPr>
          <w:rStyle w:val="normaltextrun"/>
          <w:shd w:val="clear" w:color="auto" w:fill="FFFFFF"/>
        </w:rPr>
        <w:t xml:space="preserve"> (AML/CFT) </w:t>
      </w:r>
      <w:r>
        <w:rPr>
          <w:rStyle w:val="normaltextrun"/>
          <w:shd w:val="clear" w:color="auto" w:fill="FFFFFF"/>
        </w:rPr>
        <w:t xml:space="preserve">irányuló </w:t>
      </w:r>
      <w:r w:rsidRPr="00E6582A">
        <w:rPr>
          <w:rStyle w:val="normaltextrun"/>
          <w:shd w:val="clear" w:color="auto" w:fill="FFFFFF"/>
        </w:rPr>
        <w:t>felügyelet kockázatalapú megközelítés</w:t>
      </w:r>
      <w:r>
        <w:rPr>
          <w:rStyle w:val="normaltextrun"/>
          <w:shd w:val="clear" w:color="auto" w:fill="FFFFFF"/>
        </w:rPr>
        <w:t>ének</w:t>
      </w:r>
      <w:r w:rsidRPr="00E6582A">
        <w:rPr>
          <w:rStyle w:val="normaltextrun"/>
          <w:shd w:val="clear" w:color="auto" w:fill="FFFFFF"/>
        </w:rPr>
        <w:t xml:space="preserve"> jellemzőit, valamint azokat a lépéseket, amelyeket az illetékes hatóságoknak a kockázatérzékeny AML/CFT-felügyelet végrehajtása során meg kell tenniük</w:t>
      </w:r>
      <w:r>
        <w:rPr>
          <w:rStyle w:val="normaltextrun"/>
          <w:shd w:val="clear" w:color="auto" w:fill="FFFFFF"/>
        </w:rPr>
        <w:t>.</w:t>
      </w:r>
    </w:p>
    <w:p w14:paraId="0653F2CE" w14:textId="6C118580" w:rsidR="00A132DF" w:rsidRPr="004B61B0" w:rsidRDefault="00A132DF" w:rsidP="00A132DF">
      <w:pPr>
        <w:widowControl w:val="0"/>
        <w:tabs>
          <w:tab w:val="left" w:pos="790"/>
        </w:tabs>
        <w:autoSpaceDE w:val="0"/>
        <w:autoSpaceDN w:val="0"/>
        <w:spacing w:before="166" w:line="276" w:lineRule="auto"/>
        <w:jc w:val="both"/>
      </w:pPr>
      <w:r w:rsidRPr="00A132DF">
        <w:rPr>
          <w:rFonts w:ascii="Wingdings" w:eastAsia="Wingdings" w:hAnsi="Wingdings" w:cs="Wingdings"/>
          <w:color w:val="E98E31" w:themeColor="background2"/>
          <w:spacing w:val="-1"/>
          <w:szCs w:val="22"/>
          <w:lang w:val="en-US"/>
        </w:rPr>
        <w:t>Ú</w:t>
      </w:r>
      <w:r w:rsidRPr="00A132DF">
        <w:rPr>
          <w:color w:val="E98E31" w:themeColor="background2"/>
        </w:rPr>
        <w:t>O</w:t>
      </w:r>
    </w:p>
    <w:p w14:paraId="2573EF77" w14:textId="77777777" w:rsidR="00B43E07" w:rsidRPr="004B61B0" w:rsidRDefault="00B43E07" w:rsidP="00B43E07">
      <w:pPr>
        <w:pStyle w:val="Titlelevel2"/>
      </w:pPr>
      <w:r w:rsidRPr="004B61B0">
        <w:t>Hatály</w:t>
      </w:r>
    </w:p>
    <w:p w14:paraId="6BB670AF" w14:textId="1F6D5478" w:rsidR="00AE440A" w:rsidRPr="004B61B0"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4B61B0">
        <w:t>A jelen iránymutatásokat saját kockázatalapú AML/CFT felügyeleti modelljük (RBS modell) megtervezésekor, végrehajtásakor, felülvizsgálatakor és fejlesztésekor kell alkalmazniuk az illetékes hatóságoknak.</w:t>
      </w:r>
    </w:p>
    <w:p w14:paraId="160EE6A7" w14:textId="77777777" w:rsidR="00B43E07" w:rsidRPr="004B61B0" w:rsidRDefault="00B43E07" w:rsidP="009C050A">
      <w:pPr>
        <w:pStyle w:val="Titlelevel2"/>
      </w:pPr>
      <w:r w:rsidRPr="004B61B0">
        <w:t>Címzettek</w:t>
      </w:r>
    </w:p>
    <w:p w14:paraId="54B36391" w14:textId="404E49FF" w:rsidR="00512343" w:rsidRPr="004B61B0" w:rsidRDefault="00512343" w:rsidP="009C050A">
      <w:pPr>
        <w:pStyle w:val="ListParagraph"/>
        <w:widowControl w:val="0"/>
        <w:numPr>
          <w:ilvl w:val="0"/>
          <w:numId w:val="10"/>
        </w:numPr>
        <w:tabs>
          <w:tab w:val="left" w:pos="790"/>
        </w:tabs>
        <w:autoSpaceDE w:val="0"/>
        <w:autoSpaceDN w:val="0"/>
        <w:spacing w:before="165" w:line="276" w:lineRule="auto"/>
        <w:jc w:val="both"/>
      </w:pPr>
      <w:r w:rsidRPr="004B61B0">
        <w:t>Az iránymutatások címzettjei az 1093/2010/EU rendelet 4. cikke (2) bekezdésének iii. pontjában meghatározott hatáskörrel rendelkező hatóságok (a továbbiakban: illetékes hatóságok).</w:t>
      </w:r>
    </w:p>
    <w:p w14:paraId="00FF95C9" w14:textId="77777777" w:rsidR="00B43E07" w:rsidRPr="004B61B0" w:rsidRDefault="00B43E07" w:rsidP="00B43E07">
      <w:pPr>
        <w:pStyle w:val="Titlelevel2"/>
      </w:pPr>
      <w:r w:rsidRPr="004B61B0">
        <w:t>Fogalommeghatározások</w:t>
      </w:r>
    </w:p>
    <w:p w14:paraId="3BED6432" w14:textId="601CDC60" w:rsidR="00A132DF" w:rsidRDefault="00A132DF" w:rsidP="00A132DF">
      <w:pPr>
        <w:pStyle w:val="body"/>
        <w:spacing w:after="240"/>
      </w:pPr>
      <w:r>
        <w:rPr>
          <w:rFonts w:ascii="Wingdings" w:eastAsia="Wingdings" w:hAnsi="Wingdings" w:cs="Wingdings"/>
          <w:color w:val="E98E31" w:themeColor="background2"/>
          <w:spacing w:val="-1"/>
          <w:szCs w:val="22"/>
          <w:lang w:val="en-US"/>
        </w:rPr>
        <w:t>Ú</w:t>
      </w:r>
      <w:r>
        <w:rPr>
          <w:color w:val="E98E31" w:themeColor="background2"/>
          <w:spacing w:val="-1"/>
          <w:lang w:val="en-US"/>
        </w:rPr>
        <w:t>A1</w:t>
      </w:r>
    </w:p>
    <w:p w14:paraId="77A43689" w14:textId="7783E55E" w:rsidR="00C568D1" w:rsidRDefault="00B83476" w:rsidP="00517844">
      <w:pPr>
        <w:pStyle w:val="body"/>
        <w:numPr>
          <w:ilvl w:val="0"/>
          <w:numId w:val="10"/>
        </w:numPr>
        <w:spacing w:after="240"/>
        <w:ind w:left="357" w:hanging="357"/>
      </w:pPr>
      <w:r w:rsidRPr="00E6582A">
        <w:t>Eltérő rendelkezés hiányában az (EU) 2015/849 irányelvben és az (EU) 2023/1113 rendeletben használt és meghatározott kifejezések az iránymutatásban is azonos jelentéssel bírnak. Ezen túlmenően ezen iránymutatások alkalmazásában a következő fogalommeghatározások alkalmazandók.</w:t>
      </w:r>
      <w:r w:rsidR="00B43E07" w:rsidRPr="004B61B0">
        <w:t xml:space="preserve">: </w:t>
      </w:r>
    </w:p>
    <w:p w14:paraId="1A03433B" w14:textId="3F1E4CCC" w:rsidR="00A132DF" w:rsidRPr="004B61B0" w:rsidRDefault="00A132DF" w:rsidP="00A132DF">
      <w:pPr>
        <w:widowControl w:val="0"/>
        <w:tabs>
          <w:tab w:val="left" w:pos="1802"/>
        </w:tabs>
        <w:spacing w:before="100" w:after="60" w:line="276" w:lineRule="auto"/>
        <w:ind w:right="232"/>
        <w:jc w:val="both"/>
      </w:pPr>
      <w:r w:rsidRPr="00A132DF">
        <w:rPr>
          <w:rFonts w:ascii="Wingdings" w:eastAsia="Wingdings" w:hAnsi="Wingdings" w:cs="Wingdings"/>
          <w:color w:val="E98E31" w:themeColor="background2"/>
          <w:spacing w:val="-1"/>
          <w:szCs w:val="22"/>
          <w:lang w:val="en-US"/>
        </w:rPr>
        <w:t>Ú</w:t>
      </w:r>
      <w:r w:rsidRPr="00A132DF">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866C8B" w:rsidRPr="004B61B0" w14:paraId="6354C1E1"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48545D" w14:textId="77777777" w:rsidR="00866C8B" w:rsidRPr="004B61B0" w:rsidRDefault="00866C8B" w:rsidP="00866C8B">
            <w:pPr>
              <w:spacing w:after="240"/>
              <w:rPr>
                <w:b/>
                <w:position w:val="1"/>
              </w:rPr>
            </w:pPr>
            <w:r w:rsidRPr="004B61B0">
              <w:rPr>
                <w:b/>
              </w:rPr>
              <w:lastRenderedPageBreak/>
              <w:t xml:space="preserve">Eseti vizsgálat: </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D97470" w14:textId="77777777" w:rsidR="00866C8B" w:rsidRPr="004B61B0" w:rsidRDefault="00866C8B" w:rsidP="00866C8B">
            <w:pPr>
              <w:spacing w:after="240"/>
              <w:rPr>
                <w:rFonts w:eastAsiaTheme="minorHAnsi" w:cstheme="minorHAnsi"/>
                <w:szCs w:val="22"/>
              </w:rPr>
            </w:pPr>
            <w:r w:rsidRPr="004B61B0">
              <w:t>olyan vizsgálat, amelyet egy adott esemény vagy ML/TF kockázat miatt indítanak el.</w:t>
            </w:r>
          </w:p>
        </w:tc>
      </w:tr>
      <w:tr w:rsidR="00866C8B" w:rsidRPr="004B61B0" w14:paraId="41738E81" w14:textId="77777777" w:rsidTr="004D193D">
        <w:tc>
          <w:tcPr>
            <w:tcW w:w="2127" w:type="dxa"/>
          </w:tcPr>
          <w:p w14:paraId="1D1D98C0" w14:textId="4DEAE124" w:rsidR="00866C8B" w:rsidRPr="004B61B0" w:rsidRDefault="00866C8B" w:rsidP="00866C8B">
            <w:pPr>
              <w:spacing w:after="240"/>
              <w:rPr>
                <w:b/>
                <w:position w:val="1"/>
              </w:rPr>
            </w:pPr>
            <w:r w:rsidRPr="004B61B0">
              <w:rPr>
                <w:b/>
                <w:color w:val="000000" w:themeColor="text1"/>
                <w:szCs w:val="22"/>
              </w:rPr>
              <w:t>AML/CFT adatszolgáltatás:</w:t>
            </w:r>
          </w:p>
        </w:tc>
        <w:tc>
          <w:tcPr>
            <w:tcW w:w="6662" w:type="dxa"/>
          </w:tcPr>
          <w:p w14:paraId="1379C47C" w14:textId="42091B75" w:rsidR="00866C8B" w:rsidRPr="004B61B0" w:rsidRDefault="00866C8B" w:rsidP="00866C8B">
            <w:pPr>
              <w:spacing w:after="240"/>
              <w:rPr>
                <w:rFonts w:eastAsiaTheme="minorHAnsi" w:cstheme="minorHAnsi"/>
                <w:szCs w:val="22"/>
              </w:rPr>
            </w:pPr>
            <w:r w:rsidRPr="004B61B0">
              <w:t>az illetékes hatóságok által az értékelési alanyokhoz intézett rendszeres vagy eseti kérések, amelyekben a főbb ML/TF kockázati mutatókkal kapcsolatos mennyiségi és/vagy minőségi adatokat és információkat kérnek.</w:t>
            </w:r>
          </w:p>
        </w:tc>
      </w:tr>
      <w:tr w:rsidR="00866C8B" w:rsidRPr="004B61B0" w14:paraId="0AAC04D7" w14:textId="77777777" w:rsidTr="004D193D">
        <w:tc>
          <w:tcPr>
            <w:tcW w:w="2127" w:type="dxa"/>
          </w:tcPr>
          <w:p w14:paraId="5A870257" w14:textId="1357E7E0" w:rsidR="00866C8B" w:rsidRPr="004B61B0" w:rsidRDefault="00866C8B" w:rsidP="00866C8B">
            <w:pPr>
              <w:spacing w:after="240"/>
              <w:rPr>
                <w:rFonts w:cstheme="minorHAnsi"/>
                <w:b/>
                <w:color w:val="000000" w:themeColor="text1"/>
                <w:szCs w:val="22"/>
              </w:rPr>
            </w:pPr>
            <w:r w:rsidRPr="004B61B0">
              <w:rPr>
                <w:b/>
                <w:color w:val="000000" w:themeColor="text1"/>
                <w:szCs w:val="22"/>
              </w:rPr>
              <w:t>AML/CFT adatszolgáltatás:</w:t>
            </w:r>
          </w:p>
        </w:tc>
        <w:tc>
          <w:tcPr>
            <w:tcW w:w="6662" w:type="dxa"/>
          </w:tcPr>
          <w:p w14:paraId="0871A3F8" w14:textId="13D46255" w:rsidR="00866C8B" w:rsidRPr="004B61B0" w:rsidRDefault="00866C8B" w:rsidP="00866C8B">
            <w:pPr>
              <w:spacing w:after="240"/>
              <w:rPr>
                <w:rFonts w:eastAsiaTheme="minorHAnsi" w:cstheme="minorHAnsi"/>
                <w:szCs w:val="22"/>
              </w:rPr>
            </w:pPr>
            <w:r w:rsidRPr="004B61B0">
              <w:t>az illetékes hatóságok által az értékelési alanyokhoz intézett rendszeres vagy eseti kérések, amelyekben a főbb ML/TF kockázati mutatókkal kapcsolatos mennyiségi és/vagy minőségi adatokat és információkat kérnek.</w:t>
            </w:r>
          </w:p>
        </w:tc>
      </w:tr>
      <w:tr w:rsidR="00866C8B" w:rsidRPr="004B61B0" w14:paraId="14192020" w14:textId="77777777" w:rsidTr="004D193D">
        <w:tc>
          <w:tcPr>
            <w:tcW w:w="2127" w:type="dxa"/>
          </w:tcPr>
          <w:p w14:paraId="41456B98" w14:textId="508E4D24" w:rsidR="00866C8B" w:rsidRPr="004B61B0" w:rsidRDefault="00866C8B" w:rsidP="00866C8B">
            <w:pPr>
              <w:spacing w:after="240"/>
              <w:rPr>
                <w:rFonts w:cstheme="minorHAnsi"/>
                <w:b/>
                <w:color w:val="000000" w:themeColor="text1"/>
                <w:szCs w:val="22"/>
              </w:rPr>
            </w:pPr>
            <w:r w:rsidRPr="004B61B0">
              <w:rPr>
                <w:b/>
              </w:rPr>
              <w:t>Klaszter:</w:t>
            </w:r>
          </w:p>
        </w:tc>
        <w:tc>
          <w:tcPr>
            <w:tcW w:w="6662" w:type="dxa"/>
          </w:tcPr>
          <w:p w14:paraId="1F3D775E" w14:textId="7094312F" w:rsidR="00866C8B" w:rsidRPr="004B61B0" w:rsidRDefault="00866C8B" w:rsidP="00866C8B">
            <w:pPr>
              <w:spacing w:after="240"/>
              <w:rPr>
                <w:rFonts w:eastAsiaTheme="minorHAnsi" w:cstheme="minorHAnsi"/>
                <w:szCs w:val="22"/>
              </w:rPr>
            </w:pPr>
            <w:r w:rsidRPr="004B61B0">
              <w:t>valamely szektor két vagy több olyan hitelintézete vagy pénzügyi intézménye, amely hasonló jellemzőkkel rendelkezik és azonos mértékű ML/TF kockázatnak van kitéve.</w:t>
            </w:r>
          </w:p>
        </w:tc>
      </w:tr>
      <w:tr w:rsidR="00866C8B" w:rsidRPr="004B61B0" w14:paraId="025C1A62" w14:textId="77777777" w:rsidTr="004D193D">
        <w:tc>
          <w:tcPr>
            <w:tcW w:w="2127" w:type="dxa"/>
          </w:tcPr>
          <w:p w14:paraId="47109820" w14:textId="77777777" w:rsidR="00866C8B" w:rsidRPr="004B61B0" w:rsidRDefault="00866C8B" w:rsidP="00866C8B">
            <w:pPr>
              <w:pStyle w:val="body"/>
              <w:spacing w:before="0" w:after="240"/>
              <w:jc w:val="left"/>
              <w:rPr>
                <w:rFonts w:cstheme="minorHAnsi"/>
              </w:rPr>
            </w:pPr>
            <w:r w:rsidRPr="004B61B0">
              <w:rPr>
                <w:b/>
              </w:rPr>
              <w:t>Kockázatmentesítés:</w:t>
            </w:r>
            <w:r w:rsidRPr="004B61B0">
              <w:t xml:space="preserve"> </w:t>
            </w:r>
          </w:p>
        </w:tc>
        <w:tc>
          <w:tcPr>
            <w:tcW w:w="6662" w:type="dxa"/>
          </w:tcPr>
          <w:p w14:paraId="62A8D765" w14:textId="77777777" w:rsidR="00866C8B" w:rsidRPr="004B61B0" w:rsidRDefault="00866C8B" w:rsidP="00866C8B">
            <w:pPr>
              <w:pStyle w:val="body"/>
              <w:spacing w:before="0" w:after="240"/>
              <w:jc w:val="left"/>
              <w:rPr>
                <w:rFonts w:cstheme="minorHAnsi"/>
              </w:rPr>
            </w:pPr>
            <w:r w:rsidRPr="004B61B0">
              <w:t>a magasabb ML/TF kockázatot jelentő egyes ügyfelekkel vagy ügyfél-kategóriákkal való üzleti kapcsolatfelvétel elutasítása vagy az ilyen kapcsolatok megszüntetésére vonatkozó döntés, vagy a magasabb ML/TF kockázattal járó ügyletek lebonyolításának megtagadása.</w:t>
            </w:r>
          </w:p>
        </w:tc>
      </w:tr>
      <w:tr w:rsidR="00866C8B" w:rsidRPr="004B61B0" w14:paraId="16C7EFF8" w14:textId="77777777" w:rsidTr="004D193D">
        <w:tc>
          <w:tcPr>
            <w:tcW w:w="2127" w:type="dxa"/>
          </w:tcPr>
          <w:p w14:paraId="226CC92A" w14:textId="77777777" w:rsidR="00866C8B" w:rsidRPr="004B61B0" w:rsidRDefault="00866C8B" w:rsidP="00866C8B">
            <w:pPr>
              <w:spacing w:after="240"/>
              <w:jc w:val="both"/>
              <w:rPr>
                <w:rFonts w:cstheme="minorHAnsi"/>
                <w:szCs w:val="22"/>
              </w:rPr>
            </w:pPr>
            <w:r w:rsidRPr="004B61B0">
              <w:rPr>
                <w:b/>
                <w:szCs w:val="22"/>
              </w:rPr>
              <w:t>Újonnan megjelenő kockázatok:</w:t>
            </w:r>
          </w:p>
        </w:tc>
        <w:tc>
          <w:tcPr>
            <w:tcW w:w="6662" w:type="dxa"/>
          </w:tcPr>
          <w:p w14:paraId="426E2681" w14:textId="77777777" w:rsidR="00866C8B" w:rsidRPr="004B61B0" w:rsidRDefault="00866C8B" w:rsidP="00866C8B">
            <w:pPr>
              <w:spacing w:after="240"/>
              <w:jc w:val="both"/>
              <w:rPr>
                <w:rFonts w:cstheme="minorHAnsi"/>
                <w:szCs w:val="22"/>
              </w:rPr>
            </w:pPr>
            <w:r w:rsidRPr="004B61B0">
              <w:t>olyan kockázat, amelyet korábban még nem azonosítottak, vagy olyan meglévő kockázat, amely jelentősen megnövekedett.</w:t>
            </w:r>
          </w:p>
        </w:tc>
      </w:tr>
      <w:tr w:rsidR="00866C8B" w:rsidRPr="004B61B0" w14:paraId="0D3088A6" w14:textId="77777777" w:rsidTr="004D193D">
        <w:tc>
          <w:tcPr>
            <w:tcW w:w="2127" w:type="dxa"/>
          </w:tcPr>
          <w:p w14:paraId="0F4DAD0D" w14:textId="77777777" w:rsidR="00866C8B" w:rsidRPr="004B61B0" w:rsidRDefault="00866C8B" w:rsidP="00866C8B">
            <w:pPr>
              <w:spacing w:after="240"/>
              <w:jc w:val="both"/>
              <w:rPr>
                <w:rFonts w:eastAsiaTheme="minorHAnsi" w:cstheme="minorHAnsi"/>
                <w:szCs w:val="22"/>
              </w:rPr>
            </w:pPr>
            <w:r w:rsidRPr="004B61B0">
              <w:rPr>
                <w:b/>
                <w:szCs w:val="22"/>
              </w:rPr>
              <w:t>Utóvizsgálat:</w:t>
            </w:r>
            <w:r w:rsidRPr="004B61B0">
              <w:t xml:space="preserve"> </w:t>
            </w:r>
          </w:p>
        </w:tc>
        <w:tc>
          <w:tcPr>
            <w:tcW w:w="6662" w:type="dxa"/>
          </w:tcPr>
          <w:p w14:paraId="31F488CA" w14:textId="77777777" w:rsidR="00866C8B" w:rsidRPr="004B61B0" w:rsidRDefault="00866C8B" w:rsidP="00866C8B">
            <w:pPr>
              <w:spacing w:after="240"/>
              <w:jc w:val="both"/>
              <w:rPr>
                <w:rFonts w:cstheme="minorHAnsi"/>
                <w:b/>
                <w:color w:val="000000" w:themeColor="text1"/>
                <w:szCs w:val="22"/>
              </w:rPr>
            </w:pPr>
            <w:r w:rsidRPr="004B61B0">
              <w:t>az annak értékelésére szolgáló felülvizsgálat, hogy helyreállították-e a korábbi ellenőrzés vagy felülvizsgálat során az értékelési alany AML/CFT rendszereiben és kontrollmechanizmusainak keretében feltárt hiányosságokat.</w:t>
            </w:r>
          </w:p>
        </w:tc>
      </w:tr>
      <w:tr w:rsidR="00866C8B" w:rsidRPr="004B61B0" w14:paraId="384FB19F" w14:textId="77777777" w:rsidTr="004D193D">
        <w:tc>
          <w:tcPr>
            <w:tcW w:w="2127" w:type="dxa"/>
          </w:tcPr>
          <w:p w14:paraId="77EBF7FE" w14:textId="77777777" w:rsidR="00866C8B" w:rsidRPr="004B61B0" w:rsidRDefault="00866C8B" w:rsidP="00866C8B">
            <w:pPr>
              <w:spacing w:after="240"/>
              <w:jc w:val="both"/>
              <w:rPr>
                <w:rFonts w:eastAsiaTheme="minorHAnsi" w:cstheme="minorHAnsi"/>
                <w:szCs w:val="22"/>
              </w:rPr>
            </w:pPr>
            <w:r w:rsidRPr="004B61B0">
              <w:rPr>
                <w:b/>
                <w:color w:val="000000" w:themeColor="text1"/>
                <w:szCs w:val="22"/>
              </w:rPr>
              <w:t>Teljes körű helyszíni vizsgálat:</w:t>
            </w:r>
          </w:p>
        </w:tc>
        <w:tc>
          <w:tcPr>
            <w:tcW w:w="6662" w:type="dxa"/>
          </w:tcPr>
          <w:p w14:paraId="3295CFBF" w14:textId="77777777" w:rsidR="00866C8B" w:rsidRPr="004B61B0" w:rsidRDefault="00866C8B" w:rsidP="00866C8B">
            <w:pPr>
              <w:spacing w:after="240"/>
              <w:jc w:val="both"/>
              <w:rPr>
                <w:rFonts w:eastAsiaTheme="minorHAnsi" w:cstheme="minorHAnsi"/>
                <w:szCs w:val="22"/>
              </w:rPr>
            </w:pPr>
            <w:r w:rsidRPr="004B61B0">
              <w:t>az értékelési alanyok vagy azok üzletágai által bevezetett valamennyi AML/CFT rendszer és kontrollmechanizmus átfogó felülvizsgálata, amelyre az értékelési alany telephelyén kerül sor.</w:t>
            </w:r>
          </w:p>
        </w:tc>
      </w:tr>
      <w:tr w:rsidR="00866C8B" w:rsidRPr="004B61B0" w14:paraId="478D7755" w14:textId="77777777" w:rsidTr="004D193D">
        <w:tc>
          <w:tcPr>
            <w:tcW w:w="2127" w:type="dxa"/>
          </w:tcPr>
          <w:p w14:paraId="645DF56E" w14:textId="77777777" w:rsidR="00866C8B" w:rsidRPr="004B61B0" w:rsidRDefault="00866C8B" w:rsidP="00866C8B">
            <w:pPr>
              <w:pStyle w:val="body"/>
              <w:spacing w:before="0" w:after="240"/>
              <w:rPr>
                <w:b/>
              </w:rPr>
            </w:pPr>
            <w:r w:rsidRPr="004B61B0">
              <w:rPr>
                <w:b/>
              </w:rPr>
              <w:t xml:space="preserve">Eredendő/eredetileg fennálló kockázat: </w:t>
            </w:r>
          </w:p>
        </w:tc>
        <w:tc>
          <w:tcPr>
            <w:tcW w:w="6662" w:type="dxa"/>
          </w:tcPr>
          <w:p w14:paraId="039D608B" w14:textId="77777777" w:rsidR="00866C8B" w:rsidRPr="004B61B0" w:rsidRDefault="00866C8B" w:rsidP="00866C8B">
            <w:pPr>
              <w:pStyle w:val="body"/>
              <w:spacing w:before="0" w:after="240"/>
              <w:rPr>
                <w:b/>
              </w:rPr>
            </w:pPr>
            <w:r w:rsidRPr="004B61B0">
              <w:t>az értékelési alanynál vagy valamely szektorban a kockázatmérséklő intézkedések alkalmazása előtt fennálló ML/TF kockázat szintje.</w:t>
            </w:r>
          </w:p>
        </w:tc>
      </w:tr>
      <w:tr w:rsidR="00866C8B" w:rsidRPr="004B61B0" w14:paraId="01BBA064" w14:textId="77777777" w:rsidTr="004D193D">
        <w:tc>
          <w:tcPr>
            <w:tcW w:w="2127" w:type="dxa"/>
          </w:tcPr>
          <w:p w14:paraId="58CA631E" w14:textId="77777777" w:rsidR="00866C8B" w:rsidRPr="004B61B0" w:rsidRDefault="00866C8B" w:rsidP="00866C8B">
            <w:pPr>
              <w:spacing w:after="240" w:line="264" w:lineRule="auto"/>
              <w:jc w:val="both"/>
              <w:rPr>
                <w:b/>
              </w:rPr>
            </w:pPr>
            <w:r w:rsidRPr="004B61B0">
              <w:rPr>
                <w:b/>
              </w:rPr>
              <w:t>ML/TF kockázat:</w:t>
            </w:r>
          </w:p>
        </w:tc>
        <w:tc>
          <w:tcPr>
            <w:tcW w:w="6662" w:type="dxa"/>
          </w:tcPr>
          <w:p w14:paraId="67494A7E" w14:textId="77777777" w:rsidR="00866C8B" w:rsidRPr="004B61B0" w:rsidRDefault="00866C8B" w:rsidP="00866C8B">
            <w:pPr>
              <w:spacing w:after="240" w:line="264" w:lineRule="auto"/>
              <w:jc w:val="both"/>
              <w:rPr>
                <w:rFonts w:ascii="Symbol" w:hAnsi="Symbol" w:hint="eastAsia"/>
              </w:rPr>
            </w:pPr>
            <w:r w:rsidRPr="004B61B0">
              <w:t>a pénzmosás és/vagy terrorizmusfinanszírozás (ML/TF) felmerülésének valószínűsége és hatása.</w:t>
            </w:r>
          </w:p>
        </w:tc>
      </w:tr>
      <w:tr w:rsidR="00866C8B" w:rsidRPr="004B61B0" w14:paraId="5A52DEE3" w14:textId="77777777" w:rsidTr="004D193D">
        <w:tc>
          <w:tcPr>
            <w:tcW w:w="2127" w:type="dxa"/>
          </w:tcPr>
          <w:p w14:paraId="1947BB78" w14:textId="77777777" w:rsidR="00866C8B" w:rsidRPr="004B61B0" w:rsidRDefault="00866C8B" w:rsidP="00866C8B">
            <w:pPr>
              <w:spacing w:after="240"/>
              <w:jc w:val="both"/>
            </w:pPr>
            <w:r w:rsidRPr="004B61B0">
              <w:rPr>
                <w:b/>
              </w:rPr>
              <w:t>ML/TF kockázati tényezők:</w:t>
            </w:r>
          </w:p>
        </w:tc>
        <w:tc>
          <w:tcPr>
            <w:tcW w:w="6662" w:type="dxa"/>
          </w:tcPr>
          <w:p w14:paraId="6FEFB72B" w14:textId="77777777" w:rsidR="00866C8B" w:rsidRPr="004B61B0" w:rsidRDefault="00866C8B" w:rsidP="00866C8B">
            <w:pPr>
              <w:spacing w:after="240"/>
              <w:jc w:val="both"/>
            </w:pPr>
            <w:r w:rsidRPr="004B61B0">
              <w:t>változók, amelyek vagy önmagukban, vagy más tényezőkkel együttesen növelhetik vagy csökkenthetik az ML/TF kockázatot.</w:t>
            </w:r>
          </w:p>
        </w:tc>
      </w:tr>
      <w:tr w:rsidR="00866C8B" w:rsidRPr="004B61B0" w14:paraId="51288A79" w14:textId="77777777" w:rsidTr="004D193D">
        <w:tc>
          <w:tcPr>
            <w:tcW w:w="2127" w:type="dxa"/>
          </w:tcPr>
          <w:p w14:paraId="6068209D" w14:textId="77777777" w:rsidR="00866C8B" w:rsidRPr="004B61B0" w:rsidRDefault="00866C8B" w:rsidP="00866C8B">
            <w:pPr>
              <w:spacing w:after="240"/>
              <w:jc w:val="both"/>
              <w:rPr>
                <w:rFonts w:eastAsiaTheme="minorHAnsi" w:cstheme="minorHAnsi"/>
                <w:szCs w:val="22"/>
              </w:rPr>
            </w:pPr>
            <w:r w:rsidRPr="004B61B0">
              <w:rPr>
                <w:b/>
                <w:szCs w:val="22"/>
              </w:rPr>
              <w:t>Helyszínen kívüli felülvizsgálat:</w:t>
            </w:r>
          </w:p>
        </w:tc>
        <w:tc>
          <w:tcPr>
            <w:tcW w:w="6662" w:type="dxa"/>
          </w:tcPr>
          <w:p w14:paraId="15B80F1D" w14:textId="77777777" w:rsidR="00866C8B" w:rsidRPr="004B61B0" w:rsidRDefault="00866C8B" w:rsidP="00866C8B">
            <w:pPr>
              <w:spacing w:after="240"/>
              <w:jc w:val="both"/>
              <w:rPr>
                <w:rFonts w:eastAsiaTheme="minorHAnsi" w:cstheme="minorHAnsi"/>
                <w:szCs w:val="22"/>
              </w:rPr>
            </w:pPr>
            <w:r w:rsidRPr="004B61B0">
              <w:t>az értékelési alanyok AML/CFT politikáinak és eljárásainak átfogó felülvizsgálata, amelyre nem az értékelési alanyok telephelyén kerül sor.</w:t>
            </w:r>
          </w:p>
        </w:tc>
      </w:tr>
      <w:tr w:rsidR="00866C8B" w:rsidRPr="004B61B0" w14:paraId="25294D2C" w14:textId="77777777" w:rsidTr="004D193D">
        <w:tc>
          <w:tcPr>
            <w:tcW w:w="2127" w:type="dxa"/>
          </w:tcPr>
          <w:p w14:paraId="54C5B6C8" w14:textId="77777777" w:rsidR="00866C8B" w:rsidRPr="004B61B0" w:rsidRDefault="00866C8B" w:rsidP="004D193D">
            <w:pPr>
              <w:spacing w:after="240"/>
            </w:pPr>
            <w:r w:rsidRPr="004B61B0">
              <w:rPr>
                <w:b/>
              </w:rPr>
              <w:t>Kockázatalapú megközelítés (RBA):</w:t>
            </w:r>
          </w:p>
        </w:tc>
        <w:tc>
          <w:tcPr>
            <w:tcW w:w="6662" w:type="dxa"/>
          </w:tcPr>
          <w:p w14:paraId="4001EE8C" w14:textId="77777777" w:rsidR="00866C8B" w:rsidRPr="004B61B0" w:rsidRDefault="00866C8B" w:rsidP="00866C8B">
            <w:pPr>
              <w:spacing w:after="240"/>
              <w:jc w:val="both"/>
            </w:pPr>
            <w:r w:rsidRPr="004B61B0">
              <w:t>olyan megközelítés, amelynek során az illetékes hatóságok és az értékelési alanyok azonosítják, felmérik és megértik az ML/TF kockázatokat, amelyeknek az értékelési alanyok ki vannak téve, és az e kockázatokkal arányban álló AML/CTF intézkedéseket foganatosítanak.</w:t>
            </w:r>
          </w:p>
        </w:tc>
      </w:tr>
      <w:tr w:rsidR="00866C8B" w:rsidRPr="004B61B0" w14:paraId="34B6DFCA" w14:textId="77777777" w:rsidTr="004D193D">
        <w:tc>
          <w:tcPr>
            <w:tcW w:w="2127" w:type="dxa"/>
          </w:tcPr>
          <w:p w14:paraId="3C82626F" w14:textId="77777777" w:rsidR="00866C8B" w:rsidRPr="004B61B0" w:rsidRDefault="00866C8B" w:rsidP="00866C8B">
            <w:pPr>
              <w:spacing w:after="240" w:line="273" w:lineRule="auto"/>
              <w:jc w:val="both"/>
            </w:pPr>
            <w:r w:rsidRPr="004B61B0">
              <w:rPr>
                <w:b/>
              </w:rPr>
              <w:lastRenderedPageBreak/>
              <w:t>RBS modell:</w:t>
            </w:r>
          </w:p>
        </w:tc>
        <w:tc>
          <w:tcPr>
            <w:tcW w:w="6662" w:type="dxa"/>
          </w:tcPr>
          <w:p w14:paraId="710700CE" w14:textId="77777777" w:rsidR="00866C8B" w:rsidRPr="004B61B0" w:rsidRDefault="00866C8B" w:rsidP="00866C8B">
            <w:pPr>
              <w:spacing w:after="240" w:line="273" w:lineRule="auto"/>
              <w:jc w:val="both"/>
              <w:rPr>
                <w:rFonts w:eastAsiaTheme="minorHAnsi" w:cstheme="minorHAnsi"/>
                <w:szCs w:val="22"/>
              </w:rPr>
            </w:pPr>
            <w:r w:rsidRPr="004B61B0">
              <w:t>azoknak az eljárásoknak, folyamatoknak és mechanizmusoknak az összessége, amelyeket az illetékes hatóságok annak érdekében alkalmaznak, hogy az azonosított ML/TF kockázatok mértékéhez igazodva gyakorolják AML/CTF felügyeleti hatásköreiket.</w:t>
            </w:r>
          </w:p>
        </w:tc>
      </w:tr>
      <w:tr w:rsidR="00866C8B" w:rsidRPr="004B61B0" w14:paraId="187EF2B7" w14:textId="77777777" w:rsidTr="004D193D">
        <w:tc>
          <w:tcPr>
            <w:tcW w:w="2127" w:type="dxa"/>
          </w:tcPr>
          <w:p w14:paraId="66B41316" w14:textId="77777777" w:rsidR="00866C8B" w:rsidRPr="004B61B0" w:rsidRDefault="00866C8B" w:rsidP="00866C8B">
            <w:pPr>
              <w:spacing w:after="240" w:line="264" w:lineRule="auto"/>
              <w:jc w:val="both"/>
              <w:rPr>
                <w:b/>
              </w:rPr>
            </w:pPr>
            <w:r w:rsidRPr="004B61B0">
              <w:rPr>
                <w:b/>
              </w:rPr>
              <w:t>Fennmaradó kockázat:</w:t>
            </w:r>
          </w:p>
        </w:tc>
        <w:tc>
          <w:tcPr>
            <w:tcW w:w="6662" w:type="dxa"/>
          </w:tcPr>
          <w:p w14:paraId="254D1081" w14:textId="77777777" w:rsidR="00866C8B" w:rsidRPr="004B61B0" w:rsidRDefault="00866C8B" w:rsidP="00866C8B">
            <w:pPr>
              <w:spacing w:after="240" w:line="264" w:lineRule="auto"/>
              <w:jc w:val="both"/>
              <w:rPr>
                <w:b/>
              </w:rPr>
            </w:pPr>
            <w:r w:rsidRPr="004B61B0">
              <w:t>az a kockázati szint, amely az AML/CFT rendszerek és -ellenőrzések eredendő kockázat kezelése érdekében történő alkalmazása után is fennmarad.</w:t>
            </w:r>
          </w:p>
        </w:tc>
      </w:tr>
      <w:tr w:rsidR="00866C8B" w:rsidRPr="004B61B0" w14:paraId="54AD0511" w14:textId="77777777" w:rsidTr="004D193D">
        <w:tc>
          <w:tcPr>
            <w:tcW w:w="2127" w:type="dxa"/>
          </w:tcPr>
          <w:p w14:paraId="51C1A658" w14:textId="77777777" w:rsidR="00866C8B" w:rsidRPr="004B61B0" w:rsidRDefault="00866C8B" w:rsidP="00866C8B">
            <w:pPr>
              <w:spacing w:before="160" w:after="240" w:line="264" w:lineRule="auto"/>
              <w:jc w:val="both"/>
            </w:pPr>
            <w:r w:rsidRPr="004B61B0">
              <w:rPr>
                <w:b/>
              </w:rPr>
              <w:t>Kockázati profil:</w:t>
            </w:r>
          </w:p>
        </w:tc>
        <w:tc>
          <w:tcPr>
            <w:tcW w:w="6662" w:type="dxa"/>
          </w:tcPr>
          <w:p w14:paraId="0D175F3B" w14:textId="77777777" w:rsidR="00866C8B" w:rsidRPr="004B61B0" w:rsidRDefault="00866C8B" w:rsidP="00866C8B">
            <w:pPr>
              <w:spacing w:before="160" w:after="240" w:line="264" w:lineRule="auto"/>
              <w:jc w:val="both"/>
            </w:pPr>
            <w:r w:rsidRPr="004B61B0">
              <w:t>az értékelési alanyhoz vagy szektorhoz/alszektorhoz kapcsolódó ML/TF kockázat általános jellemzőire utal, beleértve a kockázat típusát és szintjét.</w:t>
            </w:r>
          </w:p>
        </w:tc>
      </w:tr>
      <w:tr w:rsidR="00866C8B" w:rsidRPr="004B61B0" w14:paraId="0E4A913A" w14:textId="77777777" w:rsidTr="004D193D">
        <w:tc>
          <w:tcPr>
            <w:tcW w:w="2127" w:type="dxa"/>
          </w:tcPr>
          <w:p w14:paraId="0CA84495" w14:textId="77777777" w:rsidR="00866C8B" w:rsidRPr="004B61B0" w:rsidRDefault="00866C8B" w:rsidP="004D193D">
            <w:pPr>
              <w:pStyle w:val="ListParagraph"/>
              <w:spacing w:before="119" w:after="240" w:line="276" w:lineRule="auto"/>
              <w:ind w:left="0" w:right="-8"/>
            </w:pPr>
            <w:r w:rsidRPr="004B61B0">
              <w:rPr>
                <w:b/>
              </w:rPr>
              <w:t>Értékelési alany:</w:t>
            </w:r>
          </w:p>
        </w:tc>
        <w:tc>
          <w:tcPr>
            <w:tcW w:w="6662" w:type="dxa"/>
          </w:tcPr>
          <w:p w14:paraId="2E5BAEB8" w14:textId="77777777" w:rsidR="00866C8B" w:rsidRPr="004B61B0" w:rsidRDefault="00866C8B" w:rsidP="00866C8B">
            <w:pPr>
              <w:pStyle w:val="ListParagraph"/>
              <w:spacing w:before="119" w:after="240" w:line="276" w:lineRule="auto"/>
              <w:ind w:left="0" w:right="-8"/>
              <w:jc w:val="both"/>
              <w:rPr>
                <w:rFonts w:asciiTheme="minorHAnsi" w:hAnsiTheme="minorHAnsi" w:cstheme="minorHAnsi"/>
                <w:b/>
              </w:rPr>
            </w:pPr>
            <w:r w:rsidRPr="004B61B0">
              <w:t>valamely hitelintézet vagy pénzügyi intézmény vagy klaszter, amelyet az illetékes hatóságok által meghatározott kritériumok szerint kategorizálnak.</w:t>
            </w:r>
          </w:p>
        </w:tc>
      </w:tr>
      <w:tr w:rsidR="00866C8B" w:rsidRPr="004B61B0" w14:paraId="368321C6" w14:textId="77777777" w:rsidTr="004D193D">
        <w:tc>
          <w:tcPr>
            <w:tcW w:w="2127" w:type="dxa"/>
          </w:tcPr>
          <w:p w14:paraId="5DB22361" w14:textId="77777777" w:rsidR="00866C8B" w:rsidRPr="004B61B0" w:rsidRDefault="00866C8B" w:rsidP="00866C8B">
            <w:pPr>
              <w:pStyle w:val="ListParagraph"/>
              <w:spacing w:before="119" w:line="276" w:lineRule="auto"/>
              <w:ind w:left="0" w:right="-8"/>
              <w:jc w:val="both"/>
              <w:rPr>
                <w:rFonts w:asciiTheme="minorHAnsi" w:hAnsiTheme="minorHAnsi" w:cstheme="minorHAnsi"/>
              </w:rPr>
            </w:pPr>
            <w:r w:rsidRPr="004B61B0">
              <w:rPr>
                <w:rFonts w:asciiTheme="minorHAnsi" w:hAnsiTheme="minorHAnsi"/>
                <w:b/>
              </w:rPr>
              <w:t>Felügyeleti eszközök:</w:t>
            </w:r>
          </w:p>
        </w:tc>
        <w:tc>
          <w:tcPr>
            <w:tcW w:w="6662" w:type="dxa"/>
          </w:tcPr>
          <w:p w14:paraId="16041AC1" w14:textId="77777777" w:rsidR="00866C8B" w:rsidRPr="004B61B0" w:rsidRDefault="00866C8B" w:rsidP="00866C8B">
            <w:pPr>
              <w:pStyle w:val="ListParagraph"/>
              <w:spacing w:before="119" w:line="276" w:lineRule="auto"/>
              <w:ind w:left="0" w:right="-8"/>
              <w:jc w:val="both"/>
              <w:rPr>
                <w:rFonts w:asciiTheme="minorHAnsi" w:hAnsiTheme="minorHAnsi" w:cstheme="minorHAnsi"/>
              </w:rPr>
            </w:pPr>
            <w:r w:rsidRPr="004B61B0">
              <w:rPr>
                <w:rFonts w:asciiTheme="minorHAnsi" w:hAnsiTheme="minorHAnsi"/>
              </w:rPr>
              <w:t>minden olyan felügyeleti intézkedés, amelyet az illetékes hatóságok annak biztosítása érdekében hozhatnak, hogy az értékelési alanyok megfeleljenek AML/CFT kötelezettségeiknek.</w:t>
            </w:r>
          </w:p>
        </w:tc>
      </w:tr>
      <w:tr w:rsidR="00866C8B" w:rsidRPr="004B61B0" w14:paraId="14D81F43" w14:textId="77777777" w:rsidTr="004D193D">
        <w:tc>
          <w:tcPr>
            <w:tcW w:w="2127" w:type="dxa"/>
          </w:tcPr>
          <w:p w14:paraId="77889596" w14:textId="77777777" w:rsidR="00866C8B" w:rsidRPr="004B61B0" w:rsidRDefault="00866C8B" w:rsidP="00866C8B">
            <w:pPr>
              <w:jc w:val="both"/>
              <w:rPr>
                <w:rFonts w:eastAsiaTheme="minorHAnsi" w:cstheme="minorHAnsi"/>
                <w:szCs w:val="22"/>
              </w:rPr>
            </w:pPr>
            <w:r w:rsidRPr="004B61B0">
              <w:rPr>
                <w:b/>
                <w:szCs w:val="22"/>
              </w:rPr>
              <w:t>Témavizsgálat:</w:t>
            </w:r>
          </w:p>
        </w:tc>
        <w:tc>
          <w:tcPr>
            <w:tcW w:w="6662" w:type="dxa"/>
          </w:tcPr>
          <w:p w14:paraId="4DDF915B" w14:textId="77777777" w:rsidR="00866C8B" w:rsidRPr="004B61B0" w:rsidRDefault="00866C8B" w:rsidP="00866C8B">
            <w:pPr>
              <w:jc w:val="both"/>
              <w:rPr>
                <w:rFonts w:eastAsiaTheme="minorHAnsi" w:cstheme="minorHAnsi"/>
                <w:szCs w:val="22"/>
              </w:rPr>
            </w:pPr>
            <w:r w:rsidRPr="004B61B0">
              <w:t>több értékelési alany felülvizsgálata, amely az értékelési alanyok AML/CFT rendszereinek és kontrollintézkedéseinek egy meghatározott szempontjára vagy nagyon kevés szempontjára összpontosít.</w:t>
            </w:r>
          </w:p>
        </w:tc>
      </w:tr>
      <w:tr w:rsidR="00866C8B" w:rsidRPr="004B61B0" w14:paraId="1B5F404D" w14:textId="77777777" w:rsidTr="004D193D">
        <w:tc>
          <w:tcPr>
            <w:tcW w:w="2127" w:type="dxa"/>
          </w:tcPr>
          <w:p w14:paraId="42340097" w14:textId="77777777" w:rsidR="00866C8B" w:rsidRPr="004B61B0" w:rsidRDefault="00866C8B" w:rsidP="00866C8B">
            <w:pPr>
              <w:spacing w:before="121" w:line="273" w:lineRule="auto"/>
              <w:jc w:val="both"/>
              <w:rPr>
                <w:position w:val="1"/>
              </w:rPr>
            </w:pPr>
            <w:r w:rsidRPr="004B61B0">
              <w:rPr>
                <w:b/>
              </w:rPr>
              <w:t>Fenyegetés:</w:t>
            </w:r>
          </w:p>
        </w:tc>
        <w:tc>
          <w:tcPr>
            <w:tcW w:w="6662" w:type="dxa"/>
          </w:tcPr>
          <w:p w14:paraId="600783FC" w14:textId="77777777" w:rsidR="00866C8B" w:rsidRPr="004B61B0" w:rsidRDefault="00866C8B" w:rsidP="00866C8B">
            <w:pPr>
              <w:spacing w:before="121" w:line="273" w:lineRule="auto"/>
              <w:jc w:val="both"/>
            </w:pPr>
            <w:r w:rsidRPr="004B61B0">
              <w:t>a bűnözők, terroristák vagy terrorista csoportok és segítőik által a múltbeli, jelenlegi és jövőbeli pénzmosási vagy terrorizmusfinanszírozási tevékenységeikkel okozott potenciális károk.</w:t>
            </w:r>
          </w:p>
        </w:tc>
      </w:tr>
    </w:tbl>
    <w:p w14:paraId="41C59F8F" w14:textId="4AD806A3" w:rsidR="00A72208" w:rsidRPr="004B61B0" w:rsidRDefault="00A72208" w:rsidP="00A72208">
      <w:pPr>
        <w:ind w:left="3374" w:hanging="2977"/>
        <w:sectPr w:rsidR="00A72208" w:rsidRPr="004B61B0" w:rsidSect="00DE6FAC">
          <w:type w:val="continuous"/>
          <w:pgSz w:w="11910" w:h="16840"/>
          <w:pgMar w:top="1985" w:right="1420" w:bottom="840" w:left="1701" w:header="720" w:footer="720" w:gutter="0"/>
          <w:cols w:space="720"/>
        </w:sectPr>
      </w:pPr>
    </w:p>
    <w:p w14:paraId="468B5217" w14:textId="77777777" w:rsidR="00B43E07" w:rsidRPr="004B61B0" w:rsidRDefault="00B43E07" w:rsidP="0086423A">
      <w:pPr>
        <w:pStyle w:val="Numberedtilelevel1"/>
        <w:ind w:left="0"/>
      </w:pPr>
      <w:r w:rsidRPr="004B61B0">
        <w:lastRenderedPageBreak/>
        <w:t>Végrehajtás</w:t>
      </w:r>
    </w:p>
    <w:p w14:paraId="69D91106" w14:textId="77777777" w:rsidR="00B43E07" w:rsidRPr="004B61B0" w:rsidRDefault="00B43E07" w:rsidP="00B43E07">
      <w:pPr>
        <w:pStyle w:val="Titlelevel2"/>
      </w:pPr>
      <w:r w:rsidRPr="004B61B0">
        <w:t>Az alkalmazás időpontja</w:t>
      </w:r>
    </w:p>
    <w:p w14:paraId="46CC94CB" w14:textId="33822619" w:rsidR="00FA34B4" w:rsidRPr="004B61B0" w:rsidRDefault="00C733A0" w:rsidP="00FA34B4">
      <w:pPr>
        <w:pStyle w:val="body"/>
        <w:numPr>
          <w:ilvl w:val="0"/>
          <w:numId w:val="10"/>
        </w:numPr>
      </w:pPr>
      <w:r w:rsidRPr="004B61B0">
        <w:t>Ezeket az iránymutatásokat az EU valamennyi hivatalos nyelvén történő közzétételüktől számított három hónap elteltével kell alkalmazni</w:t>
      </w:r>
      <w:r w:rsidR="00F50532">
        <w:t xml:space="preserve"> [30.06.2022]</w:t>
      </w:r>
      <w:r w:rsidRPr="004B61B0">
        <w:t xml:space="preserve">. </w:t>
      </w:r>
    </w:p>
    <w:p w14:paraId="28637F0F" w14:textId="2B9D3E1E" w:rsidR="00B43E07" w:rsidRPr="004B61B0" w:rsidRDefault="00B43E07" w:rsidP="00B43E07">
      <w:pPr>
        <w:pStyle w:val="Titlelevel2"/>
      </w:pPr>
      <w:r w:rsidRPr="004B61B0">
        <w:t>Hatályon kívül helyezés</w:t>
      </w:r>
    </w:p>
    <w:p w14:paraId="0C0E30C1" w14:textId="4A64DF90" w:rsidR="00B43E07" w:rsidRPr="004B61B0" w:rsidRDefault="00B43E07" w:rsidP="00EC596C">
      <w:pPr>
        <w:pStyle w:val="body"/>
        <w:numPr>
          <w:ilvl w:val="0"/>
          <w:numId w:val="10"/>
        </w:numPr>
      </w:pPr>
      <w:r w:rsidRPr="004B61B0">
        <w:t>Az alkalmazás időpontjában a következő iránymutatások hatályukat vesztik:</w:t>
      </w:r>
    </w:p>
    <w:p w14:paraId="76103C3D" w14:textId="4C154C16" w:rsidR="008A55BB" w:rsidRPr="004B61B0" w:rsidRDefault="008A55BB" w:rsidP="008A55BB">
      <w:pPr>
        <w:pStyle w:val="body"/>
        <w:ind w:left="360"/>
      </w:pPr>
      <w:r w:rsidRPr="004B61B0">
        <w:t>Közös iránymutatás a pénzmosás elleni küzdelemmel és a terrorizmus finanszírozásával kapcsolatos felügyelet kockázatalapú megközelítésének jellemzőiről, valamint a kockázatérzékeny felügyelet során szükséges lépésekről (ESAs/2016/72).</w:t>
      </w:r>
    </w:p>
    <w:p w14:paraId="2A2973B0" w14:textId="018D158B" w:rsidR="008A55BB" w:rsidRPr="004B61B0" w:rsidRDefault="008A55BB">
      <w:r w:rsidRPr="004B61B0">
        <w:br w:type="page"/>
      </w:r>
    </w:p>
    <w:p w14:paraId="1347EF52" w14:textId="77777777" w:rsidR="00B43E07" w:rsidRPr="004B61B0" w:rsidRDefault="00905139" w:rsidP="00235461">
      <w:pPr>
        <w:pStyle w:val="Numberedtilelevel1"/>
        <w:ind w:left="0"/>
      </w:pPr>
      <w:r w:rsidRPr="004B61B0">
        <w:rPr>
          <w:color w:val="2F5772"/>
        </w:rPr>
        <w:lastRenderedPageBreak/>
        <w:t>Iránymutatások</w:t>
      </w:r>
    </w:p>
    <w:p w14:paraId="49B4E219" w14:textId="1AE168E9" w:rsidR="00905139" w:rsidRPr="004B61B0" w:rsidRDefault="00905139" w:rsidP="00BF2FD9">
      <w:pPr>
        <w:pStyle w:val="Numberedtitlelevel2"/>
      </w:pPr>
      <w:r w:rsidRPr="004B61B0">
        <w:t xml:space="preserve">Az RBS modell végrehajtása </w:t>
      </w:r>
    </w:p>
    <w:p w14:paraId="3B52B399" w14:textId="77777777" w:rsidR="000A1C82" w:rsidRPr="004B61B0" w:rsidRDefault="00F339A7" w:rsidP="00D173E4">
      <w:pPr>
        <w:pStyle w:val="Numberedtitlelevel3"/>
        <w:ind w:left="828" w:hanging="431"/>
      </w:pPr>
      <w:r w:rsidRPr="004B61B0">
        <w:t xml:space="preserve">Általános szempontok </w:t>
      </w:r>
    </w:p>
    <w:p w14:paraId="6EC0B83D" w14:textId="54828511" w:rsidR="00F339A7" w:rsidRPr="004B61B0" w:rsidRDefault="00F339A7" w:rsidP="00EC596C">
      <w:pPr>
        <w:pStyle w:val="body"/>
        <w:numPr>
          <w:ilvl w:val="0"/>
          <w:numId w:val="10"/>
        </w:numPr>
      </w:pPr>
      <w:r w:rsidRPr="004B61B0">
        <w:t>Az illetékes hatóságoknak az alábbi négy lépést kell alkalmazniuk a hatékony AML/CFT RBS modell részeként:</w:t>
      </w:r>
    </w:p>
    <w:p w14:paraId="7268FD2F" w14:textId="77777777" w:rsidR="00F339A7" w:rsidRPr="004B61B0"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1. lépés – Az ML/TF kockázati tényezők beazonosítása;</w:t>
      </w:r>
    </w:p>
    <w:p w14:paraId="40C5EC2F" w14:textId="2E37AF86" w:rsidR="00F339A7" w:rsidRPr="004B61B0"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2. lépés – Kockázatértékelés;</w:t>
      </w:r>
    </w:p>
    <w:p w14:paraId="0402A783" w14:textId="2955730F" w:rsidR="00F339A7" w:rsidRPr="004B61B0"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 xml:space="preserve">3. lépés – AML/CFT felügyelet; és </w:t>
      </w:r>
    </w:p>
    <w:p w14:paraId="74E0F74C" w14:textId="4E2BD5F3" w:rsidR="00F339A7" w:rsidRPr="004B61B0"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4. lépés – Az RBS modell nyomon követése és felülvizsgálata.</w:t>
      </w:r>
    </w:p>
    <w:p w14:paraId="757C0CFA" w14:textId="013E67A0" w:rsidR="00F339A7" w:rsidRPr="004B61B0" w:rsidRDefault="00F339A7" w:rsidP="00EC596C">
      <w:pPr>
        <w:pStyle w:val="body"/>
        <w:numPr>
          <w:ilvl w:val="0"/>
          <w:numId w:val="10"/>
        </w:numPr>
      </w:pPr>
      <w:r w:rsidRPr="004B61B0">
        <w:t>Az illetékes hatóságoknak figyelemmel kell lenniük arra, hogy a kockázatalapú felügyelet nem egy egyszeri feladat, hanem egy folyamatos, körkörös eljárás.</w:t>
      </w:r>
    </w:p>
    <w:p w14:paraId="330AC217" w14:textId="02BB9A68" w:rsidR="00F339A7" w:rsidRPr="004B61B0" w:rsidRDefault="00F339A7" w:rsidP="00EC596C">
      <w:pPr>
        <w:pStyle w:val="body"/>
        <w:numPr>
          <w:ilvl w:val="0"/>
          <w:numId w:val="10"/>
        </w:numPr>
      </w:pPr>
      <w:r w:rsidRPr="004B61B0">
        <w:t>Az illetékes hatóságoknak az iránymutatások 11. és 12. bekezdésében foglalt általános szempontokat kell alkalmazniuk az RBS modelljükben.</w:t>
      </w:r>
    </w:p>
    <w:p w14:paraId="3EC4BC28" w14:textId="77777777" w:rsidR="00F339A7" w:rsidRPr="004B61B0" w:rsidRDefault="00F339A7" w:rsidP="00D173E4">
      <w:pPr>
        <w:pStyle w:val="Numberedtitlelevel3"/>
        <w:ind w:left="828" w:hanging="431"/>
      </w:pPr>
      <w:r w:rsidRPr="004B61B0">
        <w:t>Arányosság</w:t>
      </w:r>
    </w:p>
    <w:p w14:paraId="1C730F2B" w14:textId="77777777" w:rsidR="00F339A7" w:rsidRPr="004B61B0" w:rsidRDefault="00F339A7" w:rsidP="00EC596C">
      <w:pPr>
        <w:pStyle w:val="body"/>
        <w:numPr>
          <w:ilvl w:val="0"/>
          <w:numId w:val="10"/>
        </w:numPr>
      </w:pPr>
      <w:r w:rsidRPr="004B61B0">
        <w:t>Az illetékes hatóságoknak az arányosság követelményeinek betartásával kell eljárniuk az értékelési alanyok AML/CFT felügyelete során. A kért információk mennyiségének, a felügyeleti intézkedések gyakoriságának és mértékének, valamint az értékelési alannyal folytatott párbeszédnek arányosnak kell lennie a feltárt ML/TF kockázattal.</w:t>
      </w:r>
    </w:p>
    <w:p w14:paraId="44202F68" w14:textId="7B28AEF3" w:rsidR="00F339A7" w:rsidRPr="004B61B0" w:rsidRDefault="00F339A7" w:rsidP="00D173E4">
      <w:pPr>
        <w:pStyle w:val="body"/>
        <w:numPr>
          <w:ilvl w:val="0"/>
          <w:numId w:val="10"/>
        </w:numPr>
      </w:pPr>
      <w:r w:rsidRPr="004B61B0">
        <w:t>Az illetékes hatóságoknak figyelembe kell venniük, hogy az értékelési alany mérete és rendszerben betöltött szerepe önmagában nem feltétlenül mutatja az ML/TF kockázatnak való kitettséget; a rendszerszinten nem jelentős kis hitelintézetek és pénzügyi intézmények is magas ML/TF kockázatot jelenthetnek.</w:t>
      </w:r>
    </w:p>
    <w:p w14:paraId="21C78013" w14:textId="77777777" w:rsidR="00F339A7" w:rsidRPr="004B61B0" w:rsidRDefault="00F339A7" w:rsidP="00D173E4">
      <w:pPr>
        <w:pStyle w:val="Numberedtitlelevel3"/>
        <w:ind w:left="828" w:hanging="431"/>
      </w:pPr>
      <w:r w:rsidRPr="004B61B0">
        <w:t>Értékelési alanyok</w:t>
      </w:r>
    </w:p>
    <w:p w14:paraId="7D8923D4" w14:textId="55B5EB03" w:rsidR="00F339A7" w:rsidRPr="004B61B0" w:rsidRDefault="00DC0167" w:rsidP="00EC596C">
      <w:pPr>
        <w:pStyle w:val="body"/>
        <w:numPr>
          <w:ilvl w:val="0"/>
          <w:numId w:val="10"/>
        </w:numPr>
      </w:pPr>
      <w:r w:rsidRPr="004B61B0">
        <w:t>Az illetékes hatóságoknak azonosítaniuk kell az egyes szektorokon belül azokat a hitelintézeteket vagy pénzügyi intézményeket, amelyek kellően sok hasonló jellemzővel rendelkeznek ahhoz, hogy indokolt legyen egy klaszterbe sorolni őket. A közös jellemzőknek magukban kell foglalniuk az azonos szintű kockázatot, amelynek ki vannak téve, többek között méretüket, üzleti tevékenységük jellegét, a kiszolgált ügyfelek típusát, a földrajzi területet, ahol működnek vagy tevékenykednek, valamint teljesítési csatornáikat. A klaszterbe sorolt hitelintézetek vagy pénzügyi intézmények esetében az RBS eljárás egyes elemei a klaszter szintjén együttesen kerülhetnek elvégzésre, nem pedig külön-külön az adott klaszterhez tartozó minden egyes hitelintézetnél vagy pénzügyi intézménynél.</w:t>
      </w:r>
    </w:p>
    <w:p w14:paraId="11306E6F" w14:textId="2570AF96" w:rsidR="00F339A7" w:rsidRDefault="00F339A7" w:rsidP="00EC596C">
      <w:pPr>
        <w:pStyle w:val="body"/>
        <w:numPr>
          <w:ilvl w:val="0"/>
          <w:numId w:val="10"/>
        </w:numPr>
      </w:pPr>
      <w:r w:rsidRPr="004B61B0">
        <w:lastRenderedPageBreak/>
        <w:t>Azoknak a hitelintézeteknek vagy pénzügyi intézményeknek az azonosítása érdekében, amelyek ugyanahhoz a klaszterhez tartozhatnak, az illetékes hatóságoknak ezen intézmények üzleti modelljére, a szektori kockázatértékelésre, az egyes hitelintézetek vagy pénzügyi intézmények kockázatértékeléseire, valamint az ezen iránymutatás 30. és 31. bekezdésében meghatározott egyéb releváns információforrásokra – köztük a felügyeleti tevékenységük eredményeként gyűjtött információkra – kell támaszkodniuk.</w:t>
      </w:r>
    </w:p>
    <w:p w14:paraId="7AAE155E" w14:textId="6E1EB077" w:rsidR="0075562E" w:rsidRDefault="00532A7D" w:rsidP="0075562E">
      <w:pPr>
        <w:pStyle w:val="body"/>
        <w:numPr>
          <w:ilvl w:val="0"/>
          <w:numId w:val="10"/>
        </w:numPr>
      </w:pPr>
      <w:r w:rsidRPr="004B61B0">
        <w:t>Az illetékes hatóságoknak mérlegelniük kell, hogy az ugyanazon szektorban működő, ugyanazon belföldi pénzügyi csoport részét képező hitelintézeteket vagy pénzügyi intézményeket egy „értékelési alanyként” kezelik-e.</w:t>
      </w:r>
    </w:p>
    <w:p w14:paraId="2A64C788" w14:textId="0D3DF8D7" w:rsidR="00A132DF" w:rsidRDefault="00A132DF" w:rsidP="00A132DF">
      <w:pPr>
        <w:pStyle w:val="body"/>
      </w:pPr>
      <w:r>
        <w:rPr>
          <w:rFonts w:ascii="Wingdings" w:eastAsia="Wingdings" w:hAnsi="Wingdings" w:cs="Wingdings"/>
          <w:color w:val="E98E31" w:themeColor="background2"/>
          <w:lang w:val="en-US"/>
        </w:rPr>
        <w:t>Ú</w:t>
      </w:r>
      <w:r>
        <w:rPr>
          <w:color w:val="E98E31" w:themeColor="background2"/>
          <w:spacing w:val="-1"/>
          <w:lang w:val="en-US"/>
        </w:rPr>
        <w:t>A1</w:t>
      </w:r>
    </w:p>
    <w:p w14:paraId="12D287E6" w14:textId="2E547F8D" w:rsidR="0075562E" w:rsidRPr="00E6582A" w:rsidRDefault="00B83476" w:rsidP="0075562E">
      <w:pPr>
        <w:pStyle w:val="body"/>
        <w:numPr>
          <w:ilvl w:val="0"/>
          <w:numId w:val="10"/>
        </w:numPr>
      </w:pPr>
      <w:r w:rsidRPr="00E6582A">
        <w:t xml:space="preserve">Amennyiben az illetékes hatóságnak tudomása van arról, vagy alapos okkal feltételezi, hogy egy adott klaszterbe tartozó egyes hitelintézethez vagy pénzügyi intézményhez kapcsolódó kockázat jelentősen eltér az adott </w:t>
      </w:r>
      <w:r>
        <w:t>klaszterbe</w:t>
      </w:r>
      <w:r w:rsidRPr="00E6582A">
        <w:t xml:space="preserve"> tartozó más hitelintézetekhez vagy pénzügyi intézményekhez kapcsolódó kockázattól, az illetékes hatóságnak el kell távolítania az adott hitelintézetet vagy pénzügyi intézményt a klaszterből, és azt egyedileg, vagy a hasonló szintű pénzmosási és terrorizmusfinanszírozási kockázatnak kitett hitelintézetek vagy pénzügyi intézmények egy másik </w:t>
      </w:r>
      <w:r>
        <w:t>klaszterének</w:t>
      </w:r>
      <w:r w:rsidRPr="00E6582A">
        <w:t xml:space="preserve"> részeként kell értékelnie. A klaszterből való eltávolításnak tartalmaznia kell többek között azokat a körülményeket, amikor:</w:t>
      </w:r>
      <w:r w:rsidR="007D0CC3" w:rsidRPr="004B61B0">
        <w:t xml:space="preserve"> </w:t>
      </w:r>
    </w:p>
    <w:p w14:paraId="31B449BD" w14:textId="77777777" w:rsidR="0075562E" w:rsidRPr="00E6582A" w:rsidRDefault="0075562E" w:rsidP="00DB6888">
      <w:pPr>
        <w:pStyle w:val="ListParagraph"/>
        <w:widowControl w:val="0"/>
        <w:numPr>
          <w:ilvl w:val="0"/>
          <w:numId w:val="90"/>
        </w:numPr>
        <w:tabs>
          <w:tab w:val="left" w:pos="462"/>
        </w:tabs>
        <w:autoSpaceDE w:val="0"/>
        <w:autoSpaceDN w:val="0"/>
        <w:spacing w:before="1" w:line="276" w:lineRule="auto"/>
        <w:jc w:val="both"/>
      </w:pPr>
      <w:r w:rsidRPr="00E6582A">
        <w:t>a hitelintézet vagy pénzügyi intézmény</w:t>
      </w:r>
      <w:r>
        <w:t>tényleges tulajdonosai olyan személyek</w:t>
      </w:r>
      <w:r w:rsidRPr="00E6582A">
        <w:t>, akiknek feddhetetlensége ML/TF aggályok miatt kétséges; vagy</w:t>
      </w:r>
    </w:p>
    <w:p w14:paraId="55F09F6D" w14:textId="77777777" w:rsidR="0075562E" w:rsidRPr="00E6582A" w:rsidRDefault="0075562E" w:rsidP="00DB6888">
      <w:pPr>
        <w:pStyle w:val="ListParagraph"/>
        <w:widowControl w:val="0"/>
        <w:numPr>
          <w:ilvl w:val="0"/>
          <w:numId w:val="90"/>
        </w:numPr>
        <w:tabs>
          <w:tab w:val="left" w:pos="462"/>
        </w:tabs>
        <w:autoSpaceDE w:val="0"/>
        <w:autoSpaceDN w:val="0"/>
        <w:spacing w:before="1" w:line="276" w:lineRule="auto"/>
        <w:jc w:val="both"/>
      </w:pPr>
      <w:r w:rsidRPr="00E6582A">
        <w:t>a hitelintézet vagy pénzügyi intézmény belső ellenőrzési keretrendszere hiányos, ami hatással van a hitelintézet vagy a pénzügyi intézmény fennmaradó kockázati besorolására; vagy</w:t>
      </w:r>
    </w:p>
    <w:p w14:paraId="6C7DA090" w14:textId="3DABB0B8" w:rsidR="0075562E" w:rsidRPr="00E6582A" w:rsidRDefault="0075562E" w:rsidP="00DB6888">
      <w:pPr>
        <w:pStyle w:val="ListParagraph"/>
        <w:widowControl w:val="0"/>
        <w:numPr>
          <w:ilvl w:val="0"/>
          <w:numId w:val="90"/>
        </w:numPr>
        <w:tabs>
          <w:tab w:val="left" w:pos="462"/>
        </w:tabs>
        <w:autoSpaceDE w:val="0"/>
        <w:autoSpaceDN w:val="0"/>
        <w:spacing w:before="1" w:line="276" w:lineRule="auto"/>
        <w:jc w:val="both"/>
      </w:pPr>
      <w:r w:rsidRPr="00E6582A">
        <w:t>a hitelintézet vagy a pénzügyi intézmény jelentős változásokat vezetett be termékeiben vagy szolgáltatásaiban, vagy ezeket a változásokat a szállítási csatornákban, az ügyfélkörben vagy különböző földrajzi területei</w:t>
      </w:r>
      <w:r>
        <w:t>ben</w:t>
      </w:r>
      <w:r w:rsidRPr="00E6582A">
        <w:t xml:space="preserve"> bekövetkezett változásokkal kombinálta</w:t>
      </w:r>
      <w:r>
        <w:t xml:space="preserve">, ahol </w:t>
      </w:r>
      <w:r w:rsidRPr="00E6582A">
        <w:t>a szolgáltatások</w:t>
      </w:r>
      <w:r>
        <w:t>at</w:t>
      </w:r>
      <w:r w:rsidRPr="00E6582A">
        <w:t xml:space="preserve"> vagy termékek nyúj</w:t>
      </w:r>
      <w:r>
        <w:t>tja</w:t>
      </w:r>
    </w:p>
    <w:p w14:paraId="2FECF8E1" w14:textId="77777777" w:rsidR="0075562E" w:rsidRDefault="0075562E" w:rsidP="0075562E">
      <w:pPr>
        <w:tabs>
          <w:tab w:val="left" w:pos="462"/>
        </w:tabs>
        <w:spacing w:line="276" w:lineRule="auto"/>
        <w:ind w:left="462"/>
        <w:jc w:val="both"/>
      </w:pPr>
      <w:r w:rsidRPr="00E6582A">
        <w:t>E pontok értékelésekor az illetékes hatóságoknak figyelembe kell venniük a prudenciális keretek alapján végzett alkalmassági értékeléseket, különösen adott esetben a vezető testület tagjainak és a belső</w:t>
      </w:r>
      <w:r>
        <w:t xml:space="preserve"> </w:t>
      </w:r>
      <w:r w:rsidRPr="00E6582A">
        <w:t>kontroll-funkciók vezetőinek alkalmasságára vonatkozó értékeléseket, beleértve az ESMA és az EBH alkalmasságára és megfelelőségére vonatkozó közös iránymutatások, valamint a belső irányításról szóló</w:t>
      </w:r>
      <w:r w:rsidRPr="00E6582A">
        <w:rPr>
          <w:rStyle w:val="FootnoteReference"/>
        </w:rPr>
        <w:footnoteReference w:id="5"/>
      </w:r>
      <w:r w:rsidRPr="00E6582A">
        <w:t xml:space="preserve"> EBH-iránymutatások alapján végzett értékeléseket is</w:t>
      </w:r>
      <w:r w:rsidRPr="00E6582A">
        <w:rPr>
          <w:rStyle w:val="FootnoteReference"/>
        </w:rPr>
        <w:footnoteReference w:id="6"/>
      </w:r>
      <w:r w:rsidRPr="00E6582A">
        <w:t>.</w:t>
      </w:r>
    </w:p>
    <w:p w14:paraId="23CA30D5" w14:textId="1D7FFE7D" w:rsidR="00F339A7" w:rsidRDefault="0075562E" w:rsidP="0075562E">
      <w:pPr>
        <w:tabs>
          <w:tab w:val="left" w:pos="462"/>
        </w:tabs>
        <w:spacing w:line="276" w:lineRule="auto"/>
        <w:ind w:left="462"/>
        <w:jc w:val="both"/>
      </w:pPr>
      <w:r w:rsidRPr="00E6582A">
        <w:t>Kriptoeszköz-szolgáltatók esetében az illetékes hatóságoknak mérlegelniük kell a befektetési vállalkozások</w:t>
      </w:r>
      <w:r>
        <w:t>nak a</w:t>
      </w:r>
      <w:r w:rsidRPr="00E6582A">
        <w:t xml:space="preserve"> belső irányításáról szóló EBH-iránymutatások II. címének 1., 2., 3. és 5. </w:t>
      </w:r>
      <w:r w:rsidRPr="00E6582A">
        <w:lastRenderedPageBreak/>
        <w:t>szakaszának, III. címe 6. szakaszának, IV. címének 8. és 9. szakaszának, valamint V. címének alkalmazását</w:t>
      </w:r>
      <w:r w:rsidRPr="00B32859">
        <w:t xml:space="preserve"> </w:t>
      </w:r>
      <w:r>
        <w:t xml:space="preserve">a </w:t>
      </w:r>
      <w:r w:rsidRPr="00E6582A">
        <w:t>pénzmosás és</w:t>
      </w:r>
      <w:r w:rsidRPr="00E6582A">
        <w:rPr>
          <w:rStyle w:val="FootnoteReference"/>
        </w:rPr>
        <w:footnoteReference w:id="7"/>
      </w:r>
      <w:r w:rsidRPr="00E6582A">
        <w:t xml:space="preserve"> terrorizmusfinanszírozás elleni küzdel</w:t>
      </w:r>
      <w:r>
        <w:t>em céljából</w:t>
      </w:r>
      <w:r w:rsidRPr="00E6582A">
        <w:t>.</w:t>
      </w:r>
      <w:r w:rsidRPr="00E6582A">
        <w:rPr>
          <w:rStyle w:val="FootnoteReference"/>
        </w:rPr>
        <w:footnoteReference w:id="8"/>
      </w:r>
    </w:p>
    <w:p w14:paraId="5252C598" w14:textId="6A0F1A33" w:rsidR="00A132DF" w:rsidRPr="004B61B0" w:rsidRDefault="00A132DF" w:rsidP="00A132DF">
      <w:pPr>
        <w:widowControl w:val="0"/>
        <w:tabs>
          <w:tab w:val="left" w:pos="1802"/>
        </w:tabs>
        <w:spacing w:before="100" w:after="60" w:line="276" w:lineRule="auto"/>
        <w:ind w:right="232"/>
        <w:jc w:val="both"/>
      </w:pPr>
      <w:r>
        <w:rPr>
          <w:rFonts w:ascii="Wingdings" w:eastAsia="Wingdings" w:hAnsi="Wingdings" w:cs="Wingdings"/>
          <w:color w:val="E98E31" w:themeColor="background2"/>
          <w:lang w:val="en-US"/>
        </w:rPr>
        <w:t>Ú</w:t>
      </w:r>
      <w:r>
        <w:rPr>
          <w:color w:val="E98E31" w:themeColor="background2"/>
          <w:spacing w:val="-1"/>
          <w:lang w:val="en-US"/>
        </w:rPr>
        <w:t>O</w:t>
      </w:r>
    </w:p>
    <w:p w14:paraId="1EC02D47" w14:textId="4E1DB08A" w:rsidR="0010112A" w:rsidRPr="004B61B0" w:rsidRDefault="0010112A" w:rsidP="00D173E4">
      <w:pPr>
        <w:pStyle w:val="Numberedtitlelevel3"/>
        <w:ind w:left="828" w:hanging="431"/>
      </w:pPr>
      <w:r w:rsidRPr="004B61B0">
        <w:t>Együttműködés</w:t>
      </w:r>
    </w:p>
    <w:p w14:paraId="4D95C4B9" w14:textId="606CF78F" w:rsidR="0010112A" w:rsidRDefault="0010112A" w:rsidP="00EC596C">
      <w:pPr>
        <w:pStyle w:val="body"/>
        <w:numPr>
          <w:ilvl w:val="0"/>
          <w:numId w:val="10"/>
        </w:numPr>
      </w:pPr>
      <w:r w:rsidRPr="004B61B0">
        <w:t>Az illetékes hatóságoknak együtt kell működniük egymással és más érdekelt felekkel, köztük a prudenciális felügyeletekkel, a pénzügyi információs egységekkel, az adóhatóságokkal, a bűnüldöző hatóságokkal, az igazságügyi hatóságokkal és a harmadik országok AML/CFT felügyeletével, és minden vonatkozó információt ki kell cserélniük egymással, hogy biztosítsák az értékelési alanyok hatékony AML/CFT felügyeletét. Minden releváns információt haladéktalanul ki kell cserélni. Amennyiben az értékelési alanyok határokon átnyúló jelleggel működnek, az ilyen együttműködésnek ki kell kiterjednie más tagállamok illetékes hatóságaira, és adott esetben harmadik országok illetékes hatóságaira.</w:t>
      </w:r>
    </w:p>
    <w:p w14:paraId="4F620B68" w14:textId="43EDBFBC" w:rsidR="00A132DF" w:rsidRPr="004B61B0"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C1</w:t>
      </w:r>
    </w:p>
    <w:p w14:paraId="05A8D570" w14:textId="6E8C7BFA" w:rsidR="0010112A" w:rsidRDefault="0075562E" w:rsidP="00EC596C">
      <w:pPr>
        <w:pStyle w:val="body"/>
        <w:numPr>
          <w:ilvl w:val="0"/>
          <w:numId w:val="10"/>
        </w:numPr>
      </w:pPr>
      <w:r>
        <w:t>A hatékony együttműködés és információcsere érdekében az illetékes hatóságoknak alkalmazniuk kell a rendelkezésükre álló valamennyi együttműködési és koordinációs intézkedést és eszközt, beleértve azokat is, amelyeket az illetékes hatóságoknak az (EU) 2015/849 irányelvvel összhangban kellett bevezetniük. Az illetékes hatóságoknak biztosítaniuk kell ezen intézkedések és eszközök megbízhatóságát és folyamatosságát, minimálisra csökkentve ezzel az esetleges információhiány kockázatát. Az illetékes hatóságoknak hivatkozniuk kell különösen az EFH-k az (EU) 2015/849 irányelv alkalmazásában a hitel- és pénzügyi intézmények felügyeletét ellátó illetékes hatóságok közötti együttműködésről és információcseréről szóló közös iránymutatásaira,</w:t>
      </w:r>
      <w:r>
        <w:rPr>
          <w:rStyle w:val="FootnoteReference"/>
        </w:rPr>
        <w:footnoteReference w:id="9"/>
      </w:r>
      <w:r>
        <w:t xml:space="preserve"> az EBH iránymutatásaira a prudenciális és AML/CFT-felügyeletek és a pénzügyi információs egységek közötti együttműködésről és tájékoztatásról az (EU) </w:t>
      </w:r>
      <w:r w:rsidRPr="0075562E">
        <w:rPr>
          <w:bCs/>
        </w:rPr>
        <w:t>2013/36</w:t>
      </w:r>
      <w:r w:rsidRPr="004A0A12">
        <w:rPr>
          <w:rStyle w:val="FootnoteReference"/>
          <w:b/>
          <w:bCs/>
        </w:rPr>
        <w:footnoteReference w:id="10"/>
      </w:r>
      <w:r>
        <w:t xml:space="preserve"> irányelv alapján, valamint az Európai Központi Bank és az illetékes nemzeti hatóságok közötti, az (EU) 2015/849 irányelv 57a. cikke (2) bekezdésének b) pontja szerinti többoldalú megállapodásra.</w:t>
      </w:r>
      <w:r>
        <w:rPr>
          <w:rStyle w:val="FootnoteReference"/>
          <w:spacing w:val="-2"/>
        </w:rPr>
        <w:footnoteReference w:id="11"/>
      </w:r>
    </w:p>
    <w:p w14:paraId="1E7D2979" w14:textId="6D2248B7" w:rsidR="00A132DF" w:rsidRPr="004B61B0"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A1</w:t>
      </w:r>
    </w:p>
    <w:p w14:paraId="3910D034" w14:textId="30CD0015" w:rsidR="0010112A" w:rsidRDefault="0075562E" w:rsidP="00EC596C">
      <w:pPr>
        <w:pStyle w:val="body"/>
        <w:numPr>
          <w:ilvl w:val="0"/>
          <w:numId w:val="10"/>
        </w:numPr>
      </w:pPr>
      <w:r w:rsidRPr="00E6582A">
        <w:t xml:space="preserve">Az illetékes hatóságoknak mérlegelniük kell a más érdekelt felekkel való együttműködés és információcsere célját, és ennek alapján kell meghatározniuk az együttműködés leghatékonyabb módját, mivel nem biztos, hogy ugyanaz a megközelítés minden körülmények </w:t>
      </w:r>
      <w:r w:rsidRPr="00E6582A">
        <w:lastRenderedPageBreak/>
        <w:t xml:space="preserve">között megfelelő. Az illetékes hatóságoknak mindenekelőtt biztosítaniuk kell, hogy hatékonyan együttműködjenek azokkal a hatóságokkal, amelyek ugyanannak az értékelési </w:t>
      </w:r>
      <w:r>
        <w:t xml:space="preserve">alanynak </w:t>
      </w:r>
      <w:r w:rsidRPr="00E6582A">
        <w:t>a magatartásáért és prudenciális felügyeletéért felelősek.</w:t>
      </w:r>
    </w:p>
    <w:p w14:paraId="4388F0A2" w14:textId="14B7B48A"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4B61B0" w:rsidRDefault="0010112A" w:rsidP="00EC596C">
      <w:pPr>
        <w:pStyle w:val="body"/>
        <w:numPr>
          <w:ilvl w:val="0"/>
          <w:numId w:val="10"/>
        </w:numPr>
      </w:pPr>
      <w:r w:rsidRPr="004B61B0">
        <w:t>A más érdekelt felekkel – köztük a bűnüldöző hatóságokkal, adóhatóságokkal és egyéb szervekkel vagy ügynökségekkel – való együttműködés és információcsere során az illetékes hatóságoknak a nemzeti jog által lehetővé tett keretek között kell eljárniuk. Az illetékes hatóságoknak törekedniük kell arra, hogy információcserét folytassanak a helyi adóhatóságokkal a különböző adóbűncselekményekről és mechanizmusokról, ami segítheti az illetékes hatóságot abban, hogy felmérje az ezekből eredően az értékelési alanyokat vagy szektorokat érintő pénzmosási kockázatokat. Az illetékes hatóságok információt cserélhetnek az e területre vonatkozó lehetséges megelőző intézkedésekről is.</w:t>
      </w:r>
    </w:p>
    <w:p w14:paraId="27562A58" w14:textId="1C6D0BBC" w:rsidR="00905139" w:rsidRPr="004B61B0" w:rsidRDefault="00CE14AE" w:rsidP="00BF2FD9">
      <w:pPr>
        <w:pStyle w:val="Numberedtitlelevel2"/>
      </w:pPr>
      <w:r w:rsidRPr="004B61B0">
        <w:t>1. lépés – Az ML/TF kockázati tényezők beazonosítása</w:t>
      </w:r>
    </w:p>
    <w:p w14:paraId="2FA33927" w14:textId="77777777" w:rsidR="00905139" w:rsidRPr="004B61B0" w:rsidRDefault="00905139" w:rsidP="00037139">
      <w:pPr>
        <w:pStyle w:val="Numberedtitlelevel3"/>
      </w:pPr>
      <w:r w:rsidRPr="004B61B0">
        <w:t>Általános szempontok</w:t>
      </w:r>
    </w:p>
    <w:p w14:paraId="32F13CCB" w14:textId="6F611C31" w:rsidR="00C3237B" w:rsidRPr="004B61B0" w:rsidRDefault="00905139" w:rsidP="00EC596C">
      <w:pPr>
        <w:pStyle w:val="body"/>
        <w:numPr>
          <w:ilvl w:val="0"/>
          <w:numId w:val="10"/>
        </w:numPr>
      </w:pPr>
      <w:r w:rsidRPr="004B61B0">
        <w:t>Az illetékes hatóságoknak azonosítaniuk kell és meg kell ismerniük azokat a kockázati tényezőket, amelyek befolyásolják az egyes szektorok és az értékelési alanyok ML/TF kockázatoknak való kitettségét. Ebből a célból az illetékes hatóságoknak a 4.2.2. iránymutatásban meghatározott különböző információforrásokat kell felhasználniuk, valamint a 4.1.4. és 4.4.9. iránymutatásban meghatározottak szerint aktívan együtt kell működniük a szektorral és adott esetben más illetékes hatóságokkal.</w:t>
      </w:r>
    </w:p>
    <w:p w14:paraId="23F6E6A1" w14:textId="327268B1" w:rsidR="00CE14AE" w:rsidRPr="004B61B0" w:rsidRDefault="00905139" w:rsidP="00EC596C">
      <w:pPr>
        <w:pStyle w:val="body"/>
        <w:numPr>
          <w:ilvl w:val="0"/>
          <w:numId w:val="10"/>
        </w:numPr>
      </w:pPr>
      <w:r w:rsidRPr="004B61B0">
        <w:t>Az ML/TF kockázati tényezők azonosítása során az illetékes hatóságoknak az ügyfél-átvilágításról, valamint a hitelintézetek és a pénzügyi intézmények által az egyedi üzleti kapcsolatokhoz és az ügyleti megbízásokhoz kapcsolódó pénzmosási és terrorizmusfinanszírozási kockázat értékelése során figyelembe veendő tényezőkről szóló, az (EU) 2015/849 irányelv 17. cikke és 18. cikkének (4) bekezdése szerint EBH-iránymutatásokra</w:t>
      </w:r>
      <w:r w:rsidR="00667482" w:rsidRPr="004B61B0">
        <w:rPr>
          <w:rStyle w:val="FootnoteReference"/>
          <w:lang w:val="en-GB"/>
        </w:rPr>
        <w:footnoteReference w:id="12"/>
      </w:r>
      <w:r w:rsidRPr="004B61B0">
        <w:t xml:space="preserve"> kell támaszkodniuk.</w:t>
      </w:r>
    </w:p>
    <w:p w14:paraId="51FA6C27" w14:textId="240C47F3" w:rsidR="00905139" w:rsidRPr="004B61B0" w:rsidRDefault="00905139" w:rsidP="00EC596C">
      <w:pPr>
        <w:pStyle w:val="body"/>
        <w:numPr>
          <w:ilvl w:val="0"/>
          <w:numId w:val="10"/>
        </w:numPr>
      </w:pPr>
      <w:r w:rsidRPr="004B61B0">
        <w:t>Amennyiben az értékelési alany klaszter, az illetékes hatóságoknak a releváns kockázatokat a 44. és 45. bekezdés alapján úgy kell megállapítaniuk, hogy azok az egész klasztert jellemezzék. Ez biztosítja az illetékes hatóságok számára, hogy igazolni tudják az egész klaszterre érvényes kockázati profilra vonatkozó határozataikat. Az illetékes hatóságoknak figyelembe kell venniük továbbá a korábbi felügyeleti intézkedések eredményeit az adott klaszterben szereplő értékelési alanyok vonatkozásában.</w:t>
      </w:r>
    </w:p>
    <w:p w14:paraId="0F1400D1" w14:textId="77777777" w:rsidR="005A2C8E" w:rsidRPr="004B61B0" w:rsidRDefault="005A2C8E" w:rsidP="00EC596C">
      <w:pPr>
        <w:pStyle w:val="body"/>
        <w:numPr>
          <w:ilvl w:val="0"/>
          <w:numId w:val="10"/>
        </w:numPr>
      </w:pPr>
      <w:r w:rsidRPr="004B61B0">
        <w:t xml:space="preserve">Amennyiben valamely értékelési alanyt egy tagállamon belül több illetékes hatóság felügyel, ezeknek az illetékes hatóságoknak együtt kell működniük és információt kell cserélniük az adott </w:t>
      </w:r>
      <w:r w:rsidRPr="004B61B0">
        <w:lastRenderedPageBreak/>
        <w:t>értékelési alanyról annak érdekében, hogy közös képet alkossanak annak kockázati kitettségéről.</w:t>
      </w:r>
    </w:p>
    <w:p w14:paraId="0D7013F1" w14:textId="6257C6E6" w:rsidR="005A2C8E" w:rsidRPr="004B61B0" w:rsidRDefault="005A2C8E" w:rsidP="00EC596C">
      <w:pPr>
        <w:pStyle w:val="body"/>
        <w:numPr>
          <w:ilvl w:val="0"/>
          <w:numId w:val="10"/>
        </w:numPr>
      </w:pPr>
      <w:r w:rsidRPr="004B61B0">
        <w:t>Az illetékes hatóságok által a kockázati tényezők és a kockázatmérséklő tényezők azonosítása érdekében kért információk terjedelmének és típusának arányosnak kell lennie az értékelési alany üzleti tevékenységének jellegével és nagyságával, amennyiben az ismert. Figyelembe kell venni továbbá az értékelési alanyok kockázati profilját, amelyet a korábbi kockázatértékelések során azonosítottak be, valamint adott esetben azt a kontextust, amelyben az értékelési alany tevékenykedik, pl. annak a szektornak a természetét, amelyhez az értékelési alany tartozik. Az illetékes hatóságoknak fontolóra kell venniük a következők meghatározását:</w:t>
      </w:r>
    </w:p>
    <w:p w14:paraId="1FB9B901" w14:textId="5C7645B0" w:rsidR="005A2C8E" w:rsidRPr="004B61B0"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4B61B0">
        <w:t xml:space="preserve"> milyen információkat kérnek minden esetben az értékelési alanyok tekintetében, és az összehasonlítható értékelési alanyok esetében hasonló információkat kell kérniük;</w:t>
      </w:r>
    </w:p>
    <w:p w14:paraId="32FB1489" w14:textId="77777777" w:rsidR="005A2C8E" w:rsidRPr="004B61B0"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4B61B0">
        <w:t xml:space="preserve">honnan és hogyan szerzik be ezeket az információkat; és </w:t>
      </w:r>
    </w:p>
    <w:p w14:paraId="654F95F2" w14:textId="3D7ECEA2" w:rsidR="005A2C8E" w:rsidRPr="004B61B0"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4B61B0">
        <w:t>milyen típusú információk alapján indítanak el szélesebb körű és részletesebb információkérést.</w:t>
      </w:r>
    </w:p>
    <w:p w14:paraId="39385E60" w14:textId="40D45A61" w:rsidR="00905139" w:rsidRPr="004B61B0" w:rsidRDefault="00BA6CE8" w:rsidP="001C2168">
      <w:pPr>
        <w:pStyle w:val="Numberedtitlelevel3"/>
      </w:pPr>
      <w:r>
        <w:t>I</w:t>
      </w:r>
      <w:r w:rsidR="00905139" w:rsidRPr="004B61B0">
        <w:t>nformáció</w:t>
      </w:r>
      <w:r>
        <w:t>s</w:t>
      </w:r>
      <w:r w:rsidR="00905139" w:rsidRPr="004B61B0">
        <w:t xml:space="preserve"> forrás</w:t>
      </w:r>
      <w:r>
        <w:t>ok</w:t>
      </w:r>
    </w:p>
    <w:p w14:paraId="42894D36" w14:textId="2FEFA2FE" w:rsidR="00905139" w:rsidRPr="004B61B0" w:rsidRDefault="00905139" w:rsidP="00EC596C">
      <w:pPr>
        <w:pStyle w:val="body"/>
        <w:numPr>
          <w:ilvl w:val="0"/>
          <w:numId w:val="10"/>
        </w:numPr>
      </w:pPr>
      <w:r w:rsidRPr="004B61B0">
        <w:t>Az illetékes hatóságoknak többféle forrásból származó információk alapján kell azonosítaniuk a szektorok, adott esetben az alszektorok és az értékelési alanyok tekintetében a kockázati tényezőket. Az illetékes hatóságoknak az ilyen források típusát és számát kockázati érzékenység alapján kell meghatározniuk. Az illetékes hatóságok biztosítják, hogy hozzáférjenek a megfelelő információforrásokhoz és amennyiben szükséges, lépéseket kell tenniük ezek javítása érdekében. Az illetékes hatóságoknak arról is gondoskodniuk kell, hogy bevezessék a szükséges adatok összegyűjtésére szolgáló folyamatokat és eljárásokat.</w:t>
      </w:r>
    </w:p>
    <w:p w14:paraId="2863DD45" w14:textId="6695D4BE" w:rsidR="00905139" w:rsidRDefault="00905139" w:rsidP="00EC596C">
      <w:pPr>
        <w:pStyle w:val="body"/>
        <w:numPr>
          <w:ilvl w:val="0"/>
          <w:numId w:val="10"/>
        </w:numPr>
      </w:pPr>
      <w:r w:rsidRPr="004B61B0">
        <w:t>Az illetékes hatóságok részéről mindig figyelembe veendő információforrások többek között az alábbiak:</w:t>
      </w:r>
    </w:p>
    <w:p w14:paraId="1D0F6939" w14:textId="073159D2" w:rsidR="00A132DF" w:rsidRPr="004B61B0"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4B61B0" w:rsidRDefault="007367E7" w:rsidP="00DB6888">
      <w:pPr>
        <w:pStyle w:val="Style1"/>
        <w:numPr>
          <w:ilvl w:val="1"/>
          <w:numId w:val="91"/>
        </w:numPr>
      </w:pPr>
      <w:r w:rsidRPr="004B61B0">
        <w:t>az Európai Bizottság által az (EU) 2015/849 irányelv 6. cikkének (1) bekezdésével összhangban közzétett szupranacionális szintű kockázatértékelés;</w:t>
      </w:r>
    </w:p>
    <w:p w14:paraId="364236FB" w14:textId="4A96C5A6" w:rsidR="00905139" w:rsidRPr="004B61B0"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4B61B0">
        <w:t>az Unió pénzügyi szektorát érintő ML/TF kockázatról szóló, az (EU) 2015/849 irányelv 6. cikkének (5) bekezdésével összhangban közzétett EBH-vélemény;</w:t>
      </w:r>
    </w:p>
    <w:p w14:paraId="25441433" w14:textId="1529563C" w:rsidR="00905139" w:rsidRPr="004B61B0"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4B61B0">
        <w:t>az érintett tagállam és a többi tagállam (EU) 2015/849 irányelv 7. cikkének (1) bekezdésében említett nemzeti kockázatértékelése;</w:t>
      </w:r>
    </w:p>
    <w:p w14:paraId="3FC7BA46" w14:textId="6DDE08F8" w:rsidR="00905139" w:rsidRPr="004B61B0"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az Európai Bizottság részéről a 2015/849/EU irányelv 9. cikkének (2) bekezdése alapján elfogadott felhatalmazáson alapuló jogi aktusok;</w:t>
      </w:r>
    </w:p>
    <w:p w14:paraId="6C41EFC9" w14:textId="77777777" w:rsidR="00905139" w:rsidRPr="004B61B0"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4B61B0">
        <w:t>nemzeti és külföldi kormányok;</w:t>
      </w:r>
    </w:p>
    <w:p w14:paraId="3898E27D" w14:textId="7A0B15BD" w:rsidR="00905139" w:rsidRPr="004B61B0"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az EBH által végzett, az 1093/2010/EU rendelet 9a. cikkében említett kockázatértékelések eredményei;</w:t>
      </w:r>
    </w:p>
    <w:p w14:paraId="5C35A19C" w14:textId="164DF969" w:rsidR="00905139" w:rsidRPr="004B61B0"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lastRenderedPageBreak/>
        <w:t>más illetékes hatóságok;</w:t>
      </w:r>
    </w:p>
    <w:p w14:paraId="1085D376" w14:textId="4865ED76" w:rsidR="00905139" w:rsidRPr="004B61B0"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harmadik országok AML/CFT felügyeleti hatóságai;</w:t>
      </w:r>
    </w:p>
    <w:p w14:paraId="790E1E05" w14:textId="0953AA2D" w:rsidR="00905139" w:rsidRPr="004B61B0"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az értékelési alanyok prudenciális követelményeknek való megfelelésének felügyeletéért felelős felügyeleti hatóságok, beleértve az 1093/2010/EU rendelet 4. cikke 2. pontjának i. és viii. alpontjában, az 1094/2010/EU rendelet 4. cikke 2. pontjának i. alpontjában és az 1095/2010/EU rendelet 4. cikke 3. pontjának i. alpontjában meghatározott illetékes hatóságokat;</w:t>
      </w:r>
    </w:p>
    <w:p w14:paraId="2DA2A2F3" w14:textId="59CA372A" w:rsidR="00905139" w:rsidRPr="004B61B0"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a pénzügyi információs egységek (FIU-k);</w:t>
      </w:r>
    </w:p>
    <w:p w14:paraId="535204F1" w14:textId="3DB31E00" w:rsidR="00905139" w:rsidRPr="004B61B0"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a bűnüldöző hatóságok, amennyiben az alkalmazandó jog ezt nem zárja ki;</w:t>
      </w:r>
    </w:p>
    <w:p w14:paraId="0C946207" w14:textId="16909170" w:rsidR="007E0FF1" w:rsidRPr="004B61B0"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4B61B0">
        <w:t>az adóhatóságok, amennyiben az alkalmazandó jog ezt nem zárja ki; és</w:t>
      </w:r>
    </w:p>
    <w:p w14:paraId="33815D2B" w14:textId="6182DACF" w:rsidR="007E0FF1" w:rsidRPr="004B61B0" w:rsidRDefault="007E0FF1" w:rsidP="00592AFF">
      <w:pPr>
        <w:pStyle w:val="Style1"/>
      </w:pPr>
      <w:r w:rsidRPr="004B61B0">
        <w:t>a hitelintézetek és pénzügyi intézmények felügyeletéért felelős illetékes hatóságok között az (EU) 2015/849 irányelv alkalmazásában történő együttműködésről és információcseréről szóló, európai felügyeleti hatósági közös iránymutatások (a pénzmosás és terrorizmusfinanszírozás elleni küzdelemmel foglalkozó kollégiumoknak készült iránymutatások)</w:t>
      </w:r>
      <w:r w:rsidR="002F75CA" w:rsidRPr="004B61B0">
        <w:rPr>
          <w:rStyle w:val="FootnoteReference"/>
          <w:rFonts w:cstheme="minorHAnsi"/>
        </w:rPr>
        <w:footnoteReference w:id="13"/>
      </w:r>
      <w:r w:rsidRPr="004B61B0">
        <w:t xml:space="preserve"> szerint létrehozott AML/CFT kollégiumok, amennyiben létrehozták e kollégiumokat.</w:t>
      </w:r>
    </w:p>
    <w:p w14:paraId="10A9C0A6" w14:textId="5A6F05E5" w:rsidR="00A132DF"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04DFFE0F" w14:textId="6533D61B" w:rsidR="00905139" w:rsidRPr="004B61B0" w:rsidRDefault="00905139" w:rsidP="00EC596C">
      <w:pPr>
        <w:pStyle w:val="body"/>
        <w:numPr>
          <w:ilvl w:val="0"/>
          <w:numId w:val="10"/>
        </w:numPr>
      </w:pPr>
      <w:r w:rsidRPr="004B61B0">
        <w:t>Az illetékes hatóságok részéről úgyszintén figyelembe veendő egyéb információforrások többek között az alábbiak:</w:t>
      </w:r>
    </w:p>
    <w:p w14:paraId="20224B36" w14:textId="0C895CE7" w:rsidR="009303F2" w:rsidRPr="004B61B0"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az 1093/2010/EU rendelet 9a. cikkének (1) és (3) bekezdésében említett központi AML/CFT EBH-adatbázis, ha az információt az illetékes hatóság rendelkezésére bocsátják;</w:t>
      </w:r>
    </w:p>
    <w:p w14:paraId="5EAC0E36" w14:textId="1B92B461" w:rsidR="004E2EBB" w:rsidRPr="004B61B0"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az (EU) 2019/878 irányelv 51. vagy 116. cikkével és a felügyeleti kollégiumok operatív működéséről szóló, 2015. október 16-i (EU) 2016/99 bizottsági végrehajtási rendelettel, valamint a felügyeleti kollégiumok működésére vonatkozó általános feltételekről szóló, 2015. október 16-i (EU) 2016/98 felhatalmazáson alapuló bizottsági rendelettel összhangban létrehozott prudenciális felügyeleti kollégiumok, amennyiben azokat létrehozták;</w:t>
      </w:r>
    </w:p>
    <w:p w14:paraId="09AA2548" w14:textId="5F73D257" w:rsidR="00905139" w:rsidRPr="004B61B0"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iparági szervek, beleértve a köz- és magánszféra közötti partnerségek részeként gyűjtött információkat, amennyiben rendelkezésre állnak, így például az újonnan megjelenő kockázatokra vonatkozó tipológiákat és információkat;</w:t>
      </w:r>
    </w:p>
    <w:p w14:paraId="5F64F1B4" w14:textId="77777777" w:rsidR="00905139" w:rsidRPr="004B61B0"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a civil társadalom, például korrupcióérzékelési indexek;</w:t>
      </w:r>
    </w:p>
    <w:p w14:paraId="3E996939" w14:textId="661EA090" w:rsidR="00905139" w:rsidRPr="004B61B0"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nemzetközi vagy szupranacionális szabványügyi testületek, például az államok AML/CFT, korrupció ellenes és adózási rendszerrel kapcsolatos kölcsönös értékelései;</w:t>
      </w:r>
    </w:p>
    <w:p w14:paraId="79288A81" w14:textId="397F76D7" w:rsidR="00A60C9C" w:rsidRPr="004B61B0"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lastRenderedPageBreak/>
        <w:t>hiteles és megbízható, nyílt forrásokból származó információk, például neves napilapokban megjelent beszámolók;</w:t>
      </w:r>
    </w:p>
    <w:p w14:paraId="5C534D14" w14:textId="77777777" w:rsidR="00905139" w:rsidRPr="004B61B0"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jó hírű kereskedelmi szervezetek, például kockázati és hírszerzési jelentések;</w:t>
      </w:r>
    </w:p>
    <w:p w14:paraId="02C0CD17" w14:textId="0CBDB90D" w:rsidR="00905139" w:rsidRPr="004B61B0"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közérdekű bejelentések;</w:t>
      </w:r>
    </w:p>
    <w:p w14:paraId="39889025" w14:textId="40029E69" w:rsidR="00905139" w:rsidRPr="004B61B0"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tudományos intézményektől származó információk; valamint</w:t>
      </w:r>
    </w:p>
    <w:p w14:paraId="470EBC67" w14:textId="704203AC"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4B61B0">
        <w:t>az értékelési alanyra vonatkozó külső könyvvizsgálói jelentések, amennyiben rendelkezésre állnak.</w:t>
      </w:r>
    </w:p>
    <w:p w14:paraId="2F93C363" w14:textId="0EA5A21D" w:rsidR="00A132DF" w:rsidRDefault="00A132DF" w:rsidP="00A132DF">
      <w:pPr>
        <w:widowControl w:val="0"/>
        <w:tabs>
          <w:tab w:val="left" w:pos="941"/>
          <w:tab w:val="left" w:pos="942"/>
        </w:tabs>
        <w:autoSpaceDE w:val="0"/>
        <w:autoSpaceDN w:val="0"/>
        <w:spacing w:before="160" w:line="273" w:lineRule="auto"/>
        <w:ind w:right="222"/>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270F8E28" w14:textId="13D3B746" w:rsidR="00BA6CE8" w:rsidRDefault="00BA6CE8" w:rsidP="00BA6CE8">
      <w:pPr>
        <w:pStyle w:val="ListParagraph"/>
        <w:numPr>
          <w:ilvl w:val="1"/>
          <w:numId w:val="15"/>
        </w:numPr>
        <w:tabs>
          <w:tab w:val="left" w:pos="462"/>
        </w:tabs>
        <w:spacing w:line="276" w:lineRule="auto"/>
        <w:jc w:val="both"/>
      </w:pPr>
      <w:r w:rsidRPr="00E6582A">
        <w:t>egy vagy több fejlett analitikai eszköz elemzésének eredményei; vagy</w:t>
      </w:r>
    </w:p>
    <w:p w14:paraId="55A44768" w14:textId="3D7C76EF" w:rsidR="00BA6CE8" w:rsidRDefault="00BA6CE8" w:rsidP="00BA6CE8">
      <w:pPr>
        <w:pStyle w:val="ListParagraph"/>
        <w:numPr>
          <w:ilvl w:val="1"/>
          <w:numId w:val="15"/>
        </w:numPr>
        <w:tabs>
          <w:tab w:val="left" w:pos="462"/>
        </w:tabs>
        <w:spacing w:line="276" w:lineRule="auto"/>
        <w:jc w:val="both"/>
      </w:pPr>
      <w:r w:rsidRPr="00E6582A">
        <w:t xml:space="preserve">az (EU) 2023/1113 rendelet 8. cikkének (2) bekezdésével, 12. cikkének (2) bekezdésével, 17. cikkének (2) bekezdésével és 21. cikkének (2) bekezdésével összhangban a felelős illetékes hatóságoknak benyújtott, ismétlődően </w:t>
      </w:r>
      <w:r>
        <w:t xml:space="preserve">nem teljesítő </w:t>
      </w:r>
      <w:r w:rsidRPr="00E6582A">
        <w:t>pénzforgalmi szolgáltatókról vagy kriptoeszköz-szolgáltatókról szóló értesítések, amennyiben ezek a szolgáltatók az illetékes hatóság felügyeleti hatáskörébe tartoznak.</w:t>
      </w:r>
    </w:p>
    <w:p w14:paraId="6AEB8537" w14:textId="200D9092"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4B61B0" w:rsidRDefault="00905139" w:rsidP="00BF2FD9">
      <w:pPr>
        <w:pStyle w:val="Numberedtitlelevel3"/>
      </w:pPr>
      <w:r w:rsidRPr="004B61B0">
        <w:t>Nemzeti kockázati tényezők</w:t>
      </w:r>
    </w:p>
    <w:p w14:paraId="1482CE51" w14:textId="77777777" w:rsidR="00B56689" w:rsidRPr="004B61B0" w:rsidRDefault="00905139" w:rsidP="00EC596C">
      <w:pPr>
        <w:pStyle w:val="body"/>
        <w:numPr>
          <w:ilvl w:val="0"/>
          <w:numId w:val="10"/>
        </w:numPr>
      </w:pPr>
      <w:r w:rsidRPr="004B61B0">
        <w:t>Az illetékes hatóságok megfelelő ismerettel, érzékenységgel és tudomással rendelkeznek a nemzeti szinten beazonosított ML/TF kockázatokról annak érdekében, hogy azonosítani tudják az értékelési alanyok belföldi tevékenységeivel kapcsolatos ML/TF kockázatokat.</w:t>
      </w:r>
    </w:p>
    <w:p w14:paraId="7931C5B3" w14:textId="4C79A274" w:rsidR="00905139" w:rsidRPr="004B61B0" w:rsidRDefault="00905139" w:rsidP="00EC596C">
      <w:pPr>
        <w:pStyle w:val="body"/>
        <w:numPr>
          <w:ilvl w:val="0"/>
          <w:numId w:val="10"/>
        </w:numPr>
      </w:pPr>
      <w:r w:rsidRPr="004B61B0">
        <w:t>Ennek részeként, a 30. és 31. bekezdésben meghatározott források alapján a nemzeti hatóságoknak tudomással kell bírniuk egyebek mellett az alábbiakról:</w:t>
      </w:r>
    </w:p>
    <w:p w14:paraId="057A60C9" w14:textId="53FD1812" w:rsidR="00A83B4D" w:rsidRPr="004B61B0"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B61B0">
        <w:t>a belföldön elkövetett alapbűncselekményekhez kapcsolódó pénzmosás típusa, tipológiái és nagyságrendje, beleértve, de nem kizárólagosan az adóbűncselekményeket;</w:t>
      </w:r>
    </w:p>
    <w:p w14:paraId="42DFC321" w14:textId="4E0781C1" w:rsidR="00905139" w:rsidRPr="004B61B0"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B61B0">
        <w:t>a külföldön elkövetett alapbűncselekményekből – többek között, de nem kizárólagosan az adóbűncselekményekből – származó bevételek tisztára mosásának nagyságrendje;</w:t>
      </w:r>
    </w:p>
    <w:p w14:paraId="1D4DA71A" w14:textId="4691B6C5" w:rsidR="00905139" w:rsidRPr="004B61B0"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B61B0">
        <w:t>a terrorizmus finanszírozásának típusa, tipológiái és nagyságrendje, valamint a terrorista tevékenységek és csoportok támogatásának nagyságrendje és szintje az országban;</w:t>
      </w:r>
    </w:p>
    <w:p w14:paraId="47104951" w14:textId="63DBB815" w:rsidR="00905139" w:rsidRPr="004B61B0"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4B61B0">
        <w:t>a FIU és más hatóságok vagy megbízható magánjogi szervezetek által azonosított, releváns ML/TF tipológiák.</w:t>
      </w:r>
    </w:p>
    <w:p w14:paraId="70A0E54C" w14:textId="77777777" w:rsidR="00905139" w:rsidRPr="004B61B0" w:rsidRDefault="00905139" w:rsidP="00BF2FD9">
      <w:pPr>
        <w:pStyle w:val="Numberedtitlelevel3"/>
      </w:pPr>
      <w:r w:rsidRPr="004B61B0">
        <w:t>Külföldi kockázati tényezők</w:t>
      </w:r>
    </w:p>
    <w:p w14:paraId="67897DCE" w14:textId="77777777" w:rsidR="00905139" w:rsidRPr="004B61B0" w:rsidRDefault="00905139" w:rsidP="00EC596C">
      <w:pPr>
        <w:pStyle w:val="body"/>
        <w:numPr>
          <w:ilvl w:val="0"/>
          <w:numId w:val="10"/>
        </w:numPr>
      </w:pPr>
      <w:r w:rsidRPr="004B61B0">
        <w:t xml:space="preserve">Amennyiben egy értékelési alany vagy egy szektor egésze olyan jelentős kapcsolatokat tart fenn más tagállamokkal vagy harmadik országokkal, hogy az értékelési alany vagy a szektor ki van téve ezen országok ML/TF kockázatainak, az illetékes hatóságoknak azonosítaniuk kell ezeket a kockázatokat. Jelentős a kockázat, amennyiben: </w:t>
      </w:r>
    </w:p>
    <w:p w14:paraId="20AC48F1" w14:textId="4882D5FB"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 xml:space="preserve">az értékelési alany jelentős mértékű üzleti kapcsolatot tart fenn más tagállamokból vagy </w:t>
      </w:r>
      <w:r w:rsidRPr="004B61B0">
        <w:lastRenderedPageBreak/>
        <w:t>harmadik országokból származó ügyfelekkel;</w:t>
      </w:r>
    </w:p>
    <w:p w14:paraId="0C76F7C2" w14:textId="77777777" w:rsidR="00FD2DA9" w:rsidRPr="004B61B0"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valamely ügyfelének tényleges tulajdonosa más tagállamból vagy harmadik országból származik;</w:t>
      </w:r>
    </w:p>
    <w:p w14:paraId="4B0B756A" w14:textId="77777777"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jelentős mértékű alkalmi ügyleteket bonyolít le más tagállamokkal vagy harmadik országokkal;</w:t>
      </w:r>
    </w:p>
    <w:p w14:paraId="11A4363B" w14:textId="77777777"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jelentős üzleti kapcsolatot tart fenn más tagállamokban vagy harmadik országban letelepedett felekkel;</w:t>
      </w:r>
    </w:p>
    <w:p w14:paraId="63C13D4A" w14:textId="795932B0"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egy másik tagállamban vagy harmadik országban létrehozott pénzügyi csoport tagja;</w:t>
      </w:r>
    </w:p>
    <w:p w14:paraId="07592125" w14:textId="5F1D765C"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tényleges tulajdonosai másik tagállamban vagy harmadik országban laknak; és</w:t>
      </w:r>
    </w:p>
    <w:p w14:paraId="01593314" w14:textId="77777777"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irányító testülete más tagállamból vagy harmadik országból származó személyekből áll; és</w:t>
      </w:r>
    </w:p>
    <w:p w14:paraId="5609474D" w14:textId="77777777" w:rsidR="00905139" w:rsidRPr="004B61B0"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4B61B0">
        <w:t>az értékelési alany bármilyen egyéb releváns kapcsolatot tart fenn más tagállammal vagy harmadik országgal, amely arra utal, hogy a vállalat ki van téve az adott ország ML/TF kockázatainak.</w:t>
      </w:r>
    </w:p>
    <w:p w14:paraId="3D01484A" w14:textId="15DAEE82" w:rsidR="00905139" w:rsidRPr="004B61B0" w:rsidRDefault="00905139" w:rsidP="00EC596C">
      <w:pPr>
        <w:pStyle w:val="body"/>
        <w:numPr>
          <w:ilvl w:val="0"/>
          <w:numId w:val="10"/>
        </w:numPr>
      </w:pPr>
      <w:r w:rsidRPr="004B61B0">
        <w:t>Az illetékes hatóságoknak észszerű lépéseket kell tenniük, hogy megszerezzék és napra készen tartsák az ezekhez a tagállamokhoz vagy harmadik országokhoz köthető azon ML/TF kockázatokhoz kapcsolódó megfelelő tudást, tudatosságot és ismereteket, amelyek kihatással lehetnek az értékelési alany által végzett tevékenységekre. Ennek érdekében az illetékes hatóságoknak a pénzmosási és terrorizmusfinanszírozási kockázati tényezőkről szóló EBH-iránymutatásokkal</w:t>
      </w:r>
      <w:r w:rsidR="007575AC" w:rsidRPr="004B61B0">
        <w:rPr>
          <w:rStyle w:val="FootnoteReference"/>
          <w:lang w:val="en-GB"/>
        </w:rPr>
        <w:footnoteReference w:id="14"/>
      </w:r>
      <w:r w:rsidRPr="004B61B0">
        <w:t xml:space="preserve"> és a fenti 33. és 34. bekezdésben foglaltakkal összhangban minden tagállam és harmadik ország vonatkozásában azonosítaniuk kell a kockázati tényezőket.</w:t>
      </w:r>
    </w:p>
    <w:p w14:paraId="753F12BA" w14:textId="77777777" w:rsidR="00905139" w:rsidRPr="004B61B0" w:rsidRDefault="00905139" w:rsidP="00EC596C">
      <w:pPr>
        <w:pStyle w:val="body"/>
        <w:numPr>
          <w:ilvl w:val="0"/>
          <w:numId w:val="10"/>
        </w:numPr>
      </w:pPr>
      <w:r w:rsidRPr="004B61B0">
        <w:t>Azon harmadik országok azonosítása során, amelyek nemzeti AML/CFT rendszereiben olyan stratégiai hiányosságok állnak fenn, amelyek jelentős veszélyt jelentenek az Európai Unió pénzügyi rendszerére, az illetékes hatóságoknak tekintetbe kell venniük az Európai Bizottság által a 2015/849/EU irányelv 9. cikkének (2) bekezdése alapján elfogadott, felhatalmazáson alapuló jogi aktusokat és azokat a nyilvános nyilatkozatokat, amelyeket a nemzetközi szabványügyi testületek, például a Pénzügyi Akció Munkacsoport (FATF), az Európai Tanács pénzmosás elleni intézkedések értékelését vizsgáló szakértői bizottsága (Moneyval) vagy egyéb, az FATF-hez hasonló regionális testületek adnak ki.</w:t>
      </w:r>
    </w:p>
    <w:p w14:paraId="0FBE4D3A" w14:textId="77777777" w:rsidR="00905139" w:rsidRPr="004B61B0" w:rsidRDefault="00905139" w:rsidP="00BF2FD9">
      <w:pPr>
        <w:pStyle w:val="Numberedtitlelevel3"/>
      </w:pPr>
      <w:r w:rsidRPr="004B61B0">
        <w:t>Az egész szektorra jellemző ML/TF kockázati tényezők</w:t>
      </w:r>
    </w:p>
    <w:p w14:paraId="38F172DB" w14:textId="39367F90" w:rsidR="00A132DF"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A1</w:t>
      </w:r>
    </w:p>
    <w:p w14:paraId="12A57407" w14:textId="436FF406" w:rsidR="00905139" w:rsidRPr="004B61B0" w:rsidRDefault="00BA6CE8" w:rsidP="00EC596C">
      <w:pPr>
        <w:pStyle w:val="body"/>
        <w:numPr>
          <w:ilvl w:val="0"/>
          <w:numId w:val="10"/>
        </w:numPr>
      </w:pPr>
      <w:r w:rsidRPr="00E6582A">
        <w:lastRenderedPageBreak/>
        <w:t>Az illetékes hatóságoknak alaposan ismerniük kell a felügyeletük alá tartozó valamennyi szektorra vonatkozó kockázati tényezőket. A releváns kockázati tényezők érintett szektorokban való azonosítása érdekében az illetékes hatóságoknak először meg kell határozniuk a felügyeletük alá tartozó szektorokat. A szektorokról alkotott véleményük megalapozása érdekében az illetékes hatóságoknak a kötelezett szolgáltatókat az (EU) 2015/849 irányelv 3. cikkének (1) és (2) bekezdése szerinti hitelintézetek és pénzügyi intézmények fogalommeghatározásában szereplő intézmény</w:t>
      </w:r>
      <w:r>
        <w:t xml:space="preserve">i kategóriákkal </w:t>
      </w:r>
      <w:r w:rsidRPr="00E6582A">
        <w:t>összhangban kell besorolniuk</w:t>
      </w:r>
      <w:r w:rsidR="00905139" w:rsidRPr="004B61B0">
        <w:t>.</w:t>
      </w:r>
    </w:p>
    <w:p w14:paraId="7060EEBB" w14:textId="4FFCD7BD" w:rsidR="00905139" w:rsidRDefault="00BA6CE8" w:rsidP="00EC596C">
      <w:pPr>
        <w:pStyle w:val="body"/>
        <w:numPr>
          <w:ilvl w:val="0"/>
          <w:numId w:val="10"/>
        </w:numPr>
      </w:pPr>
      <w:r w:rsidRPr="00E6582A">
        <w:t xml:space="preserve">A szektor méretétől és a szektoron belüli értékelési </w:t>
      </w:r>
      <w:r>
        <w:t>alanyok</w:t>
      </w:r>
      <w:r w:rsidRPr="00E6582A">
        <w:t xml:space="preserve"> jellegétől függően az illetékes hatóságoknak fontolóra kell venniük a szektorok további alszektorokra való felosztását. Erre akkor lehet szükség, ha egy szektor nagyon különböző értékelési </w:t>
      </w:r>
      <w:r>
        <w:t>alanyok</w:t>
      </w:r>
      <w:r w:rsidRPr="00E6582A">
        <w:t xml:space="preserve">ból áll, mivel az értékelési </w:t>
      </w:r>
      <w:r>
        <w:t>alanyok</w:t>
      </w:r>
      <w:r w:rsidRPr="00E6582A">
        <w:t xml:space="preserve"> jelentős része hasonló jellemzőkkel és üzleti modellekkel rendelkezik, amelyek megkülönböztetik őket a szektor többi részétől. A hasonló jellemzők közé tartozhat többek között a kínált termékek és szolgáltatások típusa, a használt teljesítési csatornák és a kiszolgált ügyfelek típusa. Az alszektorok közé tartoznak például a</w:t>
      </w:r>
      <w:r>
        <w:t xml:space="preserve"> pénzátutalást végző szolgáltatók</w:t>
      </w:r>
      <w:r w:rsidRPr="00E6582A">
        <w:t>, a magánbankok, a brókercégek és a kriptoeszköz-</w:t>
      </w:r>
      <w:r>
        <w:t>váltást végző szolgáltatók</w:t>
      </w:r>
      <w:r w:rsidRPr="00E6582A">
        <w:t>, amelyek a pénzforgalmi intézmények, a hitelintézetek, a befektetési vállalkozások és a kriptoeszköz-szolgáltatók alszektorait képviselik. A szektorokról és alszektorokról, valamint azok sajátosságairól alkotott véleményük megismeréséhez az illetékes hatóságoknak az EBH AML/CFT kockázati tényezőkről szóló iránymutatásának II. címét kell figyelembe venniük</w:t>
      </w:r>
      <w:r>
        <w:t>.</w:t>
      </w:r>
    </w:p>
    <w:p w14:paraId="31ED4674" w14:textId="4F23CE2B"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4B61B0" w:rsidRDefault="00905139" w:rsidP="00EC596C">
      <w:pPr>
        <w:pStyle w:val="body"/>
        <w:numPr>
          <w:ilvl w:val="0"/>
          <w:numId w:val="10"/>
        </w:numPr>
      </w:pPr>
      <w:r w:rsidRPr="004B61B0">
        <w:t>Az illetékes hatóságoknak ismerniük kell az egyes szektorok és alszektorok felépítését és a közös jellemzőkhöz – mint például a kínált termékekhez és szolgáltatásokhoz, a használt teljesítési csatornákhoz és a kiszolgált ügyfelek típusaihoz – köthető kockázatokat. Az illetékes hatóságoknak a szektorbeli és alszektorbeli kockázati tényezők megismerését a következőkre kell alapozniuk:</w:t>
      </w:r>
    </w:p>
    <w:p w14:paraId="6C4F6C3D" w14:textId="5AC0A73E" w:rsidR="00EA4D30" w:rsidRPr="004B61B0"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4B61B0">
        <w:t xml:space="preserve"> az adott szektorba vagy alszektorba tartozó értékelési alanyokkal kapcsolatos valamennyi releváns információ magas szintű áttekintése az ezen iránymutatás 44. és 45. bekezdésében meghatározottak szerint, az egyes szektorok és alszektorok egészén belüli közös jellemzők azonosítása érdekében; és</w:t>
      </w:r>
    </w:p>
    <w:p w14:paraId="3DF84491" w14:textId="2BDCE1F2" w:rsidR="00EA4D30" w:rsidRPr="004B61B0"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4B61B0">
        <w:t xml:space="preserve">a szektorokkal és alszektorokkal kapcsolatos, a jelen iránymutatás 41. bekezdésében meghatározott releváns információk. </w:t>
      </w:r>
    </w:p>
    <w:p w14:paraId="786B316F" w14:textId="53D4D462" w:rsidR="00905139" w:rsidRPr="004B61B0" w:rsidRDefault="00905139" w:rsidP="00BF2FD9">
      <w:pPr>
        <w:pStyle w:val="Numberedtitlelevel3"/>
      </w:pPr>
      <w:r w:rsidRPr="004B61B0">
        <w:t>A kockázati tényezők azonosításához szükséges információk típusai</w:t>
      </w:r>
    </w:p>
    <w:p w14:paraId="43546975" w14:textId="77777777" w:rsidR="00905139" w:rsidRPr="004B61B0" w:rsidRDefault="00905139" w:rsidP="00CE14AE">
      <w:pPr>
        <w:pStyle w:val="Numberedtitlelevel4"/>
      </w:pPr>
      <w:r w:rsidRPr="004B61B0">
        <w:t xml:space="preserve">a szektorokra vonatkozó információk </w:t>
      </w:r>
    </w:p>
    <w:p w14:paraId="185E8A58" w14:textId="2BA915C6" w:rsidR="00905139" w:rsidRDefault="00905139" w:rsidP="00EC596C">
      <w:pPr>
        <w:pStyle w:val="body"/>
        <w:numPr>
          <w:ilvl w:val="0"/>
          <w:numId w:val="10"/>
        </w:numPr>
      </w:pPr>
      <w:r w:rsidRPr="004B61B0">
        <w:t>Az illetékes hatóságoknak elegendő, releváns és megbízható információt kell gyűjteniük a 30. és 31. bekezdésben leírt forrásokból, hogy átfogó képet kapjanak a szektorban és adott esetben az alszektorban eredetileg fennálló kockázati tényezőkről és az e kockázatokat mérséklő tényezőkről.</w:t>
      </w:r>
    </w:p>
    <w:p w14:paraId="10B511B8" w14:textId="71DC5FF8" w:rsidR="00A132DF" w:rsidRPr="004B61B0"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4B61B0" w:rsidRDefault="00905139" w:rsidP="00EC596C">
      <w:pPr>
        <w:pStyle w:val="body"/>
        <w:numPr>
          <w:ilvl w:val="0"/>
          <w:numId w:val="10"/>
        </w:numPr>
      </w:pPr>
      <w:r w:rsidRPr="004B61B0">
        <w:lastRenderedPageBreak/>
        <w:t>a szektorokban és alszektorokban eredetileg fennálló kockázati tényezők megfelelő megértése érdekében az illetékes hatóságoknak többek között a következő információkat kell beszerezniük:</w:t>
      </w:r>
    </w:p>
    <w:p w14:paraId="2FA15498" w14:textId="77777777" w:rsidR="00905139" w:rsidRPr="004B61B0" w:rsidRDefault="00905139" w:rsidP="00DB6888">
      <w:pPr>
        <w:pStyle w:val="ListParagraph"/>
        <w:widowControl w:val="0"/>
        <w:numPr>
          <w:ilvl w:val="1"/>
          <w:numId w:val="92"/>
        </w:numPr>
        <w:tabs>
          <w:tab w:val="left" w:pos="941"/>
          <w:tab w:val="left" w:pos="942"/>
        </w:tabs>
        <w:autoSpaceDE w:val="0"/>
        <w:autoSpaceDN w:val="0"/>
        <w:spacing w:before="160" w:line="273" w:lineRule="auto"/>
        <w:ind w:right="222"/>
        <w:jc w:val="both"/>
      </w:pPr>
      <w:r w:rsidRPr="004B61B0">
        <w:t>a szektor méretére, tevékenységi körére és összetettségére vonatkozó információk összesített formában;</w:t>
      </w:r>
    </w:p>
    <w:p w14:paraId="5B372881" w14:textId="77777777" w:rsidR="006A7ABD" w:rsidRPr="004B61B0" w:rsidRDefault="006A7ABD" w:rsidP="00DB6888">
      <w:pPr>
        <w:pStyle w:val="ListParagraph"/>
        <w:widowControl w:val="0"/>
        <w:numPr>
          <w:ilvl w:val="1"/>
          <w:numId w:val="92"/>
        </w:numPr>
        <w:tabs>
          <w:tab w:val="left" w:pos="941"/>
          <w:tab w:val="left" w:pos="942"/>
        </w:tabs>
        <w:autoSpaceDE w:val="0"/>
        <w:autoSpaceDN w:val="0"/>
        <w:spacing w:before="160" w:line="273" w:lineRule="auto"/>
        <w:ind w:right="-8"/>
        <w:jc w:val="both"/>
      </w:pPr>
      <w:r w:rsidRPr="004B61B0">
        <w:t>a szektoron belüli üzleti modellek jellege;</w:t>
      </w:r>
    </w:p>
    <w:p w14:paraId="6E19BC2B" w14:textId="7049FEA1" w:rsidR="00905139" w:rsidRPr="004B61B0" w:rsidRDefault="00905139" w:rsidP="00DB6888">
      <w:pPr>
        <w:pStyle w:val="ListParagraph"/>
        <w:widowControl w:val="0"/>
        <w:numPr>
          <w:ilvl w:val="1"/>
          <w:numId w:val="92"/>
        </w:numPr>
        <w:tabs>
          <w:tab w:val="left" w:pos="941"/>
          <w:tab w:val="left" w:pos="942"/>
        </w:tabs>
        <w:autoSpaceDE w:val="0"/>
        <w:autoSpaceDN w:val="0"/>
        <w:spacing w:before="160" w:line="273" w:lineRule="auto"/>
        <w:ind w:right="-8"/>
        <w:jc w:val="both"/>
      </w:pPr>
      <w:r w:rsidRPr="004B61B0">
        <w:t>általános információk a szektorban vagy alszektorban használt termékek, szolgáltatások, ügyfelek és teljesítési csatornák típusáról és ezek kockázati profiljáról, amennyiben ismertek;</w:t>
      </w:r>
    </w:p>
    <w:p w14:paraId="6C54BF9F" w14:textId="14BBE2FE" w:rsidR="00905139" w:rsidRPr="004B61B0" w:rsidRDefault="00905139" w:rsidP="00DB6888">
      <w:pPr>
        <w:pStyle w:val="ListParagraph"/>
        <w:widowControl w:val="0"/>
        <w:numPr>
          <w:ilvl w:val="1"/>
          <w:numId w:val="92"/>
        </w:numPr>
        <w:tabs>
          <w:tab w:val="left" w:pos="941"/>
          <w:tab w:val="left" w:pos="942"/>
        </w:tabs>
        <w:autoSpaceDE w:val="0"/>
        <w:autoSpaceDN w:val="0"/>
        <w:spacing w:before="160" w:line="273" w:lineRule="auto"/>
        <w:jc w:val="both"/>
      </w:pPr>
      <w:r w:rsidRPr="004B61B0">
        <w:t>a szektorhoz vagy alszektorhoz hazai és nemzetközi szinten kapcsolódó jelenlegi és újonnan megjelenő kockázatokra vonatkozó információk, beleértve azokat az információkat, amelyek arra utalhatnak, hogy a szektor vagy alszektor fokozott ML/TF kockázatnak lehet kitéve a más szektorok által ezen szektorok vagy alszektorok esetében alkalmazott kockázatmentesítési gyakorlatok eredményeként;</w:t>
      </w:r>
    </w:p>
    <w:p w14:paraId="0A48164D" w14:textId="77777777" w:rsidR="00905139" w:rsidRPr="004B61B0" w:rsidRDefault="00905139" w:rsidP="00DB6888">
      <w:pPr>
        <w:pStyle w:val="ListParagraph"/>
        <w:widowControl w:val="0"/>
        <w:numPr>
          <w:ilvl w:val="1"/>
          <w:numId w:val="92"/>
        </w:numPr>
        <w:tabs>
          <w:tab w:val="left" w:pos="941"/>
          <w:tab w:val="left" w:pos="942"/>
        </w:tabs>
        <w:autoSpaceDE w:val="0"/>
        <w:autoSpaceDN w:val="0"/>
        <w:spacing w:before="160" w:line="273" w:lineRule="auto"/>
        <w:jc w:val="both"/>
      </w:pPr>
      <w:r w:rsidRPr="004B61B0">
        <w:t>a belső piacot érintő főbb ML/TF kockázatokra vonatkozó információk;</w:t>
      </w:r>
    </w:p>
    <w:p w14:paraId="0A8C2BDE" w14:textId="06FFD882" w:rsidR="00905139" w:rsidRPr="004B61B0" w:rsidRDefault="00905139" w:rsidP="00DB6888">
      <w:pPr>
        <w:pStyle w:val="ListParagraph"/>
        <w:widowControl w:val="0"/>
        <w:numPr>
          <w:ilvl w:val="1"/>
          <w:numId w:val="92"/>
        </w:numPr>
        <w:tabs>
          <w:tab w:val="left" w:pos="941"/>
          <w:tab w:val="left" w:pos="942"/>
        </w:tabs>
        <w:autoSpaceDE w:val="0"/>
        <w:autoSpaceDN w:val="0"/>
        <w:spacing w:before="160" w:line="273" w:lineRule="auto"/>
        <w:jc w:val="both"/>
      </w:pPr>
      <w:r w:rsidRPr="004B61B0">
        <w:t>a szektoron vagy alszektoron belül folytatott határokon átnyúló tevékenységek hatása;</w:t>
      </w:r>
    </w:p>
    <w:p w14:paraId="3E7B9759" w14:textId="2021A97A" w:rsidR="00905139" w:rsidRPr="004B61B0" w:rsidRDefault="00905139" w:rsidP="00DB6888">
      <w:pPr>
        <w:pStyle w:val="ListParagraph"/>
        <w:widowControl w:val="0"/>
        <w:numPr>
          <w:ilvl w:val="1"/>
          <w:numId w:val="92"/>
        </w:numPr>
        <w:tabs>
          <w:tab w:val="left" w:pos="941"/>
          <w:tab w:val="left" w:pos="942"/>
        </w:tabs>
        <w:autoSpaceDE w:val="0"/>
        <w:autoSpaceDN w:val="0"/>
        <w:spacing w:before="160" w:line="273" w:lineRule="auto"/>
        <w:jc w:val="both"/>
      </w:pPr>
      <w:r w:rsidRPr="004B61B0">
        <w:t xml:space="preserve">a szektor vagy alszektor globális szinten felmerülő sebezhetőségeknek való kitettsége; </w:t>
      </w:r>
    </w:p>
    <w:p w14:paraId="266A17E9" w14:textId="76EF6142" w:rsidR="006A7ABD" w:rsidRPr="004B61B0" w:rsidRDefault="008D054C" w:rsidP="00DB6888">
      <w:pPr>
        <w:pStyle w:val="ListParagraph"/>
        <w:widowControl w:val="0"/>
        <w:numPr>
          <w:ilvl w:val="1"/>
          <w:numId w:val="92"/>
        </w:numPr>
        <w:tabs>
          <w:tab w:val="left" w:pos="941"/>
          <w:tab w:val="left" w:pos="942"/>
        </w:tabs>
        <w:autoSpaceDE w:val="0"/>
        <w:autoSpaceDN w:val="0"/>
        <w:spacing w:before="160" w:line="273" w:lineRule="auto"/>
        <w:jc w:val="both"/>
      </w:pPr>
      <w:r w:rsidRPr="004B61B0">
        <w:t>adott esetben a pénzügyi információs egység és más érintett állami szervek fenyegetettségi jelentései, riasztásai és tipológiái; és</w:t>
      </w:r>
    </w:p>
    <w:p w14:paraId="4F2412AC" w14:textId="6CF10C2E" w:rsidR="002261E4" w:rsidRDefault="0083388B" w:rsidP="00DB6888">
      <w:pPr>
        <w:pStyle w:val="ListParagraph"/>
        <w:widowControl w:val="0"/>
        <w:numPr>
          <w:ilvl w:val="1"/>
          <w:numId w:val="92"/>
        </w:numPr>
        <w:tabs>
          <w:tab w:val="left" w:pos="941"/>
          <w:tab w:val="left" w:pos="942"/>
        </w:tabs>
        <w:autoSpaceDE w:val="0"/>
        <w:autoSpaceDN w:val="0"/>
        <w:spacing w:before="160" w:line="273" w:lineRule="auto"/>
        <w:jc w:val="both"/>
      </w:pPr>
      <w:r w:rsidRPr="004B61B0">
        <w:t>más illetékes hatóságok vagy nemzetközi standardalkotók által közzétett iránymutatások;</w:t>
      </w:r>
    </w:p>
    <w:p w14:paraId="766D3E10" w14:textId="445C787A" w:rsidR="00A132DF"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13CC47B6" w14:textId="288C5CD7" w:rsidR="00BA6CE8" w:rsidRDefault="00BA6CE8" w:rsidP="00DB6888">
      <w:pPr>
        <w:pStyle w:val="ListParagraph"/>
        <w:widowControl w:val="0"/>
        <w:numPr>
          <w:ilvl w:val="1"/>
          <w:numId w:val="92"/>
        </w:numPr>
        <w:tabs>
          <w:tab w:val="left" w:pos="941"/>
          <w:tab w:val="left" w:pos="942"/>
        </w:tabs>
        <w:autoSpaceDE w:val="0"/>
        <w:autoSpaceDN w:val="0"/>
        <w:spacing w:before="160" w:line="273" w:lineRule="auto"/>
        <w:jc w:val="both"/>
      </w:pPr>
      <w:r w:rsidRPr="00E6582A">
        <w:t>amennyiben a technológia, például a</w:t>
      </w:r>
      <w:r>
        <w:t>z</w:t>
      </w:r>
      <w:r w:rsidRPr="00E6582A">
        <w:t xml:space="preserve"> </w:t>
      </w:r>
      <w:r>
        <w:t>el</w:t>
      </w:r>
      <w:r w:rsidRPr="00E6582A">
        <w:t>osztott főkönyvi technológia (DLT) vagy az anonimitást erősítő jellemzők használata alapvető fontosságú a szektor vagy alszektor üzleti modelljéhez és működéséhez, e technológia hatása a szektor vagy alszektor pénzmosási és terrorizmusfinanszírozási kockázatnak való kitettségére.</w:t>
      </w:r>
    </w:p>
    <w:p w14:paraId="2BD27DB9" w14:textId="4CB0E64A"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4B61B0" w:rsidRDefault="00905139" w:rsidP="004D193D">
      <w:pPr>
        <w:pStyle w:val="body"/>
        <w:numPr>
          <w:ilvl w:val="0"/>
          <w:numId w:val="10"/>
        </w:numPr>
      </w:pPr>
      <w:r w:rsidRPr="004B61B0">
        <w:t>A fent leírt információk hozzájárulhatnak ahhoz is, hogy az illetékes hatóságok az egyes értékelési alanyok szintjén érzékeljék a kockázati tényezőket, és fordítva.</w:t>
      </w:r>
    </w:p>
    <w:p w14:paraId="64EB15EE" w14:textId="77777777" w:rsidR="00905139" w:rsidRPr="004B61B0" w:rsidRDefault="00905139" w:rsidP="00CE14AE">
      <w:pPr>
        <w:pStyle w:val="Numberedtitlelevel4"/>
      </w:pPr>
      <w:r w:rsidRPr="004B61B0">
        <w:t>Az értékelési alanyokra vonatkozó információk</w:t>
      </w:r>
    </w:p>
    <w:p w14:paraId="29B5265A" w14:textId="505A381A" w:rsidR="00905139" w:rsidRPr="004B61B0"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4B61B0">
        <w:t>Az illetékes hatóságoknak a szektori kockázatértékelés alapján elegendő, releváns és megbízható információt kell gyűjteniük a 30. és 31. bekezdésben leírt forrásokból, hogy átfogó képet alkothassanak az értékelési alanyt érintő eredetileg fennálló kockázati tényezőkről, és – amennyire lehetséges – a fennmaradó kockázati tényezőkről.</w:t>
      </w:r>
    </w:p>
    <w:p w14:paraId="258D0AD6" w14:textId="30270F0B" w:rsidR="00905139" w:rsidRPr="004B61B0" w:rsidRDefault="00905139" w:rsidP="00D173E4">
      <w:pPr>
        <w:pStyle w:val="body"/>
        <w:numPr>
          <w:ilvl w:val="0"/>
          <w:numId w:val="10"/>
        </w:numPr>
        <w:ind w:right="-8"/>
      </w:pPr>
      <w:r w:rsidRPr="004B61B0">
        <w:lastRenderedPageBreak/>
        <w:t>Annak érdekében, hogy az illetékes hatóságok megfelelő képet kapjanak az értékelési alanyt érintő eredetileg fennálló kockázati tényezőkről, különböző forrásokból információt kell gyűjteniük, többek között a következőkkel kapcsolatos információkra kiterjedően:</w:t>
      </w:r>
    </w:p>
    <w:p w14:paraId="2EE579CD" w14:textId="2E93CBCC" w:rsidR="00905139" w:rsidRPr="004B61B0"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B61B0">
        <w:t>az értékelési alanyok tulajdonosi és vállalati szerkezete, figyelemmel arra, hogy az értékelési alany külföldi vagy belföldi hitelintézet vagy pénzügyi intézmény, anyavállalat, leányvállalat, fiók vagy egyéb formájú létesítmény, valamint a szervezetének és szerkezetének összetettsége és átláthatósága;</w:t>
      </w:r>
    </w:p>
    <w:p w14:paraId="347E80F2" w14:textId="397F8085"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B61B0">
        <w:t>a felső vezetők, a vezető testületi tagok és a befolyásoló részesedéssel rendelkező részvényesek jó hírneve és feddhetetlensége;</w:t>
      </w:r>
    </w:p>
    <w:p w14:paraId="6B724DC6" w14:textId="7719B71A" w:rsidR="00A132DF" w:rsidRPr="004B61B0"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742584B9" w14:textId="757A4AC6" w:rsidR="00905139" w:rsidRDefault="00BA6CE8" w:rsidP="004D193D">
      <w:pPr>
        <w:pStyle w:val="ListParagraph"/>
        <w:widowControl w:val="0"/>
        <w:numPr>
          <w:ilvl w:val="1"/>
          <w:numId w:val="31"/>
        </w:numPr>
        <w:tabs>
          <w:tab w:val="left" w:pos="941"/>
          <w:tab w:val="left" w:pos="942"/>
        </w:tabs>
        <w:autoSpaceDE w:val="0"/>
        <w:autoSpaceDN w:val="0"/>
        <w:spacing w:before="160" w:line="273" w:lineRule="auto"/>
        <w:jc w:val="both"/>
      </w:pPr>
      <w:r w:rsidRPr="00E6582A">
        <w:t>a nyújtott termékek és szolgáltatások jellege és összetettsége, valamint a végrehajtott ügyletek típusa</w:t>
      </w:r>
      <w:r w:rsidR="00905139" w:rsidRPr="004B61B0">
        <w:t>;</w:t>
      </w:r>
    </w:p>
    <w:p w14:paraId="6F938284" w14:textId="02A37F67"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E61B1FA" w14:textId="77777777" w:rsidR="00905139" w:rsidRPr="004B61B0"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B61B0">
        <w:t>a használt teljesítési csatornák, beleértve a nem személyes csatornákon keresztüli szolgáltatásnyújtást, valamint az ügynökök vagy közvetítők igénybevételét is;</w:t>
      </w:r>
    </w:p>
    <w:p w14:paraId="64F5BEED" w14:textId="555B4225"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4B61B0">
        <w:t>az értékelési alany által kiszolgált ügyféltípusok és az ezen ügyfelekhez kapcsolódó kockázat szintje, beleértve a kiemelt közszereplőnek minősülő ügyfeleket és azokat, akik az értékelési alany által alkalmazott kockázatértékelési módszertan szerint fokozott ML/TF kockázatot jelentenek;</w:t>
      </w:r>
    </w:p>
    <w:p w14:paraId="29057A55" w14:textId="4E110A50" w:rsidR="00A132DF" w:rsidRPr="004B61B0"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42AA74A5" w14:textId="31EF3267" w:rsidR="00F51C4E" w:rsidRDefault="00BA6CE8"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E6582A">
        <w:t>az üzleti tevékenységek földrajzi területe, különösen, ha azok magas kockázatú harmadik országokat</w:t>
      </w:r>
      <w:r w:rsidRPr="004B61B0">
        <w:rPr>
          <w:vertAlign w:val="superscript"/>
        </w:rPr>
        <w:footnoteReference w:id="15"/>
      </w:r>
      <w:r w:rsidRPr="00E6582A">
        <w:t xml:space="preserve"> érintenek, beleértve adott esetben az értékelés</w:t>
      </w:r>
      <w:r>
        <w:t>i alany</w:t>
      </w:r>
      <w:r w:rsidRPr="00E6582A">
        <w:t xml:space="preserve"> ügyfele</w:t>
      </w:r>
      <w:r>
        <w:t>i</w:t>
      </w:r>
      <w:r w:rsidRPr="00E6582A">
        <w:t xml:space="preserve"> jelentős részének származási vagy letelepedési országát és a minősített részvényesek vagy </w:t>
      </w:r>
      <w:r>
        <w:t xml:space="preserve">a tényleges </w:t>
      </w:r>
      <w:r w:rsidRPr="00E6582A">
        <w:t>tulajdonosok földrajzi kapcso</w:t>
      </w:r>
      <w:r>
        <w:t>lódásait</w:t>
      </w:r>
      <w:r w:rsidR="0092700D" w:rsidRPr="004B61B0">
        <w:t>;</w:t>
      </w:r>
    </w:p>
    <w:p w14:paraId="406D6E63" w14:textId="3DD4E658"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4B61B0"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4B61B0">
        <w:t>az értékelési alany általi felhatalmazások, engedélyezések és passzportálás.</w:t>
      </w:r>
    </w:p>
    <w:p w14:paraId="48CB71EE" w14:textId="5F4A58CA" w:rsidR="00905139" w:rsidRPr="004B61B0" w:rsidRDefault="00905139" w:rsidP="004D193D">
      <w:pPr>
        <w:pStyle w:val="body"/>
        <w:numPr>
          <w:ilvl w:val="0"/>
          <w:numId w:val="10"/>
        </w:numPr>
      </w:pPr>
      <w:r w:rsidRPr="004B61B0">
        <w:t>Az értékelési alanyokat érintő fennmaradó kockázati tényezőknek a megismerése érdekében az illetékes hatóságoknak különböző forrásokból információkat kell gyűjteniük, többek között a következőkre vonatkozó információkra is kiterjedően:</w:t>
      </w:r>
    </w:p>
    <w:p w14:paraId="3FDE8C81" w14:textId="6578EB6A" w:rsidR="00905139" w:rsidRPr="004B61B0"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4B61B0">
        <w:t>az értékelési alanyok által bevezetett kockázatmérséklő intézkedések megfelelősége, és különösen</w:t>
      </w:r>
    </w:p>
    <w:p w14:paraId="57C110EC" w14:textId="6AEC3A37" w:rsidR="00905139" w:rsidRPr="004B61B0"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a kockázatkezelési keretrendszer megfelelőségére vonatkozó információk, beleértve az ML/TF kockázatkezelést is;</w:t>
      </w:r>
    </w:p>
    <w:p w14:paraId="24B30255" w14:textId="411A648E" w:rsidR="00905139" w:rsidRPr="004B61B0"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lastRenderedPageBreak/>
        <w:t>a belsőkontroll-funkció jelentéseiből – többek között adott esetben a belső ellenőrzésből – származó információk;</w:t>
      </w:r>
    </w:p>
    <w:p w14:paraId="026D2D22" w14:textId="17B505DA" w:rsidR="00905139" w:rsidRPr="004B61B0"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 xml:space="preserve"> az értékelési alanyok prudenciális és általános szempontjaival kapcsolatos információk, mint például a működési évek száma, a likviditás vagy a tőkemegfelelés;</w:t>
      </w:r>
    </w:p>
    <w:p w14:paraId="316911F2" w14:textId="2B959BC8"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 xml:space="preserve"> az illetékes hatóság, más érintett illetékes hatóságok, prudenciális felügyeletek vagy más érintett felügyeleti hatóságok, köztük a harmadik országokban működő AML/CFT hatóságok által végzett helyszínen kívüli felülvizsgálatok megállapításai</w:t>
      </w:r>
      <w:r w:rsidR="00BA6CE8">
        <w:t>;</w:t>
      </w:r>
    </w:p>
    <w:p w14:paraId="25860B05" w14:textId="2FCD4F50" w:rsidR="00A132DF"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72B8603F" w14:textId="31B013DD" w:rsidR="00BA6CE8" w:rsidRDefault="00BA6CE8" w:rsidP="004D193D">
      <w:pPr>
        <w:pStyle w:val="ListParagraph"/>
        <w:widowControl w:val="0"/>
        <w:numPr>
          <w:ilvl w:val="2"/>
          <w:numId w:val="17"/>
        </w:numPr>
        <w:tabs>
          <w:tab w:val="left" w:pos="941"/>
          <w:tab w:val="left" w:pos="942"/>
        </w:tabs>
        <w:autoSpaceDE w:val="0"/>
        <w:autoSpaceDN w:val="0"/>
        <w:spacing w:before="160" w:line="273" w:lineRule="auto"/>
        <w:jc w:val="both"/>
      </w:pPr>
      <w:r w:rsidRPr="00E6582A">
        <w:t>fejlett analitikai eszközökből és platformokból, ahol az értékelés</w:t>
      </w:r>
      <w:r>
        <w:t>i alany</w:t>
      </w:r>
      <w:r w:rsidRPr="00E6582A">
        <w:t xml:space="preserve"> szolgáltatásait DLT vagy blokklánc-technológia felhasználásával nyújtják.</w:t>
      </w:r>
    </w:p>
    <w:p w14:paraId="4AF6E545" w14:textId="6B521F36"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4B61B0"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4B61B0">
        <w:t>az értékelési alanyok által bevezetett kockázatmérséklő intézkedések eredményessége, különösen a következőkre vonatkozó információk:</w:t>
      </w:r>
    </w:p>
    <w:p w14:paraId="526ED5E2" w14:textId="77777777" w:rsidR="00905139" w:rsidRPr="004B61B0"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a belső irányítási megoldások és szerkezetek minősége, jelentési útvonalak minősége, beleértve a belső ellenőrzési és megfelelési funkciók, a jelentéstételi útvonalak megfelelőségét és hatékonyságát, az AML/CFT jogi és szabályozási követelményeknek való a megfelelés mértékét, valamint az AML/CFT szabályzatok és eljárások hatékonyságát, amennyiben ezek már ismertek;</w:t>
      </w:r>
    </w:p>
    <w:p w14:paraId="011018F2" w14:textId="372025DB" w:rsidR="00905139" w:rsidRPr="004B61B0"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az uralkodó „szervezeti kultúra”, különösen a „megfelelési kultúra” és az átláthatósági kultúra, továbbá az illetékes hatóságokkal fenntartott kapcsolatokba vetett bizalom;</w:t>
      </w:r>
    </w:p>
    <w:p w14:paraId="6199A739" w14:textId="77777777" w:rsidR="00905139" w:rsidRPr="004B61B0"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 xml:space="preserve"> az illetékes hatóság, más érintett illetékes hatóságok, prudenciális felügyeletek vagy más érintett felügyeleti hatóságok, köztük a harmadik országokban működő AML/CFT hatóságok által végzett olyan korábbi felügyeleti ellenőrzések megállapításai, amelyek bizonyos helyszíni elemeket és tesztelést is magukban foglaltak;</w:t>
      </w:r>
    </w:p>
    <w:p w14:paraId="5EB10F19" w14:textId="253C08AA" w:rsidR="00905139" w:rsidRPr="004B61B0"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4B61B0">
        <w:t xml:space="preserve"> az értékelési alannyal kapcsolatban az illetékes hatóság, a prudenciális felügyeletek vagy más érintett felügyeleti hatóságok által hozott, folyamatban lévő vagy elrendelt felügyeleti intézkedések és szankciók, többek között harmadik országokban is;</w:t>
      </w:r>
    </w:p>
    <w:p w14:paraId="499D0BC5" w14:textId="78B0F041" w:rsidR="00905139" w:rsidRPr="004B61B0"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4B61B0">
        <w:t>a pénzügyi információs egységektől kapott információk, például a gyanús tranzakciókról szóló jelentésekkel kapcsolatos információk.</w:t>
      </w:r>
    </w:p>
    <w:p w14:paraId="28D96EAB" w14:textId="36FDF250" w:rsidR="00905139" w:rsidRPr="004B61B0" w:rsidRDefault="00905139" w:rsidP="004D193D">
      <w:pPr>
        <w:pStyle w:val="body"/>
        <w:numPr>
          <w:ilvl w:val="0"/>
          <w:numId w:val="10"/>
        </w:numPr>
      </w:pPr>
      <w:r w:rsidRPr="004B61B0">
        <w:t>Amennyiben az illetékes hatóságok úgy ítélik meg, hogy a 30. és 31. bekezdésben leírt forrásokon keresztül gyűjtött információk nem állnak rendelkezésre, vagy nem elegendőek ahhoz, hogy az értékelési alannyal kapcsolatos kockázatokról megfelelő képet kapjanak, az illetékes hatóságoknak fontolóra kell venniük, hogy közvetlenül az értékelési alanytól gyűjtsék össze az érintett információkat.</w:t>
      </w:r>
    </w:p>
    <w:p w14:paraId="38775164" w14:textId="77777777" w:rsidR="00905139" w:rsidRPr="004B61B0" w:rsidRDefault="00905139" w:rsidP="004D193D">
      <w:pPr>
        <w:pStyle w:val="body"/>
        <w:numPr>
          <w:ilvl w:val="0"/>
          <w:numId w:val="10"/>
        </w:numPr>
      </w:pPr>
      <w:r w:rsidRPr="004B61B0">
        <w:t xml:space="preserve">Amennyiben az egyedi kockázatértékeléshez szükséges információkat közvetlenül az értékelési alanyoktól gyűjtik be, az illetékes hatóságoknak biztosítaniuk kell, hogy a kért információk </w:t>
      </w:r>
      <w:r w:rsidRPr="004B61B0">
        <w:lastRenderedPageBreak/>
        <w:t>típusát a jelen iránymutatásokban meghatározott vonatkozó hazai, külföldi és szektori kockázati tényezők határozzák meg, beleértve az újonnan megjelenő kockázatokat is.</w:t>
      </w:r>
    </w:p>
    <w:p w14:paraId="547A36CE" w14:textId="16B15DE8" w:rsidR="00905139" w:rsidRPr="004B61B0" w:rsidRDefault="00905139" w:rsidP="004D193D">
      <w:pPr>
        <w:pStyle w:val="body"/>
        <w:numPr>
          <w:ilvl w:val="0"/>
          <w:numId w:val="10"/>
        </w:numPr>
      </w:pPr>
      <w:r w:rsidRPr="004B61B0">
        <w:t>Az illetékes hatóságoknak mérlegelniük kell az értékelési alanyoktól kért információk mértékének és gyakoriságának az értékelési alany szektorához vagy alszektorához társuló kockázati szintnek megfelelő kiigazítását. Ez azt jelenti, hogy a jelentősebb ML/TF kockázatoknak kitett szektorokkal kapcsolatos információkat gyakrabban lehet begyűjteni, mint az olyan szektorokhoz kapcsolódó információkat, amelyek esetében a kockázat mértéke kevésbé jelentős. Az információkérések mértékének és gyakoriságának meghatározásakor az illetékes hatóságoknak a következőket kell figyelembe venniük:</w:t>
      </w:r>
    </w:p>
    <w:p w14:paraId="6F954FA1" w14:textId="2D6C560A" w:rsidR="00905139" w:rsidRPr="004B61B0"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4B61B0">
        <w:t xml:space="preserve"> a kért információk egy része elérhető-e az illetékes hatóság számára más forrásból, többek között a prudenciális felügyeletektől, csökkentve a párhuzamos információkérések számát;</w:t>
      </w:r>
    </w:p>
    <w:p w14:paraId="4E1CC8AD" w14:textId="77777777" w:rsidR="00905139" w:rsidRPr="004B61B0"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4B61B0">
        <w:t>milyen célra kívánják felhasználni az információkat. Ha az információkat az értékelési alannyal vagy a szektorral kapcsolatos kockázatok illetékes hatóság által elvégzendő értékeléséhez kérik, akkor az illetékes hatóságnak meg kell fontolnia, hogy az információkérések gyakoriságát a kockázatértékelés frissítésének gyakoriságához igazítsa;</w:t>
      </w:r>
    </w:p>
    <w:p w14:paraId="414B71FC" w14:textId="77777777" w:rsidR="00905139" w:rsidRPr="004B61B0"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4B61B0">
        <w:t>történt-e olyan jelentős változás az értékelési alanyhoz vagy a szektorhoz kapcsolódó ML/TF kockázat szintjében, amely azt jelezné, hogy gyakrabban szükséges információt kérni.</w:t>
      </w:r>
    </w:p>
    <w:p w14:paraId="0660A1EC" w14:textId="302D7F6C" w:rsidR="00CE14AE" w:rsidRPr="004B61B0" w:rsidRDefault="00CE14AE" w:rsidP="00BF2FD9">
      <w:pPr>
        <w:pStyle w:val="Numberedtitlelevel2"/>
      </w:pPr>
      <w:r w:rsidRPr="004B61B0">
        <w:t>2. lépés – Kockázatértékelés</w:t>
      </w:r>
    </w:p>
    <w:p w14:paraId="44309840" w14:textId="77777777" w:rsidR="00CE14AE" w:rsidRPr="004B61B0" w:rsidRDefault="00CE14AE" w:rsidP="00BF2FD9">
      <w:pPr>
        <w:pStyle w:val="Numberedtitlelevel3"/>
      </w:pPr>
      <w:r w:rsidRPr="004B61B0">
        <w:t>Általános szempontok</w:t>
      </w:r>
    </w:p>
    <w:p w14:paraId="174DADF6" w14:textId="77777777" w:rsidR="00CE14AE" w:rsidRPr="004B61B0" w:rsidRDefault="00CE14AE" w:rsidP="00EC596C">
      <w:pPr>
        <w:pStyle w:val="body"/>
        <w:numPr>
          <w:ilvl w:val="0"/>
          <w:numId w:val="10"/>
        </w:numPr>
      </w:pPr>
      <w:r w:rsidRPr="004B61B0">
        <w:t>Az illetékes hatóságoknak holisztikus szemléletmóddal kell tekinteniük az 1. lépésben azonosított ML/TF kockázati tényezőkre, amelyek együttesen képezik az értékelési alany egyedi kockázatértékelésének és a szektori kockázatértékeléseknek az alapját.</w:t>
      </w:r>
    </w:p>
    <w:p w14:paraId="1A1780A0" w14:textId="5C7E1824" w:rsidR="00CE14AE" w:rsidRPr="004B61B0" w:rsidRDefault="00CE14AE" w:rsidP="00EC596C">
      <w:pPr>
        <w:pStyle w:val="body"/>
        <w:numPr>
          <w:ilvl w:val="0"/>
          <w:numId w:val="10"/>
        </w:numPr>
      </w:pPr>
      <w:r w:rsidRPr="004B61B0">
        <w:t>Kockázatértékelési módszertanuk kidolgozásakor az illetékes hatóságoknak figyelembe kell venniük, hogy hogyan hatnak egymásra a szektori és az egyedi kockázatértékelések. a szektori kockázatértékelés átfogó képet ad az illetékes hatóságoknak arról, hogy egy adott szektorban az értékelési alanyok milyen ML/TF kockázatoknak vannak kitéve, valamint arról, hogy az egyes kockázati tényezők milyen jelentőséggel bírnak az adott szektorban működő értékelési alanyok esetében. Az egyedi kockázatértékelések révén az illetékes hatóságoknak képesnek kell lenniük arra, hogy értékeljék a szektori kockázatoknak az egyes értékelési alanyokra gyakorolt hatását, ugyanakkor ezeket a kockázatértékeléseket felhasználják szektori kockázatértékeléseik megfelelő aktualizálásához és felülvizsgálatához, többek között a szektorban működő értékelési alanyokra együttesen jellemző új kockázati tényezők azonosításával.</w:t>
      </w:r>
    </w:p>
    <w:p w14:paraId="12AE2DD4" w14:textId="6C7108F9" w:rsidR="00CE14AE" w:rsidRPr="004B61B0" w:rsidRDefault="00CE14AE" w:rsidP="00BF2FD9">
      <w:pPr>
        <w:pStyle w:val="Numberedtitlelevel3"/>
      </w:pPr>
      <w:r w:rsidRPr="004B61B0">
        <w:t>szektori és alszektori kockázatértékelés</w:t>
      </w:r>
    </w:p>
    <w:p w14:paraId="17E50451" w14:textId="66FBF3B5" w:rsidR="00A132DF"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C1</w:t>
      </w:r>
    </w:p>
    <w:p w14:paraId="3F20DE3B" w14:textId="1ED76D0E" w:rsidR="00CE14AE" w:rsidRDefault="00892D31" w:rsidP="00EC596C">
      <w:pPr>
        <w:pStyle w:val="body"/>
        <w:numPr>
          <w:ilvl w:val="0"/>
          <w:numId w:val="10"/>
        </w:numPr>
      </w:pPr>
      <w:r>
        <w:lastRenderedPageBreak/>
        <w:t xml:space="preserve">Az illetékes hatóságoknak alaposan meg kell ismerniük </w:t>
      </w:r>
      <w:r>
        <w:rPr>
          <w:b/>
        </w:rPr>
        <w:t xml:space="preserve">a </w:t>
      </w:r>
      <w:r>
        <w:t>felügyeletük alá tartozó egyes ágazatokban jelen lévő ML/TF kockázatokat, ami lehetővé teszi számukra, hogy felügyeleti tevékenységeiket az ágazatok között és azokon belül is prioritássorrendbe állítsák, és azonosítsák az adott ágazat szempontjából releváns ML/TF kockázatokat.</w:t>
      </w:r>
      <w:r w:rsidR="00EB4C88" w:rsidRPr="004B61B0">
        <w:t xml:space="preserve"> </w:t>
      </w:r>
      <w:r>
        <w:t>A</w:t>
      </w:r>
      <w:r w:rsidR="00EB4C88" w:rsidRPr="004B61B0">
        <w:t xml:space="preserve"> szektori kockázatértékelésnek alapot kell nyújtania az illetékes hatóságok számára az adott szektorban működő értékelési alanyok egyedi kockázatértékeléséhez azáltal, hogy ismereteket szereznek az adott szektorban működő értékelési alanyokat érintő eredendő kockázatokról, ami információkkal szolgál az illetékes hatóság számára annak megértéséhez, hogy milyen mértékű felügyeleti figyelmet kell fordítania a szektorra. Az illetékes hatóságoknak el kell dönteniük, hogy elegendő és megbízható információval rendelkeznek-e a szektoron belül alkalmazott kontrollmechanizmusokról ahhoz, hogy elvégezhessék a fennmaradó kockázat értékelését. Amennyiben úgy ítélik meg, hogy ezek az információk nem elégségesek, az illetékes hatóságoknak mérlegelniük kell a 4.4.4. szakaszban meghatározott, megfelelő rendelkezésükre álló felügyeleti eszközök használatát, hogy elegendő információt szerezzenek.</w:t>
      </w:r>
    </w:p>
    <w:p w14:paraId="497F6E67" w14:textId="726025A5"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4B61B0" w:rsidRDefault="00C16073" w:rsidP="00EC596C">
      <w:pPr>
        <w:pStyle w:val="body"/>
        <w:numPr>
          <w:ilvl w:val="0"/>
          <w:numId w:val="10"/>
        </w:numPr>
      </w:pPr>
      <w:r w:rsidRPr="004B61B0">
        <w:t>Az illetékes hatóságoknak biztosítaniuk kell, hogy a szektori kockázatértékelés kellően átfogó legyen, és lehetővé tegye a felügyelet számára, hogy holisztikus képet kapjon az összes releváns kockázati tényezőről, valamint arról, hogy azok milyen mértékben érintik az egyes szektorokban tevékenykedő értékelési alanyokat.</w:t>
      </w:r>
    </w:p>
    <w:p w14:paraId="1F076038" w14:textId="619078AE" w:rsidR="00C16073" w:rsidRPr="004B61B0" w:rsidRDefault="00C16073" w:rsidP="00EC596C">
      <w:pPr>
        <w:pStyle w:val="body"/>
        <w:numPr>
          <w:ilvl w:val="0"/>
          <w:numId w:val="10"/>
        </w:numPr>
      </w:pPr>
      <w:r w:rsidRPr="004B61B0">
        <w:t>a szektori kockázatértékelés elvégzéséhez az illetékes hatóságoknak először a fenti 38. és 39. bekezdésben leírtak szerint meg kell határozniuk a felügyeletük alá tartozó szektorokat és adott esetben alszektorokat.</w:t>
      </w:r>
    </w:p>
    <w:p w14:paraId="7903059A" w14:textId="565A303F" w:rsidR="00C16073" w:rsidRPr="004B61B0" w:rsidRDefault="00C16073" w:rsidP="00EC596C">
      <w:pPr>
        <w:pStyle w:val="body"/>
        <w:numPr>
          <w:ilvl w:val="0"/>
          <w:numId w:val="10"/>
        </w:numPr>
      </w:pPr>
      <w:r w:rsidRPr="004B61B0">
        <w:t>a szektor egészére vagy adott esetben az alszektorra vonatkozó kockázatértékelés végrehajtásakor az illetékes hatóságoknak el kell végezniük az RBS modell 1. lépésével összhangban azonosított szektori kockázati tényezők értékelését. Az illetékes hatóságoknak értékelésüket a 4.2.6. szakasszal összhangban összegyűjtött információkra kell alapozniuk.</w:t>
      </w:r>
    </w:p>
    <w:p w14:paraId="03FAED2B" w14:textId="176FCC25" w:rsidR="00CE14AE" w:rsidRPr="004B61B0" w:rsidRDefault="00CE14AE" w:rsidP="00EC596C">
      <w:pPr>
        <w:pStyle w:val="body"/>
        <w:numPr>
          <w:ilvl w:val="0"/>
          <w:numId w:val="10"/>
        </w:numPr>
      </w:pPr>
      <w:r w:rsidRPr="004B61B0">
        <w:t>E folyamat részeként az illetékes hatóságoknak mérlegelniük kell, hogy a jelen iránymutatások 63. és 64. bekezdésében leírtak szerint különböző súlyokat rendeljenek a különböző kockázati tényezőkhöz, tükrözve a különböző ML/TF fenyegetések adott szektorra gyakorolt hatásának mértékét.</w:t>
      </w:r>
    </w:p>
    <w:p w14:paraId="4C6946CA" w14:textId="77777777" w:rsidR="00CE14AE" w:rsidRPr="004B61B0" w:rsidRDefault="00CE14AE" w:rsidP="00BF2FD9">
      <w:pPr>
        <w:pStyle w:val="Numberedtitlelevel3"/>
      </w:pPr>
      <w:r w:rsidRPr="004B61B0">
        <w:t>Egyedi kockázatértékelések</w:t>
      </w:r>
    </w:p>
    <w:p w14:paraId="7DCD87C0" w14:textId="733E0616" w:rsidR="00CE14AE" w:rsidRPr="004B61B0" w:rsidRDefault="00CE14AE" w:rsidP="00EC596C">
      <w:pPr>
        <w:pStyle w:val="body"/>
        <w:numPr>
          <w:ilvl w:val="0"/>
          <w:numId w:val="10"/>
        </w:numPr>
      </w:pPr>
      <w:r w:rsidRPr="004B61B0">
        <w:t xml:space="preserve"> Az illetékes hatóságoknak átfogó képet kell kialakítaniuk az eredendő kockázatokról, és – amennyiben kellően megbízható adatokhoz férnek hozzá az értékelési alany AML/CFT kontrollmechanizmusainak minőségére vonatkozóan – az értékelési alanyokat érintő fennmaradó kockázatokról. E célból minden egyes értékelési alanyra vonatkozóan egyedi kockázatértékelést kell végezniük. Az illetékes hatóságoknak minden releváns forrást fel kell használniuk az egyedi kockázatértékelésekhez szükséges információknak a fenti 44–48. bekezdésben leírtak szerinti összegyűjtéséhez.</w:t>
      </w:r>
    </w:p>
    <w:p w14:paraId="50DDBED2" w14:textId="2F3215AE" w:rsidR="00A81F06" w:rsidRPr="004B61B0" w:rsidRDefault="003D45EA" w:rsidP="004D193D">
      <w:pPr>
        <w:pStyle w:val="body"/>
        <w:keepLines/>
        <w:numPr>
          <w:ilvl w:val="0"/>
          <w:numId w:val="10"/>
        </w:numPr>
        <w:ind w:left="357" w:hanging="357"/>
      </w:pPr>
      <w:r w:rsidRPr="004B61B0">
        <w:lastRenderedPageBreak/>
        <w:t>Az egyes értékelési alanyokkal kapcsolatos kockázatok átfogó megértése érdekében az illetékes hatóságoknak az értékelési alanyokkal kapcsolatos kockázatok értékelésére és felülvizsgálatára szolgáló állandó folyamatot és módszertant kell kialakítaniuk és fenntartaniuk. Kockázatértékelési eljárásaik kidolgozása során az illetékes hatóságoknak:</w:t>
      </w:r>
    </w:p>
    <w:p w14:paraId="65EE51AF" w14:textId="2F971526" w:rsidR="00A81F06" w:rsidRPr="004B61B0"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4B61B0">
        <w:t>az értékelési alany szektorában vagy alszektorában fennálló kockázatok értékelésének eredményei alapján kell eljárniuk. a szektori vagy alszektori kockázatértékeléssel az illetékes hatóság lényegében azonosítja azokat a főbb eredendő kockázatokat, amelyeknek az adott szektoron vagy alszektoron belül működő egyes értékelési alanyok ki vannak téve.</w:t>
      </w:r>
    </w:p>
    <w:p w14:paraId="02C086C9" w14:textId="4553DFB9" w:rsidR="00EE43D4" w:rsidRPr="004B61B0"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4B61B0">
        <w:t>meg kell határozniuk, hogy hogyan fogják értékelni az RBS modell 1. lépésének keretében azonosított, az értékelési alanyt érintő releváns eredendő kockázati tényezőket.</w:t>
      </w:r>
    </w:p>
    <w:p w14:paraId="2EFF8930" w14:textId="6B69670D" w:rsidR="0065013B" w:rsidRPr="004B61B0" w:rsidRDefault="00923A8E" w:rsidP="004D193D">
      <w:pPr>
        <w:pStyle w:val="ListParagraph"/>
        <w:widowControl w:val="0"/>
        <w:numPr>
          <w:ilvl w:val="1"/>
          <w:numId w:val="33"/>
        </w:numPr>
        <w:tabs>
          <w:tab w:val="left" w:pos="942"/>
        </w:tabs>
        <w:autoSpaceDE w:val="0"/>
        <w:autoSpaceDN w:val="0"/>
        <w:spacing w:before="160" w:line="273" w:lineRule="auto"/>
        <w:jc w:val="both"/>
      </w:pPr>
      <w:r w:rsidRPr="004B61B0">
        <w:t>össze kell gyűjteniük az ahhoz szükséges információkat, hogy megismerjék az értékelési alany ügyfelekkel, termékekkel és szolgáltatásokkal, földrajzi és forgalmazási csatornákkal kapcsolatos kockázatoknak való kitettségét. Ez azt jelenti, hogy az illetékes hatóságoknak mérlegelniük kell, hogy valamennyi értékelési alany tekintetében ugyanazokra az információkra van-e szükség. Amennyiben az értékelési alanyoktól információkat gyűjtenek, az illetékes hatóságoknak a jelen iránymutatások „Minőségbiztosítás” című szakaszát kell tanulmányozniuk, amely tartalmazza, hogy ilyen esetben milyen további biztosítékokat kell alkalmazniuk.</w:t>
      </w:r>
    </w:p>
    <w:p w14:paraId="4930C187" w14:textId="2285F667" w:rsidR="00204D15" w:rsidRPr="004B61B0" w:rsidRDefault="00924F4F" w:rsidP="00EC596C">
      <w:pPr>
        <w:pStyle w:val="body"/>
        <w:numPr>
          <w:ilvl w:val="0"/>
          <w:numId w:val="10"/>
        </w:numPr>
      </w:pPr>
      <w:r w:rsidRPr="004B61B0">
        <w:t>Amennyiben az illetékes hatóságok a jelen iránymutatások 45. b) pontjában meghatározott információk alapján elegendő és kellően megbízható ismeretet szereztek az értékelési alanyok által bevezetett kockázatmérséklő intézkedésekről, el kell végezniük az említett értékelési alanyok tekintetében a fennmaradó kockázat értékelését. Ha azonban nem állnak rendelkezésre ilyen információk, vagy azok nem megbízhatók vagy nem kellőképpen átfogók, az illetékes hatóságoknak ehelyett az értékelési alanyok tekintetében az eredendő kockázat értékelését kell alkalmazniuk.</w:t>
      </w:r>
    </w:p>
    <w:p w14:paraId="1C3ECAD0" w14:textId="6D912226" w:rsidR="00B41E2E" w:rsidRDefault="00CE14AE" w:rsidP="00EC596C">
      <w:pPr>
        <w:pStyle w:val="body"/>
        <w:numPr>
          <w:ilvl w:val="0"/>
          <w:numId w:val="10"/>
        </w:numPr>
      </w:pPr>
      <w:r w:rsidRPr="004B61B0">
        <w:t>A fennmaradó kockázati tényezők értékelésekor az illetékes hatóságoknak meg kell tenniük az annak értékeléséhez szükséges lépéseket, hogy az értékelési alanynál bevezetett és alkalmazott AML/CFT rendszerek és kontrollmechanizmusok milyen mértékben alkalmasak az őt érintő eredendő kockázatok hatékony csökkentésére. Ennek részeként az illetékes hatóságoknak értékelniük kell legalább a következőket:</w:t>
      </w:r>
    </w:p>
    <w:p w14:paraId="73D80BB4" w14:textId="3D6BEE19" w:rsidR="00A132DF" w:rsidRPr="004B61B0" w:rsidRDefault="00A132DF" w:rsidP="00A132DF">
      <w:pPr>
        <w:pStyle w:val="body"/>
      </w:pPr>
      <w:r>
        <w:rPr>
          <w:rFonts w:ascii="Wingdings" w:eastAsia="Wingdings" w:hAnsi="Wingdings" w:cs="Wingdings"/>
          <w:color w:val="E98E31" w:themeColor="background2"/>
          <w:spacing w:val="-1"/>
        </w:rPr>
        <w:t>Ú</w:t>
      </w:r>
      <w:r>
        <w:rPr>
          <w:color w:val="E98E31" w:themeColor="background2"/>
          <w:spacing w:val="-1"/>
        </w:rPr>
        <w:t>A1</w:t>
      </w:r>
    </w:p>
    <w:p w14:paraId="2FF745E9" w14:textId="5150C28C" w:rsidR="00B41E2E" w:rsidRDefault="00892D31" w:rsidP="00DB6888">
      <w:pPr>
        <w:pStyle w:val="ListParagraph"/>
        <w:widowControl w:val="0"/>
        <w:numPr>
          <w:ilvl w:val="1"/>
          <w:numId w:val="60"/>
        </w:numPr>
        <w:tabs>
          <w:tab w:val="left" w:pos="941"/>
          <w:tab w:val="left" w:pos="942"/>
        </w:tabs>
        <w:autoSpaceDE w:val="0"/>
        <w:autoSpaceDN w:val="0"/>
        <w:spacing w:before="160" w:line="273" w:lineRule="auto"/>
        <w:jc w:val="both"/>
      </w:pPr>
      <w:r w:rsidRPr="00E6582A">
        <w:t xml:space="preserve">az (EU) 2015/849 irányelv 8. cikkének (4) bekezdésében és 19a. cikkében felsorolt AML/CFT-rendszerek és </w:t>
      </w:r>
      <w:r>
        <w:t>kontrollmechanizmusok</w:t>
      </w:r>
      <w:r w:rsidRPr="00E6582A">
        <w:t xml:space="preserve"> bevezetése és alkalmazása. Ezeknek a</w:t>
      </w:r>
      <w:r>
        <w:t xml:space="preserve"> kontrollmechanizmusoknak </w:t>
      </w:r>
      <w:r w:rsidRPr="00E6582A">
        <w:t>kellően átfogónak és a pénzmosási és terrorizmusfinanszírozási kockázatokkal arányosnak kell lenniük</w:t>
      </w:r>
      <w:r w:rsidR="00B41E2E" w:rsidRPr="004B61B0">
        <w:t>;</w:t>
      </w:r>
    </w:p>
    <w:p w14:paraId="22444BC7" w14:textId="40A15715"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4B61B0" w:rsidRDefault="00CE14AE" w:rsidP="00DB6888">
      <w:pPr>
        <w:pStyle w:val="ListParagraph"/>
        <w:widowControl w:val="0"/>
        <w:numPr>
          <w:ilvl w:val="1"/>
          <w:numId w:val="60"/>
        </w:numPr>
        <w:tabs>
          <w:tab w:val="left" w:pos="941"/>
          <w:tab w:val="left" w:pos="942"/>
        </w:tabs>
        <w:autoSpaceDE w:val="0"/>
        <w:autoSpaceDN w:val="0"/>
        <w:spacing w:before="160" w:line="273" w:lineRule="auto"/>
        <w:jc w:val="both"/>
      </w:pPr>
      <w:r w:rsidRPr="004B61B0">
        <w:t xml:space="preserve"> megfelelőek és hatékonyak-e a szélesebb körű irányítási intézkedések és kockázatkezelési folyamatok, beleértve az általános kockázati kultúrát is.</w:t>
      </w:r>
    </w:p>
    <w:p w14:paraId="4251E29E" w14:textId="19637590" w:rsidR="00D173E4" w:rsidRPr="004B61B0" w:rsidRDefault="00BF23FF" w:rsidP="00EC596C">
      <w:pPr>
        <w:pStyle w:val="body"/>
        <w:numPr>
          <w:ilvl w:val="0"/>
          <w:numId w:val="10"/>
        </w:numPr>
      </w:pPr>
      <w:r w:rsidRPr="004B61B0">
        <w:lastRenderedPageBreak/>
        <w:t>Az illetékes hatóságoknak meg kell határozniuk, hogyan építsék be szakmai mérlegelésüket a kockázatértékelési munkájukba. A 4.4.4. szakasz e tekintetben előírja, hogy az AML/CFT felügyeleti kézikönyvnek lehetővé kell tennie az illetékes hatóságok számára, hogy biztosítsák a felügyeleti eszközök és a szakmai mérlegelés következetes alkalmazását.</w:t>
      </w:r>
    </w:p>
    <w:p w14:paraId="17A1D4B5" w14:textId="77777777" w:rsidR="00D173E4" w:rsidRPr="004B61B0" w:rsidRDefault="00D173E4">
      <w:r w:rsidRPr="004B61B0">
        <w:br w:type="page"/>
      </w:r>
    </w:p>
    <w:p w14:paraId="5A6FADF9" w14:textId="6150FFAB" w:rsidR="00CE14AE" w:rsidRPr="004B61B0" w:rsidRDefault="00EA094D" w:rsidP="00C568D1">
      <w:pPr>
        <w:pStyle w:val="Numberedtitlelevel3"/>
      </w:pPr>
      <w:r w:rsidRPr="004B61B0">
        <w:lastRenderedPageBreak/>
        <w:t>Az ML/TF kockázatok csoportszinten történő értékelése</w:t>
      </w:r>
    </w:p>
    <w:p w14:paraId="09721CDA" w14:textId="12B7BD26" w:rsidR="00CE14AE" w:rsidRPr="004B61B0" w:rsidRDefault="007F270B" w:rsidP="00EC596C">
      <w:pPr>
        <w:pStyle w:val="body"/>
        <w:numPr>
          <w:ilvl w:val="0"/>
          <w:numId w:val="10"/>
        </w:numPr>
      </w:pPr>
      <w:r w:rsidRPr="004B61B0">
        <w:t>Az (EU) 2015/849 irányelv alkalmazásában történő együttműködésről és információcseréről szóló, közös európai felügyeleti hatósági iránymutatásokkal</w:t>
      </w:r>
      <w:r w:rsidR="003D63BC" w:rsidRPr="004B61B0">
        <w:rPr>
          <w:rStyle w:val="FootnoteReference"/>
          <w:rFonts w:cstheme="minorHAnsi"/>
          <w:lang w:val="en-GB"/>
        </w:rPr>
        <w:footnoteReference w:id="16"/>
      </w:r>
      <w:r w:rsidRPr="004B61B0">
        <w:t xml:space="preserve"> összhangban vezető felügyeleti hatóságként eljáró illetékes hatóságoknak holisztikus képet kell kialakítaniuk azokról az ML/TF kockázatokról, amelyeknek a csoport részét képező értékelési alanyok ki vannak téve. Ez azt jelenti, hogy ezeknek az illetékes hatóságoknak valamennyi releváns hazai és külföldi kockázati tényezőt figyelembe véve ki kell dolgozniuk a felügyeletük alá tartozó értékelési alanyok kockázati profilját. Különös figyelmet kell fordítaniuk az értékelési alany határokon átnyúló műveleteihez és a csoport más joghatóságokban működő részeinek üzleti tevékenységeihez kapcsolódó kockázatokra, amelyek hatással lehetnek az értékelési alany általános kockázati profiljára. A kockázatértékelésnek tükröznie kell legalább az értékelési alanyt érintő, olyan országokkal szembeni kitettségekből eredő kockázatokat:</w:t>
      </w:r>
    </w:p>
    <w:p w14:paraId="79C9802E" w14:textId="77777777" w:rsidR="00CE14AE" w:rsidRPr="004B61B0"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B61B0">
        <w:t>amelyek esetében a Bizottság az (EU) 2015/849 irányelv 9. cikkével összhangban megállapította, hogy az országnak a pénzmosás és a terrorizmusfinanszírozás elleni küzdelmet célzó nemzeti rendszereit stratégiai hiányosságok jellemzik;</w:t>
      </w:r>
    </w:p>
    <w:p w14:paraId="42474C43" w14:textId="07FB0D0C" w:rsidR="00CE14AE" w:rsidRPr="004B61B0"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B61B0">
        <w:t xml:space="preserve"> amelyek esetében a jogszabályok tiltják a csoportszintű politikák és eljárások végrehajtását, és különösen amennyiben olyan helyzetek fordulnak elő, amikor az (EU) 2019/758 felhatalmazáson alapuló bizottsági rendeletet kell alkalmazni;</w:t>
      </w:r>
    </w:p>
    <w:p w14:paraId="44458161" w14:textId="4530395C" w:rsidR="005E00C8" w:rsidRPr="004B61B0"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B61B0">
        <w:t>amelyek hiteles és megbízható források szerint</w:t>
      </w:r>
      <w:r w:rsidR="00E16E94" w:rsidRPr="004B61B0">
        <w:rPr>
          <w:rStyle w:val="FootnoteReference"/>
        </w:rPr>
        <w:footnoteReference w:id="17"/>
      </w:r>
      <w:r w:rsidRPr="004B61B0">
        <w:t xml:space="preserve"> nagymértékben ki vannak téve a korrupciónak vagy a pénzmosás egyéb alapbűncselekményeinek;</w:t>
      </w:r>
    </w:p>
    <w:p w14:paraId="39813450" w14:textId="66155A82" w:rsidR="00CE14AE" w:rsidRPr="004B61B0"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4B61B0">
        <w:t>olyan országokkal vagy területekkel szembeni kitettségek, amelyekről ismert, hogy területükön terrorista szervezetek működnek, vagy amelyek ellen például az Egyesült Nemzetek Szervezete vagy az Európai Unió gazdasági pénzügyi szankciókat, embargókat vagy a terrorizmussal, a terrorizmus finanszírozásával vagy a fegyverek elterjedésével kapcsolatos intézkedéseket vezetett be; és</w:t>
      </w:r>
    </w:p>
    <w:p w14:paraId="2CC0C53E" w14:textId="5C3E1021" w:rsidR="00CE14AE" w:rsidRPr="004B61B0"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4B61B0">
        <w:t>amelyekben egynél több hiteles és megbízható forrásból származó információ szerint a joghatóság AML/CFT kontrollmechanizmusainak minőségére és hatékonyságára – többek között a hatósági végrehajtás és felügyelet minőségére és hatékonyságára – vonatkozóan súlyos aggályok merültek fel. Ebben az esetben a hiteles és megbízható források közé tartozhatnak a Pénzügyi Akció Munkacsoport (FATF) vagy a FATF-hez hasonló regionális testületek kölcsönös értékelő jelentései, a magas kockázatú és nem együttműködő országok és területek FATF által készített jegyzéke, a Nemzetközi Valutaalap (IMF) értékelései és a pénzügyi szektort értékelő program (FSAP) jelentései.</w:t>
      </w:r>
    </w:p>
    <w:p w14:paraId="7A5BAFBD" w14:textId="26DC9B6D" w:rsidR="00696DB5" w:rsidRPr="004B61B0" w:rsidRDefault="00696DB5" w:rsidP="00EC596C">
      <w:pPr>
        <w:pStyle w:val="body"/>
        <w:numPr>
          <w:ilvl w:val="0"/>
          <w:numId w:val="10"/>
        </w:numPr>
      </w:pPr>
      <w:r w:rsidRPr="004B61B0">
        <w:t xml:space="preserve">Annak érdekében, hogy információkat szerezzenek a valamely csoport részét képező értékelési alanyok kockázatértékeléséhez, a vezető felügyeleti hatóságként eljáró illetékes hatóságoknak együtt kell működniük a csoport részeinek AML/CFT felügyeletéért felelős más illetékes </w:t>
      </w:r>
      <w:r w:rsidRPr="004B61B0">
        <w:lastRenderedPageBreak/>
        <w:t>hatóságokkal, és ki kell cserélniük velük a releváns információkat. Határokon átnyúló csoportok esetében, ha létezik AML/CFT kollégium, a vezető felügyeleti hatóságnak a kockázatértékeléshez szükséges információk összegyűjtéséhez fel kell használnia a kollégiumban kicserélt információkat. Az értékelési alanyok fióktelepei vagy leányvállalatai tekintetében a szükséges információk közé tartoznak legalább a következőkkel kapcsolatos információk:</w:t>
      </w:r>
    </w:p>
    <w:p w14:paraId="2A71EC28" w14:textId="78435B98" w:rsidR="00E43CA2" w:rsidRPr="004B61B0"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4B61B0">
        <w:t xml:space="preserve"> a fióktelepek vagy leányvállalatok ML/TF kockázati profilja az adott joghatóságok érintett illetékes hatóságainak értékelése szerint;</w:t>
      </w:r>
    </w:p>
    <w:p w14:paraId="6F7D962A" w14:textId="4B1DBC7F" w:rsidR="00696DB5" w:rsidRPr="004B61B0"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4B61B0">
        <w:t>a fióktelepekkel vagy leányvállalatokkal rendelkező szektor ML/TF kockázati profilja az adott joghatóságok érintett illetékes hatóságainak értékelése szerint,</w:t>
      </w:r>
    </w:p>
    <w:p w14:paraId="3FF6CF15" w14:textId="4ED52BBA" w:rsidR="00696DB5" w:rsidRPr="004B61B0"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4B61B0">
        <w:t>az értékelési alany fióktelepein vagy leányvállalatain belül alkalmazott kontrollmechanizmusok minőségére vonatkozóan az illetékes hatóságok által végzett értékelések megállapításai;</w:t>
      </w:r>
    </w:p>
    <w:p w14:paraId="7A731BFC" w14:textId="1E96920E" w:rsidR="00696DB5" w:rsidRPr="004B61B0"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4B61B0">
        <w:t>a fióktelepeknél vagy leányvállalatoknál az érintett illetékes hatóságok által a saját joghatóságukban feltárt súlyos jogsértések vagy lényeges hiányosságok;</w:t>
      </w:r>
    </w:p>
    <w:p w14:paraId="2D059E11" w14:textId="62FB655F" w:rsidR="00696DB5" w:rsidRPr="004B61B0"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4B61B0">
        <w:t>az érintett illetékes hatóságok által a fióktelepek vagy leányvállalatok tekintetében a saját joghatóságukban kiszabott felügyeleti intézkedések és szankciók.</w:t>
      </w:r>
    </w:p>
    <w:p w14:paraId="4B8DAE0B" w14:textId="265F0B67" w:rsidR="00CE14AE" w:rsidRPr="004B61B0" w:rsidRDefault="000E2B47" w:rsidP="00EC596C">
      <w:pPr>
        <w:pStyle w:val="body"/>
        <w:numPr>
          <w:ilvl w:val="0"/>
          <w:numId w:val="10"/>
        </w:numPr>
      </w:pPr>
      <w:r w:rsidRPr="004B61B0">
        <w:t>Annak értékelésekor, hogy az értékelési alanyok hatékonyan hajtották-e végre a csoportszintű politikákat és eljárásokat a fióktelepeiken és leányvállalataiknál, a vezető felügyeleti hatóságként eljáró illetékes hatóságoknak a jelen iránymutatások 57. és 58. bekezdésében leírt, értékelési alanyokra vonatkozó kockázatértékelésre, és különösen azon földrajzi kockázatok értékelésére kell hagyatkozniuk, amelyeknek az értékelési alanyok fióktelepei és leányvállalatai ki vannak téve.</w:t>
      </w:r>
    </w:p>
    <w:p w14:paraId="155ABADC" w14:textId="274530BB" w:rsidR="00CE14AE" w:rsidRPr="004B61B0" w:rsidRDefault="00CE14AE" w:rsidP="00C568D1">
      <w:pPr>
        <w:pStyle w:val="Numberedtitlelevel3"/>
      </w:pPr>
      <w:r w:rsidRPr="004B61B0">
        <w:t>A kockázati tényezők súlyozása</w:t>
      </w:r>
    </w:p>
    <w:p w14:paraId="54BF3BC0" w14:textId="246B4642" w:rsidR="00CE14AE" w:rsidRPr="004B61B0" w:rsidRDefault="00CE14AE" w:rsidP="00EC596C">
      <w:pPr>
        <w:pStyle w:val="body"/>
        <w:numPr>
          <w:ilvl w:val="0"/>
          <w:numId w:val="10"/>
        </w:numPr>
      </w:pPr>
      <w:r w:rsidRPr="004B61B0">
        <w:t>Az illetékes hatóságoknak az RBS modell 1. lépése alapján azonosított szektorok és értékelési alanyok kockázati tényezőit azok viszonylagos jelentőségétől függően súlyozniuk kell. E tekintetben az illetékes hatóságoknak számos megfontolást kell figyelembe venniük:</w:t>
      </w:r>
    </w:p>
    <w:p w14:paraId="47640692" w14:textId="47EEB0B7" w:rsidR="00CE14AE" w:rsidRPr="004B61B0"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4B61B0">
        <w:t>Az eredendő kockázati tényezők súlyozásakor az illetékes hatóságoknak tájékozott döntést kell hozniuk a különböző tényezők relevanciájáról az adott szektor, alszektor vagy az egyes értékelési alanyok vonatkozásában. Az illetékes hatóságoknak az egyes értékelési alanyok tekintetében figyelembe kell venniük az ezen értékelési alanyokra vonatkozó szektori vagy alszektori kockázatértékelést.</w:t>
      </w:r>
    </w:p>
    <w:p w14:paraId="635CF65D" w14:textId="009CBF5E" w:rsidR="00CE14AE" w:rsidRPr="004B61B0"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4B61B0">
        <w:t>Az egyes kockázati tényezőkhöz rendelt súly szektoronként, alszektoronként vagy értékelési alanyonként eltérő lehet, azonban az illetékes hatóságoknak hasonló szektorok, alszektorok vagy értékelési alanyok esetében hasonló tényezőket kell alkalmazniuk.</w:t>
      </w:r>
    </w:p>
    <w:p w14:paraId="00643A23" w14:textId="5BEF4FEA" w:rsidR="00CE14AE" w:rsidRPr="004B61B0"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4B61B0">
        <w:t xml:space="preserve"> A kockázatok súlyozása nem vezethet olyan helyzethez, hogy lehetetlen legyen, hogy egy szektorot, alszektort vagy értékelési alanyt jelentős vagy nagyon jelentős kockázatként </w:t>
      </w:r>
      <w:r w:rsidRPr="004B61B0">
        <w:lastRenderedPageBreak/>
        <w:t>soroljanak be, és olyan helyzethez sem, hogy valamennyi szektor, alszektor vagy értékelési alany ugyanabba a kockázati kategóriába tartozzon.</w:t>
      </w:r>
    </w:p>
    <w:p w14:paraId="2016F6DB" w14:textId="65D58C0A" w:rsidR="00CE14AE" w:rsidRPr="004B61B0"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4B61B0">
        <w:t>A súlyozást nem befolyásolja aránytalanul csupán egyetlen tényező, és megfelelő figyelmet kell fordítani a 2015/849/EU irányelvben vagy a nemzeti szabályozásban felsorolt azon tényezőkre, amelyek minden esetben jelentős vagy magas fokú ML/TF kockázatot jelentenek. A kockázati tényezők súlyozásakor az illetékes hatóságoknak biztosítaniuk kell, hogy egyetlen kockázati tényező ne billenthesse el oly módon a teljes súlyozás egyensúlyát, hogy az értékelés aránytalanná és észszerűtlenné váljon.</w:t>
      </w:r>
    </w:p>
    <w:p w14:paraId="2C08F47F" w14:textId="1A2E8D9F" w:rsidR="001A181F" w:rsidRPr="004B61B0" w:rsidRDefault="00CE14AE" w:rsidP="00EC596C">
      <w:pPr>
        <w:pStyle w:val="body"/>
        <w:numPr>
          <w:ilvl w:val="0"/>
          <w:numId w:val="10"/>
        </w:numPr>
      </w:pPr>
      <w:r w:rsidRPr="004B61B0">
        <w:t>Amennyiben az illetékes hatóságok automatizált informatikai rendszereket használnak az általános kockázati pontszámok értékelési alanyokhoz történő hozzárendelésére, és különösen olyan esetekben, amikor e rendszereket nem saját maguk fejlesztették ki, hanem külső szolgáltatótól vásárolták, vagy más módon külső hozzájárulásra támaszkodnak, meg kell ismerniük, hogy a rendszer hogyan működik, és hogyan kombinálja vagy súlyozza a kockázati tényezőket az általános kockázati érték kiszámításához. Az illetékes hatóságoknak mindig meg kell győződniük arról, hogy a kiosztott pontszámok tükrözik az értékelési alannyal kapcsolatos ML/TF kockázatról alkotott képüket.</w:t>
      </w:r>
    </w:p>
    <w:p w14:paraId="6E987231" w14:textId="77777777" w:rsidR="00CE14AE" w:rsidRPr="004B61B0" w:rsidRDefault="00A94C7F" w:rsidP="00C568D1">
      <w:pPr>
        <w:pStyle w:val="Numberedtitlelevel3"/>
      </w:pPr>
      <w:r w:rsidRPr="004B61B0">
        <w:t>Kockázati profilok és kategóriák</w:t>
      </w:r>
    </w:p>
    <w:p w14:paraId="6961BBA2" w14:textId="4C6A376B" w:rsidR="00CE14AE" w:rsidRPr="004B61B0" w:rsidRDefault="00CE14AE" w:rsidP="00EC596C">
      <w:pPr>
        <w:pStyle w:val="body"/>
        <w:numPr>
          <w:ilvl w:val="0"/>
          <w:numId w:val="10"/>
        </w:numPr>
      </w:pPr>
      <w:r w:rsidRPr="004B61B0">
        <w:t xml:space="preserve">Az eredendő kockázat szintjére és a kockázatmérséklő intézkedések által az eredendő kockázati szintre gyakorolt hatásra vonatkozó értékelés eredményeképpen egy kockázati pontszámot adnak a szektornak, az alszektornak és az értékelési alanynak, amely megkönnyíti az értékelési alanyok összehasonlítását és a 3. lépésben megtett intézkedések megállapítását. </w:t>
      </w:r>
    </w:p>
    <w:p w14:paraId="65681D2D" w14:textId="21DCF145" w:rsidR="0099084D" w:rsidRPr="004B61B0" w:rsidRDefault="0099084D" w:rsidP="00EC596C">
      <w:pPr>
        <w:pStyle w:val="body"/>
        <w:numPr>
          <w:ilvl w:val="0"/>
          <w:numId w:val="10"/>
        </w:numPr>
      </w:pPr>
      <w:r w:rsidRPr="004B61B0">
        <w:t xml:space="preserve">Az illetékes hatóságoknak biztosítaniuk kell, hogy az értékelési alanynál, a szektorban vagy az alszektorban fennálló kockázatmérséklő tényezők értékelése megbízható információkon alapuljon, így például a fenti 45. bekezdés b) pontjában meghatározott információkon. Ilyen információk hiányában az illetékes hatóságoknak mérlegelniük kell, hogy indokolt-e a kockázatmérséklő tényezők figyelembevétele, és hogy a pontszámok kockázatmérséklő tényezőkhöz való hozzárendelése révén nem torzul-e az értékelési alany végső ML/TF kockázati pontszáma.  </w:t>
      </w:r>
    </w:p>
    <w:p w14:paraId="663433B1" w14:textId="2E838514" w:rsidR="0099084D" w:rsidRPr="004B61B0" w:rsidRDefault="0099084D" w:rsidP="00EC596C">
      <w:pPr>
        <w:pStyle w:val="body"/>
        <w:numPr>
          <w:ilvl w:val="0"/>
          <w:numId w:val="10"/>
        </w:numPr>
      </w:pPr>
      <w:r w:rsidRPr="004B61B0">
        <w:t>Amennyiben az illetékes hatóságok csak korlátozott vagy nem ellenőrzött információkkal rendelkeznek az értékelési alanynál, a szektorban és az alszektorban fennálló kockázatmérséklő tényezőkről, az eredendő kockázati profiljuk alapján kell kategorizálniuk az értékelési alanyokat, szektorokat és alszektorokat, és a fennmaradó kockázatra vonatkozó pontszámot csak akkor kell kiosztaniuk, amikor rendelkezésre állnak a vonatkozó információk.</w:t>
      </w:r>
    </w:p>
    <w:p w14:paraId="7BB0002A" w14:textId="06951D98" w:rsidR="00CE14AE" w:rsidRPr="004B61B0" w:rsidRDefault="00CE14AE" w:rsidP="00EC596C">
      <w:pPr>
        <w:pStyle w:val="body"/>
        <w:numPr>
          <w:ilvl w:val="0"/>
          <w:numId w:val="10"/>
        </w:numPr>
      </w:pPr>
      <w:r w:rsidRPr="004B61B0">
        <w:t>Az illetékes hatóságoknak szakmai mérlegelésüket kell felhasználniuk az értékelési alanyok vagy szektorok/alszektorok általános kockázatértékelési eredményeinek hitelesítéséhez, és amennyiben szükséges, azok korrigálásához.</w:t>
      </w:r>
    </w:p>
    <w:p w14:paraId="2A03368F" w14:textId="223E7756" w:rsidR="00D343F8" w:rsidRPr="004B61B0"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4B61B0">
        <w:t xml:space="preserve">Az illetékes hatóságoknak el kell dönteniük, hogy hogyan lehet a legmegfelelőbben kategorizálni az értékelési alanyok, szektorok és alszektorok kockázati profilját. A </w:t>
      </w:r>
      <w:r w:rsidRPr="004B61B0">
        <w:lastRenderedPageBreak/>
        <w:t xml:space="preserve">konvergencia elérése, valamint a különböző illetékes hatóságok közötti együttműködés és információcsere megkönnyítése érdekében az illetékes hatóságoknak fontolóra kell venniük, hogy az EBH ML/TF kockázatértékelési eljárásaival összhangban „nagyon jelentős”, „jelentős”, „mérsékelten jelentős” és „kevésbé jelentős” kategóriákba sorolják az értékelési alanyokat, szektorokat és alszektorokat. </w:t>
      </w:r>
    </w:p>
    <w:p w14:paraId="2D6D8307" w14:textId="5174D444" w:rsidR="00D343F8" w:rsidRPr="004B61B0"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4B61B0">
        <w:t xml:space="preserve">Az illetékes hatóságoknak biztosítaniuk kell, hogy kockázatértékelési eljárásaik lehetővé tegyék számukra az eredetileg fennálló és a fennmaradó kockázatok megkülönböztetését. Az értékelési alanyokhoz, szektorokhoz vagy alszektorokhoz kapcsolódó eredendő kockázat kategorizálásakor az illetékes hatóságoknak a következő kockázati kategóriákat kell figyelembe venniük: </w:t>
      </w:r>
    </w:p>
    <w:p w14:paraId="5D487C55" w14:textId="0A000D1F" w:rsidR="00CE14AE" w:rsidRPr="004B61B0"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B61B0">
        <w:t xml:space="preserve">kevésbé jelentős kockázat, ha az értékelési alanyt, szektorot vagy alszektort nagy valószínűséggel nem használják fel széles körben ML/TF célokra; </w:t>
      </w:r>
    </w:p>
    <w:p w14:paraId="40D6AC16" w14:textId="3F041EA0" w:rsidR="00CE14AE" w:rsidRPr="004B61B0"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B61B0">
        <w:t>mérsékelten jelentős kockázat, ha az értékelési alanyt, szektorot vagy alszektort valószínűleg nem használják fel széles körben ML/TF célokra;</w:t>
      </w:r>
    </w:p>
    <w:p w14:paraId="06948E5B" w14:textId="1C17BB17" w:rsidR="00CE14AE" w:rsidRPr="004B61B0"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B61B0">
        <w:t>jelentős kockázat, ha az értékelési alanyt, a szektorot vagy alszektort valószínűleg széles körben felhasználják ML/TF célokra; vagy</w:t>
      </w:r>
    </w:p>
    <w:p w14:paraId="0C25DBAE" w14:textId="55712876" w:rsidR="00CE14AE" w:rsidRPr="004B61B0"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4B61B0">
        <w:t>nagyon jelentős kockázat, ha az értékelési alanyt, szektorot vagy alszektort nagy valószínűséggel széles körben felhasználják ML/TF célokra.</w:t>
      </w:r>
    </w:p>
    <w:p w14:paraId="2369528B" w14:textId="615220F5" w:rsidR="00CE14AE" w:rsidRPr="004B61B0" w:rsidRDefault="00CE14AE" w:rsidP="00EC596C">
      <w:pPr>
        <w:pStyle w:val="body"/>
        <w:numPr>
          <w:ilvl w:val="0"/>
          <w:numId w:val="10"/>
        </w:numPr>
      </w:pPr>
      <w:r w:rsidRPr="004B61B0">
        <w:t xml:space="preserve">Az értékelési alanyokhoz, szektorokhoz vagy alszektorokhoz kapcsolódó fennmaradó kockázat kategorizálásakor az illetékes hatóságoknak figyelembe kell venniük, hogy a kockázatmérséklő intézkedések milyen hatással lehetnek az értékelési alanyokhoz, szektorokhoz és alszektorokhoz kapcsolódó eredendő kockázatra. Az illetékes hatóságoknak a négy kockázati kategóriát az alábbiak szerint kell alkalmazniuk a fennmaradó kockázat kategorizálására: </w:t>
      </w:r>
    </w:p>
    <w:p w14:paraId="1A90580B" w14:textId="77777777" w:rsidR="00CE14AE" w:rsidRPr="004B61B0"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B61B0">
        <w:t>kevésbé jelentős kockázat, amennyiben az eredendő kockázat kevésbé jelentős, és a kockázati profilt a kockázatcsökkentés nem befolyásolja, vagy amennyiben az eredendő kockázat mérsékelten jelentős vagy jelentős, de azt az AML/CFT rendszerek és kontrollmechanizmusok hatékonyan csökkentik;</w:t>
      </w:r>
    </w:p>
    <w:p w14:paraId="2E8E64A8" w14:textId="77777777" w:rsidR="00CE14AE" w:rsidRPr="004B61B0"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B61B0">
        <w:t xml:space="preserve">mérsékelten jelentős kockázat, ha az eredendő kockázat mérsékelten jelentős, és a kockázati profilra a kockázatcsökkentés nem gyakorol hatást, vagy ha az eredendő kockázat jelentős vagy nagyon jelentős, de azt az AML/CFT-rendszerek és -kontrollmechanizmusok hatékonyan csökkentik; </w:t>
      </w:r>
    </w:p>
    <w:p w14:paraId="27B83F86" w14:textId="77777777" w:rsidR="00CE14AE" w:rsidRPr="004B61B0"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B61B0">
        <w:t xml:space="preserve">jelentős kockázat, ha az eredendő kockázati kitettség jelentős, és a kockázati profilt nem befolyásolja a kockázatcsökkentés, vagy ha az eredendő kockázat nagyon jelentős, de azt az AML/CFT-rendszerek és -kontrollmechanizmusok hatékonyan csökkentik; vagy </w:t>
      </w:r>
    </w:p>
    <w:p w14:paraId="6269BDE3" w14:textId="4710F311" w:rsidR="00CE14AE" w:rsidRPr="004B61B0"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4B61B0">
        <w:t xml:space="preserve">nagyon jelentős kockázat, ha az eredendő kockázat nagyon jelentős, és a kockázatcsökkentéstől függetlenül a kockázati profilra a kockázatcsökkentés nem gyakorol hatást, vagy ha az eredendő kockázat nagyon jelentős, és azt az AML/CFT-rendszerek és -kontrollmechanizmusok rendszerszintű hiányosságai miatt az értékelési alanynál vagy a </w:t>
      </w:r>
      <w:r w:rsidRPr="004B61B0">
        <w:lastRenderedPageBreak/>
        <w:t xml:space="preserve">szektorba tartozó értékelési alanyok többségénél nem csökkentik hatékonyan. </w:t>
      </w:r>
    </w:p>
    <w:p w14:paraId="49C3DFF2" w14:textId="47106D72" w:rsidR="00701E89" w:rsidRPr="004B61B0"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4B61B0">
        <w:t>Amennyiben az illetékes hatóságok úgy döntenek, hogy nem alkalmazzák a fenti 69., 70. és 71. bekezdésben meghatározott kockázati besorolást, akkor képesnek kell lenniük arra, hogy saját kockázati kategóriáikat átváltsák a jelen iránymutatásokban ajánlott kategóriákra. Az illetékes hatóságoknak a kockázati kategóriák átváltásakor a jelen iránymutatás mellékletében leírt konzervatív megközelítést kell alkalmazniuk.</w:t>
      </w:r>
    </w:p>
    <w:p w14:paraId="7A732612" w14:textId="77777777" w:rsidR="00CE14AE" w:rsidRPr="004B61B0" w:rsidRDefault="00CE14AE" w:rsidP="004D193D">
      <w:pPr>
        <w:pStyle w:val="body"/>
        <w:numPr>
          <w:ilvl w:val="0"/>
          <w:numId w:val="10"/>
        </w:numPr>
        <w:spacing w:after="0"/>
      </w:pPr>
      <w:r w:rsidRPr="004B61B0">
        <w:t>Az illetékes hatóságoknak figyelembe kell venniük, hogy az értékelési alanyok ML/TF szempontból történő kategóriákba sorolásának eredménye eltérhet az ugyanezen alanyok szélesebb körű tevékenységi kockázat és prudenciális kockázat szerinti csoportba sorolásának eredményétől.</w:t>
      </w:r>
    </w:p>
    <w:p w14:paraId="2E88749B" w14:textId="251CBF4E" w:rsidR="00CE14AE" w:rsidRPr="004B61B0" w:rsidRDefault="00CE14AE" w:rsidP="004D193D">
      <w:pPr>
        <w:pStyle w:val="body"/>
        <w:numPr>
          <w:ilvl w:val="0"/>
          <w:numId w:val="10"/>
        </w:numPr>
        <w:spacing w:after="0"/>
      </w:pPr>
      <w:r w:rsidRPr="004B61B0">
        <w:t>Amennyiben az illetékes hatóság automatizált informatikai rendszert használ az egyes értékelési alanyok kockázati profiljának vagy pontszámának meghatározására, az illetékes hatóságoknak számításba kell venniük azokat a helyzeteket, amikor szakmai mérlegelésük alapján az RBS modell 4. lépésében meghatározott felülvizsgálati eljáráson túlmenően is módosítaniuk kell az automatizált pontozás eredményeit. Az illetékes hatóságok dönthetnek úgy, hogy saját szakmai mérlegelésükre támaszkodnak, ha olyan információk állnak rendelkezésre, amelyek arra utalnak, hogy az összesített kockázati besorolás nem tükrözi hűen a valóságot, beleértve a pénzügyi információs egységektől, a médiában megjelenő beszámolókból, más felügyeletektől vagy a helyszíni és a helyszínen kívüli felügyeletből származó információkat. Az illetékes hatóságnak egyértelműen dokumentálnia kell a kockázati profil vagy a pontszám ilyen jellegű módosításainak indokolását.</w:t>
      </w:r>
    </w:p>
    <w:p w14:paraId="43EE1FB9" w14:textId="77777777" w:rsidR="00CE14AE" w:rsidRPr="004B61B0" w:rsidRDefault="00CE14AE" w:rsidP="00C568D1">
      <w:pPr>
        <w:pStyle w:val="Numberedtitlelevel2"/>
      </w:pPr>
      <w:r w:rsidRPr="004B61B0">
        <w:t>3. lépés – Felügyelet</w:t>
      </w:r>
    </w:p>
    <w:p w14:paraId="2143C5A4" w14:textId="77777777" w:rsidR="00790EFE" w:rsidRPr="004B61B0" w:rsidRDefault="00790EFE" w:rsidP="00790EFE">
      <w:pPr>
        <w:pStyle w:val="Numberedtitlelevel3"/>
      </w:pPr>
      <w:r w:rsidRPr="004B61B0">
        <w:t>Általános rendelkezések</w:t>
      </w:r>
    </w:p>
    <w:p w14:paraId="4001D85B" w14:textId="5AE3DFB0" w:rsidR="00790EFE" w:rsidRPr="004B61B0" w:rsidRDefault="00790EFE" w:rsidP="00EC596C">
      <w:pPr>
        <w:pStyle w:val="body"/>
        <w:numPr>
          <w:ilvl w:val="0"/>
          <w:numId w:val="10"/>
        </w:numPr>
      </w:pPr>
      <w:r w:rsidRPr="004B61B0">
        <w:t>Az illetékes hatóságoknak biztosítaniuk kell, hogy a jelentős és nagyon jelentős ML/TF kockázatoknak kitett értékelési alanyokra gyakoribb és behatóbb felügyeleti intézkedések vonatkozzanak, mint a mérsékelt vagy kevésbé jelentős kockázatoknak kitett alanyokra. Az illetékes hatóságoknak az alábbi elemek közül egy vagy több elem kiigazításával korrigálniuk kell felügyeleti megközelítésüket:</w:t>
      </w:r>
    </w:p>
    <w:p w14:paraId="21D5E23E" w14:textId="75442E2B" w:rsidR="00790EFE" w:rsidRPr="004B61B0"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B61B0">
        <w:t xml:space="preserve">a felügyelet jellege, a helyszíni és a helyszínen kívüli felügyeleti eszközök arányának kiigazításával; </w:t>
      </w:r>
    </w:p>
    <w:p w14:paraId="25552D6E" w14:textId="41DDA220" w:rsidR="00790EFE" w:rsidRPr="004B61B0"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B61B0">
        <w:t>a felügyelet súlypontja, oly módon, hogy vagy az értékelési alanyoknál bevezetett általános AML/CFT keretrendszerre, vagy meghatározott ML/TF kockázatok kezelésére összpontosítanak, beleértve az egyes termékekhez vagy szolgáltatásokhoz kapcsolódó kockázatokat, vagy az AML/CFT folyamatok meghatározott szempontjaira összpontosítanak, így például az ügyfél-azonosításra, a kockázatértékelésre, a folyamatos monitoring- és jelentéstételi tevékenységekre;</w:t>
      </w:r>
    </w:p>
    <w:p w14:paraId="4FBCA4AF" w14:textId="77777777" w:rsidR="00790EFE" w:rsidRPr="004B61B0"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B61B0">
        <w:t xml:space="preserve">a felügyelet gyakorisága, annak biztosításával, hogy a jelentősebb ML/TF kockázatoknak </w:t>
      </w:r>
      <w:r w:rsidRPr="004B61B0">
        <w:lastRenderedPageBreak/>
        <w:t>kitett értékelési alanyokat gyakrabban felügyeljék, mint a kevésbé jelentős kockázatoknak kitett értékelési alanyokat; és</w:t>
      </w:r>
    </w:p>
    <w:p w14:paraId="1306B19B" w14:textId="77777777" w:rsidR="00790EFE" w:rsidRPr="004B61B0"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4B61B0">
        <w:t>a felügyelet intenzitása és a beavatkozás mértéke, a kockázat alapján meghatározva a helyszínen végzett ügyféladat-vizsgálat, a tranzakciók és a gyanús tranzakciókhoz kapcsolódó jelentések mintavételezésének mértékét. Az illetékes hatóságok figyelembe veszik, hogy egy olyan felülvizsgálat, amely csak a szabályzatok és az eljárások értékelésén alapul, nem pedig azok végrehajtásán, vélhetően nem elégséges olyan helyzetekben, amikor jelentősebb az ML/TF kockázatoknak való kitettség.</w:t>
      </w:r>
    </w:p>
    <w:p w14:paraId="02D84D98" w14:textId="77777777" w:rsidR="00CE14AE" w:rsidRPr="004B61B0" w:rsidRDefault="00CE14AE" w:rsidP="00DB6888">
      <w:pPr>
        <w:pStyle w:val="Numberedtitlelevel3"/>
        <w:numPr>
          <w:ilvl w:val="2"/>
          <w:numId w:val="52"/>
        </w:numPr>
      </w:pPr>
      <w:r w:rsidRPr="004B61B0">
        <w:t>Felügyeleti stratégia</w:t>
      </w:r>
    </w:p>
    <w:p w14:paraId="1D01EC40" w14:textId="0426673F" w:rsidR="00CE14AE" w:rsidRPr="004B61B0" w:rsidRDefault="00CE14AE" w:rsidP="00DB32D1">
      <w:pPr>
        <w:pStyle w:val="body"/>
        <w:numPr>
          <w:ilvl w:val="0"/>
          <w:numId w:val="10"/>
        </w:numPr>
      </w:pPr>
      <w:r w:rsidRPr="004B61B0">
        <w:t xml:space="preserve">Az illetékes hatóságoknak hosszabb távú AML/CFT felügyeleti stratégiát kell meghatározniuk és végrehajtaniuk, amelyben megadják, hogy hogyan fogják csökkenteni az általuk feltárt ML/TF kockázatokat a felügyeletük alá tartozó valamennyi szektorban és adott esetben alszektorban. A stratégiának az illetékes hatóságok által a </w:t>
      </w:r>
      <w:r w:rsidR="00D46B19">
        <w:t>4.</w:t>
      </w:r>
      <w:r w:rsidRPr="004B61B0">
        <w:t>3. iránymutatással összhangban elvégzett szektori szintű kockázatértékelésen kell alapulnia.</w:t>
      </w:r>
    </w:p>
    <w:p w14:paraId="6DD1236C" w14:textId="745AA10E" w:rsidR="00CE14AE" w:rsidRPr="004B61B0" w:rsidRDefault="00CE14AE" w:rsidP="004D193D">
      <w:pPr>
        <w:pStyle w:val="body"/>
        <w:widowControl w:val="0"/>
        <w:numPr>
          <w:ilvl w:val="0"/>
          <w:numId w:val="10"/>
        </w:numPr>
        <w:autoSpaceDE w:val="0"/>
        <w:autoSpaceDN w:val="0"/>
        <w:spacing w:before="160" w:after="0" w:line="273" w:lineRule="auto"/>
        <w:ind w:left="720"/>
      </w:pPr>
      <w:r w:rsidRPr="004B61B0">
        <w:t>Az illetékes hatóságoknak a stratégiában egyértelmű célokat kell meghatározniuk az AML/CFT felügyeletet érintő megközelítésükre vonatkozóan, és meg kell adniuk, hogy hogyan fogják ezeket a célokat a meghatározott időkereten belül és a rendelkezésre álló erőforrásokkal elérni. Ennek részeként a felügyeleti stratégiának a következőket kell tartalmaznia:</w:t>
      </w:r>
    </w:p>
    <w:p w14:paraId="0B48CDB7" w14:textId="53E17CE3" w:rsidR="00CE14AE" w:rsidRPr="004B61B0"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B61B0">
        <w:t>ki kell fejtenie, hogy az illetékes hatóságok hogyan kívánnak a felügyeletük alá tartozó szektorokban és alszektorokban feltárt, meglévő ML/TF kockázatok mérséklésén munkálkodni;</w:t>
      </w:r>
    </w:p>
    <w:p w14:paraId="0308931E" w14:textId="2FEEC64F" w:rsidR="00CE14AE" w:rsidRPr="004B61B0"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B61B0">
        <w:t>ki kell fejtenie, hogyan fogják biztosítani, hogy valamennyi szektorban és alszektorban, köztük az alacsonyabb ML/TF kockázatokkal járó szektorokban is az ML/TF kockázattal arányos, megfelelő felügyeleti lefedettség és nyomon követés valósuljon meg. A stratégiának ki kell fejtenie különösen, hogy hogyan fogják biztosítani, hogy azon szektorok esetében, amelyekhez jelentősebb ML/TF kockázatok társulnak, nagyobb legyen a felügyeleti lefedettség;</w:t>
      </w:r>
    </w:p>
    <w:p w14:paraId="7B008AC3" w14:textId="763A9505" w:rsidR="00CE14AE" w:rsidRPr="004B61B0"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B61B0">
        <w:t>meg kell adnia, hogy az illetékes hatóságok az ezen iránymutatás 4.4.4. szakaszában leírt mely típusú kockázatok kezelésére milyen típusú felügyeleti eszközöket fognak alkalmazni;</w:t>
      </w:r>
    </w:p>
    <w:p w14:paraId="5ED842C4" w14:textId="08968B1D"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4B61B0">
        <w:t>adott esetben meg kell határoznia a felügyeleti ellenőrzések és felülvizsgálatok ciklusait, amelyeknek megfelelően az egyes kockázati kategóriákba tartozó értékelési alanyokat felügyelni fogják, és meg kell állapítania az egyes ciklusokban alkalmazandó felügyeleti eszközök típusát;</w:t>
      </w:r>
    </w:p>
    <w:p w14:paraId="126379C8" w14:textId="3CF53BCC" w:rsidR="00A132DF" w:rsidRPr="004B61B0"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29864793" w14:textId="666EF388" w:rsidR="00CE14AE" w:rsidRDefault="00892D31" w:rsidP="004D193D">
      <w:pPr>
        <w:pStyle w:val="ListParagraph"/>
        <w:widowControl w:val="0"/>
        <w:numPr>
          <w:ilvl w:val="1"/>
          <w:numId w:val="34"/>
        </w:numPr>
        <w:tabs>
          <w:tab w:val="left" w:pos="941"/>
          <w:tab w:val="left" w:pos="942"/>
        </w:tabs>
        <w:autoSpaceDE w:val="0"/>
        <w:autoSpaceDN w:val="0"/>
        <w:spacing w:before="160" w:line="273" w:lineRule="auto"/>
        <w:jc w:val="both"/>
      </w:pPr>
      <w:r w:rsidRPr="00E6582A">
        <w:t xml:space="preserve">meghatározza a felügyeleti stratégia végrehajtásához szükséges felügyeleti erőforrásokat, és biztosítja, hogy elegendő forrás álljon a rendelkezésükre. A szükséges erőforrások meghatározásakor az illetékes hatóságoknak figyelembe kell venniük a feladataik hatékony </w:t>
      </w:r>
      <w:r w:rsidRPr="00E6582A">
        <w:lastRenderedPageBreak/>
        <w:t>ellátásához szükséges technológiai erőforrásokat is, különösen akkor, ha a technológia alapvető fontosságú az adott ágazatok működéséhez</w:t>
      </w:r>
      <w:r w:rsidR="009C71BB" w:rsidRPr="004B61B0">
        <w:t>;</w:t>
      </w:r>
    </w:p>
    <w:p w14:paraId="4981A4B6" w14:textId="623545AF"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4B61B0"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4B61B0">
        <w:t>ki kell fejtenie, hogy az illetékes hatóságok hogyan fogják hatékonyan kezelni és megoldani az újonnan megjelenő kockázatokat e kockázatok felmerülésekor, olyan módon, hogy az ne legyen káros hatással a teljes stratégiára.</w:t>
      </w:r>
    </w:p>
    <w:p w14:paraId="5774158D" w14:textId="4782FA98" w:rsidR="00CE14AE" w:rsidRPr="004B61B0" w:rsidRDefault="00CE14AE" w:rsidP="00DB6888">
      <w:pPr>
        <w:pStyle w:val="Numberedtitlelevel3"/>
        <w:numPr>
          <w:ilvl w:val="2"/>
          <w:numId w:val="52"/>
        </w:numPr>
      </w:pPr>
      <w:r w:rsidRPr="004B61B0">
        <w:t>AML/CFT felügyeleti terv</w:t>
      </w:r>
    </w:p>
    <w:p w14:paraId="292481F7" w14:textId="36EE6130" w:rsidR="006B19CA" w:rsidRPr="004B61B0" w:rsidRDefault="00CE14AE" w:rsidP="00EC596C">
      <w:pPr>
        <w:pStyle w:val="body"/>
        <w:numPr>
          <w:ilvl w:val="0"/>
          <w:numId w:val="10"/>
        </w:numPr>
      </w:pPr>
      <w:r w:rsidRPr="004B61B0">
        <w:t>Az illetékes hatóságoknak minden értékelési alanyra vonatkozóan felügyeleti tervet kell meghatározniuk és bevezetniük, amely kifejti, hogy hogyan fogják a gyakorlatban végrehajtani felügyeleti stratégiájukat. Az illetékes hatóságoknak el kell dönteniük, hogy milyen időszakot öleljen fel a felügyeleti terv, amely lehet például éves vagy kétéves felügyeleti terv, adott esetben a szélesebb körű szervezeti korlátok figyelembevételével.</w:t>
      </w:r>
    </w:p>
    <w:p w14:paraId="1B6BAA60" w14:textId="426B31EC" w:rsidR="00CE14AE" w:rsidRPr="004B61B0" w:rsidRDefault="00701095" w:rsidP="00EC596C">
      <w:pPr>
        <w:pStyle w:val="body"/>
        <w:numPr>
          <w:ilvl w:val="0"/>
          <w:numId w:val="10"/>
        </w:numPr>
      </w:pPr>
      <w:r w:rsidRPr="004B61B0">
        <w:t>Az illetékes hatóságoknak össze kell hangolniuk a felügyeleti stratégia által lefedett teljes időszakra vonatkozó összes felügyeleti tervet annak érdekében, hogy biztosítsák a közöttük lévő egyensúlyt, és hogy e tervek együttesen a felügyeleti stratégia végrehajtását szolgálják. Ez azt jelenti, hogy amennyiben a felügyeleti stratégiát ötéves időszakra határozzák meg, de a felügyeleti terveket évente dolgozzák ki, az illetékes hatóságoknak biztosítaniuk kell, hogy az ötéves időszak alatt az összes éves terv együttesen megvalósítsa a stratégiát.</w:t>
      </w:r>
    </w:p>
    <w:p w14:paraId="0C73EAC9" w14:textId="467DB007" w:rsidR="00CE14AE" w:rsidRPr="004B61B0" w:rsidRDefault="00CE14AE" w:rsidP="00EC596C">
      <w:pPr>
        <w:pStyle w:val="body"/>
        <w:numPr>
          <w:ilvl w:val="0"/>
          <w:numId w:val="10"/>
        </w:numPr>
      </w:pPr>
      <w:r w:rsidRPr="004B61B0">
        <w:t xml:space="preserve"> A felügyeleti tervben az illetékes hatóságoknak egyértelműen meg kell határozniuk azokat a felügyeleti eszközöket, amelyeket a stratégiájukkal összhangban céljaik elérése érdekében az értékelési alanyok tekintetében alkalmazni fognak. Az illetékes hatóságoknak az egyes értékelési alanyokra vonatkozó kockázatértékeléseket kell felhasználniuk az adott értékelési alany esetében alkalmazandó felügyeleti eszközök kiválasztásának finomhangolásához, az adott értékelési alanyra jellemző kockázatokra összpontosítva.</w:t>
      </w:r>
    </w:p>
    <w:p w14:paraId="5602E68D" w14:textId="2E42D065" w:rsidR="00CE14AE" w:rsidRPr="004B61B0" w:rsidRDefault="00CE14AE" w:rsidP="00EC596C">
      <w:pPr>
        <w:pStyle w:val="body"/>
        <w:numPr>
          <w:ilvl w:val="0"/>
          <w:numId w:val="10"/>
        </w:numPr>
      </w:pPr>
      <w:r w:rsidRPr="004B61B0">
        <w:t xml:space="preserve">Az illetékes hatóságoknak a tervben meg kell határozniuk, hogy hogyan fogják a </w:t>
      </w:r>
      <w:r w:rsidR="00D46B19">
        <w:t>4.</w:t>
      </w:r>
      <w:r w:rsidRPr="004B61B0">
        <w:t>3. iránymutatással összhangban kialakított kockázati profilnak megfelelően elosztani a felügyeleti erőforrásokat az értékelési alanyok között.</w:t>
      </w:r>
    </w:p>
    <w:p w14:paraId="48539EA4" w14:textId="7C91A849" w:rsidR="00CE14AE" w:rsidRPr="004B61B0" w:rsidRDefault="00CE14AE" w:rsidP="00EC596C">
      <w:pPr>
        <w:pStyle w:val="body"/>
        <w:numPr>
          <w:ilvl w:val="0"/>
          <w:numId w:val="10"/>
        </w:numPr>
      </w:pPr>
      <w:r w:rsidRPr="004B61B0">
        <w:t>Az illetékes hatóságoknak fel kell ismerniük, hogy a jelentős vagy a nagyon jelentős ML/TF kockázati besorolású értékelési alanyok nem biztos, hogy rendszerszinten jelentősek. Ezért annak eldöntésekor, hogy melyek lennének a legmegfelelőbb AML/CFT felügyeleti eszközök, az illetékes hatóságoknak az ML/TF kockázatértékelésükre kell hivatkozniuk, és nem támaszkodhatnak rendelkezésre állásuk esetén a prudenciális vagy ügymeneti kockázatértékeléseikre; nem tehetik meg azt sem, hogy csak a rendszerszinten jelentős értékelési alanyokat veszik figyelembe. Az illetékes hatóságoknak figyelembe kell venniük, hogy nem feltétlenül helyes AML/CFT felügyeleti célból a prudenciális vagy az ügymeneti kockázatok szintjéből következtetéseket levonni.</w:t>
      </w:r>
    </w:p>
    <w:p w14:paraId="4AF9D73D" w14:textId="2FF3C220" w:rsidR="00CE14AE" w:rsidRPr="004B61B0" w:rsidDel="005A35A4" w:rsidRDefault="00B35AA6" w:rsidP="00EC596C">
      <w:pPr>
        <w:pStyle w:val="body"/>
        <w:numPr>
          <w:ilvl w:val="0"/>
          <w:numId w:val="10"/>
        </w:numPr>
      </w:pPr>
      <w:r w:rsidRPr="004B61B0">
        <w:t xml:space="preserve">Az illetékes hatóságoknak biztosítaniuk kell, hogy az AML/CFT felügyeleti terv független legyen a prudenciális felügyeleti tervtől; jóllehet olykor átfedések lehetnek az illetékes hatóságok, </w:t>
      </w:r>
      <w:r w:rsidRPr="004B61B0">
        <w:lastRenderedPageBreak/>
        <w:t>illetve a prudenciális felügyeletek által ellenőrzött értékelési alanyok között, és közös vagy kiegészítő felügyeleti eszközök alkalmazására kerülhet sor. Az illetékes hatóságok felelőssége azonban annak biztosítása, hogy ezen intézkedések eredményeként teljes mértékben teljesüljenek az AML/CFT felügyeleti célkitűzések.</w:t>
      </w:r>
    </w:p>
    <w:p w14:paraId="2FBEA036" w14:textId="356B102E" w:rsidR="00D63347" w:rsidRPr="004B61B0" w:rsidRDefault="00CA689B" w:rsidP="00EC596C">
      <w:pPr>
        <w:pStyle w:val="body"/>
        <w:numPr>
          <w:ilvl w:val="0"/>
          <w:numId w:val="10"/>
        </w:numPr>
      </w:pPr>
      <w:r w:rsidRPr="004B61B0">
        <w:t>Az AML/CFT felügyeleti terv kidolgozása során az illetékes hatóságoknak biztosítaniuk kell, hogy tartalékokról gondoskodjanak arra az esetre, ha a helyszíni vagy helyszínen kívüli felügyelet során vagy más megbízható forrásokból olyan új kockázatokat tárnak fel, amelyek megfelelő és kellő időben történő reagálást igényelnek az illetékes hatóságok részéről.</w:t>
      </w:r>
    </w:p>
    <w:p w14:paraId="6DC31AF2" w14:textId="49D7BA9D" w:rsidR="00CE14AE" w:rsidRPr="004B61B0" w:rsidRDefault="00D63347" w:rsidP="00EC596C">
      <w:pPr>
        <w:pStyle w:val="body"/>
        <w:numPr>
          <w:ilvl w:val="0"/>
          <w:numId w:val="10"/>
        </w:numPr>
      </w:pPr>
      <w:r w:rsidRPr="004B61B0">
        <w:t>Amennyiben az illetékes hatóságoknak az új körülményekhez való alkalmazkodás vagy a felmerülő ML/TF kockázatok kezelése érdekében módosítaniuk kell az eredeti AML/CFT felügyeleti tervet, így például az új körülményekhez való alkalmazkodás érdekében a helyszínen kívüli felügyeletről a helyszíni felügyeletre vagy a tematikus felülvizsgálatokról a teljes körű vizsgálatokra kell áttérniük, a felügyeleti terv ezen módosításainak feldolgozása során megfelelő belső irányítási szabályokkal kell rendelkezniük. Az illetékes hatóságoknak minden ilyen változást megfelelően dokumentálniuk kell, és ki kell fejteniük, hogy a tervben bekövetkezett változások által érintett értékelési alanyok felügyeletét hogyan és mikor fogják elvégezni.</w:t>
      </w:r>
    </w:p>
    <w:p w14:paraId="70EDA34F" w14:textId="77777777" w:rsidR="00CE14AE" w:rsidRPr="004B61B0" w:rsidRDefault="00CE14AE" w:rsidP="00DB6888">
      <w:pPr>
        <w:pStyle w:val="Numberedtitlelevel3"/>
        <w:numPr>
          <w:ilvl w:val="2"/>
          <w:numId w:val="52"/>
        </w:numPr>
      </w:pPr>
      <w:r w:rsidRPr="004B61B0">
        <w:t>Felügyeleti eszközök</w:t>
      </w:r>
    </w:p>
    <w:p w14:paraId="194F4CCD" w14:textId="32B818BF" w:rsidR="00C852CA" w:rsidRPr="004B61B0" w:rsidRDefault="00C852CA" w:rsidP="00C852CA">
      <w:pPr>
        <w:pStyle w:val="body"/>
        <w:numPr>
          <w:ilvl w:val="0"/>
          <w:numId w:val="10"/>
        </w:numPr>
        <w:rPr>
          <w:szCs w:val="22"/>
        </w:rPr>
      </w:pPr>
      <w:r w:rsidRPr="004B61B0">
        <w:t>Az illetékes hatóságoknak fel kell ismerniük, hogy az egyes értékelési alanyok, szektorok és alszektorok különböző mértékű ML/TF kockázatnak vannak kitéve, ezért az alkalmazott felügyeleti eszközök típusa és gyakorisága eltérő lehet körükben. A felügyeleti erőforrások hatékony felhasználásának biztosítása érdekében az illetékes hatóságoknak olyan felügyeleti eszközöket kell választaniuk, amelyek valószínűleg nagyobb hatást gyakorolnak az értékelési alanyok megfelelésére, vagy lehetővé teszik az illetékes hatóságok számára, hogy egy szektor nagyobb részét lefedjék. Amennyiben az illetékes hatóságok jobban meg akarják érteni, hogy valamely szektorban vagy az értékelési alanyok bizonyos típusainál hogyan kezelik az ML/TF kockázatokat, ennek elérése érdekében fontolóra kell venniük a tematikus felülvizsgálatok alkalmazását.</w:t>
      </w:r>
    </w:p>
    <w:p w14:paraId="679EEF07" w14:textId="3F947D4D" w:rsidR="00CE14AE" w:rsidRPr="004B61B0" w:rsidRDefault="00CE14AE" w:rsidP="00EC596C">
      <w:pPr>
        <w:pStyle w:val="body"/>
        <w:numPr>
          <w:ilvl w:val="0"/>
          <w:numId w:val="10"/>
        </w:numPr>
      </w:pPr>
      <w:r w:rsidRPr="004B61B0">
        <w:t>Az illetékes hatóságoknak jól kell ismerniük a felügyeleti stratégiájuk és tervük végrehajtásához rendelkezésükre álló valamennyi felügyeleti eszközt. Meg kell ismerniük az egyes felügyeleti eszközök előnyeit és hátrányait, ezen belül az egyes felügyeleti eszközökkel elérhető beavatkozás és intenzitás szintjét, és mérlegelniük kell, hogyan tudják a rendelkezésükre álló felügyeleti eszközök legszélesebb körét eredményesen felhasználni, ideértve többek között a teljes körű vagy részleges helyszíni vizsgálatokat, az eseti vizsgálatokat, a témavizsgálatokat, az AML/CFT adatszolgáltatásokat, az utóvizsgálatokat, a helyszínen kívüli felülvizsgálatokat, valamint a szektornak adott visszajelzést és iránymutatást.</w:t>
      </w:r>
    </w:p>
    <w:p w14:paraId="5744DDF2" w14:textId="5FE10ABD" w:rsidR="008B168B" w:rsidRPr="004B61B0" w:rsidRDefault="00860C0B" w:rsidP="00EC596C">
      <w:pPr>
        <w:pStyle w:val="body"/>
        <w:numPr>
          <w:ilvl w:val="0"/>
          <w:numId w:val="10"/>
        </w:numPr>
      </w:pPr>
      <w:r w:rsidRPr="004B61B0">
        <w:t xml:space="preserve">Az illetékes hatóságoknak az értékelési alanyok szempontjából leghatékonyabb felügyeleti eszközöket kell kiválasztaniuk egy-egy adott felügyeleti szükséglet kezelése vagy cél elérése érdekében. A felügyeleti eszközök kiválasztásakor az illetékes hatóságoknak szektori és egyedi </w:t>
      </w:r>
      <w:r w:rsidRPr="004B61B0">
        <w:lastRenderedPageBreak/>
        <w:t>ML/TF kockázatértékeléseikre kell hivatkozniuk, valamint figyelembe kell venniük a következőket:</w:t>
      </w:r>
    </w:p>
    <w:p w14:paraId="0803772B" w14:textId="77777777" w:rsidR="008B168B" w:rsidRPr="004B61B0"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B61B0">
        <w:t>az illetékes hatóság felügyelete alá tartozó értékelési alanyok és szektorok száma;</w:t>
      </w:r>
    </w:p>
    <w:p w14:paraId="07FF4F77" w14:textId="77777777" w:rsidR="008B168B" w:rsidRPr="004B61B0"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B61B0">
        <w:t>a különböző felügyeleti eszközök sajátosságai, ha azokat önmagukban vagy egymással kombinálva alkalmazzák;</w:t>
      </w:r>
    </w:p>
    <w:p w14:paraId="68984D76" w14:textId="3E97B7FB" w:rsidR="008B168B" w:rsidRPr="004B61B0"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B61B0">
        <w:t>a különböző felügyeleti eszközök alkalmazásához szükséges erőforrások;</w:t>
      </w:r>
    </w:p>
    <w:p w14:paraId="35E0A1C7" w14:textId="5D79FD2F" w:rsidR="008B168B" w:rsidRPr="004B61B0"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4B61B0">
        <w:t>az ahhoz szükséges idő, hogy a felügyeleti eszköz elérje célját, és hatást gyakoroljon az értékelési alanyok AML/CFT megfelelésére.</w:t>
      </w:r>
    </w:p>
    <w:p w14:paraId="5B7D464D" w14:textId="30A0A994" w:rsidR="004E1640" w:rsidRPr="004B61B0" w:rsidRDefault="008B168B" w:rsidP="004E1640">
      <w:pPr>
        <w:pStyle w:val="body"/>
        <w:numPr>
          <w:ilvl w:val="0"/>
          <w:numId w:val="10"/>
        </w:numPr>
      </w:pPr>
      <w:r w:rsidRPr="004B61B0">
        <w:t>Az illetékes hatóságoknak rugalmasan kell eljárniuk, és a felügyeleti eszközök alkalmazását az értékelési alanynál, a szektorban vagy az alszektorban újonnan megjelenő ML/TF kockázatokra reagálva is ki kell tudniuk igazítani. Ez azt jelenti, hogy amennyiben az illetékes hatóságok akár az AML/CFT adatszolgáltatások, akár más felügyeleti eszközök segítségével vagy egyéb módon újonnan megjelenő ML/TF kockázatot tárnak fel, mérlegelniük kell, hogy szükség lehet-e további, helyszínen kívüli felülvizsgálat vagy helyszíni vizsgálat útján történő behatóbb értékelésre annak biztosítása érdekében, hogy az értékelési alanyok rendszerei és kontrollmechanizmusai kellően szilárdak legyenek az újonnan megjelenő kockázat mérsékléséhez. A helyszíni vizsgálatok ily módon lehetővé teszik az illetékes hatóságok számára, hogy:</w:t>
      </w:r>
    </w:p>
    <w:p w14:paraId="6FFEE45B" w14:textId="099261D9" w:rsidR="004E1640" w:rsidRPr="004B61B0"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4B61B0">
        <w:t>alaposabban megismerjék az értékelési alany AML/CFT-vel kapcsolatos általános megközelítését, beleértve a gyakorlatokat, az irányítást, a munkatársak viselkedését és a kultúrát;</w:t>
      </w:r>
    </w:p>
    <w:p w14:paraId="208B5A44" w14:textId="4FC08771" w:rsidR="004E1640" w:rsidRPr="004B61B0"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4B61B0">
        <w:t>megvitassák a potenciális kockázatokat, a felügyeleti tevékenységek eredményeit, valamint az értékelési alanynál esetlegesen felmerülő problémákat és azok megoldásának lehetőségeit;</w:t>
      </w:r>
    </w:p>
    <w:p w14:paraId="1D12A910" w14:textId="77777777" w:rsidR="004E1640" w:rsidRPr="004B61B0"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4B61B0">
        <w:t>közvetlenül közöljék felügyeleti elvárásaikat az értékelési alanyokkal.</w:t>
      </w:r>
    </w:p>
    <w:p w14:paraId="0ED61867" w14:textId="42D60F36" w:rsidR="00CE14AE" w:rsidRPr="004B61B0" w:rsidRDefault="00DE3328" w:rsidP="00D619D5">
      <w:pPr>
        <w:pStyle w:val="body"/>
        <w:numPr>
          <w:ilvl w:val="0"/>
          <w:numId w:val="10"/>
        </w:numPr>
        <w:rPr>
          <w:szCs w:val="22"/>
        </w:rPr>
      </w:pPr>
      <w:r w:rsidRPr="004B61B0">
        <w:t xml:space="preserve">Az illetékes hatóságoknak mérlegelniük kell a helyszíni vizsgálatok akár önmagukban, akár más felügyeleti eszközökkel kombinálva történő alkalmazását, különösen a jelentős és nagyon jelentős ML/TF-kockázatot hordozó értékelési alanyok felügyelete során. Ezek az ellenőrzések kiterjednek legalább az értékelési alanyok AML/CFT politikáinak és eljárásainak felülvizsgálatára, valamint annak értékelésére, hogy ezeket hogyan hajtják végre a gyakorlatban, többek között a kulcsfontosságú alkalmazottakkal folytatott interjúk, az AML/CFT megfelelés során használt rendszerek tesztelése, valamint a kockázatértékelés és az ügyfélakták felülvizsgálata révén. Az illetékes hatóságoknak az értékelési alany üzleti tevékenységének terjedelme és összetettsége alapján mérlegelniük kell, hogy a teljes körű helyszíni vizsgálatot az értékelési alany teljes üzleti tevékenységére kiterjesztik-e, vagy észszerűbb az értékelési alany valamely meghatározott üzletágára összpontosítani. Ha az ellenőrzés hatálya egy meghatározott üzletágra korlátozódik, az illetékes hatóságoknak mindazonáltal meg kell ismerniük az adott üzletágon belül alkalmazott rendszerek és kontrollmechanizmusok, illetve a tágabb intézménynél alkalmazott rendszerek és </w:t>
      </w:r>
      <w:r w:rsidRPr="004B61B0">
        <w:lastRenderedPageBreak/>
        <w:t>kontrollmechanizmusok közötti érintkezési pontokat, és amennyiben az üzletág rendszereiben és kontrollmechanizmusaiban hiányosságokat állapítanak meg, az illetékes hatóságoknak törekedniük kell annak felmérésére, hogy ez hatással lehet-e, és ha igen, milyen hatással lehet a teljes értékelési alanyra.</w:t>
      </w:r>
    </w:p>
    <w:p w14:paraId="51AF9EA7" w14:textId="2912747E" w:rsidR="00191579" w:rsidRPr="004B61B0" w:rsidRDefault="00191579" w:rsidP="004D193D">
      <w:pPr>
        <w:pStyle w:val="body"/>
        <w:widowControl w:val="0"/>
        <w:numPr>
          <w:ilvl w:val="0"/>
          <w:numId w:val="10"/>
        </w:numPr>
        <w:autoSpaceDE w:val="0"/>
        <w:autoSpaceDN w:val="0"/>
        <w:spacing w:before="160" w:after="0" w:line="273" w:lineRule="auto"/>
        <w:ind w:left="720"/>
      </w:pPr>
      <w:r w:rsidRPr="004B61B0">
        <w:t>Annak eldöntésekor, hogy az értékelési alanynál teljes körű helyszíni vizsgálatot végezzenek-e, az illetékes hatóságoknak a következő tényezőket kell figyelembe venniük:</w:t>
      </w:r>
    </w:p>
    <w:p w14:paraId="596657AA" w14:textId="77777777" w:rsidR="00191579" w:rsidRPr="004B61B0"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B61B0">
        <w:t>szükség van-e olyan további vagy átfogóbb információk megszerzésére az értékelési alannyal kapcsolatban, amelyek csak helyszíni elemekkel szerezhetők be;</w:t>
      </w:r>
    </w:p>
    <w:p w14:paraId="463DFD48" w14:textId="77777777" w:rsidR="00191579" w:rsidRPr="004B61B0"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B61B0">
        <w:t>milyen típusú információkra van szükség, és hogyan lehet azokat hatékonyan és átfogó módon megszerezni;</w:t>
      </w:r>
    </w:p>
    <w:p w14:paraId="532A9BE8" w14:textId="440BD280" w:rsidR="00191579" w:rsidRPr="004B61B0"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B61B0">
        <w:t>az illetékes hatóság vagy az érintett prudenciális felügyeletek, illetve – ha az értékelési alany egy csoport része – a csoportba tartozó más jogalanyok felügyeletéért felelős illetékes hatóságok által végzett korábbi helyszíni vizsgálatok vagy helyszínen kívüli felülvizsgálatok eredményei, amennyiben rendelkezésre állnak, az AML/CFT-megfelelés alacsony szintjét mutatják-e, vagy arra utalnak-e, hogy az értékelési alanynál vagy a csoporton belül nem megfelelő a megfelelési kultúra, ami hatással lehet az értékelési alanyra;</w:t>
      </w:r>
    </w:p>
    <w:p w14:paraId="24ABEA93" w14:textId="14975258" w:rsidR="00191579" w:rsidRPr="004B61B0"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B61B0">
        <w:t>az értékelési alanyok korábban megsértették-e AML/CFT kötelezettségeiket, és hogy ezt ismételten tették-e;</w:t>
      </w:r>
    </w:p>
    <w:p w14:paraId="7252D454" w14:textId="0C3EA548" w:rsidR="00191579" w:rsidRPr="004B61B0"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B61B0">
        <w:t>milyen típusú felügyeleti nyomon követést alkalmazott korábban az illetékes hatóság az értékelési alannyal szemben, adott esetben; és</w:t>
      </w:r>
    </w:p>
    <w:p w14:paraId="6EA88CEE" w14:textId="5A576E2E" w:rsidR="00191579" w:rsidRPr="004B61B0"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4B61B0">
        <w:t>az értékelési alanyok korábban bizonyították-e elkötelezettségüket a hiányosságok kijavítása iránt, és tettek-e ennek érdekében határozott lépéseket.</w:t>
      </w:r>
    </w:p>
    <w:p w14:paraId="1DADB7BE" w14:textId="30BF33A0" w:rsidR="00775D00" w:rsidRPr="00A132DF" w:rsidRDefault="00775705" w:rsidP="00A132DF">
      <w:pPr>
        <w:pStyle w:val="body"/>
        <w:widowControl w:val="0"/>
        <w:numPr>
          <w:ilvl w:val="0"/>
          <w:numId w:val="10"/>
        </w:numPr>
        <w:autoSpaceDE w:val="0"/>
        <w:autoSpaceDN w:val="0"/>
        <w:spacing w:before="160" w:after="0" w:line="273" w:lineRule="auto"/>
        <w:ind w:left="426"/>
        <w:rPr>
          <w:szCs w:val="22"/>
        </w:rPr>
      </w:pPr>
      <w:r w:rsidRPr="004B61B0">
        <w:t>Azokban az esetekben, amikor kevésbé tolakodó felügyeleti megközelítés is elegendő lehet, vagy az értékelési alanyok alacsony szintű ML/TF kockázatnak vannak kitéve, az illetékes hatóságoknak fontolóra kell venniük a helyszínen kívüli felülvizsgálatok alkalmazását. A helyszíni felülvizsgálatok elsősorban az értékelési alanyok írott AML/CFT politikáinak és eljárásainak, valamint a kockázatértékelésnek a dokumentumalapú ellenőrzését foglalják magukban, de nem terjednek ki annak mélyreható értékelésére, hogy az értékelési alanyok a gyakorlatban mennyire eredményesen hajtják végre ezeket a politikákat és eljárásokat. A helyszínen kívüli ellenőrzések a helyszínen kívüli ellenőrzést később kiegészítő helyszíni vizsgálatok keretében végzett alaposabb felülvizsgálatok előkészítő lépéseként is felfoghatók, vagy más felügyeleti eszközökkel kombinálva is alkalmazhatók.</w:t>
      </w:r>
    </w:p>
    <w:p w14:paraId="322C4DED" w14:textId="0A48FF7F" w:rsidR="00A132DF" w:rsidRPr="004B61B0" w:rsidRDefault="00A132DF" w:rsidP="00A132DF">
      <w:pPr>
        <w:pStyle w:val="body"/>
        <w:widowControl w:val="0"/>
        <w:autoSpaceDE w:val="0"/>
        <w:autoSpaceDN w:val="0"/>
        <w:spacing w:before="160" w:after="0" w:line="273" w:lineRule="auto"/>
        <w:rPr>
          <w:szCs w:val="22"/>
        </w:rPr>
      </w:pPr>
      <w:r>
        <w:rPr>
          <w:rFonts w:ascii="Wingdings" w:eastAsia="Wingdings" w:hAnsi="Wingdings" w:cs="Wingdings"/>
          <w:color w:val="E98E31" w:themeColor="background2"/>
          <w:spacing w:val="-1"/>
        </w:rPr>
        <w:t>Ú</w:t>
      </w:r>
      <w:r>
        <w:rPr>
          <w:color w:val="E98E31" w:themeColor="background2"/>
          <w:spacing w:val="-1"/>
        </w:rPr>
        <w:t>A1</w:t>
      </w:r>
    </w:p>
    <w:p w14:paraId="5471C4CC" w14:textId="45416C8F" w:rsidR="00960B74" w:rsidRDefault="00892D31" w:rsidP="00A132DF">
      <w:pPr>
        <w:pStyle w:val="body"/>
        <w:widowControl w:val="0"/>
        <w:numPr>
          <w:ilvl w:val="0"/>
          <w:numId w:val="10"/>
        </w:numPr>
        <w:autoSpaceDE w:val="0"/>
        <w:autoSpaceDN w:val="0"/>
        <w:spacing w:before="160" w:after="0" w:line="273" w:lineRule="auto"/>
        <w:ind w:left="426"/>
      </w:pPr>
      <w:r w:rsidRPr="00E6582A">
        <w:t xml:space="preserve">Néhány esetben az illetékes hatóságoknak mérlegelniük kell, hogy a két vagy több eszköz kombinációja hatékonyabb lehet-e. Ezek közé az esetek közé tartozhat, amikor az illetékes hatóság aggályosnak tartja a helyszínen kívüli ellenőrzések során vagy az AML/CFT adatszolgáltatások részeként kapott információk pontosságát. Ilyen körülmények között szükség lehet arra, hogy az illetékes hatóságok ezeket az információkat helyszíni vizsgálattal </w:t>
      </w:r>
      <w:r w:rsidRPr="00E6582A">
        <w:lastRenderedPageBreak/>
        <w:t xml:space="preserve">ellenőrizzék, amely általában olyan elemeket tartalmaz, mint például a tranzakciókból és ügyfélaktákból történő mintavétel, valamint a kulcsfontosságú munkatársakkal és a vezető testület tagjaival folytatott interjúk. Az illetékes hatóságoknak képesnek kell lenniük arra, hogy szükség esetén olyan eseti ellenőrzéseket végezzenek, amelyek nem képezik felügyeleti stratégiájuk és tervük részét. Az ilyen ellenőrzések szükségességét kiválthatja egy konkrét esemény, amely a szektort/alszektort vagy az értékelés tárgyát képező alanyokat fokozott ML/TF kockázatnak teheti ki, vagy a szektor/alszektor vagy az értékelés tárgyát képező alanyok ML/TF kockázati kitettségében bekövetkező jelentős változások, vagy az illetékes hatóság által felfedezett bizonyos információk eredményeként, beleértve a </w:t>
      </w:r>
      <w:r>
        <w:t xml:space="preserve">közérdekű </w:t>
      </w:r>
      <w:r w:rsidRPr="00E6582A">
        <w:t xml:space="preserve">jelentések, a </w:t>
      </w:r>
      <w:r>
        <w:t>visszaélésekről</w:t>
      </w:r>
      <w:r w:rsidRPr="00E6582A">
        <w:t xml:space="preserve"> szóló széles körű nyilvános vádak, más hazai vagy külföldi hatóságoktól származó információk, új ML/TF</w:t>
      </w:r>
      <w:r>
        <w:t xml:space="preserve"> tipológiák</w:t>
      </w:r>
      <w:r w:rsidRPr="00E6582A">
        <w:t xml:space="preserve"> vagy az AML/CFT rendszerekkel és </w:t>
      </w:r>
      <w:r>
        <w:t>kontrollmechanizmusokkal</w:t>
      </w:r>
      <w:r w:rsidRPr="00E6582A">
        <w:t xml:space="preserve"> kapcsolatos felügyeleti megállapítások vagy egy szélesebb körű belső ellenőrzési keretrendszer. Amennyiben az illetékes hatóság úgy dönt, hogy eseti ellenőrzésre van szükség, meg kell határoznia az ellenőrzés hatályát, a vizsgálat fókuszát és azt, hogy az tartalmaz-e helyszíni elemeket, valamint, hogy szükség van-e más felügyeletek bevonására és együttműködésére</w:t>
      </w:r>
      <w:r w:rsidR="00CE14AE" w:rsidRPr="004B61B0">
        <w:t>.</w:t>
      </w:r>
    </w:p>
    <w:p w14:paraId="79EE9013" w14:textId="4F1A996B"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F0BB12F" w14:textId="781270B6" w:rsidR="00700104" w:rsidRPr="004B61B0" w:rsidRDefault="0098202C" w:rsidP="00EC596C">
      <w:pPr>
        <w:pStyle w:val="body"/>
        <w:numPr>
          <w:ilvl w:val="0"/>
          <w:numId w:val="10"/>
        </w:numPr>
      </w:pPr>
      <w:r w:rsidRPr="004B61B0">
        <w:t>Amennyiben az illetékes hatóságok virtuális eszközökkel, távolról végeznek ellenőrzést, mérlegelniük kell e felügyeleti eszköz hatékonyságát, valamint azt, hogy az értékelési alannyal kapcsolatban végzett munka megfelel-e a helyszíni vizsgálat feltételeinek, és arányban áll-e az értékelési alany által hordozott ML/TF kockázattal.</w:t>
      </w:r>
      <w:r w:rsidRPr="004B61B0">
        <w:rPr>
          <w:color w:val="1F497D"/>
        </w:rPr>
        <w:t xml:space="preserve"> </w:t>
      </w:r>
      <w:r w:rsidRPr="004B61B0">
        <w:t>A jelentős vagy nagyon jelentős ML/TF kockázatot hordozó értékelési alanyok felügyelete során, valamint amennyiben az illetékes hatóságok mélyrehatóbb ismereteket kívánnak szerezni az értékelési alanynál működő átfogó AML/CFT rendszerekről és kontrollmechanizmusokról, az illetékes hatóságoknak mérlegelniük kell, hogy célszerűbb-e helyszíni vizsgálatot végezniük.</w:t>
      </w:r>
    </w:p>
    <w:p w14:paraId="5B9388B4" w14:textId="767AF591" w:rsidR="00064B03" w:rsidRPr="004B61B0" w:rsidRDefault="00064B03" w:rsidP="00EC596C">
      <w:pPr>
        <w:pStyle w:val="Tabledata"/>
        <w:numPr>
          <w:ilvl w:val="0"/>
          <w:numId w:val="10"/>
        </w:numPr>
        <w:rPr>
          <w:rFonts w:cs="Times New Roman"/>
          <w:bCs w:val="0"/>
          <w:sz w:val="22"/>
        </w:rPr>
      </w:pPr>
      <w:r w:rsidRPr="004B61B0">
        <w:rPr>
          <w:bCs w:val="0"/>
          <w:sz w:val="22"/>
        </w:rPr>
        <w:t>Annak mérlegelésekor, hogy mi lenne a leghatékonyabb felügyeleti eszköz annak biztosítása érdekében, hogy a csoport részét képező értékelési alanyok hatékonyan hajtsák végre a csoport egészére vonatkozó politikákat és eljárásokat, az illetékes hatóságoknak az egyedi értékelési alanyok esetében alkalmazandó szempontokhoz hasonló, fent kifejtett szempontokat kell figyelembe venniük. Ha egy csoport határokon átnyúlóan működik, a vezető felügyeleti hatóságnak</w:t>
      </w:r>
      <w:r w:rsidRPr="004B61B0">
        <w:rPr>
          <w:rStyle w:val="FootnoteReference"/>
          <w:rFonts w:cs="Times New Roman"/>
          <w:bCs w:val="0"/>
          <w:szCs w:val="22"/>
        </w:rPr>
        <w:footnoteReference w:id="18"/>
      </w:r>
      <w:r w:rsidRPr="004B61B0">
        <w:rPr>
          <w:bCs w:val="0"/>
          <w:sz w:val="22"/>
        </w:rPr>
        <w:t xml:space="preserve"> együtt kell működnie a csoportba tartozó értékelési alanyok felügyeletében részt vevő más illetékes hatóságokkal, mégpedig – amennyiben léteznek – az AML/CFT kollégiumokon keresztül, vagy más csatornákon és együttműködési mechanizmusokon keresztül, beleértve az együttműködésről szóló EBH-iránymutatásokban meghatározott csatornákat.</w:t>
      </w:r>
      <w:r w:rsidR="00B0520F" w:rsidRPr="004B61B0">
        <w:rPr>
          <w:rStyle w:val="FootnoteReference"/>
          <w:rFonts w:cs="Times New Roman"/>
          <w:bCs w:val="0"/>
          <w:szCs w:val="22"/>
        </w:rPr>
        <w:footnoteReference w:id="19"/>
      </w:r>
      <w:r w:rsidRPr="004B61B0">
        <w:rPr>
          <w:bCs w:val="0"/>
          <w:sz w:val="22"/>
        </w:rPr>
        <w:t>Ez az együttműködés többek között a következőkből állhat:</w:t>
      </w:r>
    </w:p>
    <w:p w14:paraId="57D6A2BE" w14:textId="6A27E1AA" w:rsidR="00DE15F7" w:rsidRPr="004B61B0"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4B61B0">
        <w:t xml:space="preserve">a pénzmosás és terrorizmusfinanszírozás elleni küzdelemmel foglalkozó kollégiumoknak </w:t>
      </w:r>
      <w:r w:rsidRPr="004B61B0">
        <w:lastRenderedPageBreak/>
        <w:t>készült iránymutatások 9. iránymutatásában leírt kölcsönös segítségnyújtás mértéke;</w:t>
      </w:r>
    </w:p>
    <w:p w14:paraId="4AF0B825" w14:textId="457CAAA5" w:rsidR="00DC173F" w:rsidRPr="004B61B0"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4B61B0">
        <w:t>megállapodás egy adott felügyeleti eszköz vagy felügyeleti intézkedés alkalmazásáról a csoportba tartozó másik értékelési alanyok felügyeletéért felelős, más illetékes hatóságokkal. Ez magában foglalhatja egy ellenőrzés vagy felülvizsgálat más illetékes hatóságokkal közös végrehajtását, vagy valamely felügyeleti eszköz súlypontjának közös kiigazítását a csoporton belül fennálló horizontális kockázatok hatékonyabb csökkentése érdekében;</w:t>
      </w:r>
    </w:p>
    <w:p w14:paraId="44A07997" w14:textId="662BBAD4" w:rsidR="00064B03" w:rsidRPr="004B61B0"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4B61B0">
        <w:t>az értékelési alany vagy adott esetben a szektor ML/TF kockázatainak értékelésével kapcsolatos információk cseréje;</w:t>
      </w:r>
    </w:p>
    <w:p w14:paraId="0FD53C76" w14:textId="265CB60C" w:rsidR="00DC173F" w:rsidRPr="004B61B0"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4B61B0">
        <w:t>a tervezett felügyeleti ellenőrzésekkel vagy felülvizsgálatokkal, valamint ezt követően a releváns megállapításokkal kapcsolatos információk cseréje;</w:t>
      </w:r>
    </w:p>
    <w:p w14:paraId="027D2641" w14:textId="23E7F1F7" w:rsidR="00DC173F" w:rsidRPr="004B61B0"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4B61B0">
        <w:t>a más illetékes hatóságok által azonosított hiányosságokkal vagy jogsértésekkel kapcsolatos információk cseréje.</w:t>
      </w:r>
    </w:p>
    <w:p w14:paraId="1631459C" w14:textId="6E2E4090" w:rsidR="00CE14AE" w:rsidRPr="004B61B0" w:rsidRDefault="00BF50E9" w:rsidP="00EC596C">
      <w:pPr>
        <w:pStyle w:val="body"/>
        <w:numPr>
          <w:ilvl w:val="0"/>
          <w:numId w:val="10"/>
        </w:numPr>
      </w:pPr>
      <w:r w:rsidRPr="004B61B0">
        <w:t>Az illetékes hatóságoknak holisztikus képpel kell rendelkezniük az általuk alkalmazott valamennyi felügyeleti eszközről. Figyelemmel kell kísérniük azok végrehajtását és hatékonyságát, és szükség esetén kiigazításokat kell végezniük.</w:t>
      </w:r>
    </w:p>
    <w:p w14:paraId="7B483BC6" w14:textId="143A5119" w:rsidR="00CE14AE" w:rsidRPr="004B61B0" w:rsidRDefault="00CE14AE" w:rsidP="00DB6888">
      <w:pPr>
        <w:pStyle w:val="Numberedtitlelevel3"/>
        <w:numPr>
          <w:ilvl w:val="2"/>
          <w:numId w:val="52"/>
        </w:numPr>
      </w:pPr>
      <w:r w:rsidRPr="004B61B0">
        <w:t>Felügyeleti gyakorlatok és a felügyeleti kézikönyv</w:t>
      </w:r>
    </w:p>
    <w:p w14:paraId="74C4290F" w14:textId="7F6FC97F" w:rsidR="00CE14AE" w:rsidRPr="004B61B0" w:rsidRDefault="00CE14AE" w:rsidP="00921363">
      <w:pPr>
        <w:pStyle w:val="body"/>
        <w:numPr>
          <w:ilvl w:val="0"/>
          <w:numId w:val="10"/>
        </w:numPr>
      </w:pPr>
      <w:r w:rsidRPr="004B61B0">
        <w:t>Az (EU) 2015/849 irányelv szerinti kötelezettségeik teljesítése érdekében az illetékes hatóságoknak biztosítaniuk kell, hogy az értékelési alanyok megbízható AML/CFT rendszereket és kontrollmechanizmusokat vezessenek be, és hogy ezek a rendszerek és kontrollmechanizmusok kellően hatékonyak legyenek az ML/TF megelőzéséhez és felderítéséhez. Az illetékes hatóságok által az értékelési alanyok AML/CFT rendszereinek és kontrollmechanizmusainak értékelése érdekében tett lépéseket egy e célból készült AML/CFT felügyeleti kézikönyvben kell meghatározniuk. Ez lehetővé teszi az illetékes hatóságok számára, hogy biztosítsák a felügyeleti eszközök és a szakmai mérlegelés következetes alkalmazását. A kézikönyv elkészítésekor az illetékes hatóságoknak biztosítaniuk kell, hogy a kézikönyv kellő részletességgel tartalmazza az összes olyan tevékenységet, amelyet az érintett felügyeleti munkatársaknak a felügyelet hatékony végrehajtása érdekében el kell végezniük, ugyanakkor elegendő rugalmasságot kell biztosítania a felügyeleti munkatársak számára ahhoz, hogy szakértői mérlegelést alkalmazzanak, és szükség szerint kiigazítsák a felügyeleti megközelítést.</w:t>
      </w:r>
    </w:p>
    <w:p w14:paraId="22F9691F" w14:textId="77777777" w:rsidR="00440B71" w:rsidRPr="004B61B0" w:rsidRDefault="003865B8" w:rsidP="00440B71">
      <w:pPr>
        <w:pStyle w:val="body"/>
        <w:numPr>
          <w:ilvl w:val="0"/>
          <w:numId w:val="10"/>
        </w:numPr>
      </w:pPr>
      <w:r w:rsidRPr="004B61B0">
        <w:t xml:space="preserve">Az illetékes hatóságoknak biztosítaniuk kell, hogy az értékelési alanyok adott esetben az (EU) 2015/849 irányelv 8. cikkének (4) bekezdésével összhangban az jogszabályoknak való megfelelésért felelős AML/CFT tisztviselőket nevezzenek ki. Az illetékes hatóságoknak kockázatérzékeny lépéseket kell tenniük annak ellenőrzése érdekében is, hogy az értékelési alany által kinevezett AML/CFT megfelelési tisztviselő rendelkezik-e vagy továbbra is rendelkezik-e a feladatainak hatékony ellátásához szükséges szintű feddhetetlenséggel, </w:t>
      </w:r>
      <w:r w:rsidRPr="004B61B0">
        <w:lastRenderedPageBreak/>
        <w:t>szakértelemmel és tudással.</w:t>
      </w:r>
      <w:r w:rsidR="00C732C5" w:rsidRPr="004B61B0">
        <w:rPr>
          <w:rStyle w:val="FootnoteReference"/>
          <w:lang w:val="en-GB"/>
        </w:rPr>
        <w:footnoteReference w:id="20"/>
      </w:r>
      <w:r w:rsidRPr="004B61B0">
        <w:t xml:space="preserve"> Ez magában foglalhatja az AML/CFT-megfelelési tisztviselővel való találkozót, vagy az értékelési alany felkérését arra, hogy nyújtsa be az AML/CFT megfelelési tisztviselő szakértelmére vonatkozó összefoglalót és az illetékes hatóság által relevánsnak ítélt bármely más információkat. Az illetékes hatóságoknak mérlegelniük kell, hogy ezt az értékelést felügyeleti tevékenységük részeként, többek között a helyszíni vizsgálatok vagy helyszínen kívüli felülvizsgálatok során, vagy önálló értékelésként végzik-e el.</w:t>
      </w:r>
    </w:p>
    <w:p w14:paraId="298162D0" w14:textId="3C51A37B" w:rsidR="002B2684" w:rsidRPr="004B61B0" w:rsidRDefault="00F26810" w:rsidP="00C47112">
      <w:pPr>
        <w:pStyle w:val="body"/>
        <w:numPr>
          <w:ilvl w:val="0"/>
          <w:numId w:val="10"/>
        </w:numPr>
        <w:tabs>
          <w:tab w:val="left" w:pos="426"/>
        </w:tabs>
        <w:ind w:left="284" w:hanging="284"/>
      </w:pPr>
      <w:r w:rsidRPr="004B61B0">
        <w:t>Amennyiben a 99. bekezdésben leírt ellenőrzések eredményeként az illetékes hatóságnak aggályai merülnek fel azzal kapcsolatban, hogy az AML/CFT megfelelési tisztviselő esetleg nem alkalmas, az illetékes hatóságnak értesítenie kell az aggályairól az érintett prudenciális felügyeletet</w:t>
      </w:r>
      <w:r w:rsidR="003865B8" w:rsidRPr="004B61B0">
        <w:rPr>
          <w:vertAlign w:val="superscript"/>
          <w:lang w:val="en-GB"/>
        </w:rPr>
        <w:footnoteReference w:id="21"/>
      </w:r>
      <w:r w:rsidRPr="004B61B0">
        <w:t>, és proaktívan meg kell osztania a prudenciális felügyeletekkel azokat az információkat, amelyek alapján ezek az aggályok felmerültek. Továbbá,</w:t>
      </w:r>
    </w:p>
    <w:p w14:paraId="4E347EB1" w14:textId="571EF9FA" w:rsidR="002B2684" w:rsidRPr="004B61B0" w:rsidRDefault="00F26810" w:rsidP="00DB6888">
      <w:pPr>
        <w:pStyle w:val="body"/>
        <w:numPr>
          <w:ilvl w:val="0"/>
          <w:numId w:val="87"/>
        </w:numPr>
        <w:ind w:left="697" w:hanging="357"/>
      </w:pPr>
      <w:r w:rsidRPr="004B61B0">
        <w:t>amennyiben az AML/CFT megfelelési tisztviselő alkalmasságának értékelése nem tartozik valamely prudenciális felügyelet hatáskörébe, az illetékes hatóságoknak indokolatlan késedelem nélkül meg kell hozniuk a probléma helyreállításához szükséges intézkedéseket, például kérhetik, hogy az AML/CFT megfelelési tisztviselő részesüljön további képzésben vagy bővítsék szakmai képesítéseit; kérhetik az AML/CFT-megfelelési tisztviselői munkakör irányításának erősítését vagy átszervezését; vagy kérhetik az AML/CFT megfelelési tisztviselő cseréjét vagy egy további AML/CFT megfelelési tisztviselő kinevezését;</w:t>
      </w:r>
    </w:p>
    <w:p w14:paraId="4BCBCE0A" w14:textId="5013C6FB" w:rsidR="002B2684" w:rsidRPr="004B61B0" w:rsidRDefault="00E85682" w:rsidP="00DB6888">
      <w:pPr>
        <w:pStyle w:val="body"/>
        <w:numPr>
          <w:ilvl w:val="0"/>
          <w:numId w:val="87"/>
        </w:numPr>
        <w:ind w:left="697"/>
      </w:pPr>
      <w:r w:rsidRPr="004B61B0">
        <w:t>amennyiben az AML/CFT megfelelési tisztviselő alkalmasságának értékelése a prudenciális felügyeletek hatáskörébe tartozik</w:t>
      </w:r>
      <w:r w:rsidR="00F51E8D" w:rsidRPr="004B61B0">
        <w:rPr>
          <w:rStyle w:val="FootnoteReference"/>
          <w:lang w:val="en-GB"/>
        </w:rPr>
        <w:footnoteReference w:id="22"/>
      </w:r>
      <w:r w:rsidRPr="004B61B0">
        <w:t>, az illetékes hatóságoknak együtt kell működniük a prudenciális felügyeletekkel a kezdeti értékelés során, valamint szükség esetén a prudenciális felügyeletek által végzett alkalmassági felülvizsgálatok során is.</w:t>
      </w:r>
      <w:r w:rsidR="003865B8" w:rsidRPr="004B61B0">
        <w:rPr>
          <w:vertAlign w:val="superscript"/>
          <w:lang w:val="en-GB"/>
        </w:rPr>
        <w:footnoteReference w:id="23"/>
      </w:r>
      <w:r w:rsidRPr="004B61B0">
        <w:t xml:space="preserve"> Az illetékes hatóságoknak minden olyan releváns információt meg kell osztaniuk az érintett prudenciális felügyeletekkel, amely hatással lehet az AML/CFT megfelelési tisztviselő alkalmasságának értékelésére vagy felülvizsgálatára, beleértve a fenti a) pontban leírtak szerinti általuk javasolt intézkedéseket, amelyek AML/CFT felügyeleti szempontból a problémák enyhítése érdekében meghozhatók lennének.</w:t>
      </w:r>
    </w:p>
    <w:p w14:paraId="24681EE2" w14:textId="11427511" w:rsidR="00CE14AE" w:rsidRPr="004B61B0" w:rsidRDefault="00CE14AE" w:rsidP="00DB6888">
      <w:pPr>
        <w:pStyle w:val="body"/>
        <w:numPr>
          <w:ilvl w:val="0"/>
          <w:numId w:val="88"/>
        </w:numPr>
        <w:tabs>
          <w:tab w:val="left" w:pos="426"/>
        </w:tabs>
        <w:ind w:left="340" w:hanging="340"/>
      </w:pPr>
      <w:r w:rsidRPr="004B61B0">
        <w:t>A felügyeleti kézikönyvben az illetékes hatóságoknak ismertetniük kell, hogy a felügyeleti feladatokat ellátó munkatársaknak milyen lépéseket kell megtenniük a különböző felügyeleti eszközök alkalmazása során. A kézikönyvnek legalább a következőket kell tartalmaznia:</w:t>
      </w:r>
    </w:p>
    <w:p w14:paraId="6BF75DFF" w14:textId="5F46D65A" w:rsidR="00FD5BCB" w:rsidRPr="004B61B0" w:rsidRDefault="00EE353A" w:rsidP="004D193D">
      <w:pPr>
        <w:pStyle w:val="ListParagraph"/>
        <w:widowControl w:val="0"/>
        <w:numPr>
          <w:ilvl w:val="1"/>
          <w:numId w:val="40"/>
        </w:numPr>
        <w:autoSpaceDE w:val="0"/>
        <w:autoSpaceDN w:val="0"/>
        <w:spacing w:before="160" w:line="274" w:lineRule="auto"/>
        <w:ind w:left="697" w:hanging="357"/>
        <w:jc w:val="both"/>
      </w:pPr>
      <w:r w:rsidRPr="004B61B0">
        <w:t xml:space="preserve">az illetékes hatóságok által az értékelési alanyokkal és a szektorokkal/alszektorokkal </w:t>
      </w:r>
      <w:r w:rsidRPr="004B61B0">
        <w:lastRenderedPageBreak/>
        <w:t>kapcsolatos ML/TF kockázatok értékelése során követett folyamat és módszertan. Az illetékes hatóságoknak ismertetniük kell azt az eljárást is, amelyet a felügyeleti feladatokat ellátó munkatársak akkor követnek, amikor szakmai mérlegelésük alapján módosítani kívánják az értékelési alany kockázati pontszámát;</w:t>
      </w:r>
    </w:p>
    <w:p w14:paraId="4FAE52AE" w14:textId="43C81C65" w:rsidR="00A132DF" w:rsidRDefault="00A132DF" w:rsidP="00A132DF">
      <w:pPr>
        <w:widowControl w:val="0"/>
        <w:autoSpaceDE w:val="0"/>
        <w:autoSpaceDN w:val="0"/>
        <w:spacing w:before="160" w:line="274"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C1</w:t>
      </w:r>
    </w:p>
    <w:p w14:paraId="01E18EC0" w14:textId="56B82BE6"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4B61B0">
        <w:t xml:space="preserve">lehetséges esetek, amikor </w:t>
      </w:r>
      <w:r w:rsidR="00B0149F">
        <w:t xml:space="preserve">a felügyeletek kötelesek együttműködni más érdekelt felekkel az ezen iránymutatás </w:t>
      </w:r>
      <w:r w:rsidR="00B0149F" w:rsidRPr="00B0149F">
        <w:rPr>
          <w:bCs/>
        </w:rPr>
        <w:t>4.1.4.</w:t>
      </w:r>
      <w:r w:rsidR="00B0149F">
        <w:t xml:space="preserve"> szakaszában leírtak szerint, és ismertetni, hogy ennek az együttműködésnek a gyakorlatban hogyan kell történnie</w:t>
      </w:r>
      <w:r w:rsidRPr="004B61B0">
        <w:t>;</w:t>
      </w:r>
    </w:p>
    <w:p w14:paraId="7278FDCE" w14:textId="7C3EFC37"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49759673" w14:textId="175ED713"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4B61B0">
        <w:t>az a folyamat, amelyet a felügyeleti feladatokat ellátó munkatársaknak az egyes felügyeleti eszközök alkalmazása során követniük kell, valamint annak kifejtése, hogy mely elemeket kell vizsgálni. Az illetékes hatóságoknak világosan meg kell határozniuk a rendelkezésükre álló különböző felügyeleti eszközök közötti legfontosabb különbségeket. Ez azt jelenti, hogy az illetékes hatóságoknak legalább azt tisztázniuk kell, hogy a felügyeleti feladatokat ellátó munkatársaknak milyen mértékben kell vizsgálniuk az értékelési alanyoknál a következőket:</w:t>
      </w:r>
    </w:p>
    <w:p w14:paraId="2C6DA894" w14:textId="0D383331" w:rsidR="00A132DF" w:rsidRPr="004B61B0" w:rsidRDefault="00A132DF" w:rsidP="00A132DF">
      <w:pPr>
        <w:widowControl w:val="0"/>
        <w:autoSpaceDE w:val="0"/>
        <w:autoSpaceDN w:val="0"/>
        <w:spacing w:before="160" w:line="274"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3F198528" w14:textId="3FD2642E" w:rsidR="00D40449" w:rsidRDefault="00B0149F" w:rsidP="00DB6888">
      <w:pPr>
        <w:pStyle w:val="ListParagraph"/>
        <w:widowControl w:val="0"/>
        <w:numPr>
          <w:ilvl w:val="2"/>
          <w:numId w:val="58"/>
        </w:numPr>
        <w:autoSpaceDE w:val="0"/>
        <w:autoSpaceDN w:val="0"/>
        <w:spacing w:before="160" w:line="273" w:lineRule="auto"/>
        <w:ind w:left="1134"/>
        <w:jc w:val="both"/>
      </w:pPr>
      <w:r w:rsidRPr="00E6582A">
        <w:t xml:space="preserve">a vonatkozó </w:t>
      </w:r>
      <w:r>
        <w:t>politikák</w:t>
      </w:r>
      <w:r w:rsidRPr="00E6582A">
        <w:t xml:space="preserve"> és eljárások megfelelősége, valamint az, hogy azok kapcsolódnak-e az egész </w:t>
      </w:r>
      <w:r>
        <w:t>vállalkozás</w:t>
      </w:r>
      <w:r w:rsidRPr="00E6582A">
        <w:t xml:space="preserve">ra kiterjedő kockázatértékeléshez, és hogy ezeket </w:t>
      </w:r>
      <w:r>
        <w:t>a politikákat</w:t>
      </w:r>
      <w:r w:rsidRPr="00E6582A">
        <w:t xml:space="preserve"> és eljárásokat felülvizsgálják-e, és szükség esetén frissítik-e, amikor az egész </w:t>
      </w:r>
      <w:r>
        <w:t>vállalkozás</w:t>
      </w:r>
      <w:r w:rsidRPr="00E6582A">
        <w:t>ra kiterjedő kockázatértékelés változik</w:t>
      </w:r>
      <w:r w:rsidR="00AB573C" w:rsidRPr="004B61B0">
        <w:t>;</w:t>
      </w:r>
    </w:p>
    <w:p w14:paraId="055A200A" w14:textId="2DE5839C"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4B61B0" w:rsidRDefault="00AB573C" w:rsidP="00DB6888">
      <w:pPr>
        <w:pStyle w:val="ListParagraph"/>
        <w:widowControl w:val="0"/>
        <w:numPr>
          <w:ilvl w:val="2"/>
          <w:numId w:val="58"/>
        </w:numPr>
        <w:autoSpaceDE w:val="0"/>
        <w:autoSpaceDN w:val="0"/>
        <w:spacing w:before="160" w:line="273" w:lineRule="auto"/>
        <w:ind w:left="1134"/>
        <w:jc w:val="both"/>
      </w:pPr>
      <w:r w:rsidRPr="004B61B0">
        <w:t>bevezették-e a vonatkozó folyamatokat, és azok az elvárásoknak megfelelően működnek-e;</w:t>
      </w:r>
    </w:p>
    <w:p w14:paraId="58B14508" w14:textId="77777777" w:rsidR="00D40449" w:rsidRPr="004B61B0" w:rsidRDefault="00AB573C" w:rsidP="00DB6888">
      <w:pPr>
        <w:pStyle w:val="ListParagraph"/>
        <w:widowControl w:val="0"/>
        <w:numPr>
          <w:ilvl w:val="2"/>
          <w:numId w:val="58"/>
        </w:numPr>
        <w:autoSpaceDE w:val="0"/>
        <w:autoSpaceDN w:val="0"/>
        <w:spacing w:before="160" w:line="273" w:lineRule="auto"/>
        <w:ind w:left="1134"/>
        <w:jc w:val="both"/>
      </w:pPr>
      <w:r w:rsidRPr="004B61B0">
        <w:t>az egész vállalkozásra kiterjedő kockázatértékelés megfelelősége és teljessége, valamint hogy az milyen mértékben határozza meg az átfogó AML/CFT megközelítést;</w:t>
      </w:r>
    </w:p>
    <w:p w14:paraId="23B2168E" w14:textId="5C6E8C3E" w:rsidR="00AB573C" w:rsidRPr="004B61B0" w:rsidRDefault="00AB573C" w:rsidP="00DB6888">
      <w:pPr>
        <w:pStyle w:val="ListParagraph"/>
        <w:widowControl w:val="0"/>
        <w:numPr>
          <w:ilvl w:val="2"/>
          <w:numId w:val="58"/>
        </w:numPr>
        <w:autoSpaceDE w:val="0"/>
        <w:autoSpaceDN w:val="0"/>
        <w:spacing w:before="160" w:line="273" w:lineRule="auto"/>
        <w:ind w:left="1134"/>
        <w:jc w:val="both"/>
      </w:pPr>
      <w:r w:rsidRPr="004B61B0">
        <w:t>az ügyfélkockázat-értékelések megfelelősége és hogy azok milyen mértékben határozzák meg az ügyfél-átvilágítási követelmények alkalmazandó szintjét;</w:t>
      </w:r>
    </w:p>
    <w:p w14:paraId="2F40D83E" w14:textId="2A5D8853" w:rsidR="004E07FB" w:rsidRPr="004B61B0" w:rsidRDefault="00364D80" w:rsidP="00DB6888">
      <w:pPr>
        <w:pStyle w:val="ListParagraph"/>
        <w:widowControl w:val="0"/>
        <w:numPr>
          <w:ilvl w:val="2"/>
          <w:numId w:val="58"/>
        </w:numPr>
        <w:autoSpaceDE w:val="0"/>
        <w:autoSpaceDN w:val="0"/>
        <w:spacing w:before="160" w:line="273" w:lineRule="auto"/>
        <w:ind w:left="1134"/>
        <w:jc w:val="both"/>
      </w:pPr>
      <w:r w:rsidRPr="004B61B0">
        <w:t>a belső irányítási intézkedések és a belső jelentési útvonalak megfelelősége az AML/CFT megfelelés tekintetében, beleértve a vezetői információk minőségét és mennyiségét;</w:t>
      </w:r>
    </w:p>
    <w:p w14:paraId="6ACE36C1" w14:textId="6143A075" w:rsidR="00CE2887" w:rsidRPr="004B61B0" w:rsidRDefault="00466038" w:rsidP="00DB6888">
      <w:pPr>
        <w:pStyle w:val="CommentText"/>
        <w:numPr>
          <w:ilvl w:val="2"/>
          <w:numId w:val="58"/>
        </w:numPr>
        <w:spacing w:before="240" w:after="120" w:line="276" w:lineRule="auto"/>
        <w:ind w:left="1134"/>
        <w:jc w:val="both"/>
        <w:rPr>
          <w:rFonts w:asciiTheme="minorHAnsi" w:hAnsiTheme="minorHAnsi" w:cstheme="minorHAnsi"/>
          <w:sz w:val="22"/>
          <w:szCs w:val="22"/>
        </w:rPr>
      </w:pPr>
      <w:r w:rsidRPr="004B61B0">
        <w:rPr>
          <w:rFonts w:asciiTheme="minorHAnsi" w:hAnsiTheme="minorHAnsi"/>
          <w:sz w:val="22"/>
          <w:szCs w:val="22"/>
        </w:rPr>
        <w:t>az értékelési alanynál az (EU) 2015/849 irányelv 8. cikkének (4) bekezdésében meghatározott AML/CFT-megfelelési tisztviselő szerepét betöltő személy megfelelősége, valamint a felügyeleti feladatokat ellátó munkatársak által az ennek értékelése érdekében teendő lépések;</w:t>
      </w:r>
    </w:p>
    <w:p w14:paraId="24F55DCD" w14:textId="77777777" w:rsidR="00713039" w:rsidRPr="004B61B0" w:rsidRDefault="00CE14AE" w:rsidP="004D193D">
      <w:pPr>
        <w:pStyle w:val="ListParagraph"/>
        <w:widowControl w:val="0"/>
        <w:numPr>
          <w:ilvl w:val="1"/>
          <w:numId w:val="40"/>
        </w:numPr>
        <w:autoSpaceDE w:val="0"/>
        <w:autoSpaceDN w:val="0"/>
        <w:spacing w:before="160" w:line="274" w:lineRule="auto"/>
        <w:ind w:left="697" w:hanging="357"/>
        <w:jc w:val="both"/>
      </w:pPr>
      <w:r w:rsidRPr="004B61B0">
        <w:t>milyen típusú megbeszéléseket és kommunikációt kell folytatnia a felügyeleti feladatokat ellátó munkatársnak az értékelési alannyal egy adott felügyeleti eszköz alkalmazása előtt, alatt és után;</w:t>
      </w:r>
    </w:p>
    <w:p w14:paraId="6EBD3555" w14:textId="7A6F8D34" w:rsidR="00CE14AE" w:rsidRPr="004B61B0" w:rsidRDefault="00713039" w:rsidP="004D193D">
      <w:pPr>
        <w:pStyle w:val="ListParagraph"/>
        <w:widowControl w:val="0"/>
        <w:numPr>
          <w:ilvl w:val="1"/>
          <w:numId w:val="40"/>
        </w:numPr>
        <w:autoSpaceDE w:val="0"/>
        <w:autoSpaceDN w:val="0"/>
        <w:spacing w:before="160" w:line="274" w:lineRule="auto"/>
        <w:ind w:left="697" w:hanging="357"/>
        <w:jc w:val="both"/>
      </w:pPr>
      <w:r w:rsidRPr="004B61B0">
        <w:lastRenderedPageBreak/>
        <w:t>az ellenőrzések vagy felülvizsgálatok megállapításainak közlése során az illetékes hatóságok és az értékelési alanyok által betartandó indikatív időkeretek;</w:t>
      </w:r>
    </w:p>
    <w:p w14:paraId="6BB3F4DD" w14:textId="3826D631" w:rsidR="00692D01" w:rsidRPr="004B61B0" w:rsidRDefault="00CE14AE" w:rsidP="004D193D">
      <w:pPr>
        <w:pStyle w:val="ListParagraph"/>
        <w:widowControl w:val="0"/>
        <w:numPr>
          <w:ilvl w:val="1"/>
          <w:numId w:val="40"/>
        </w:numPr>
        <w:autoSpaceDE w:val="0"/>
        <w:autoSpaceDN w:val="0"/>
        <w:spacing w:before="160" w:line="274" w:lineRule="auto"/>
        <w:ind w:left="697" w:hanging="357"/>
        <w:jc w:val="both"/>
      </w:pPr>
      <w:r w:rsidRPr="004B61B0">
        <w:t>hogyan kell értékelni, hogy az értékelési alanyok által bevezetett AML/CFT rendszerek és kontrollmechanizmusok elég hatékonyak és arányosak-e azokkal az ML/TF kockázatokkal, amelyeknek az értékelési alany ki van téve. Az illetékes hatóságoknak legalább azokat a fő területeket meg kell határozniuk, amelyekre a felügyeleti feladatokat ellátó munkatársnak összpontosítania kell, és amelyek az értékelési alanynál a hatékonyság hiányára utalhatnak. Íme a teljesség igénye nélkül néhány olyan mutató, amely arra utalhat, hogy az AML/CFT keretrendszert hatékonyan hajtják végre:</w:t>
      </w:r>
    </w:p>
    <w:p w14:paraId="71C5C448" w14:textId="77777777" w:rsidR="00B80111" w:rsidRPr="004B61B0" w:rsidRDefault="00B80111" w:rsidP="00DB6888">
      <w:pPr>
        <w:pStyle w:val="ListParagraph"/>
        <w:widowControl w:val="0"/>
        <w:numPr>
          <w:ilvl w:val="2"/>
          <w:numId w:val="58"/>
        </w:numPr>
        <w:autoSpaceDE w:val="0"/>
        <w:autoSpaceDN w:val="0"/>
        <w:spacing w:before="160" w:line="274" w:lineRule="auto"/>
        <w:ind w:left="1089" w:hanging="397"/>
        <w:jc w:val="both"/>
      </w:pPr>
      <w:r w:rsidRPr="004B61B0">
        <w:t>az értékelési alany személyzete jól ismeri a különböző rendszerekhez használt paramétereket, és képes megmagyarázni az e rendszerekből származó eredmények értelmét;</w:t>
      </w:r>
    </w:p>
    <w:p w14:paraId="4B08040E" w14:textId="5FC56008" w:rsidR="00692D01" w:rsidRPr="004B61B0" w:rsidRDefault="00B80111" w:rsidP="00DB6888">
      <w:pPr>
        <w:pStyle w:val="ListParagraph"/>
        <w:widowControl w:val="0"/>
        <w:numPr>
          <w:ilvl w:val="2"/>
          <w:numId w:val="58"/>
        </w:numPr>
        <w:autoSpaceDE w:val="0"/>
        <w:autoSpaceDN w:val="0"/>
        <w:spacing w:before="160" w:line="274" w:lineRule="auto"/>
        <w:ind w:left="1089" w:hanging="397"/>
        <w:jc w:val="both"/>
      </w:pPr>
      <w:r w:rsidRPr="004B61B0">
        <w:t>az ügyfelek és a tranzakciók átvilágítására használt rendszerek és folyamatok a várt eredményeket hozzák, amelyek összhangban vannak az adott szektor más hasonló értékelési alanyainak eredményeivel;</w:t>
      </w:r>
    </w:p>
    <w:p w14:paraId="28238F75" w14:textId="5AD04B03" w:rsidR="00930C72" w:rsidRPr="004B61B0" w:rsidRDefault="00D40449" w:rsidP="00DB6888">
      <w:pPr>
        <w:pStyle w:val="ListParagraph"/>
        <w:widowControl w:val="0"/>
        <w:numPr>
          <w:ilvl w:val="2"/>
          <w:numId w:val="58"/>
        </w:numPr>
        <w:autoSpaceDE w:val="0"/>
        <w:autoSpaceDN w:val="0"/>
        <w:spacing w:before="160" w:line="274" w:lineRule="auto"/>
        <w:ind w:left="1089" w:hanging="397"/>
        <w:jc w:val="both"/>
      </w:pPr>
      <w:r w:rsidRPr="004B61B0">
        <w:t xml:space="preserve"> a gyanús vagy szokatlan tranzakciók azonosítására és elemzésére, valamint a FIU-nak vagy más érintett hatóságoknak történő jelentésre vonatkozó politikák és folyamatok;</w:t>
      </w:r>
    </w:p>
    <w:p w14:paraId="0D905758" w14:textId="44F3D497" w:rsidR="00692D01" w:rsidRPr="004B61B0" w:rsidRDefault="00B80111" w:rsidP="00DB6888">
      <w:pPr>
        <w:pStyle w:val="ListParagraph"/>
        <w:widowControl w:val="0"/>
        <w:numPr>
          <w:ilvl w:val="2"/>
          <w:numId w:val="58"/>
        </w:numPr>
        <w:autoSpaceDE w:val="0"/>
        <w:autoSpaceDN w:val="0"/>
        <w:spacing w:before="160" w:line="274" w:lineRule="auto"/>
        <w:ind w:left="1089" w:hanging="397"/>
        <w:jc w:val="both"/>
      </w:pPr>
      <w:r w:rsidRPr="004B61B0">
        <w:t>az értékelési alany személyzete jól ismeri az AML/CFT politikákat és folyamatokat, valamint azoknak a gyakorlatban való alkalmazását;</w:t>
      </w:r>
    </w:p>
    <w:p w14:paraId="75737EAB" w14:textId="592F86EF" w:rsidR="00692D01" w:rsidRPr="004B61B0" w:rsidRDefault="00D40449" w:rsidP="00DB6888">
      <w:pPr>
        <w:pStyle w:val="ListParagraph"/>
        <w:widowControl w:val="0"/>
        <w:numPr>
          <w:ilvl w:val="2"/>
          <w:numId w:val="58"/>
        </w:numPr>
        <w:autoSpaceDE w:val="0"/>
        <w:autoSpaceDN w:val="0"/>
        <w:spacing w:before="160" w:line="274" w:lineRule="auto"/>
        <w:ind w:left="1089" w:hanging="397"/>
        <w:jc w:val="both"/>
      </w:pPr>
      <w:r w:rsidRPr="004B61B0">
        <w:t xml:space="preserve"> a különböző belső és külső jelentések, például a belső és külső ellenőrzés vagy a tanácsadók nem vetnek fel aggályokat az értékelési alany AML/CFT megfelelésével kapcsolatban;</w:t>
      </w:r>
    </w:p>
    <w:p w14:paraId="6ACF4CB2" w14:textId="0F58761D" w:rsidR="00F11F31" w:rsidRPr="004B61B0" w:rsidRDefault="00542F5E" w:rsidP="00DB6888">
      <w:pPr>
        <w:pStyle w:val="ListParagraph"/>
        <w:widowControl w:val="0"/>
        <w:numPr>
          <w:ilvl w:val="2"/>
          <w:numId w:val="58"/>
        </w:numPr>
        <w:autoSpaceDE w:val="0"/>
        <w:autoSpaceDN w:val="0"/>
        <w:spacing w:before="160" w:line="274" w:lineRule="auto"/>
        <w:ind w:left="1089" w:hanging="397"/>
        <w:jc w:val="both"/>
      </w:pPr>
      <w:r w:rsidRPr="004B61B0">
        <w:t>az értékelési alany valamennyi érintett munkatársa és felső vezetése számára megfelelő és releváns képzést biztosítanak;</w:t>
      </w:r>
    </w:p>
    <w:p w14:paraId="2DBE3C21" w14:textId="5E963B61" w:rsidR="00692D01" w:rsidRPr="004B61B0" w:rsidRDefault="00F11F31" w:rsidP="00DB6888">
      <w:pPr>
        <w:pStyle w:val="ListParagraph"/>
        <w:widowControl w:val="0"/>
        <w:numPr>
          <w:ilvl w:val="2"/>
          <w:numId w:val="58"/>
        </w:numPr>
        <w:autoSpaceDE w:val="0"/>
        <w:autoSpaceDN w:val="0"/>
        <w:spacing w:before="160" w:line="274" w:lineRule="auto"/>
        <w:ind w:left="1089" w:hanging="397"/>
        <w:jc w:val="both"/>
      </w:pPr>
      <w:r w:rsidRPr="004B61B0">
        <w:t xml:space="preserve"> az értékelési alany olyan méltányos ösztönzési gyakorlatokat vezetett be, beleértve a javadalmazást és egyéb jutalmakat, amelyek sem közvetlenül, sem közvetve nem segítik elő a nem körültekintő munkamódszereket vagy kultúrát;</w:t>
      </w:r>
    </w:p>
    <w:p w14:paraId="76159461" w14:textId="3A4BB781" w:rsidR="00692D01" w:rsidRPr="004B61B0" w:rsidRDefault="00542F5E" w:rsidP="00DB6888">
      <w:pPr>
        <w:pStyle w:val="ListParagraph"/>
        <w:widowControl w:val="0"/>
        <w:numPr>
          <w:ilvl w:val="2"/>
          <w:numId w:val="58"/>
        </w:numPr>
        <w:autoSpaceDE w:val="0"/>
        <w:autoSpaceDN w:val="0"/>
        <w:spacing w:before="160" w:line="274" w:lineRule="auto"/>
        <w:ind w:left="1089" w:hanging="397"/>
        <w:jc w:val="both"/>
      </w:pPr>
      <w:r w:rsidRPr="004B61B0">
        <w:t>elegendő és megfelelő vezetői jelentéstétel a vezetés minden szintjén;</w:t>
      </w:r>
    </w:p>
    <w:p w14:paraId="34EA37A3" w14:textId="6EAACD8C" w:rsidR="00D40449" w:rsidRPr="004B61B0" w:rsidRDefault="00542F5E" w:rsidP="00DB6888">
      <w:pPr>
        <w:pStyle w:val="ListParagraph"/>
        <w:widowControl w:val="0"/>
        <w:numPr>
          <w:ilvl w:val="2"/>
          <w:numId w:val="58"/>
        </w:numPr>
        <w:autoSpaceDE w:val="0"/>
        <w:autoSpaceDN w:val="0"/>
        <w:spacing w:before="160" w:line="274" w:lineRule="auto"/>
        <w:ind w:left="1089" w:hanging="397"/>
        <w:jc w:val="both"/>
      </w:pPr>
      <w:r w:rsidRPr="004B61B0">
        <w:t>megfelelő irányítási intézkedéseket vezettek be, és a felső vezetés egyértelmű szerepet tölt be az AML/CFT keretrendszerben.</w:t>
      </w:r>
    </w:p>
    <w:p w14:paraId="18653F5C" w14:textId="138757A6" w:rsidR="00CE14AE" w:rsidRPr="004B61B0"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4B61B0">
        <w:t xml:space="preserve"> milyen mértékben várható el a felügyeleti feladatokat ellátó munkatárstól, hogy megkérdőjelezze az AML/CFT rendszerek és kontrollintézkedések szilárdságát, az AML/CFT politikák és eljárások végrehajtását és a teljes vállalkozásra kiterjedő kockázatértékelés hatékonyságát;</w:t>
      </w:r>
    </w:p>
    <w:p w14:paraId="7F3C6969" w14:textId="299C6022" w:rsidR="00CE14AE" w:rsidRPr="004B61B0"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4B61B0">
        <w:t>példák azokra a helyzetekre, amelyekben a felügyeleti feladatokat ellátó munkatársaktól elvárják, hogy felügyeleti mérlegelést alkalmazva járjanak el;</w:t>
      </w:r>
    </w:p>
    <w:p w14:paraId="4A11548A" w14:textId="6F20BDF5" w:rsidR="007076C5" w:rsidRPr="004B61B0"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4B61B0">
        <w:t xml:space="preserve">amennyiben a felügyeleti eszköz ügyfélaktákból vagy ügyletekből történő mintavételt </w:t>
      </w:r>
      <w:r w:rsidRPr="004B61B0">
        <w:lastRenderedPageBreak/>
        <w:t>tartalmaz, a kézikönyvnek ismertetnie kell a mintavételi módszertant, beleértve a minta minimális méretét és a minta kiválasztásának kritériumait;</w:t>
      </w:r>
    </w:p>
    <w:p w14:paraId="4BA4DBCD" w14:textId="56245664" w:rsidR="00CE14AE" w:rsidRPr="004B61B0"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4B61B0">
        <w:t>azok a lépések, amelyeket a felügyeletet végző munkatársaknak az ellenőrzést követően meg kell tenniük annak biztosítása érdekében, hogy az értékelési alanyok megfelelően kezeljék a felügyeleti megállapításokat, valamint példák azokra az esetekre, amikor a jelen iránymutatások 4.4.8. szakaszában meghatározottak szerint utóvizsgálatra lehet szükség; és</w:t>
      </w:r>
    </w:p>
    <w:p w14:paraId="0E912EA7" w14:textId="38B67713" w:rsidR="00CE14AE" w:rsidRPr="004B61B0"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4B61B0">
        <w:t>az ellenőrzések vagy felülvizsgálatok eredményeinek jóváhagyására vonatkozó, illetékes hatóságon belüli irányítási szabályok, beleértve a szankciókkal és közigazgatási intézkedésekkel kapcsolatos döntéshozatali folyamatot.</w:t>
      </w:r>
    </w:p>
    <w:p w14:paraId="72B774B6" w14:textId="0DA50CED" w:rsidR="00D4443A" w:rsidRPr="004B61B0" w:rsidRDefault="00D4443A" w:rsidP="004D193D">
      <w:pPr>
        <w:pStyle w:val="body"/>
        <w:widowControl w:val="0"/>
        <w:numPr>
          <w:ilvl w:val="0"/>
          <w:numId w:val="10"/>
        </w:numPr>
        <w:tabs>
          <w:tab w:val="left" w:pos="426"/>
        </w:tabs>
        <w:autoSpaceDE w:val="0"/>
        <w:autoSpaceDN w:val="0"/>
        <w:spacing w:before="160" w:after="0"/>
      </w:pPr>
      <w:r w:rsidRPr="004B61B0">
        <w:t xml:space="preserve"> </w:t>
      </w:r>
      <w:r w:rsidR="00D46B19">
        <w:t xml:space="preserve">A) </w:t>
      </w:r>
      <w:r w:rsidRPr="004B61B0">
        <w:t>Mintavételi politikájuk kialakításakor az illetékes hatóságoknak szem előtt kell tartaniuk, hogy az értékelési alanyok sok tekintetben különböznek egymástól, például a termékek és szolgáltatások száma és típusa, valamint az ügyfelek és ügyletek száma és típusa tekintetében. Ebből következően szükség lehet arra, hogy az illetékes hatóságok a mintavételre vonatkozó megközelítésüket az adott értékelési alanyhoz igazítsák. Ennek részeként az illetékes hatóságoknak legalább a következő kritériumokat kell figyelembe venniük, hogy érdemleges mintát válasszanak ki:</w:t>
      </w:r>
    </w:p>
    <w:p w14:paraId="0305653A" w14:textId="7E9210A2" w:rsidR="001964F0" w:rsidRPr="004B61B0"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4B61B0">
        <w:t>A mintavételnek segítenie kell az illetékes hatóságokat az értékeléshez használt konkrét felügyeleti eszköz célkitűzéseinek elérésében. Ez azt jelenti, hogy a mintának olyan érdemleges számú ügyfélaktából vagy ügyletből kell állnia, amelyek reprezentálják a különböző kockázati kategóriákba tartozó ügyfelek, termékek és szolgáltatások sokféleségét; a minta méretét és összetételét azonban a következők határozzák meg:</w:t>
      </w:r>
    </w:p>
    <w:p w14:paraId="01092656" w14:textId="4F30BF12" w:rsidR="001964F0" w:rsidRPr="004B61B0" w:rsidRDefault="00233E47" w:rsidP="00DB6888">
      <w:pPr>
        <w:pStyle w:val="ListParagraph"/>
        <w:widowControl w:val="0"/>
        <w:numPr>
          <w:ilvl w:val="2"/>
          <w:numId w:val="59"/>
        </w:numPr>
        <w:autoSpaceDE w:val="0"/>
        <w:autoSpaceDN w:val="0"/>
        <w:spacing w:before="160" w:line="273" w:lineRule="auto"/>
        <w:jc w:val="both"/>
      </w:pPr>
      <w:r w:rsidRPr="004B61B0">
        <w:t>az értékeléshez használt felügyeleti eszköz célja;</w:t>
      </w:r>
    </w:p>
    <w:p w14:paraId="57105090" w14:textId="0A06730E" w:rsidR="001964F0" w:rsidRPr="004B61B0" w:rsidRDefault="001964F0" w:rsidP="00DB6888">
      <w:pPr>
        <w:pStyle w:val="ListParagraph"/>
        <w:widowControl w:val="0"/>
        <w:numPr>
          <w:ilvl w:val="2"/>
          <w:numId w:val="59"/>
        </w:numPr>
        <w:autoSpaceDE w:val="0"/>
        <w:autoSpaceDN w:val="0"/>
        <w:spacing w:before="160" w:line="273" w:lineRule="auto"/>
        <w:jc w:val="both"/>
      </w:pPr>
      <w:r w:rsidRPr="004B61B0">
        <w:t>az ügyfelek különböző kockázati kategóriái az értékelési alanynál, valamint a jelentős vagy nagyon jelentős ML/TF kockázatot hordozó ügyfelek aránya;</w:t>
      </w:r>
    </w:p>
    <w:p w14:paraId="27EF924E" w14:textId="31FB663E" w:rsidR="00CE14AE" w:rsidRPr="004B61B0" w:rsidRDefault="001964F0" w:rsidP="00DB6888">
      <w:pPr>
        <w:pStyle w:val="ListParagraph"/>
        <w:widowControl w:val="0"/>
        <w:numPr>
          <w:ilvl w:val="2"/>
          <w:numId w:val="59"/>
        </w:numPr>
        <w:autoSpaceDE w:val="0"/>
        <w:autoSpaceDN w:val="0"/>
        <w:spacing w:before="160" w:line="273" w:lineRule="auto"/>
        <w:jc w:val="both"/>
      </w:pPr>
      <w:r w:rsidRPr="004B61B0">
        <w:t xml:space="preserve"> az értékelési alany üzleti tevékenységének jellege, mérete és összetettsége.</w:t>
      </w:r>
    </w:p>
    <w:p w14:paraId="2CCC7395" w14:textId="5D55FD72" w:rsidR="00CE14AE" w:rsidRPr="004B61B0"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4B61B0">
        <w:t>A mintavétel részeként végzett ellenőrzéseknek kellően átfogónak és behatónak kell lenniük ahhoz, hogy az illetékes hatóság el tudja érni a kívánt felügyeleti célt.</w:t>
      </w:r>
    </w:p>
    <w:p w14:paraId="3A7AEC47" w14:textId="72B0AE40" w:rsidR="00CE14AE" w:rsidRPr="004B61B0"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4B61B0">
        <w:t>A mintavételt egyensúlyba kell hozni a felügyeleti eszköz részét képező egyéb felügyeleti tevékenységekkel, például a rendszerek, az irányítási intézkedések, valamint a politikák és eljárások felülvizsgálatával.</w:t>
      </w:r>
    </w:p>
    <w:p w14:paraId="18C72EC5" w14:textId="5F27C44E" w:rsidR="009E1CAB" w:rsidRPr="004B61B0" w:rsidRDefault="009E1CAB" w:rsidP="004D193D">
      <w:pPr>
        <w:pStyle w:val="body"/>
        <w:numPr>
          <w:ilvl w:val="0"/>
          <w:numId w:val="10"/>
        </w:numPr>
        <w:tabs>
          <w:tab w:val="left" w:pos="426"/>
        </w:tabs>
      </w:pPr>
      <w:r w:rsidRPr="004B61B0">
        <w:t xml:space="preserve">Az illetékes hatóságok mintavételi politikájának rugalmasnak kell lennie, és lehetővé kell tennie a kockázati szint vagy az új információk – köztük a felügyeleti tevékenységük részeként szerzett információk – alapján történő kiigazításokat. Ez azt jelenti, hogy az illetékes hatóságok megváltoztathatják a minta méretét, a mintába bevont ügyfelek, termékek, szolgáltatások vagy ügyletek kategóriáit, illetve az ellenőrzés vagy felülvizsgálat előtt vagy alatt végzett konkrét ellenőrzéseket. Amennyiben a mintavétel arra utal, hogy az értékelési alany esetében az alkalmazandó AML/CFT-kötelezettségek teljesítésének rendszerszintű elmulasztása áll fenn, az illetékes hatóságoknak ki kell vizsgálniuk a mulasztás kiváltó okát, ami további ellenőrzéseket </w:t>
      </w:r>
      <w:r w:rsidRPr="004B61B0">
        <w:lastRenderedPageBreak/>
        <w:t>vagy felügyeleti tevékenységeket foglalhat magában, beleértve a további mintavételt vagy a kulcsfontosságú alkalmazottakkal folytatott interjúkat.</w:t>
      </w:r>
    </w:p>
    <w:p w14:paraId="2C5A0047" w14:textId="69A80501" w:rsidR="00CE14AE" w:rsidRPr="004B61B0" w:rsidRDefault="00CE14AE" w:rsidP="004D193D">
      <w:pPr>
        <w:pStyle w:val="body"/>
        <w:numPr>
          <w:ilvl w:val="0"/>
          <w:numId w:val="10"/>
        </w:numPr>
        <w:tabs>
          <w:tab w:val="left" w:pos="426"/>
        </w:tabs>
      </w:pPr>
      <w:r w:rsidRPr="004B61B0">
        <w:t>A felügyeleti kézikönyvet rendszeresen felül kell vizsgálni és szükség esetén frissíteni kell, különösen, ha olyan jelentős változások történtek, amelyek hatással lehetnek a felügyeleti megközelítésre, beleértve a jogi keret vagy nemzetközi iránymutatás által bevezetett változásokat, vagy az illetékes hatóságok által a felügyeleti megközelítés megfelelőségére vonatkozóan kapott visszajelzésekből – a belső ellenőrzési funkciótól vagy külső szervektől, például a Pénzügyi Akció Munkacsoporttól, az Európa Tanácstól vagy az európai felügyeleti hatóságoktól kapott visszajelzésekből – adódóan szükséges változtatásokat. E felülvizsgálat eredményeként az illetékes hatóságoknak számba kell venniük a tanulságokat, és kezelniük kell az esetlegesen feltárt hiányosságokat. Az érintett, felügyeleti feladatokat ellátó munkatársaknak haladéktalanul értesülniük kell a kézikönyvben bekövetkezett változásokról.</w:t>
      </w:r>
    </w:p>
    <w:p w14:paraId="13C96CED" w14:textId="72E1D012" w:rsidR="00CE14AE" w:rsidRPr="004B61B0" w:rsidRDefault="00CE14AE" w:rsidP="00DB6888">
      <w:pPr>
        <w:pStyle w:val="Numberedtitlelevel3"/>
        <w:numPr>
          <w:ilvl w:val="2"/>
          <w:numId w:val="52"/>
        </w:numPr>
      </w:pPr>
      <w:r w:rsidRPr="004B61B0">
        <w:t>Minőségbiztosítás</w:t>
      </w:r>
    </w:p>
    <w:p w14:paraId="31647E5D" w14:textId="4B187760" w:rsidR="00CE14AE" w:rsidRPr="004B61B0" w:rsidRDefault="00C0221A" w:rsidP="004D193D">
      <w:pPr>
        <w:pStyle w:val="body"/>
        <w:numPr>
          <w:ilvl w:val="0"/>
          <w:numId w:val="10"/>
        </w:numPr>
        <w:tabs>
          <w:tab w:val="left" w:pos="426"/>
        </w:tabs>
      </w:pPr>
      <w:r w:rsidRPr="004B61B0">
        <w:t>Az illetékes hatóságoknak biztosítaniuk kell, hogy az AML/CFT felügyeletet valamennyi felügyeleti feladatokat ellátó munkatárs egységesen végezze. Ezért minőségbiztosítási ellenőrzéseket kell bevezetniük annak biztosítása érdekében, hogy valamennyi felügyeleti feladatokat ellátó munkatárs a felügyeleti kézikönyvvel összhangban következetesen alkalmazza a felügyeleti eszközöket és gyakorlatokat. Ezeknek az ellenőrzéseknek magukban kell foglalniuk legalább a belső ellenőrzési funkció által végzett felülvizsgálatot és a „négy szem” elv alkalmazását. Az illetékes hatóságoknak a felügyeleti következetesség elérésének egyéb eszközeiként a személyzet képzését, a mentorálást és a felügyeleti feladatokat ellátó munkatársak közötti munkamegosztást is fel kell használniuk.</w:t>
      </w:r>
    </w:p>
    <w:p w14:paraId="77508D73" w14:textId="19FFD755" w:rsidR="00CE14AE" w:rsidRPr="004B61B0" w:rsidRDefault="00CE14AE" w:rsidP="004D193D">
      <w:pPr>
        <w:pStyle w:val="body"/>
        <w:numPr>
          <w:ilvl w:val="0"/>
          <w:numId w:val="10"/>
        </w:numPr>
        <w:tabs>
          <w:tab w:val="left" w:pos="426"/>
        </w:tabs>
      </w:pPr>
      <w:r w:rsidRPr="004B61B0">
        <w:t>Az illetékes hatóságoknak biztosítaniuk kell a kockázatértékelés vagy más felügyeleti eszközök céljából az értékelési alanyoktól gyűjtött információk pontosságát és megbízhatóságát. Ennek biztosítása érdekében az illetékes hatóságoknak legalább keresztellenőrzés keretében össze kell vetniük ezeket az információkat az adott értékelési alanyra vagy hasonló értékelési alanyokra vonatkozóan már rendelkezésükre álló információkkal, vagy más megbízható forrásokból – többek között a prudenciális felügyeletektől, más illetékes hatóságoktól vagy pénzügyi információs egységektől – származó információkkal.</w:t>
      </w:r>
    </w:p>
    <w:p w14:paraId="64F0F483" w14:textId="06F4855D" w:rsidR="00CE14AE" w:rsidRPr="004B61B0" w:rsidRDefault="00CE14AE" w:rsidP="004D193D">
      <w:pPr>
        <w:pStyle w:val="body"/>
        <w:numPr>
          <w:ilvl w:val="0"/>
          <w:numId w:val="10"/>
        </w:numPr>
        <w:tabs>
          <w:tab w:val="left" w:pos="426"/>
        </w:tabs>
      </w:pPr>
      <w:r w:rsidRPr="004B61B0">
        <w:t>Amennyiben az illetékes hatóságok megállapítják, hogy az egy vagy több értékelési alany által szolgáltatott információk pontatlannak vagy hiányosnak tűnnek, lépéseket kell tenniük ezen ellentmondások tisztázása érdekében, és igyekezniük kell pontos információkat beszerezni. Ilyen körülmények között az illetékes hatóságoknak az azonosított pontatlanságok mértéke és típusa alapján mérlegelniük kell, hogy mely felügyeleti intézkedés a legmegfelelőbb a probléma kezelésére. Az intézkedések között szerepelhet, hogy közvetlenül az értékelési alanytól kérnek pontosítást, eseti ellenőrzést végeznek az értékelési alanynál, vagy bizonyos felügyeleti intézkedéseket rendelnek el.</w:t>
      </w:r>
    </w:p>
    <w:p w14:paraId="0AE1280D" w14:textId="6DACFE13" w:rsidR="00DF7E24" w:rsidRPr="004B61B0" w:rsidRDefault="00DF7E24" w:rsidP="004D193D">
      <w:pPr>
        <w:pStyle w:val="body"/>
        <w:numPr>
          <w:ilvl w:val="0"/>
          <w:numId w:val="10"/>
        </w:numPr>
        <w:tabs>
          <w:tab w:val="left" w:pos="426"/>
        </w:tabs>
      </w:pPr>
      <w:r w:rsidRPr="004B61B0">
        <w:lastRenderedPageBreak/>
        <w:t>Az illetékes hatóságoknak a szükséges minőségbiztosítási ellenőrzések megtervezésekor és végrehajtásakor figyelembe kell venniük a szükséges erőforrásokat. Egyes esetekben szükség lehet az informatika vagy más területek bizonyos szakosodott erőforrásainak bevonására.</w:t>
      </w:r>
    </w:p>
    <w:p w14:paraId="7ACA21C2" w14:textId="3FC7E7C9" w:rsidR="00CE14AE" w:rsidRPr="004B61B0" w:rsidRDefault="00080048" w:rsidP="00DB6888">
      <w:pPr>
        <w:pStyle w:val="Numberedtitlelevel3"/>
        <w:keepNext/>
        <w:numPr>
          <w:ilvl w:val="2"/>
          <w:numId w:val="52"/>
        </w:numPr>
        <w:ind w:left="856" w:hanging="431"/>
      </w:pPr>
      <w:r w:rsidRPr="004B61B0">
        <w:t>Külső felek szolgáltatásainak igénybevétele</w:t>
      </w:r>
    </w:p>
    <w:p w14:paraId="377E01AB" w14:textId="209C0F12" w:rsidR="00CE14AE" w:rsidRPr="004B61B0" w:rsidRDefault="00CE14AE" w:rsidP="004D193D">
      <w:pPr>
        <w:pStyle w:val="body"/>
        <w:numPr>
          <w:ilvl w:val="0"/>
          <w:numId w:val="10"/>
        </w:numPr>
        <w:tabs>
          <w:tab w:val="left" w:pos="426"/>
        </w:tabs>
      </w:pPr>
      <w:r w:rsidRPr="004B61B0">
        <w:t>Amennyiben az illetékes hatóságok külső tanácsadók vagy könyvvizsgálók szolgáltatásait veszik igénybe felügyeleti tervük, a terv egyes részeinek vagy valamely meghatározott felügyeleti feladatnak a végrehajtásához, mindig biztosítaniuk kell, hogy ezek a külső felek:</w:t>
      </w:r>
    </w:p>
    <w:p w14:paraId="7812D010" w14:textId="40AB4358" w:rsidR="00CE14AE" w:rsidRPr="004B61B0" w:rsidRDefault="00CE14AE" w:rsidP="00DB6888">
      <w:pPr>
        <w:pStyle w:val="ListParagraph"/>
        <w:widowControl w:val="0"/>
        <w:numPr>
          <w:ilvl w:val="1"/>
          <w:numId w:val="42"/>
        </w:numPr>
        <w:tabs>
          <w:tab w:val="left" w:pos="941"/>
          <w:tab w:val="left" w:pos="942"/>
        </w:tabs>
        <w:autoSpaceDE w:val="0"/>
        <w:autoSpaceDN w:val="0"/>
        <w:spacing w:before="160" w:line="273" w:lineRule="auto"/>
        <w:jc w:val="both"/>
      </w:pPr>
      <w:r w:rsidRPr="004B61B0">
        <w:t>megfelelő ismeretekkel és készségekkel rendelkezzenek azon konkrét felügyeleti feladatok végrehajtásához, amelyekkel az illetékes hatóságok megbízzák őket;</w:t>
      </w:r>
    </w:p>
    <w:p w14:paraId="04C4F8F1" w14:textId="0205D7FC" w:rsidR="00CE14AE" w:rsidRPr="004B61B0" w:rsidRDefault="00CE14AE" w:rsidP="00DB6888">
      <w:pPr>
        <w:pStyle w:val="ListParagraph"/>
        <w:widowControl w:val="0"/>
        <w:numPr>
          <w:ilvl w:val="1"/>
          <w:numId w:val="42"/>
        </w:numPr>
        <w:tabs>
          <w:tab w:val="left" w:pos="941"/>
          <w:tab w:val="left" w:pos="942"/>
        </w:tabs>
        <w:autoSpaceDE w:val="0"/>
        <w:autoSpaceDN w:val="0"/>
        <w:spacing w:before="160" w:line="273" w:lineRule="auto"/>
        <w:jc w:val="both"/>
      </w:pPr>
      <w:r w:rsidRPr="004B61B0">
        <w:t>világosan ismerjék a szabályozási elvárásokat és az általuk elvégzendő munka körét;</w:t>
      </w:r>
    </w:p>
    <w:p w14:paraId="138EE43C" w14:textId="466CA3BD" w:rsidR="00CE14AE" w:rsidRPr="004B61B0" w:rsidRDefault="00CE14AE" w:rsidP="00DB6888">
      <w:pPr>
        <w:pStyle w:val="ListParagraph"/>
        <w:widowControl w:val="0"/>
        <w:numPr>
          <w:ilvl w:val="1"/>
          <w:numId w:val="42"/>
        </w:numPr>
        <w:tabs>
          <w:tab w:val="left" w:pos="941"/>
          <w:tab w:val="left" w:pos="942"/>
        </w:tabs>
        <w:autoSpaceDE w:val="0"/>
        <w:autoSpaceDN w:val="0"/>
        <w:spacing w:before="160" w:line="273" w:lineRule="auto"/>
        <w:jc w:val="both"/>
      </w:pPr>
      <w:r w:rsidRPr="004B61B0">
        <w:t>hozzáférjenek olyan konkrét útmutatókhoz, amelyek egyértelműen meghatározzák részvételük feltételeit, valamint a megbízásuk részeként általuk követendő eljárásokat;</w:t>
      </w:r>
    </w:p>
    <w:p w14:paraId="6BD68B7D" w14:textId="3C663FE2" w:rsidR="00CE14AE" w:rsidRPr="004B61B0" w:rsidRDefault="00994D57" w:rsidP="00DB6888">
      <w:pPr>
        <w:pStyle w:val="ListParagraph"/>
        <w:widowControl w:val="0"/>
        <w:numPr>
          <w:ilvl w:val="1"/>
          <w:numId w:val="42"/>
        </w:numPr>
        <w:tabs>
          <w:tab w:val="left" w:pos="941"/>
          <w:tab w:val="left" w:pos="942"/>
        </w:tabs>
        <w:autoSpaceDE w:val="0"/>
        <w:autoSpaceDN w:val="0"/>
        <w:spacing w:before="160" w:line="273" w:lineRule="auto"/>
        <w:jc w:val="both"/>
      </w:pPr>
      <w:r w:rsidRPr="004B61B0">
        <w:t>megfelelő nyilvántartást vezessenek, amely részletesen tartalmazza az előírt feladatok elvégzése érdekében tett lépéseiket, valamint kifejti következtetéseik és megállapításaik indokait;</w:t>
      </w:r>
    </w:p>
    <w:p w14:paraId="20B2355F" w14:textId="30B628E4" w:rsidR="00CE14AE" w:rsidRPr="004B61B0" w:rsidRDefault="00C54EB4" w:rsidP="00DB6888">
      <w:pPr>
        <w:pStyle w:val="ListParagraph"/>
        <w:widowControl w:val="0"/>
        <w:numPr>
          <w:ilvl w:val="1"/>
          <w:numId w:val="42"/>
        </w:numPr>
        <w:tabs>
          <w:tab w:val="left" w:pos="941"/>
          <w:tab w:val="left" w:pos="942"/>
        </w:tabs>
        <w:autoSpaceDE w:val="0"/>
        <w:autoSpaceDN w:val="0"/>
        <w:spacing w:before="160" w:line="273" w:lineRule="auto"/>
        <w:jc w:val="both"/>
      </w:pPr>
      <w:r w:rsidRPr="004B61B0">
        <w:t>magas színvonalon végezzék el az előírt feladatokat. Ez magában foglalhatja azt is, hogy az illetékes hatóságok felülvizsgálják a külső fél által végzett egyéb munkákat, vagy részt vesznek az általa az illetékes hatóság nevében végzett egyes tevékenységekben;</w:t>
      </w:r>
    </w:p>
    <w:p w14:paraId="6FB633D5" w14:textId="06AE4153" w:rsidR="00CE14AE" w:rsidRPr="004B61B0" w:rsidRDefault="00C54EB4" w:rsidP="00DB6888">
      <w:pPr>
        <w:pStyle w:val="ListParagraph"/>
        <w:widowControl w:val="0"/>
        <w:numPr>
          <w:ilvl w:val="1"/>
          <w:numId w:val="42"/>
        </w:numPr>
        <w:tabs>
          <w:tab w:val="left" w:pos="941"/>
          <w:tab w:val="left" w:pos="942"/>
        </w:tabs>
        <w:autoSpaceDE w:val="0"/>
        <w:autoSpaceDN w:val="0"/>
        <w:spacing w:before="160" w:line="273" w:lineRule="auto"/>
        <w:jc w:val="both"/>
      </w:pPr>
      <w:r w:rsidRPr="004B61B0">
        <w:t>bejelentsék az esetleges összeférhetetlenséget, és ha kiderül, hogy összeférhetetlenségek állnak fenn, az illetékes hatóságoknak biztosítaniuk kell, hogy az összeférhetetlenséget megfelelően kezeljék és megoldják. Amennyiben az összeférhetetlenséget nem lehet megoldani, az illetékes hatóságoknak el kell utasítaniuk vagy meg kell szüntetniük az adott külső fél megbízását.</w:t>
      </w:r>
    </w:p>
    <w:p w14:paraId="3BEF66AB" w14:textId="660CC8A5" w:rsidR="00C54EB4" w:rsidRPr="004B61B0" w:rsidRDefault="00994D57" w:rsidP="004D193D">
      <w:pPr>
        <w:pStyle w:val="body"/>
        <w:numPr>
          <w:ilvl w:val="0"/>
          <w:numId w:val="10"/>
        </w:numPr>
        <w:tabs>
          <w:tab w:val="left" w:pos="426"/>
        </w:tabs>
      </w:pPr>
      <w:r w:rsidRPr="004B61B0">
        <w:t>Amennyiben az illetékes hatóságok a felügyeleti folyamat részeként következetesen szakértőket vesznek igénybe, ezt a felügyeleti tervnek és kézikönyvnek is tükröznie kell.</w:t>
      </w:r>
    </w:p>
    <w:p w14:paraId="6A42845C" w14:textId="3424BCC4" w:rsidR="00994D57" w:rsidRPr="004B61B0" w:rsidRDefault="00994D57" w:rsidP="004D193D">
      <w:pPr>
        <w:pStyle w:val="body"/>
        <w:numPr>
          <w:ilvl w:val="0"/>
          <w:numId w:val="10"/>
        </w:numPr>
        <w:tabs>
          <w:tab w:val="left" w:pos="426"/>
        </w:tabs>
      </w:pPr>
      <w:r w:rsidRPr="004B61B0">
        <w:t>Az illetékes hatóságoknak biztosítaniuk kell, hogy elegendő belső szakértelemmel rendelkezzenek ahhoz, hogy szükség esetén felülvizsgálhassák és kellőképpen megkérdőjelezhessék a külső felek által a nevükben végzett munkát.</w:t>
      </w:r>
    </w:p>
    <w:p w14:paraId="14DCC040" w14:textId="42F1C25A" w:rsidR="00CE14AE" w:rsidRPr="004B61B0" w:rsidRDefault="00E8598D" w:rsidP="004D193D">
      <w:pPr>
        <w:pStyle w:val="body"/>
        <w:numPr>
          <w:ilvl w:val="0"/>
          <w:numId w:val="10"/>
        </w:numPr>
        <w:tabs>
          <w:tab w:val="left" w:pos="426"/>
        </w:tabs>
      </w:pPr>
      <w:r w:rsidRPr="004B61B0">
        <w:t>Amennyiben az értékelési alanyok saját kezdeményezésükre vagy az illetékes hatóságok kérésére külső könyvvizsgálókat vagy tanácsadókat bíznak meg az AML/CFT kötelezettségeknek való megfelelésük értékelésével, az illetékes hatóságoknak biztosítaniuk kell, hogy:</w:t>
      </w:r>
    </w:p>
    <w:p w14:paraId="73C81045" w14:textId="137A4453" w:rsidR="00CE14AE" w:rsidRPr="004B61B0" w:rsidRDefault="00C3265F" w:rsidP="00DB6888">
      <w:pPr>
        <w:pStyle w:val="ListParagraph"/>
        <w:widowControl w:val="0"/>
        <w:numPr>
          <w:ilvl w:val="1"/>
          <w:numId w:val="43"/>
        </w:numPr>
        <w:tabs>
          <w:tab w:val="left" w:pos="941"/>
          <w:tab w:val="left" w:pos="942"/>
        </w:tabs>
        <w:autoSpaceDE w:val="0"/>
        <w:autoSpaceDN w:val="0"/>
        <w:spacing w:before="160" w:line="273" w:lineRule="auto"/>
        <w:jc w:val="both"/>
      </w:pPr>
      <w:r w:rsidRPr="004B61B0">
        <w:t>értesítést kapjanak a külső felek által elvégzett felülvizsgálat hatályáról;</w:t>
      </w:r>
    </w:p>
    <w:p w14:paraId="5D2509AC" w14:textId="4FB9DF4B" w:rsidR="00CE14AE" w:rsidRPr="004B61B0" w:rsidRDefault="00A77FB1" w:rsidP="00DB6888">
      <w:pPr>
        <w:pStyle w:val="ListParagraph"/>
        <w:widowControl w:val="0"/>
        <w:numPr>
          <w:ilvl w:val="1"/>
          <w:numId w:val="43"/>
        </w:numPr>
        <w:tabs>
          <w:tab w:val="left" w:pos="941"/>
          <w:tab w:val="left" w:pos="942"/>
        </w:tabs>
        <w:autoSpaceDE w:val="0"/>
        <w:autoSpaceDN w:val="0"/>
        <w:spacing w:before="160" w:line="273" w:lineRule="auto"/>
        <w:jc w:val="both"/>
      </w:pPr>
      <w:r w:rsidRPr="004B61B0">
        <w:t>értesítést kapjanak a külső felek által alkalmazott, értékelést végző szakértők készségeiről, ismereteiről és tapasztalatáról; és</w:t>
      </w:r>
    </w:p>
    <w:p w14:paraId="70F0E6D2" w14:textId="549BEA96" w:rsidR="00387A0D" w:rsidRPr="004B61B0" w:rsidRDefault="00BB1776" w:rsidP="00DB6888">
      <w:pPr>
        <w:pStyle w:val="ListParagraph"/>
        <w:widowControl w:val="0"/>
        <w:numPr>
          <w:ilvl w:val="1"/>
          <w:numId w:val="43"/>
        </w:numPr>
        <w:tabs>
          <w:tab w:val="left" w:pos="941"/>
          <w:tab w:val="left" w:pos="942"/>
        </w:tabs>
        <w:autoSpaceDE w:val="0"/>
        <w:autoSpaceDN w:val="0"/>
        <w:spacing w:before="160" w:line="273" w:lineRule="auto"/>
        <w:jc w:val="both"/>
      </w:pPr>
      <w:r w:rsidRPr="004B61B0">
        <w:t xml:space="preserve">rendszeres tájékoztatást kapjanak a szakértők munkájának eredményeiről és </w:t>
      </w:r>
      <w:r w:rsidRPr="004B61B0">
        <w:lastRenderedPageBreak/>
        <w:t>megállapításairól, azokban az esetekben is, amikor a szakértők következetesen a hiányosságok vagy megállapítások hiányáról számolnak be.</w:t>
      </w:r>
    </w:p>
    <w:p w14:paraId="702C0ECE" w14:textId="45CC7D32" w:rsidR="00F165E5" w:rsidRPr="004B61B0" w:rsidRDefault="00A62603" w:rsidP="004D193D">
      <w:pPr>
        <w:pStyle w:val="body"/>
        <w:numPr>
          <w:ilvl w:val="0"/>
          <w:numId w:val="10"/>
        </w:numPr>
        <w:tabs>
          <w:tab w:val="left" w:pos="426"/>
        </w:tabs>
      </w:pPr>
      <w:r w:rsidRPr="004B61B0">
        <w:t>Az illetékes hatóságoknak figyelembe kell venniük a külső felek munkáját, és arra a felügyeleti nyomon követés során vagy a folyamatos felügyelet részeként szükség szerint reagálniuk kell. Az illetékes hatóságoknak elemezniük kell a külső felek szakértőinek munkája és a felügyeleti ellenőrzések vagy felülvizsgálatok során tett saját megállapításaik között azonosított eltérések okait, és ezt az elemzést figyelembe kell venniük az értékelési alanyra vonatkozó kockázatértékelésükben. Ha az illetékes hatóságoknak kétségeik vannak a külső felek szakértői által a 108. és 111. bekezdésben leírtak szerint végzett munka általános minőségével kapcsolatban, az illetékes hatóságoknak fontolóra kell venniük, hogy az értékelési alanynál végzendő jövőbeli ellenőrzéseik vagy felülvizsgálataik részeként ezt a munkát is felülvizsgálják.</w:t>
      </w:r>
    </w:p>
    <w:p w14:paraId="64D3F03C" w14:textId="7E07C42A" w:rsidR="00CE14AE" w:rsidRPr="004B61B0" w:rsidRDefault="00CE14AE" w:rsidP="00C47112">
      <w:pPr>
        <w:pStyle w:val="body"/>
        <w:numPr>
          <w:ilvl w:val="0"/>
          <w:numId w:val="10"/>
        </w:numPr>
        <w:tabs>
          <w:tab w:val="left" w:pos="426"/>
        </w:tabs>
      </w:pPr>
      <w:r w:rsidRPr="004B61B0">
        <w:t>Az illetékes hatóságoknak gondoskodniuk kell arról, hogy legyenek olyan átjárók, amelyek biztosítják, hogy a külső felek szakértői szükség esetén közvetlenül az illetékes hatóságoknak jelenthessék az értékelési alanynál feltárt szabálytalanságokat, hiányosságokat vagy jogsértéseket, függetlenül attól, hogy szolgáltatásaik nyújtására az illetékes hatóságoktól vagy az értékelési alanytól kaptak-e megbízást.</w:t>
      </w:r>
    </w:p>
    <w:p w14:paraId="676F9204" w14:textId="0AFD6E74" w:rsidR="00CE14AE" w:rsidRPr="004B61B0" w:rsidRDefault="00CE14AE" w:rsidP="00DB6888">
      <w:pPr>
        <w:pStyle w:val="Numberedtitlelevel3"/>
        <w:numPr>
          <w:ilvl w:val="2"/>
          <w:numId w:val="52"/>
        </w:numPr>
      </w:pPr>
      <w:r w:rsidRPr="004B61B0">
        <w:t xml:space="preserve">Felügyeleti nyomon követés </w:t>
      </w:r>
    </w:p>
    <w:p w14:paraId="578ADA59" w14:textId="424BCAE1" w:rsidR="00713039" w:rsidRPr="004B61B0" w:rsidRDefault="00070C8F" w:rsidP="00C47112">
      <w:pPr>
        <w:pStyle w:val="body"/>
        <w:numPr>
          <w:ilvl w:val="0"/>
          <w:numId w:val="10"/>
        </w:numPr>
        <w:tabs>
          <w:tab w:val="left" w:pos="426"/>
        </w:tabs>
      </w:pPr>
      <w:r w:rsidRPr="004B61B0">
        <w:t>Az illetékes hatóságoknak meg kell győződniük arról, hogy az értékelési alanyok az AML/CFT rendszereiket és kontrollkeretüket érintő valamennyi jogsértést vagy hiányosságot megfelelően kezelik és hatékonyan helyreállítják. Az illetékes hatóságoknak minden szükséges lépést meg kell tenniük annak biztosítása érdekében, hogy az értékelési alanyok nem helyénvaló magatartása vagy tevékenysége megváltozzon vagy megszűnjön.</w:t>
      </w:r>
    </w:p>
    <w:p w14:paraId="74C91160" w14:textId="1F8BA194" w:rsidR="00CE14AE" w:rsidRPr="004B61B0" w:rsidRDefault="00CE14AE" w:rsidP="00C47112">
      <w:pPr>
        <w:pStyle w:val="body"/>
        <w:numPr>
          <w:ilvl w:val="0"/>
          <w:numId w:val="10"/>
        </w:numPr>
        <w:tabs>
          <w:tab w:val="left" w:pos="426"/>
        </w:tabs>
      </w:pPr>
      <w:r w:rsidRPr="004B61B0">
        <w:t>A leghatékonyabb felügyeleti nyomon követésről való döntés során az illetékes hatóságoknak olyan felügyeleti eszközöket vagy intézkedéseket kell választaniuk, amelyek arányosak a feltárt hiányosságok lényegességével és a jogsértések súlyosságával, és figyelembe veszik az értékelési alanyt érintő kockázat szintjét. Ez azt jelenti, hogy a jelentős vagy nagyon jelentős ML/TF-kockázatnak kitett értékelési alanynál feltárt súlyos jogsértések és lényeges hiányosságok</w:t>
      </w:r>
      <w:r w:rsidRPr="004B61B0">
        <w:rPr>
          <w:vertAlign w:val="superscript"/>
          <w:lang w:val="en-GB"/>
        </w:rPr>
        <w:footnoteReference w:id="24"/>
      </w:r>
      <w:r w:rsidRPr="004B61B0">
        <w:t xml:space="preserve"> intenzívebb nyomon követést és több felügyeleti erőforrást igényelnek, mint a kevésbé jelentős kockázatot hordozó értékelési alanyoknál feltárt kevésbé súlyos jogsértések vagy nem lényeges hiányosságok. A legsúlyosabb esetekben például az illetékes hatóságok utóvizsgálatot végezhetnek annak biztosítása érdekében, hogy valamennyi hiányosságot hatékonyan mérsékeljenek, és potenciálisan szankciót is mérlegelhetnek, míg a kevésbé súlyos esetekben elegendő lehet, ha az értékelési alany megerősíti, hogy a problémákat a javasolt helyreállítási tervnek megfelelően kezelik.</w:t>
      </w:r>
    </w:p>
    <w:p w14:paraId="60AC8F2D" w14:textId="4AC27F36" w:rsidR="00CE14AE" w:rsidRPr="004B61B0" w:rsidRDefault="00CE14AE" w:rsidP="00C47112">
      <w:pPr>
        <w:pStyle w:val="body"/>
        <w:numPr>
          <w:ilvl w:val="0"/>
          <w:numId w:val="10"/>
        </w:numPr>
        <w:tabs>
          <w:tab w:val="left" w:pos="426"/>
        </w:tabs>
      </w:pPr>
      <w:r w:rsidRPr="004B61B0">
        <w:t>Annak a fenti 114. és 115. bekezdéssel összhangban történő eldöntésekor, hogy mi lenne a leghatékonyabb felügyeleti nyomon követés, az illetékes hatóságoknak legalább a következőket kell mérlegelniük:</w:t>
      </w:r>
    </w:p>
    <w:p w14:paraId="5CDDBF71" w14:textId="2297094B" w:rsidR="002D78EC" w:rsidRPr="004B61B0" w:rsidRDefault="002C75CD"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lastRenderedPageBreak/>
        <w:t>az értékelési alany által az illetékes hatóságnak javasolt helyreállítási terv végrehajtását követően megvalósul-e az összes jogsértés és hiányosság hatékony kezelése és helyreállítása. Az értékelési alany által javasolt, a helyreállító intézkedések befejezésére vonatkozó ütemtervnek az illetékes hatóság megelégedésére kell szolgálnia, és az illetékes hatóságoknak kérdőre kell vonniuk az értékelési alanyt, ha az ütemterv irreális, vagy ha a javasolt intézkedések nem eléggé határozottak egyes hiányosságok helyreállításához;</w:t>
      </w:r>
    </w:p>
    <w:p w14:paraId="0E6BF03C" w14:textId="174C5173" w:rsidR="001B328F" w:rsidRPr="004B61B0" w:rsidRDefault="001B328F"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t>a felügyeleti eszközök, felügyeleti intézkedések vagy szankciók egyikét vagy ezeknek a kombinációját alkalmazzák-e annak biztosítása érdekében, hogy az értékelési alanynál a lehető leghatékonyabban és kellő időben megtörténjen a jogsértések és hiányosságok kezelése és helyreállítása;</w:t>
      </w:r>
    </w:p>
    <w:p w14:paraId="56FDA290" w14:textId="604F2EE9" w:rsidR="007350A4" w:rsidRPr="004B61B0" w:rsidRDefault="002B34CD"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t>a helyreállító intézkedések sürgőssége, mivel egyes jogsértések vagy hiányosságok sürgősebb intézkedéseket tehetnek szükségessé az értékelési alanyok részéről, ami azt jelenti, hogy az illetékes hatóságoknak biztosítaniuk kell, hogy az értékelési alany kellő hangsúlyt helyezzen e hiányosságok helyreállítására;</w:t>
      </w:r>
    </w:p>
    <w:p w14:paraId="5B5259C2" w14:textId="65DD5C07" w:rsidR="00CE14AE" w:rsidRPr="004B61B0" w:rsidRDefault="002B34CD"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t>az egyes jogsértések vagy hiányosságok helyreállításához szükséges idő hossza, és amennyiben a helyreállító intézkedések hosszú időt vehetnek igénybe, az értékelési alanynak megfelelő ideiglenes intézkedéseket kell bevezetnie a kockázat mérséklése érdekében;</w:t>
      </w:r>
    </w:p>
    <w:p w14:paraId="11F6BEF8" w14:textId="78205BAC" w:rsidR="001B328F" w:rsidRPr="004B61B0" w:rsidRDefault="002B34CD"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t>az ismétlődő vagy rendszerszintű jogsértés vagy hiányosság valószínűsége, amely az értékelési alanynál feltárt korábbi mulasztások, valamint annak az időnek a hossza alapján értékelhető, amelyen át az értékelési alany nem hajtott végre a hatékony rendszereket és kontrollmechanizmusokat; az illetékes hatóság nyomon követésének nemcsak egy konkrét probléma megoldására kell összpontosítania, hanem annak biztosítására, hogy az értékelési alanynál megszűnjön a rendszerszintű mulasztás;</w:t>
      </w:r>
    </w:p>
    <w:p w14:paraId="7D32A0B8" w14:textId="4F40E069" w:rsidR="00C40EF2" w:rsidRPr="004B61B0" w:rsidRDefault="001053C8"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t>a jogsértés vagy hiányosság által az értékelési alanyok tágabb belső ellenőrzési keretrendszerére gyakorolt lehetséges hatás, amely az együttműködésről szóló EBH-iránymutatásoknak</w:t>
      </w:r>
      <w:r w:rsidR="00006CE3" w:rsidRPr="004B61B0">
        <w:rPr>
          <w:rStyle w:val="FootnoteReference"/>
        </w:rPr>
        <w:footnoteReference w:id="25"/>
      </w:r>
      <w:r w:rsidRPr="004B61B0">
        <w:t xml:space="preserve"> megfelelően a prudenciális felügyeletekkel való együttműködést igényelhet, valamint prudenciális szempontból is szükségessé tehet nyomon követő intézkedéseket;</w:t>
      </w:r>
    </w:p>
    <w:p w14:paraId="0A11DF7E" w14:textId="58F6BC9B" w:rsidR="00C40EF2" w:rsidRDefault="00CE14AE" w:rsidP="00DB6888">
      <w:pPr>
        <w:pStyle w:val="ListParagraph"/>
        <w:widowControl w:val="0"/>
        <w:numPr>
          <w:ilvl w:val="1"/>
          <w:numId w:val="44"/>
        </w:numPr>
        <w:tabs>
          <w:tab w:val="left" w:pos="941"/>
          <w:tab w:val="left" w:pos="942"/>
        </w:tabs>
        <w:autoSpaceDE w:val="0"/>
        <w:autoSpaceDN w:val="0"/>
        <w:spacing w:before="160" w:line="273" w:lineRule="auto"/>
        <w:jc w:val="both"/>
      </w:pPr>
      <w:r w:rsidRPr="004B61B0">
        <w:t>az értékelési alany képessége és hajlandósága az illetékes hatóságok által azonosított hiányosságok helyreállítására, beleértve azt is, hogy az értékelési alanynál a kulcsfontosságú feladatot ellátó személyek és a felső vezetés tagjai milyen mértékben vesznek részt a helyreállítási folyamatban.</w:t>
      </w:r>
    </w:p>
    <w:p w14:paraId="0CAE6459" w14:textId="3F41549B" w:rsidR="00A132DF" w:rsidRPr="004B61B0"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1DEB95B4" w14:textId="735F301B" w:rsidR="00A4108C" w:rsidRDefault="00B0149F" w:rsidP="00C47112">
      <w:pPr>
        <w:pStyle w:val="body"/>
        <w:numPr>
          <w:ilvl w:val="0"/>
          <w:numId w:val="10"/>
        </w:numPr>
        <w:tabs>
          <w:tab w:val="left" w:pos="426"/>
        </w:tabs>
      </w:pPr>
      <w:r w:rsidRPr="00E6582A">
        <w:t xml:space="preserve">Amennyiben az illetékes hatóságoknak az a gyanújuk, hogy a hatékony rendszerek és </w:t>
      </w:r>
      <w:r>
        <w:t>kontrollmechanizmusok</w:t>
      </w:r>
      <w:r w:rsidRPr="00E6582A">
        <w:t xml:space="preserve"> végrehajtásának elmulasztása szándékos lehet, meg kell fontolniuk egy határozottabb nyomon követési intézkedést, amely biztosítja, hogy az értékelés</w:t>
      </w:r>
      <w:r>
        <w:t>i alany</w:t>
      </w:r>
      <w:r w:rsidRPr="00E6582A">
        <w:t xml:space="preserve"> </w:t>
      </w:r>
      <w:r w:rsidRPr="00E6582A">
        <w:lastRenderedPageBreak/>
        <w:t>azonnal felhagy az ilyen magatartással. Ilyen körülmények között az illetékes hatóságoknak együtt kell működniük az értékelés</w:t>
      </w:r>
      <w:r>
        <w:t xml:space="preserve">i alanymulasztásaival </w:t>
      </w:r>
      <w:r w:rsidRPr="00E6582A">
        <w:t>kapcsolatban a prudenciális felügyeletekkel, és információt kell cserélniük, valamint szükség esetén össze kell hangolniuk az intézkedéseket</w:t>
      </w:r>
      <w:r w:rsidR="00CE14AE" w:rsidRPr="004B61B0">
        <w:t xml:space="preserve">. </w:t>
      </w:r>
    </w:p>
    <w:p w14:paraId="25C56FF3" w14:textId="14A6D8E5"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4B61B0" w:rsidRDefault="003E228C" w:rsidP="00C47112">
      <w:pPr>
        <w:pStyle w:val="body"/>
        <w:numPr>
          <w:ilvl w:val="0"/>
          <w:numId w:val="10"/>
        </w:numPr>
        <w:tabs>
          <w:tab w:val="left" w:pos="426"/>
        </w:tabs>
      </w:pPr>
      <w:r w:rsidRPr="004B61B0">
        <w:t>Az illetékes hatóságoknak formalizálniuk kell a felügyeleti nyomon követési folyamatukat, és azt a felügyeleti kézikönyvükben kell rögzíteniük, ugyanakkor elegendő rugalmasságot kell hagyniuk a felügyeleti mérlegelés számára. Az illetékes hatóságoknak ütemtervet és leírást kell készíteniük a konkrét felügyeleti nyomon követési intézkedésekről és az értékelési alany által az egyes jogsértések vagy hiányosságok kezelése érdekében meghozandó intézkedésekről.</w:t>
      </w:r>
    </w:p>
    <w:p w14:paraId="3EA00C3C" w14:textId="7000DA13" w:rsidR="00CE14AE" w:rsidRPr="004B61B0" w:rsidRDefault="00CE14AE" w:rsidP="00C47112">
      <w:pPr>
        <w:pStyle w:val="body"/>
        <w:numPr>
          <w:ilvl w:val="0"/>
          <w:numId w:val="10"/>
        </w:numPr>
        <w:tabs>
          <w:tab w:val="left" w:pos="426"/>
        </w:tabs>
      </w:pPr>
      <w:r w:rsidRPr="004B61B0">
        <w:t>Amennyiben az illetékes hatóságok megállapították, hogy az értékelési alanyok nem hajtották végre a 2015/849 irányelv 45. cikkének (1) bekezdésével összhangban a csoport minden részében hatékony módon csoportszintű politikáikat és eljárásaikat, és hogy rendszereik és kontrollmechanizmusaik nem elég szilárdak ahhoz, hogy csökkentsék a csoportot a különböző joghatóságokban érintő kockázatokat, az illetékes hatóságnak meg kell tennie a szükséges lépéseket annak biztosítása érdekében, hogy:</w:t>
      </w:r>
    </w:p>
    <w:p w14:paraId="1D0236A3" w14:textId="6872C982" w:rsidR="00CE14AE" w:rsidRPr="004B61B0" w:rsidRDefault="00CE14AE" w:rsidP="00DB6888">
      <w:pPr>
        <w:pStyle w:val="ListParagraph"/>
        <w:widowControl w:val="0"/>
        <w:numPr>
          <w:ilvl w:val="1"/>
          <w:numId w:val="45"/>
        </w:numPr>
        <w:tabs>
          <w:tab w:val="left" w:pos="941"/>
          <w:tab w:val="left" w:pos="942"/>
        </w:tabs>
        <w:autoSpaceDE w:val="0"/>
        <w:autoSpaceDN w:val="0"/>
        <w:spacing w:before="160" w:line="273" w:lineRule="auto"/>
        <w:jc w:val="both"/>
      </w:pPr>
      <w:r w:rsidRPr="004B61B0">
        <w:t>az értékelési alanyok csoportszintű helyreállítási tervet vezessenek be, amelyben meghatározzák, hogyan fogják a különböző joghatóságokban feltárt hiányosságokat helyreállítani;</w:t>
      </w:r>
    </w:p>
    <w:p w14:paraId="78F6C0B6" w14:textId="7D9FE56D" w:rsidR="00CE14AE" w:rsidRPr="004B61B0" w:rsidRDefault="007C0EB2" w:rsidP="00DB6888">
      <w:pPr>
        <w:pStyle w:val="ListParagraph"/>
        <w:widowControl w:val="0"/>
        <w:numPr>
          <w:ilvl w:val="1"/>
          <w:numId w:val="45"/>
        </w:numPr>
        <w:tabs>
          <w:tab w:val="left" w:pos="941"/>
          <w:tab w:val="left" w:pos="942"/>
        </w:tabs>
        <w:autoSpaceDE w:val="0"/>
        <w:autoSpaceDN w:val="0"/>
        <w:spacing w:before="160" w:line="273" w:lineRule="auto"/>
        <w:jc w:val="both"/>
      </w:pPr>
      <w:r w:rsidRPr="004B61B0">
        <w:t>késedelem nélkül együttműködjenek a csoportba tartozó jogalanyok felügyeletében részt vevő más illetékes hatóságokkal, akár az AML/CFT kollégiumokon, akár más együttműködési mechanizmusokon keresztül, annak biztosítása érdekében, hogy azok tudomást szerezzenek ezekről a hiányosságokról; és</w:t>
      </w:r>
    </w:p>
    <w:p w14:paraId="2D4BFA7B" w14:textId="2F1104AA" w:rsidR="00CE14AE" w:rsidRPr="004B61B0" w:rsidRDefault="007C0EB2" w:rsidP="00DB6888">
      <w:pPr>
        <w:pStyle w:val="ListParagraph"/>
        <w:widowControl w:val="0"/>
        <w:numPr>
          <w:ilvl w:val="1"/>
          <w:numId w:val="45"/>
        </w:numPr>
        <w:tabs>
          <w:tab w:val="left" w:pos="941"/>
          <w:tab w:val="left" w:pos="942"/>
        </w:tabs>
        <w:autoSpaceDE w:val="0"/>
        <w:autoSpaceDN w:val="0"/>
        <w:spacing w:before="160" w:line="273" w:lineRule="auto"/>
        <w:jc w:val="both"/>
      </w:pPr>
      <w:r w:rsidRPr="004B61B0">
        <w:t>együttműködjenek más illetékes hatóságokkal és adott esetben a prudenciális felügyeletekkel, hogy döntsenek a legmegfelelőbb nyomon követési intézkedésekről, szükség szerint akár csoportszinten, akár az egyes jogalanyok szintjén. Ez a nyomon követés magában foglalhat – más felügyeleti eszközök mellett – közös helyszíni vizsgálatot vagy a különböző illetékes hatóságok körében közös megközelítést.</w:t>
      </w:r>
    </w:p>
    <w:p w14:paraId="56D51DF8" w14:textId="3AECB730" w:rsidR="00CE14AE" w:rsidRPr="004B61B0" w:rsidRDefault="00CE14AE" w:rsidP="00C47112">
      <w:pPr>
        <w:pStyle w:val="body"/>
        <w:numPr>
          <w:ilvl w:val="0"/>
          <w:numId w:val="10"/>
        </w:numPr>
        <w:tabs>
          <w:tab w:val="left" w:pos="426"/>
        </w:tabs>
      </w:pPr>
      <w:r w:rsidRPr="004B61B0">
        <w:t>Jóllehet a felügyeleti nyomon követési folyamat elkülönül a szankcionálási folyamattól, a két folyamat nem zárja ki kölcsönösen egymást, hanem ki kell egészíteniük egymást. Ezért az illetékes hatóságoknak - függetlenül az értékelési alany tekintetében kiszabandó szankcióktól – szorosan nyomon kell követniük a jogsértések és hiányosságok megfelelő helyreállítását.</w:t>
      </w:r>
    </w:p>
    <w:p w14:paraId="48EB9267" w14:textId="263C8694" w:rsidR="00CE14AE" w:rsidRPr="004B61B0" w:rsidRDefault="00875731" w:rsidP="00C47112">
      <w:pPr>
        <w:pStyle w:val="body"/>
        <w:numPr>
          <w:ilvl w:val="0"/>
          <w:numId w:val="10"/>
        </w:numPr>
        <w:tabs>
          <w:tab w:val="left" w:pos="426"/>
        </w:tabs>
      </w:pPr>
      <w:r w:rsidRPr="004B61B0">
        <w:t>Ezen iránymutatások rendelkezéseire tekintet nélkül az illetékes hatóságoknak az 1093/2010/EU rendelet 9a. cikke szerinti szabályozástechnikai standardtervezetekkel összhangban jelenteniük kell az Európai Bankfelügyeleti Hatóságnak a lényeges hiányosságokat.</w:t>
      </w:r>
    </w:p>
    <w:p w14:paraId="105C550F" w14:textId="77777777" w:rsidR="00CE14AE" w:rsidRPr="004B61B0" w:rsidRDefault="00CE14AE" w:rsidP="00DB6888">
      <w:pPr>
        <w:pStyle w:val="Numberedtitlelevel3"/>
        <w:numPr>
          <w:ilvl w:val="2"/>
          <w:numId w:val="52"/>
        </w:numPr>
      </w:pPr>
      <w:r w:rsidRPr="004B61B0">
        <w:t>Visszajelzés a szektor számára</w:t>
      </w:r>
    </w:p>
    <w:p w14:paraId="4137D98B" w14:textId="2576D500" w:rsidR="00CE14AE" w:rsidRPr="004B61B0" w:rsidRDefault="00E04030" w:rsidP="00DB6888">
      <w:pPr>
        <w:pStyle w:val="Numberedtitlelevel4"/>
        <w:numPr>
          <w:ilvl w:val="0"/>
          <w:numId w:val="57"/>
        </w:numPr>
      </w:pPr>
      <w:r w:rsidRPr="004B61B0">
        <w:lastRenderedPageBreak/>
        <w:t>Visszajelzés a kockázatértékelésekről</w:t>
      </w:r>
    </w:p>
    <w:p w14:paraId="16A19313" w14:textId="77777777" w:rsidR="00F30B15" w:rsidRPr="004B61B0" w:rsidRDefault="00CE14AE" w:rsidP="00890721">
      <w:pPr>
        <w:pStyle w:val="body"/>
        <w:numPr>
          <w:ilvl w:val="0"/>
          <w:numId w:val="10"/>
        </w:numPr>
        <w:tabs>
          <w:tab w:val="left" w:pos="426"/>
        </w:tabs>
      </w:pPr>
      <w:r w:rsidRPr="004B61B0">
        <w:t>Az illetékes hatóságoknak visszajelzést kell adniuk az értékelési alanyok számára a szektori kockázatértékelések eredményeiről. Az illetékes hatóságoknak közölniük kell legalább az alábbiakat:</w:t>
      </w:r>
    </w:p>
    <w:p w14:paraId="4F93F0C1" w14:textId="77777777" w:rsidR="00F30B15" w:rsidRPr="004B61B0" w:rsidRDefault="00CE14AE" w:rsidP="00DB6888">
      <w:pPr>
        <w:pStyle w:val="ListParagraph"/>
        <w:widowControl w:val="0"/>
        <w:numPr>
          <w:ilvl w:val="1"/>
          <w:numId w:val="46"/>
        </w:numPr>
        <w:tabs>
          <w:tab w:val="left" w:pos="941"/>
          <w:tab w:val="left" w:pos="942"/>
        </w:tabs>
        <w:autoSpaceDE w:val="0"/>
        <w:autoSpaceDN w:val="0"/>
        <w:spacing w:before="160" w:line="273" w:lineRule="auto"/>
        <w:jc w:val="both"/>
      </w:pPr>
      <w:r w:rsidRPr="004B61B0">
        <w:t xml:space="preserve"> az egyes szektorokban és alszektorokban általuk feltárt legfontosabb kockázatok;</w:t>
      </w:r>
    </w:p>
    <w:p w14:paraId="7988066F" w14:textId="7B03A2F2" w:rsidR="00F30B15" w:rsidRPr="004B61B0" w:rsidRDefault="00CE14AE" w:rsidP="00DB6888">
      <w:pPr>
        <w:pStyle w:val="ListParagraph"/>
        <w:widowControl w:val="0"/>
        <w:numPr>
          <w:ilvl w:val="1"/>
          <w:numId w:val="46"/>
        </w:numPr>
        <w:tabs>
          <w:tab w:val="left" w:pos="941"/>
          <w:tab w:val="left" w:pos="942"/>
        </w:tabs>
        <w:autoSpaceDE w:val="0"/>
        <w:autoSpaceDN w:val="0"/>
        <w:spacing w:before="160" w:line="273" w:lineRule="auto"/>
        <w:jc w:val="both"/>
      </w:pPr>
      <w:r w:rsidRPr="004B61B0">
        <w:t>az e kockázatokra vonatkozó értékelésük; és</w:t>
      </w:r>
    </w:p>
    <w:p w14:paraId="726BC6DC" w14:textId="1121DE41" w:rsidR="00CE14AE" w:rsidRPr="004B61B0" w:rsidRDefault="00CE14AE" w:rsidP="00DB6888">
      <w:pPr>
        <w:pStyle w:val="ListParagraph"/>
        <w:widowControl w:val="0"/>
        <w:numPr>
          <w:ilvl w:val="1"/>
          <w:numId w:val="46"/>
        </w:numPr>
        <w:tabs>
          <w:tab w:val="left" w:pos="941"/>
          <w:tab w:val="left" w:pos="942"/>
        </w:tabs>
        <w:autoSpaceDE w:val="0"/>
        <w:autoSpaceDN w:val="0"/>
        <w:spacing w:before="160" w:line="273" w:lineRule="auto"/>
        <w:jc w:val="both"/>
      </w:pPr>
      <w:r w:rsidRPr="004B61B0">
        <w:t>bármilyen egyéb információk, amelyek növelhetik az értékelési alanyok kockázatokra vonatkozó ismereteit, és bővíthetik a saját tevékenységükre kiterjedő és egyedi kockázatértékeléseiket.</w:t>
      </w:r>
    </w:p>
    <w:p w14:paraId="2BB8CD8D" w14:textId="7CEFF92C" w:rsidR="006676B9" w:rsidRPr="004B61B0" w:rsidRDefault="00F139DF" w:rsidP="00890721">
      <w:pPr>
        <w:pStyle w:val="body"/>
        <w:numPr>
          <w:ilvl w:val="0"/>
          <w:numId w:val="10"/>
        </w:numPr>
        <w:tabs>
          <w:tab w:val="left" w:pos="426"/>
        </w:tabs>
        <w:rPr>
          <w:color w:val="000000"/>
        </w:rPr>
      </w:pPr>
      <w:r w:rsidRPr="004B61B0">
        <w:rPr>
          <w:color w:val="000000"/>
        </w:rPr>
        <w:t>Amennyiben az illetékes hatóságok úgy döntenek, hogy szektori vagy alszektori kockázatértékelésük szerkesztett változatát bocsátják az értékelési alanyok rendelkezésére, biztosítaniuk kell, hogy ez elegendő és érdemleges információt tartalmazzon ahhoz, hogy az értékelési alanyok fel tudják használni ezeket az információkat saját kockázatértékelésük kidolgozása során.</w:t>
      </w:r>
    </w:p>
    <w:p w14:paraId="6BB255CA" w14:textId="1D36FF67" w:rsidR="00CE14AE" w:rsidRPr="004B61B0" w:rsidRDefault="00CE14AE" w:rsidP="00E04030">
      <w:pPr>
        <w:pStyle w:val="Numberedtitlelevel4"/>
      </w:pPr>
      <w:r w:rsidRPr="004B61B0">
        <w:t>Útmutatás a szektor számára</w:t>
      </w:r>
    </w:p>
    <w:p w14:paraId="33920FBC" w14:textId="6F011B8C" w:rsidR="00CE14AE" w:rsidRPr="004B61B0" w:rsidRDefault="00CE14AE" w:rsidP="00890721">
      <w:pPr>
        <w:pStyle w:val="body"/>
        <w:numPr>
          <w:ilvl w:val="0"/>
          <w:numId w:val="10"/>
        </w:numPr>
        <w:tabs>
          <w:tab w:val="left" w:pos="426"/>
        </w:tabs>
      </w:pPr>
      <w:r w:rsidRPr="004B61B0">
        <w:t>Az illetékes hatóságoknak ki kell adniuk a szükséges iránymutatást az értékelési alanyok számára, amelyben kifejtik, hogy elvárásaik szerint hogyan kell az értékelési alanyoknak a gyakorlatban végrehajtaniuk a kockázatalapú megközelítést, és mit kell tenniük annak érdekében, hogy eleget tegyenek AML/CFT kötelezettségüknek. Az illetékes hatóságoknak az európai felügyeleti hatóságok által közzétett vonatkozó iránymutatásokat kell alapul venniük, és azokat ki kell egészíteniük a sajátos nemzeti szintű jellemzőkkel.</w:t>
      </w:r>
    </w:p>
    <w:p w14:paraId="057261C3" w14:textId="7AC60AE5" w:rsidR="00CE14AE" w:rsidRPr="004B61B0" w:rsidRDefault="00CE14AE" w:rsidP="00890721">
      <w:pPr>
        <w:pStyle w:val="body"/>
        <w:numPr>
          <w:ilvl w:val="0"/>
          <w:numId w:val="10"/>
        </w:numPr>
        <w:tabs>
          <w:tab w:val="left" w:pos="426"/>
        </w:tabs>
      </w:pPr>
      <w:r w:rsidRPr="004B61B0">
        <w:t>Az illetékes hatóságoknak azt is fel kell mérniük, hogy szükség van-e a szektorban további útmutatásra. Az illetékes hatóságoknak az ismétlődő problémák, az újonnan megjelenő kockázatok vagy a kockázatértékeléshez gyűjtött információk elemzéséből, az ellenőrzések – köztük a tematikus felülvizsgálatok – megállapításaiból, valamint a szektorral – többek között a szakmai szövetségekkel – folytatott egyéb érintkezésekből származó egyéb aggályok alapján kell értékelniük az AML/CFT ismeretek és szakértelem szintjét a szektorukban. A további útmutatás szükségességét jelző mutatók közé többek között a következők tartoznak:</w:t>
      </w:r>
    </w:p>
    <w:p w14:paraId="101D2DBD" w14:textId="1A9CE250" w:rsidR="00CE14AE" w:rsidRPr="004B61B0" w:rsidRDefault="002A46AD" w:rsidP="00DB6888">
      <w:pPr>
        <w:pStyle w:val="ListParagraph"/>
        <w:widowControl w:val="0"/>
        <w:numPr>
          <w:ilvl w:val="1"/>
          <w:numId w:val="55"/>
        </w:numPr>
        <w:tabs>
          <w:tab w:val="left" w:pos="941"/>
          <w:tab w:val="left" w:pos="942"/>
        </w:tabs>
        <w:autoSpaceDE w:val="0"/>
        <w:autoSpaceDN w:val="0"/>
        <w:spacing w:before="160" w:line="273" w:lineRule="auto"/>
        <w:jc w:val="both"/>
      </w:pPr>
      <w:r w:rsidRPr="004B61B0">
        <w:t>az értékelési alanyok ismételten elmulasztják bizonyos AML/CFT kötelezettségek teljesítését;</w:t>
      </w:r>
    </w:p>
    <w:p w14:paraId="4A707278" w14:textId="629D9614" w:rsidR="00CE14AE" w:rsidRPr="004B61B0" w:rsidRDefault="002A46AD" w:rsidP="00DB6888">
      <w:pPr>
        <w:pStyle w:val="ListParagraph"/>
        <w:widowControl w:val="0"/>
        <w:numPr>
          <w:ilvl w:val="1"/>
          <w:numId w:val="55"/>
        </w:numPr>
        <w:tabs>
          <w:tab w:val="left" w:pos="941"/>
          <w:tab w:val="left" w:pos="942"/>
        </w:tabs>
        <w:autoSpaceDE w:val="0"/>
        <w:autoSpaceDN w:val="0"/>
        <w:spacing w:before="160" w:line="273" w:lineRule="auto"/>
        <w:jc w:val="both"/>
      </w:pPr>
      <w:r w:rsidRPr="004B61B0">
        <w:t>a nemzeti vagy uniós szintű jogszabályi keretben a közelmúltban bekövetkezett olyan változások, amelyek hatással lehetnek az értékelési alanyok azon képességére, hogy teljesíteni tudják AML/CFT kötelezettségeiket;</w:t>
      </w:r>
    </w:p>
    <w:p w14:paraId="56E43205" w14:textId="152A85A4" w:rsidR="008F6916" w:rsidRPr="004B61B0" w:rsidRDefault="008F6916" w:rsidP="00DB6888">
      <w:pPr>
        <w:pStyle w:val="ListParagraph"/>
        <w:widowControl w:val="0"/>
        <w:numPr>
          <w:ilvl w:val="1"/>
          <w:numId w:val="55"/>
        </w:numPr>
        <w:tabs>
          <w:tab w:val="left" w:pos="941"/>
          <w:tab w:val="left" w:pos="942"/>
        </w:tabs>
        <w:autoSpaceDE w:val="0"/>
        <w:autoSpaceDN w:val="0"/>
        <w:spacing w:before="160" w:line="273" w:lineRule="auto"/>
        <w:jc w:val="both"/>
      </w:pPr>
      <w:r w:rsidRPr="004B61B0">
        <w:t>bizonyos szektorokban vagy értékelési alanyoknál a kockázatmentesítés bizonyítéka, vagy bizonyíték arra, hogy az értékelési alanyok inkább elkerülik a kockázatokat, mint sem hogy hatékonyan kezelnék azokat;</w:t>
      </w:r>
    </w:p>
    <w:p w14:paraId="0B5FCE26" w14:textId="1A3AAE65" w:rsidR="008F6916" w:rsidRPr="004B61B0" w:rsidRDefault="008F6916" w:rsidP="00DB6888">
      <w:pPr>
        <w:pStyle w:val="ListParagraph"/>
        <w:widowControl w:val="0"/>
        <w:numPr>
          <w:ilvl w:val="1"/>
          <w:numId w:val="55"/>
        </w:numPr>
        <w:tabs>
          <w:tab w:val="left" w:pos="941"/>
          <w:tab w:val="left" w:pos="942"/>
        </w:tabs>
        <w:autoSpaceDE w:val="0"/>
        <w:autoSpaceDN w:val="0"/>
        <w:spacing w:before="160" w:line="273" w:lineRule="auto"/>
        <w:jc w:val="both"/>
      </w:pPr>
      <w:r w:rsidRPr="004B61B0">
        <w:lastRenderedPageBreak/>
        <w:t>az illetékes hatóságokhoz intézett ismételt kérdések vagy az AML/CFT keretrendszer bizonyos aspektusaira vonatkozó útmutatás iránti kérelmek;</w:t>
      </w:r>
    </w:p>
    <w:p w14:paraId="08521C7A" w14:textId="5FDB964A" w:rsidR="008F6916" w:rsidRDefault="008F6916" w:rsidP="00DB6888">
      <w:pPr>
        <w:pStyle w:val="ListParagraph"/>
        <w:widowControl w:val="0"/>
        <w:numPr>
          <w:ilvl w:val="1"/>
          <w:numId w:val="55"/>
        </w:numPr>
        <w:tabs>
          <w:tab w:val="left" w:pos="941"/>
          <w:tab w:val="left" w:pos="942"/>
        </w:tabs>
        <w:autoSpaceDE w:val="0"/>
        <w:autoSpaceDN w:val="0"/>
        <w:spacing w:before="160" w:line="273" w:lineRule="auto"/>
        <w:jc w:val="both"/>
      </w:pPr>
      <w:r w:rsidRPr="004B61B0">
        <w:t>új ML/TF kockázatok és tipológiák megjelenése</w:t>
      </w:r>
      <w:r w:rsidR="00B0149F">
        <w:t>;</w:t>
      </w:r>
    </w:p>
    <w:p w14:paraId="06219191" w14:textId="71DB3022" w:rsidR="00A132DF" w:rsidRDefault="00A132DF" w:rsidP="00A132DF">
      <w:pPr>
        <w:widowControl w:val="0"/>
        <w:tabs>
          <w:tab w:val="left" w:pos="941"/>
          <w:tab w:val="left" w:pos="942"/>
        </w:tabs>
        <w:autoSpaceDE w:val="0"/>
        <w:autoSpaceDN w:val="0"/>
        <w:spacing w:before="160" w:line="273" w:lineRule="auto"/>
        <w:jc w:val="both"/>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6E763550" w14:textId="1DF9FDB5" w:rsidR="00B0149F" w:rsidRDefault="00B0149F" w:rsidP="00DB6888">
      <w:pPr>
        <w:pStyle w:val="ListParagraph"/>
        <w:widowControl w:val="0"/>
        <w:numPr>
          <w:ilvl w:val="1"/>
          <w:numId w:val="55"/>
        </w:numPr>
        <w:tabs>
          <w:tab w:val="left" w:pos="941"/>
          <w:tab w:val="left" w:pos="942"/>
        </w:tabs>
        <w:autoSpaceDE w:val="0"/>
        <w:autoSpaceDN w:val="0"/>
        <w:spacing w:before="160" w:line="273" w:lineRule="auto"/>
        <w:jc w:val="both"/>
      </w:pPr>
      <w:r w:rsidRPr="00E6582A">
        <w:t xml:space="preserve">a gyanús ügyletekre vonatkozó </w:t>
      </w:r>
      <w:r>
        <w:t>be</w:t>
      </w:r>
      <w:r w:rsidRPr="00E6582A">
        <w:t>jelentések minőségével és hasznosságával kapcsolatos aggályok</w:t>
      </w:r>
      <w:r>
        <w:t>.</w:t>
      </w:r>
    </w:p>
    <w:p w14:paraId="1A86C752" w14:textId="0A118249"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B2A58" w14:textId="5CBFE723"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4B61B0">
        <w:rPr>
          <w:color w:val="000000"/>
        </w:rPr>
        <w:t>Az illetékes hatóságoknak fel kell mérniük, hogy szükség lehet-e útmutatásra a szektor egészére vagy kifejezetten egy adott alszektorra vonatkozóan, illetve valamely meghatározott témakörre vonatkozóan. Az illetékes hatóságoknak biztosítaniuk kell, hogy az általuk nyújtott útmutatás világos és egyértelmű legyen, valamint:</w:t>
      </w:r>
    </w:p>
    <w:p w14:paraId="49130188" w14:textId="4DC01D59" w:rsidR="00A132DF" w:rsidRPr="00A132DF" w:rsidRDefault="00A132DF" w:rsidP="00A132DF">
      <w:pPr>
        <w:widowControl w:val="0"/>
        <w:tabs>
          <w:tab w:val="left" w:pos="426"/>
        </w:tabs>
        <w:autoSpaceDE w:val="0"/>
        <w:autoSpaceDN w:val="0"/>
        <w:spacing w:before="119" w:line="276" w:lineRule="auto"/>
        <w:ind w:right="219"/>
        <w:jc w:val="both"/>
        <w:rPr>
          <w:color w:val="000000"/>
        </w:rPr>
      </w:pPr>
      <w:r w:rsidRPr="00A132DF">
        <w:rPr>
          <w:rFonts w:ascii="Wingdings" w:eastAsia="Wingdings" w:hAnsi="Wingdings" w:cs="Wingdings"/>
          <w:color w:val="E98E31" w:themeColor="background2"/>
          <w:spacing w:val="-1"/>
        </w:rPr>
        <w:t>Ú</w:t>
      </w:r>
      <w:r w:rsidRPr="00A132DF">
        <w:rPr>
          <w:color w:val="E98E31" w:themeColor="background2"/>
          <w:spacing w:val="-1"/>
        </w:rPr>
        <w:t>A1</w:t>
      </w:r>
    </w:p>
    <w:p w14:paraId="63167854" w14:textId="678CEA0F" w:rsidR="008F6916" w:rsidRPr="004B61B0" w:rsidRDefault="00B0149F" w:rsidP="00DB6888">
      <w:pPr>
        <w:pStyle w:val="ListParagraph"/>
        <w:widowControl w:val="0"/>
        <w:numPr>
          <w:ilvl w:val="1"/>
          <w:numId w:val="56"/>
        </w:numPr>
        <w:tabs>
          <w:tab w:val="left" w:pos="941"/>
          <w:tab w:val="left" w:pos="942"/>
        </w:tabs>
        <w:autoSpaceDE w:val="0"/>
        <w:autoSpaceDN w:val="0"/>
        <w:spacing w:before="160" w:line="273" w:lineRule="auto"/>
        <w:jc w:val="both"/>
      </w:pPr>
      <w:r w:rsidRPr="00E6582A">
        <w:t>megkönnyíti és támogatja a hatékony kockázatalapú megközelítés végrehajtását az értékelés</w:t>
      </w:r>
      <w:r>
        <w:t>i alanyok</w:t>
      </w:r>
      <w:r w:rsidRPr="00E6582A">
        <w:t xml:space="preserve"> által, többek között az ágazatban azonosított bevált gyakorlatok közzététele révén</w:t>
      </w:r>
      <w:r w:rsidR="008F6916" w:rsidRPr="004B61B0">
        <w:t>;</w:t>
      </w:r>
    </w:p>
    <w:p w14:paraId="7013097A" w14:textId="168BE6BD" w:rsidR="008F6916" w:rsidRDefault="00B0149F" w:rsidP="00DB6888">
      <w:pPr>
        <w:pStyle w:val="ListParagraph"/>
        <w:widowControl w:val="0"/>
        <w:numPr>
          <w:ilvl w:val="1"/>
          <w:numId w:val="56"/>
        </w:numPr>
        <w:tabs>
          <w:tab w:val="left" w:pos="941"/>
          <w:tab w:val="left" w:pos="942"/>
        </w:tabs>
        <w:autoSpaceDE w:val="0"/>
        <w:autoSpaceDN w:val="0"/>
        <w:spacing w:before="160" w:line="273" w:lineRule="auto"/>
        <w:jc w:val="both"/>
      </w:pPr>
      <w:r w:rsidRPr="00E6582A">
        <w:t xml:space="preserve">sem közvetlenül, sem közvetve nem segíti elő vagy </w:t>
      </w:r>
      <w:r>
        <w:t xml:space="preserve">nem nézi el </w:t>
      </w:r>
      <w:r w:rsidRPr="00E6582A">
        <w:t>az ügyfelek teljes kategóriáinak indokolatlan kockázat</w:t>
      </w:r>
      <w:r>
        <w:t>mentesítését</w:t>
      </w:r>
      <w:r w:rsidRPr="00E6582A">
        <w:t xml:space="preserve"> az (EU) 2015/849 irányelv szerinti pénzügyi szolgáltatásokhoz való hozzáférés biztosítása során a pénzmosási és terrorizmusfinanszírozási (ML/TF) kockázatok hatékony kezelésére vonatkozó </w:t>
      </w:r>
      <w:r>
        <w:t>politikákról</w:t>
      </w:r>
      <w:r w:rsidRPr="00E6582A">
        <w:t xml:space="preserve"> és </w:t>
      </w:r>
      <w:r>
        <w:t>kontrollmechanizmusokról</w:t>
      </w:r>
      <w:r w:rsidRPr="00E6582A">
        <w:t xml:space="preserve"> szóló iránymutatásokkal és az EBH ML/TF kockázati tényezőkről szóló iránymutatásával, és különösen a 4.9., 4.10. és 4.11. iránymutatással összhangban</w:t>
      </w:r>
      <w:r w:rsidR="00F51E8D" w:rsidRPr="004B61B0">
        <w:rPr>
          <w:rStyle w:val="FootnoteReference"/>
        </w:rPr>
        <w:footnoteReference w:id="26"/>
      </w:r>
      <w:r w:rsidR="008F6916" w:rsidRPr="004B61B0">
        <w:t>.</w:t>
      </w:r>
    </w:p>
    <w:p w14:paraId="101FAA51" w14:textId="11721D63" w:rsidR="00B0149F" w:rsidRPr="004B61B0" w:rsidRDefault="00B0149F" w:rsidP="00DB6888">
      <w:pPr>
        <w:pStyle w:val="ListParagraph"/>
        <w:widowControl w:val="0"/>
        <w:numPr>
          <w:ilvl w:val="1"/>
          <w:numId w:val="56"/>
        </w:numPr>
        <w:tabs>
          <w:tab w:val="left" w:pos="941"/>
          <w:tab w:val="left" w:pos="942"/>
        </w:tabs>
        <w:autoSpaceDE w:val="0"/>
        <w:autoSpaceDN w:val="0"/>
        <w:spacing w:before="160" w:line="273" w:lineRule="auto"/>
        <w:jc w:val="both"/>
      </w:pPr>
      <w:r w:rsidRPr="00E6582A">
        <w:t>amennyiben több illetékes hatóság felelős az adott tagállamban ugyanazon ágazatban az értékelés</w:t>
      </w:r>
      <w:r>
        <w:t xml:space="preserve">i alanyok </w:t>
      </w:r>
      <w:r w:rsidRPr="00E6582A">
        <w:t>AML/CFT felügyeletéért, ezeknek az illetékes hatóságoknak össze kell hangolniuk intézkedéseiket, és meg kell fontolniuk közös iránymutatás kiadását a következetes elvárások meghatározása érdekében. Az illetékes hatóságoknak mérlegelniük kell, hogy más hatóságok felelősek-e a kapcsolódó kérdésekre vonatkozó iránymutatások kiadásáért, és ha igen, akkor szükség szerint koordinálniuk kell a tevékenységüket ezekkel a hatóságokkal</w:t>
      </w:r>
      <w:r>
        <w:t>.</w:t>
      </w:r>
    </w:p>
    <w:p w14:paraId="255F7ACB" w14:textId="405B3003" w:rsidR="00B10998" w:rsidRPr="004B61B0" w:rsidRDefault="00B0149F"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E6582A">
        <w:t xml:space="preserve">Az illetékes hatóságoknak a felügyeleti iránymutatás kidolgozása során fontolóra kell venniük az értékelés alá vont alanyokkal és más érintettekkel való együttműködést, és meg kell határozniuk e </w:t>
      </w:r>
      <w:r>
        <w:t xml:space="preserve">tájékoztatás </w:t>
      </w:r>
      <w:r w:rsidRPr="00E6582A">
        <w:t xml:space="preserve">leghatékonyabb módját. A bevonás magában foglalhatja többek között a nyilvános konzultációs folyamatot, a szektorral való együttműködést – különösen abban az esetben, ha a szektor újkeletű a szabályozás vagy a felügyelet terén –, a szakmai szövetségekkel, a pénzügyi információs egységekkel, a bűnüldöző hatóságokkal, más illetékes hatóságokkal vagy kormányzati ügynökségekkel való együttműködést, illetve a </w:t>
      </w:r>
      <w:r w:rsidRPr="00E6582A">
        <w:lastRenderedPageBreak/>
        <w:t>konzultációs fórumokon való részvételt. Az illetékes hatóságoknak biztosítaniuk kell, hogy a tájékoztatásban megfelelő arányban vegyenek részt azok az érdekelt felek, akikre az iránymutatás hatással lesz, és hogy az érdekelt felek számára elegendő időt biztosítsanak véleményük közlésére</w:t>
      </w:r>
      <w:r w:rsidR="00B10998" w:rsidRPr="004B61B0">
        <w:rPr>
          <w:color w:val="000000"/>
        </w:rPr>
        <w:t>.</w:t>
      </w:r>
    </w:p>
    <w:p w14:paraId="5AF67FC2" w14:textId="59B8AD23" w:rsidR="00CE14AE" w:rsidRDefault="00B0149F" w:rsidP="006A69BF">
      <w:pPr>
        <w:pStyle w:val="body"/>
        <w:numPr>
          <w:ilvl w:val="0"/>
          <w:numId w:val="10"/>
        </w:numPr>
        <w:tabs>
          <w:tab w:val="left" w:pos="426"/>
        </w:tabs>
      </w:pPr>
      <w:r w:rsidRPr="00E6582A">
        <w:t xml:space="preserve">Az illetékes hatóságoknak rendszeresen értékelniük kell a szektornak nyújtott meglévő útmutatásaik megfelelőségét, különösen abban az esetben, ha egy szektor új a szabályozás vagy a felügyelet </w:t>
      </w:r>
      <w:r>
        <w:t>terén</w:t>
      </w:r>
      <w:r w:rsidRPr="00E6582A">
        <w:t>. Az ilyen értékelést rendszeresen vagy eseti alapon kell elvégezni, amelyet bizonyos események - például a nemzeti vagy európai jogszabályok változásai vagy a nemzeti vagy szupranacionális kockázatértékelés módosításai - indíthatnak el, vagy alapulhat a szektorból érkező visszajelzéseken. Amennyiben az illetékes hatóságok úgy határozzák meg, hogy a meglévő iránymutatás már nem aktuális vagy nem releváns, indokolatlan késedelem nélkül közölniük kell a szükséges módosításokat az ágazattal</w:t>
      </w:r>
      <w:r w:rsidR="00CE14AE" w:rsidRPr="004B61B0">
        <w:t>.</w:t>
      </w:r>
    </w:p>
    <w:p w14:paraId="1CD6FA06" w14:textId="11A0303D" w:rsidR="00A132DF" w:rsidRPr="004B61B0" w:rsidRDefault="00A132DF" w:rsidP="00A132DF">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4B61B0" w:rsidRDefault="00C344CB" w:rsidP="00C344CB">
      <w:pPr>
        <w:pStyle w:val="Numberedtitlelevel4"/>
      </w:pPr>
      <w:r w:rsidRPr="004B61B0">
        <w:t>Kommunikáció a szektorral</w:t>
      </w:r>
    </w:p>
    <w:p w14:paraId="2341C10D" w14:textId="07F4B30C" w:rsidR="00FF087C" w:rsidRPr="004B61B0" w:rsidRDefault="00C344CB" w:rsidP="006A69BF">
      <w:pPr>
        <w:pStyle w:val="body"/>
        <w:numPr>
          <w:ilvl w:val="0"/>
          <w:numId w:val="10"/>
        </w:numPr>
        <w:tabs>
          <w:tab w:val="left" w:pos="426"/>
        </w:tabs>
      </w:pPr>
      <w:r w:rsidRPr="004B61B0">
        <w:t>Az illetékes hatóságoknak kommunikációs stratégiát kell kialakítaniuk és alkalmazniuk annak biztosítása érdekében, hogy az értékelési alanyokkal folytatott kommunikációjuk továbbra is a szektorban vagy egyes alszektorokban fennálló AML/CFT megfelelőség javítására összpontosítson, valamint hogy az illetékes hatóságok erőforrásait a leghatékonyabban használják fel. Kommunikációs stratégiájuk részeként az illetékes hatóságoknak meg kell határozniuk, hogyan fognak kommunikálni a különböző érdekelt felekkel, többek között az általuk végzett kockázatértékelés eredményeinek és a vonatkozó útmutatásoknak a szektorral való közlése során.</w:t>
      </w:r>
    </w:p>
    <w:p w14:paraId="2C97E2D2" w14:textId="6AB83EB0" w:rsidR="00FF087C" w:rsidRPr="004B61B0" w:rsidRDefault="00FF087C" w:rsidP="006A69BF">
      <w:pPr>
        <w:pStyle w:val="body"/>
        <w:numPr>
          <w:ilvl w:val="0"/>
          <w:numId w:val="10"/>
        </w:numPr>
        <w:tabs>
          <w:tab w:val="left" w:pos="426"/>
        </w:tabs>
      </w:pPr>
      <w:r w:rsidRPr="004B61B0">
        <w:t>Az illetékes hatóságoknak meg kell határozniuk a rendelkezésükre álló legmegfelelőbb és leghatékonyabb kommunikációs eszközöket, amelyek lehetővé teszik számukra, hogy szabályozási elvárásaikat egyértelműen és konstruktív módon közöljék az érintett érdekelt felekkel. Ezen eszközök közé többek között az alábbiak tartozhatnak:</w:t>
      </w:r>
    </w:p>
    <w:p w14:paraId="59E5569F" w14:textId="67274729" w:rsidR="00FF087C" w:rsidRPr="004B61B0" w:rsidRDefault="0023362F" w:rsidP="00DB6888">
      <w:pPr>
        <w:pStyle w:val="ListParagraph"/>
        <w:widowControl w:val="0"/>
        <w:numPr>
          <w:ilvl w:val="1"/>
          <w:numId w:val="47"/>
        </w:numPr>
        <w:tabs>
          <w:tab w:val="left" w:pos="941"/>
          <w:tab w:val="left" w:pos="942"/>
        </w:tabs>
        <w:autoSpaceDE w:val="0"/>
        <w:autoSpaceDN w:val="0"/>
        <w:spacing w:before="160" w:line="273" w:lineRule="auto"/>
        <w:jc w:val="both"/>
      </w:pPr>
      <w:r w:rsidRPr="004B61B0">
        <w:t>egyidejű kommunikáció valamennyi értékelési alannyal, amely magában foglalhatja az illetékes hatóság honlapján vagy más online csatornákon keresztül történő közzétételt;</w:t>
      </w:r>
    </w:p>
    <w:p w14:paraId="4E3904C7" w14:textId="68E1D5DF" w:rsidR="0023362F" w:rsidRPr="004B61B0" w:rsidRDefault="0023362F" w:rsidP="00DB6888">
      <w:pPr>
        <w:pStyle w:val="ListParagraph"/>
        <w:widowControl w:val="0"/>
        <w:numPr>
          <w:ilvl w:val="1"/>
          <w:numId w:val="47"/>
        </w:numPr>
        <w:tabs>
          <w:tab w:val="left" w:pos="941"/>
          <w:tab w:val="left" w:pos="942"/>
        </w:tabs>
        <w:autoSpaceDE w:val="0"/>
        <w:autoSpaceDN w:val="0"/>
        <w:spacing w:before="160" w:line="273" w:lineRule="auto"/>
        <w:jc w:val="both"/>
      </w:pPr>
      <w:r w:rsidRPr="004B61B0">
        <w:t>az érdekelt felek korlátozott csoportjának szóló kommunikáció, amely magában foglalhatja az illetékes hatóság különböző konferenciákon vagy képzési eseményeken való részvételét, illetve a kereskedelmi és szakmai szövetségek megkeresését;</w:t>
      </w:r>
    </w:p>
    <w:p w14:paraId="7C791929" w14:textId="3AD6AE05" w:rsidR="00FF087C" w:rsidRPr="004B61B0" w:rsidRDefault="0023362F" w:rsidP="00DB6888">
      <w:pPr>
        <w:pStyle w:val="ListParagraph"/>
        <w:widowControl w:val="0"/>
        <w:numPr>
          <w:ilvl w:val="1"/>
          <w:numId w:val="47"/>
        </w:numPr>
        <w:tabs>
          <w:tab w:val="left" w:pos="941"/>
          <w:tab w:val="left" w:pos="942"/>
        </w:tabs>
        <w:autoSpaceDE w:val="0"/>
        <w:autoSpaceDN w:val="0"/>
        <w:spacing w:before="160" w:line="273" w:lineRule="auto"/>
        <w:jc w:val="both"/>
      </w:pPr>
      <w:r w:rsidRPr="004B61B0">
        <w:t>levélben vagy körlevélben történő kommunikáció, amely a szektor egészének vagy az érdekelt felek érintett csoportjainak szólhat; vagy</w:t>
      </w:r>
    </w:p>
    <w:p w14:paraId="4CC7360D" w14:textId="09E8A3A7" w:rsidR="00FF087C" w:rsidRPr="004B61B0" w:rsidRDefault="0023362F" w:rsidP="00DB6888">
      <w:pPr>
        <w:pStyle w:val="ListParagraph"/>
        <w:widowControl w:val="0"/>
        <w:numPr>
          <w:ilvl w:val="1"/>
          <w:numId w:val="47"/>
        </w:numPr>
        <w:tabs>
          <w:tab w:val="left" w:pos="941"/>
          <w:tab w:val="left" w:pos="942"/>
        </w:tabs>
        <w:autoSpaceDE w:val="0"/>
        <w:autoSpaceDN w:val="0"/>
        <w:spacing w:before="160" w:line="273" w:lineRule="auto"/>
        <w:jc w:val="both"/>
      </w:pPr>
      <w:r w:rsidRPr="004B61B0">
        <w:t>közvetlen két- vagy többoldalú kommunikáció az értékelési alanyokkal, beleértve a nyilvános konzultációkat is. Amennyiben az illetékes hatóság kétoldalúan kommunikál, mérlegelnie kell, hogy ez a kommunikáció mennyire releváns az érdekelt felek szélesebb csoportja számára, ami azt jelezheti, hogy valamely másik kommunikációs eszköz esetlegesen megfelelőbb lehet.</w:t>
      </w:r>
    </w:p>
    <w:p w14:paraId="117169D1" w14:textId="77777777" w:rsidR="00FF087C" w:rsidRPr="004B61B0" w:rsidRDefault="00FF087C" w:rsidP="006A69BF">
      <w:pPr>
        <w:pStyle w:val="body"/>
        <w:numPr>
          <w:ilvl w:val="0"/>
          <w:numId w:val="10"/>
        </w:numPr>
        <w:tabs>
          <w:tab w:val="left" w:pos="426"/>
        </w:tabs>
      </w:pPr>
      <w:r w:rsidRPr="004B61B0">
        <w:lastRenderedPageBreak/>
        <w:t>A kommunikáció legmegfelelőbb eszközeinek kiválasztásakor az illetékes hatóságoknak figyelembe kell venniük legalább a következő elemeket:</w:t>
      </w:r>
    </w:p>
    <w:p w14:paraId="46F52947" w14:textId="692A17CA" w:rsidR="00FF087C" w:rsidRPr="004B61B0" w:rsidRDefault="00DE7A90" w:rsidP="00DB6888">
      <w:pPr>
        <w:pStyle w:val="ListParagraph"/>
        <w:widowControl w:val="0"/>
        <w:numPr>
          <w:ilvl w:val="1"/>
          <w:numId w:val="48"/>
        </w:numPr>
        <w:tabs>
          <w:tab w:val="left" w:pos="941"/>
          <w:tab w:val="left" w:pos="942"/>
        </w:tabs>
        <w:autoSpaceDE w:val="0"/>
        <w:autoSpaceDN w:val="0"/>
        <w:spacing w:before="160" w:line="273" w:lineRule="auto"/>
        <w:jc w:val="both"/>
      </w:pPr>
      <w:r w:rsidRPr="004B61B0">
        <w:t xml:space="preserve"> a kommunikáció célközönsége, ami meghatározhatja a kommunikáció részletességét;</w:t>
      </w:r>
    </w:p>
    <w:p w14:paraId="463D6508" w14:textId="34C11CDE" w:rsidR="00FF087C" w:rsidRPr="004B61B0" w:rsidRDefault="00FF087C" w:rsidP="00DB6888">
      <w:pPr>
        <w:pStyle w:val="ListParagraph"/>
        <w:widowControl w:val="0"/>
        <w:numPr>
          <w:ilvl w:val="1"/>
          <w:numId w:val="48"/>
        </w:numPr>
        <w:tabs>
          <w:tab w:val="left" w:pos="941"/>
          <w:tab w:val="left" w:pos="942"/>
        </w:tabs>
        <w:autoSpaceDE w:val="0"/>
        <w:autoSpaceDN w:val="0"/>
        <w:spacing w:before="160" w:line="273" w:lineRule="auto"/>
        <w:jc w:val="both"/>
      </w:pPr>
      <w:r w:rsidRPr="004B61B0">
        <w:t>egy adott téma relevanciája az érdekelt felek meghatározott csoportja, a szektor vagy a piac egésze számára;</w:t>
      </w:r>
    </w:p>
    <w:p w14:paraId="3C59AE63" w14:textId="6F7D39C7" w:rsidR="00FF087C" w:rsidRPr="004B61B0" w:rsidRDefault="00FF087C" w:rsidP="00DB6888">
      <w:pPr>
        <w:pStyle w:val="ListParagraph"/>
        <w:widowControl w:val="0"/>
        <w:numPr>
          <w:ilvl w:val="1"/>
          <w:numId w:val="48"/>
        </w:numPr>
        <w:tabs>
          <w:tab w:val="left" w:pos="941"/>
          <w:tab w:val="left" w:pos="942"/>
        </w:tabs>
        <w:autoSpaceDE w:val="0"/>
        <w:autoSpaceDN w:val="0"/>
        <w:spacing w:before="160" w:line="273" w:lineRule="auto"/>
        <w:jc w:val="both"/>
      </w:pPr>
      <w:r w:rsidRPr="004B61B0">
        <w:t>a közlemény időzítése és sürgőssége, biztosítva, hogy a szükséges információk időben az értékelési alanyok rendelkezésére álljanak; és</w:t>
      </w:r>
    </w:p>
    <w:p w14:paraId="5783D492" w14:textId="321E6BEC" w:rsidR="00FF087C" w:rsidRPr="004B61B0" w:rsidRDefault="00FF087C" w:rsidP="00DB6888">
      <w:pPr>
        <w:pStyle w:val="ListParagraph"/>
        <w:widowControl w:val="0"/>
        <w:numPr>
          <w:ilvl w:val="1"/>
          <w:numId w:val="48"/>
        </w:numPr>
        <w:tabs>
          <w:tab w:val="left" w:pos="941"/>
          <w:tab w:val="left" w:pos="942"/>
        </w:tabs>
        <w:autoSpaceDE w:val="0"/>
        <w:autoSpaceDN w:val="0"/>
        <w:spacing w:before="160" w:line="273" w:lineRule="auto"/>
        <w:ind w:right="222"/>
        <w:jc w:val="both"/>
      </w:pPr>
      <w:r w:rsidRPr="004B61B0">
        <w:t>a közölt információk típusa.</w:t>
      </w:r>
    </w:p>
    <w:p w14:paraId="777EBF40" w14:textId="77777777" w:rsidR="00CE14AE" w:rsidRPr="004B61B0" w:rsidRDefault="00CE14AE" w:rsidP="00DB6888">
      <w:pPr>
        <w:pStyle w:val="Numberedtitlelevel3"/>
        <w:numPr>
          <w:ilvl w:val="2"/>
          <w:numId w:val="52"/>
        </w:numPr>
      </w:pPr>
      <w:r w:rsidRPr="004B61B0">
        <w:t>Az illetékes hatóság munkatársainak képzése</w:t>
      </w:r>
    </w:p>
    <w:p w14:paraId="547BEEC3" w14:textId="5E124457" w:rsidR="00CE14AE" w:rsidRDefault="00CE14AE" w:rsidP="006A69BF">
      <w:pPr>
        <w:pStyle w:val="body"/>
        <w:numPr>
          <w:ilvl w:val="0"/>
          <w:numId w:val="10"/>
        </w:numPr>
        <w:tabs>
          <w:tab w:val="left" w:pos="426"/>
        </w:tabs>
      </w:pPr>
      <w:r w:rsidRPr="004B61B0">
        <w:t>Az illetékes hatóságoknak biztosítaniuk kell az AML/CFT feladatokkal közvetlenül vagy közvetetten foglalkozó állományuk számára, hogy megfelelő ismeretekkel és tudással rendelkezzenek az alkalmazandó jogi és szabályozási AML/CFT keretrendszerről, és hogy alkalmas képesítéssel és képzettséggel rendelkezzenek ahhoz, hogy megbízhatóan gyakorolni tudják a felügyeleti mérlegelést.</w:t>
      </w:r>
    </w:p>
    <w:p w14:paraId="7DD4ABD2" w14:textId="66B71EE8" w:rsidR="00A87AB6" w:rsidRPr="004B61B0" w:rsidRDefault="00A87AB6" w:rsidP="00A87AB6">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27E45FDC" w14:textId="77777777" w:rsidR="00B0149F" w:rsidRDefault="00B0149F" w:rsidP="00B0149F">
      <w:pPr>
        <w:pStyle w:val="body"/>
        <w:numPr>
          <w:ilvl w:val="0"/>
          <w:numId w:val="10"/>
        </w:numPr>
        <w:tabs>
          <w:tab w:val="left" w:pos="426"/>
        </w:tabs>
      </w:pPr>
      <w:r>
        <w:t>Az illetékes hatóságoknak képzési programot kell kidolgozniuk, amelyet az illetékes hatóságon belüli egyes funkciók igényeihez kell igazítani, figyelembe véve a felügyeletük alá tartozó ágazatok jellemzőit, munkaköri felelősségi köreiket, szolgálati idejüket és a személyzet tapasztalatát. Az illetékes hatóságoknak naprakészen kell tartaniuk és rendszeresen felül kell vizsgálniuk ezt a képzési programot annak biztosítása érdekében, hogy az továbbra is releváns maradjon.</w:t>
      </w:r>
    </w:p>
    <w:p w14:paraId="66DFE4D0" w14:textId="77777777" w:rsidR="00B0149F" w:rsidRDefault="00B0149F" w:rsidP="00B0149F">
      <w:pPr>
        <w:pStyle w:val="body"/>
        <w:tabs>
          <w:tab w:val="left" w:pos="426"/>
        </w:tabs>
        <w:ind w:left="360"/>
      </w:pPr>
      <w:r>
        <w:t>Az illetékes hatóságoknak biztosítaniuk kell, hogy a nyújtott képzés kellően átfogó legyen, hogy az érintett személyzet megfelelő technikai szakértelemmel rendelkezzen az értékelési alanyok felügyeletéhez. Szükség esetén az illetékes hatóságoknak külső képzési szolgáltatót kell bevonniuk.</w:t>
      </w:r>
    </w:p>
    <w:p w14:paraId="31839A10" w14:textId="394411BE" w:rsidR="00CE14AE" w:rsidRDefault="00B0149F" w:rsidP="00B0149F">
      <w:pPr>
        <w:pStyle w:val="body"/>
        <w:tabs>
          <w:tab w:val="left" w:pos="426"/>
        </w:tabs>
        <w:ind w:left="360"/>
      </w:pPr>
      <w:r>
        <w:t>Az illetékes hatóságoknak figyelemmel kell kísérniük az egyes alkalmazottak vagy adott esetben egész csoportok által elvégzett képzések szintjét.</w:t>
      </w:r>
    </w:p>
    <w:p w14:paraId="03698230" w14:textId="12B31850" w:rsidR="00B0149F" w:rsidRDefault="00B0149F" w:rsidP="00DB6888">
      <w:pPr>
        <w:pStyle w:val="body"/>
        <w:numPr>
          <w:ilvl w:val="0"/>
          <w:numId w:val="93"/>
        </w:numPr>
        <w:tabs>
          <w:tab w:val="left" w:pos="426"/>
        </w:tabs>
      </w:pPr>
      <w:r>
        <w:t xml:space="preserve">A) </w:t>
      </w:r>
      <w:r w:rsidRPr="00E6582A">
        <w:t>Amennyiben az illetékes hatóságok a felügyeleti tervük vagy a 4.4.7. szakaszban említett konkrét felügyeleti feladataik (egyes részeinek) végrehajtásához külső felek szolgáltatásait veszik igénybe, vagy más módon más felügyeleti hatóságokra ruházzák át a felügyeleti feladatokat, az illetékes hatóságoknak azt is mérlegelniük kell, hogy az adott külső felet bevonják-e a képzési programjukba.</w:t>
      </w:r>
    </w:p>
    <w:p w14:paraId="7BB87C2B" w14:textId="1900341E" w:rsidR="00A87AB6" w:rsidRPr="004B61B0" w:rsidRDefault="00A87AB6" w:rsidP="00A87AB6">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BA2EE2" w14:textId="7CE1385A" w:rsidR="00CE14AE" w:rsidRPr="004B61B0" w:rsidRDefault="008F402E" w:rsidP="00DB6888">
      <w:pPr>
        <w:pStyle w:val="body"/>
        <w:numPr>
          <w:ilvl w:val="0"/>
          <w:numId w:val="93"/>
        </w:numPr>
        <w:tabs>
          <w:tab w:val="left" w:pos="426"/>
        </w:tabs>
      </w:pPr>
      <w:r w:rsidRPr="004B61B0">
        <w:t xml:space="preserve">Az illetékes hatóságoknak gondoskodniuk kell arról, hogy a felügyeleti feladatokat ellátó munkatársaik képzésben részesüljenek az illetékes hatóság AML/CFT RBS modelljének </w:t>
      </w:r>
      <w:r w:rsidRPr="004B61B0">
        <w:lastRenderedPageBreak/>
        <w:t>gyakorlati alkalmazása terén, hogy a felügyeletet végző munkatársak képesek legyenek hatékony és konzisztens kockázatalapú AML/CFT felügyelet végzésére. Az illetékes hatóságoknak biztosítaniuk kell, hogy az egész szektorra kiterjedő és az egyéni ML/TF kockázatértékelések eredményeit az illetékes hatóság valamennyi érintett munkatársával közöljék, beleértve azokat is, akik közvetlenül nem vesznek részt a kockázatalapú AML/CFT felügyeletben. Egyebek mellett az illetékes hatóságok biztosítják, hogy felügyeleti feladatokat ellátó munkatársaik:</w:t>
      </w:r>
    </w:p>
    <w:p w14:paraId="21A54A21" w14:textId="52727DB7" w:rsidR="00CE14AE" w:rsidRPr="004B61B0" w:rsidRDefault="008F402E" w:rsidP="00DB6888">
      <w:pPr>
        <w:pStyle w:val="ListParagraph"/>
        <w:widowControl w:val="0"/>
        <w:numPr>
          <w:ilvl w:val="1"/>
          <w:numId w:val="49"/>
        </w:numPr>
        <w:tabs>
          <w:tab w:val="left" w:pos="941"/>
          <w:tab w:val="left" w:pos="942"/>
        </w:tabs>
        <w:autoSpaceDE w:val="0"/>
        <w:autoSpaceDN w:val="0"/>
        <w:spacing w:before="160" w:line="273" w:lineRule="auto"/>
        <w:jc w:val="both"/>
      </w:pPr>
      <w:r w:rsidRPr="004B61B0">
        <w:t>képesek legyenek megérteni a rugalmasság szükségességét, amikor az értékelési alanyok kockázatokról és kontrollmechanizmusokról alkotott nézetei eltérnek az illetékes hatóságoknak az említett kockázatokról alkotott nézeteitől, és figyelembe vegyék az értékelési alanyok által szolgáltatott érveket;</w:t>
      </w:r>
    </w:p>
    <w:p w14:paraId="5D19860A" w14:textId="37DC1939" w:rsidR="00CE14AE" w:rsidRDefault="008F402E" w:rsidP="00DB6888">
      <w:pPr>
        <w:pStyle w:val="ListParagraph"/>
        <w:widowControl w:val="0"/>
        <w:numPr>
          <w:ilvl w:val="1"/>
          <w:numId w:val="49"/>
        </w:numPr>
        <w:tabs>
          <w:tab w:val="left" w:pos="941"/>
          <w:tab w:val="left" w:pos="942"/>
        </w:tabs>
        <w:autoSpaceDE w:val="0"/>
        <w:autoSpaceDN w:val="0"/>
        <w:spacing w:before="160" w:line="273" w:lineRule="auto"/>
        <w:jc w:val="both"/>
      </w:pPr>
      <w:r w:rsidRPr="004B61B0">
        <w:t>képesek legyenek értékelni az értékelési alanyok által végzett kockázatértékelés minőségét;</w:t>
      </w:r>
    </w:p>
    <w:p w14:paraId="11C06DA3" w14:textId="0E394E5D" w:rsidR="00A87AB6" w:rsidRPr="004B61B0" w:rsidRDefault="00A87AB6" w:rsidP="00A87AB6">
      <w:pPr>
        <w:widowControl w:val="0"/>
        <w:tabs>
          <w:tab w:val="left" w:pos="941"/>
          <w:tab w:val="left" w:pos="942"/>
        </w:tabs>
        <w:autoSpaceDE w:val="0"/>
        <w:autoSpaceDN w:val="0"/>
        <w:spacing w:before="160" w:line="273" w:lineRule="auto"/>
        <w:jc w:val="both"/>
      </w:pPr>
      <w:r w:rsidRPr="00A87AB6">
        <w:rPr>
          <w:rFonts w:ascii="Wingdings" w:eastAsia="Wingdings" w:hAnsi="Wingdings" w:cs="Wingdings"/>
          <w:color w:val="E98E31" w:themeColor="background2"/>
          <w:spacing w:val="-1"/>
        </w:rPr>
        <w:t>Ú</w:t>
      </w:r>
      <w:r w:rsidRPr="00A87AB6">
        <w:rPr>
          <w:color w:val="E98E31" w:themeColor="background2"/>
          <w:spacing w:val="-1"/>
        </w:rPr>
        <w:t>A1</w:t>
      </w:r>
    </w:p>
    <w:p w14:paraId="3738145C" w14:textId="5CC48122" w:rsidR="00CE14AE" w:rsidRPr="004B61B0" w:rsidRDefault="00B0149F" w:rsidP="00DB6888">
      <w:pPr>
        <w:pStyle w:val="ListParagraph"/>
        <w:widowControl w:val="0"/>
        <w:numPr>
          <w:ilvl w:val="1"/>
          <w:numId w:val="49"/>
        </w:numPr>
        <w:tabs>
          <w:tab w:val="left" w:pos="941"/>
          <w:tab w:val="left" w:pos="942"/>
        </w:tabs>
        <w:autoSpaceDE w:val="0"/>
        <w:autoSpaceDN w:val="0"/>
        <w:spacing w:before="160" w:line="273" w:lineRule="auto"/>
        <w:jc w:val="both"/>
      </w:pPr>
      <w:r w:rsidRPr="00E6582A">
        <w:t>értékeli az értékelés</w:t>
      </w:r>
      <w:r>
        <w:t>i</w:t>
      </w:r>
      <w:r w:rsidRPr="00E6582A">
        <w:t xml:space="preserve">alanyok pénzmosás és terrorizmus finanszírozása elleni </w:t>
      </w:r>
      <w:r>
        <w:t>politikáinak</w:t>
      </w:r>
      <w:r w:rsidRPr="00E6582A">
        <w:t xml:space="preserve"> és eljárásainak megfelelőségét, arányosságát és hatékonyságát, beleértve a szoftvereket és egyéb technológiai eszközöket, valamint a szélesebb körű irányítási intézkedéseket és belső ellenőrzéseket az értékelés</w:t>
      </w:r>
      <w:r>
        <w:t>i</w:t>
      </w:r>
      <w:r w:rsidRPr="00E6582A">
        <w:t xml:space="preserve"> alanyok saját kockázatértékelésének és üzleti modelljeinek fényében</w:t>
      </w:r>
      <w:r>
        <w:t>;</w:t>
      </w:r>
    </w:p>
    <w:p w14:paraId="15ECE513" w14:textId="06D5E936" w:rsidR="00CE14AE" w:rsidRDefault="00B0149F" w:rsidP="00DB6888">
      <w:pPr>
        <w:pStyle w:val="ListParagraph"/>
        <w:widowControl w:val="0"/>
        <w:numPr>
          <w:ilvl w:val="1"/>
          <w:numId w:val="49"/>
        </w:numPr>
        <w:tabs>
          <w:tab w:val="left" w:pos="941"/>
          <w:tab w:val="left" w:pos="942"/>
        </w:tabs>
        <w:autoSpaceDE w:val="0"/>
        <w:autoSpaceDN w:val="0"/>
        <w:spacing w:before="160" w:line="273" w:lineRule="auto"/>
        <w:jc w:val="both"/>
      </w:pPr>
      <w:r w:rsidRPr="00E6582A">
        <w:t>megérti a különböző termékeket, szolgáltatásokat és pénzügyi eszközöket, valamint azokat a kockázatokat, amelyeknek ki vannak téve, beleértve az ezen termékek, szolgáltatások és eszközök nyújtása során alkalmazott mögöttes technológiákhoz kapcsolódó kockázatokat is</w:t>
      </w:r>
      <w:r w:rsidR="008F402E" w:rsidRPr="004B61B0">
        <w:t>;</w:t>
      </w:r>
    </w:p>
    <w:p w14:paraId="57607423" w14:textId="57BCC76D" w:rsidR="00A87AB6" w:rsidRPr="004B61B0" w:rsidRDefault="00A87AB6" w:rsidP="00A87AB6">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4B61B0" w:rsidRDefault="008F402E" w:rsidP="00DB6888">
      <w:pPr>
        <w:pStyle w:val="ListParagraph"/>
        <w:widowControl w:val="0"/>
        <w:numPr>
          <w:ilvl w:val="1"/>
          <w:numId w:val="49"/>
        </w:numPr>
        <w:tabs>
          <w:tab w:val="left" w:pos="941"/>
          <w:tab w:val="left" w:pos="942"/>
        </w:tabs>
        <w:autoSpaceDE w:val="0"/>
        <w:autoSpaceDN w:val="0"/>
        <w:spacing w:before="160" w:line="273" w:lineRule="auto"/>
        <w:jc w:val="both"/>
      </w:pPr>
      <w:r w:rsidRPr="004B61B0">
        <w:t>képesek legyenek megérteni az illetékes hatóságok felügyeleti keretrendszerét, beleértve az AML/CFT felügyeleti stratégiát és tervet; és</w:t>
      </w:r>
    </w:p>
    <w:p w14:paraId="37C7AAD2" w14:textId="003B7C8A" w:rsidR="00CE14AE" w:rsidRDefault="008F402E" w:rsidP="00DB6888">
      <w:pPr>
        <w:pStyle w:val="ListParagraph"/>
        <w:widowControl w:val="0"/>
        <w:numPr>
          <w:ilvl w:val="1"/>
          <w:numId w:val="49"/>
        </w:numPr>
        <w:tabs>
          <w:tab w:val="left" w:pos="941"/>
          <w:tab w:val="left" w:pos="942"/>
        </w:tabs>
        <w:autoSpaceDE w:val="0"/>
        <w:autoSpaceDN w:val="0"/>
        <w:spacing w:before="160" w:line="273" w:lineRule="auto"/>
        <w:jc w:val="both"/>
      </w:pPr>
      <w:r w:rsidRPr="004B61B0">
        <w:t>képesek legyenek megérteni az illetékes hatóságok által használt különböző felügyeleti eszközöket és gyakorlatokat, valamint azt, hogy ezek hogyan kapcsolódnak a munkatárs által végzett feladatokhoz, például a különböző felügyeleti eszközök gyakorlati alkalmazásához, valamint képesek legyenek megérteni a más érdekelt felekkel való együttműködés fontosságát</w:t>
      </w:r>
      <w:r w:rsidR="00B0149F">
        <w:t>;</w:t>
      </w:r>
    </w:p>
    <w:p w14:paraId="052568BE" w14:textId="5F5C228F" w:rsidR="00A87AB6" w:rsidRDefault="00A87AB6" w:rsidP="00A87AB6">
      <w:pPr>
        <w:widowControl w:val="0"/>
        <w:tabs>
          <w:tab w:val="left" w:pos="941"/>
          <w:tab w:val="left" w:pos="942"/>
        </w:tabs>
        <w:autoSpaceDE w:val="0"/>
        <w:autoSpaceDN w:val="0"/>
        <w:spacing w:before="160" w:line="273" w:lineRule="auto"/>
        <w:jc w:val="both"/>
      </w:pPr>
      <w:r w:rsidRPr="00A87AB6">
        <w:rPr>
          <w:rFonts w:ascii="Wingdings" w:eastAsia="Wingdings" w:hAnsi="Wingdings" w:cs="Wingdings"/>
          <w:color w:val="E98E31" w:themeColor="background2"/>
          <w:spacing w:val="-1"/>
        </w:rPr>
        <w:t>Ú</w:t>
      </w:r>
      <w:r w:rsidRPr="00A87AB6">
        <w:rPr>
          <w:color w:val="E98E31" w:themeColor="background2"/>
          <w:spacing w:val="-1"/>
        </w:rPr>
        <w:t>A1</w:t>
      </w:r>
    </w:p>
    <w:p w14:paraId="5196BB16" w14:textId="01860409" w:rsidR="00B0149F" w:rsidRPr="004B61B0" w:rsidRDefault="00B0149F" w:rsidP="00DB6888">
      <w:pPr>
        <w:pStyle w:val="ListParagraph"/>
        <w:widowControl w:val="0"/>
        <w:numPr>
          <w:ilvl w:val="1"/>
          <w:numId w:val="49"/>
        </w:numPr>
        <w:tabs>
          <w:tab w:val="left" w:pos="941"/>
          <w:tab w:val="left" w:pos="942"/>
        </w:tabs>
        <w:autoSpaceDE w:val="0"/>
        <w:autoSpaceDN w:val="0"/>
        <w:spacing w:before="160" w:line="273" w:lineRule="auto"/>
        <w:jc w:val="both"/>
      </w:pPr>
      <w:r w:rsidRPr="00E6582A">
        <w:t>megérti az értékelés tárgyát képező üzleti modellek, műveletek és ellenőrzések alapjául szolgáló technológiát, hogy képesek legyenek a kockázatok és ellenőrzések értékelésére, és lehetővé tegyék a (technológiaalapú) felügyeleti eszközök megfelelő alkalmazását</w:t>
      </w:r>
      <w:r>
        <w:t>.</w:t>
      </w:r>
    </w:p>
    <w:p w14:paraId="503C2550" w14:textId="77777777" w:rsidR="003162F0" w:rsidRDefault="00B0149F" w:rsidP="00DB6888">
      <w:pPr>
        <w:pStyle w:val="body"/>
        <w:numPr>
          <w:ilvl w:val="0"/>
          <w:numId w:val="93"/>
        </w:numPr>
        <w:tabs>
          <w:tab w:val="left" w:pos="426"/>
        </w:tabs>
      </w:pPr>
      <w:r w:rsidRPr="00E6582A">
        <w:t xml:space="preserve">A képzést az érintett alkalmazottak és a felső vezetés AML/CFT-feladataihoz kell igazítani, és magában foglalhat belső és külső képzéseket és konferenciákat, e-learning kurzusokat, hírleveleket, esettanulmányok megvitatását, toborzást, az elvégzett feladatokra adott </w:t>
      </w:r>
      <w:r w:rsidRPr="00E6582A">
        <w:lastRenderedPageBreak/>
        <w:t>visszajelzést és a „learning by doing” egyéb formáit. Amennyiben szükséges és</w:t>
      </w:r>
      <w:r>
        <w:t xml:space="preserve"> megfelelő</w:t>
      </w:r>
      <w:r w:rsidRPr="00E6582A">
        <w:t>, az illetékes hatóságoknak fontolóra kell venniük azt is, hogy a meglévő tudásbeli hiányosságokat stratégiai munkaerő-felvétellel pótolják, vagy belső szakértők, például informatikai szakemberek támogatására támaszkodjanak</w:t>
      </w:r>
      <w:r w:rsidR="00CE14AE" w:rsidRPr="004B61B0">
        <w:t>.</w:t>
      </w:r>
      <w:r w:rsidRPr="00B0149F">
        <w:t xml:space="preserve"> </w:t>
      </w:r>
    </w:p>
    <w:p w14:paraId="01F119D4" w14:textId="4A297294" w:rsidR="00CE14AE" w:rsidRDefault="00B0149F" w:rsidP="00DB6888">
      <w:pPr>
        <w:pStyle w:val="body"/>
        <w:numPr>
          <w:ilvl w:val="0"/>
          <w:numId w:val="94"/>
        </w:numPr>
        <w:tabs>
          <w:tab w:val="left" w:pos="426"/>
        </w:tabs>
      </w:pPr>
      <w:r w:rsidRPr="00E6582A">
        <w:t>A</w:t>
      </w:r>
      <w:r w:rsidR="0011421B">
        <w:t>)</w:t>
      </w:r>
      <w:r w:rsidRPr="00E6582A">
        <w:t xml:space="preserve"> Amennyiben több illetékes hatóság felelős ugyanazon ágazat AML/CFT felügyeletéért a tagállamban, az illetékes hatóságoknak fontolóra kell venniük a közös képzés biztosítását az alkalmazandó keretrendszer és annak alkalmazási módjának közös megértése, valamint a következetes felügyeleti megközelítés elérése érdekében. Az illetékes hatóságok számára előnyös lehet az illetékes hatóságok közötti, valamint más érintett hazai és külföldi hatóságokkal, például a prudenciális felügyeletekkel, a FIU-val, az érintett uniós szervekkel és más országok AML/CFT-felügyeleteivel folytatott tudásmegosztás is.</w:t>
      </w:r>
    </w:p>
    <w:p w14:paraId="331D69AA" w14:textId="60F461A3" w:rsidR="00A87AB6" w:rsidRPr="004B61B0" w:rsidRDefault="00A87AB6" w:rsidP="00A87AB6">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9787DD6" w14:textId="1E7DFCA9" w:rsidR="00CE14AE" w:rsidRPr="004B61B0" w:rsidRDefault="00CE14AE" w:rsidP="00DB6888">
      <w:pPr>
        <w:pStyle w:val="body"/>
        <w:numPr>
          <w:ilvl w:val="0"/>
          <w:numId w:val="94"/>
        </w:numPr>
        <w:tabs>
          <w:tab w:val="left" w:pos="426"/>
        </w:tabs>
      </w:pPr>
      <w:r w:rsidRPr="004B61B0">
        <w:t>Az illetékes hatóságoknak gondoskodniuk kell arról, hogy a megfelelő képzéseket időben biztosítsák, különösen az új alkalmazottak esetében, valamint az AML/CFT felügyeleti keretrendszerben bekövetkező jelentős változások esetén. Az illetékes hatóságoknak biztosítaniuk kell, hogy munkatársaik AML/CFT szakértelme naprakész és releváns legyen, és a képzés magában foglalja az újonnan megjelenő kockázatokkal szembeni érzékenyítést is, amennyiben az szükséges.</w:t>
      </w:r>
    </w:p>
    <w:p w14:paraId="3E80277A" w14:textId="10056DB6" w:rsidR="00E04030" w:rsidRPr="004B61B0" w:rsidRDefault="00E04030" w:rsidP="00DB6888">
      <w:pPr>
        <w:pStyle w:val="Numberedtitlelevel2"/>
        <w:numPr>
          <w:ilvl w:val="1"/>
          <w:numId w:val="52"/>
        </w:numPr>
      </w:pPr>
      <w:r w:rsidRPr="004B61B0">
        <w:t xml:space="preserve">4. lépés – Az RBS modell nyomon követése és frissítése </w:t>
      </w:r>
    </w:p>
    <w:p w14:paraId="55774EA8" w14:textId="77777777" w:rsidR="00E04030" w:rsidRPr="004B61B0" w:rsidRDefault="00E04030" w:rsidP="00DB6888">
      <w:pPr>
        <w:pStyle w:val="Numberedtitlelevel3"/>
        <w:numPr>
          <w:ilvl w:val="2"/>
          <w:numId w:val="52"/>
        </w:numPr>
        <w:ind w:left="1559" w:hanging="1134"/>
      </w:pPr>
      <w:r w:rsidRPr="004B61B0">
        <w:t>A kockázatértékelési és felügyeleti stratégia és tervek (1., 2. és 3. lépések) felülvizsgálata</w:t>
      </w:r>
    </w:p>
    <w:p w14:paraId="5D116CFA" w14:textId="77777777" w:rsidR="00E04030" w:rsidRPr="004B61B0" w:rsidRDefault="00E04030" w:rsidP="00DB6888">
      <w:pPr>
        <w:pStyle w:val="body"/>
        <w:numPr>
          <w:ilvl w:val="0"/>
          <w:numId w:val="94"/>
        </w:numPr>
        <w:tabs>
          <w:tab w:val="left" w:pos="426"/>
        </w:tabs>
      </w:pPr>
      <w:r w:rsidRPr="004B61B0">
        <w:t>Az RBS nem egy egyszeri feladat, hanem egy folyamatos, ciklikus eljárás. Az illetékes hatóságoknak ezért időszakonként vagy eseti jelleggel felül kell vizsgálniuk a kockázatértékelésük alapjául szolgáló információkat, és szükség szerint frissíteniük kell ezeket az információkat.</w:t>
      </w:r>
    </w:p>
    <w:p w14:paraId="008EACE2" w14:textId="1EF464C1" w:rsidR="00E04030" w:rsidRPr="004B61B0" w:rsidRDefault="00E04030" w:rsidP="00DB6888">
      <w:pPr>
        <w:pStyle w:val="body"/>
        <w:numPr>
          <w:ilvl w:val="0"/>
          <w:numId w:val="94"/>
        </w:numPr>
        <w:tabs>
          <w:tab w:val="left" w:pos="426"/>
        </w:tabs>
      </w:pPr>
      <w:r w:rsidRPr="004B61B0">
        <w:t>A ciklikus folyamat részeként az illetékes hatóságoknak időszakos felülvizsgálatok révén vagy eseti jelleggel rendszeresen felül kell vizsgálniuk és napra késszé kell tenniük az értékelési alanyra vonatkozó szektori és egyedi kockázatértékeléseiket.</w:t>
      </w:r>
    </w:p>
    <w:p w14:paraId="7C8B0974" w14:textId="77777777" w:rsidR="00E04030" w:rsidRPr="004B61B0" w:rsidRDefault="00974BDE" w:rsidP="00DB6888">
      <w:pPr>
        <w:pStyle w:val="body"/>
        <w:numPr>
          <w:ilvl w:val="0"/>
          <w:numId w:val="94"/>
        </w:numPr>
        <w:tabs>
          <w:tab w:val="left" w:pos="426"/>
        </w:tabs>
      </w:pPr>
      <w:r w:rsidRPr="004B61B0">
        <w:t>Szükség szerint ugyancsak aktualizálni kell a felügyeleti stratégiát és terveket is, akár időszakos felülvizsgálatok révén, akár külső eseményekre reagálva. A felügyeleti stratégiának és terveknek tükrözniük kell a kockázatértékelések releváns változásait is, különösen amennyiben újonnan megjelenő kockázatokat tárnak fel. Az illetékes hatóságoknak e felülvizsgálatok és frissítések eredményeit módosítások formájában be kell építeniük az RBS-be.</w:t>
      </w:r>
    </w:p>
    <w:p w14:paraId="7CF69F8C" w14:textId="77777777" w:rsidR="00E04030" w:rsidRPr="004B61B0" w:rsidRDefault="00E04030" w:rsidP="00EC596C">
      <w:pPr>
        <w:pStyle w:val="Numberedtitlelevel4"/>
        <w:numPr>
          <w:ilvl w:val="0"/>
          <w:numId w:val="26"/>
        </w:numPr>
      </w:pPr>
      <w:r w:rsidRPr="004B61B0">
        <w:t>Időszakos felülvizsgálatok</w:t>
      </w:r>
    </w:p>
    <w:p w14:paraId="1C53C5B5" w14:textId="4FB97C83" w:rsidR="00E04030" w:rsidRPr="004B61B0" w:rsidRDefault="00E04030" w:rsidP="00DB6888">
      <w:pPr>
        <w:pStyle w:val="body"/>
        <w:numPr>
          <w:ilvl w:val="0"/>
          <w:numId w:val="94"/>
        </w:numPr>
        <w:tabs>
          <w:tab w:val="left" w:pos="426"/>
        </w:tabs>
      </w:pPr>
      <w:r w:rsidRPr="004B61B0">
        <w:t xml:space="preserve">Az illetékes hatóságoknak egyedi és szektori kockázatértékeléseiket időszakos felülvizsgálatnak kell alávetniük annak biztosítása érdekében, hogy azok naprakészek és </w:t>
      </w:r>
      <w:r w:rsidRPr="004B61B0">
        <w:lastRenderedPageBreak/>
        <w:t>relevánsak maradjanak. Ennek részeként fontos, hogy az illetékes hatóságok meggyőződjenek arról, hogy a kockázatértékelést alátámasztó alapfeltevések még mindig naprakészek-e, beleértve az érintett szektorok és az értékelési alanyok által hordozott kockázatok különböző szintjével kapcsolatos feltevéseket, vagy az egyes felügyeleti eszközök hatékonyságával kapcsolatos ismereteket.</w:t>
      </w:r>
    </w:p>
    <w:p w14:paraId="54D4705E" w14:textId="68CDCC99" w:rsidR="00E04030" w:rsidRPr="004B61B0" w:rsidRDefault="00E04030" w:rsidP="00DB6888">
      <w:pPr>
        <w:pStyle w:val="body"/>
        <w:numPr>
          <w:ilvl w:val="0"/>
          <w:numId w:val="94"/>
        </w:numPr>
        <w:tabs>
          <w:tab w:val="left" w:pos="426"/>
        </w:tabs>
      </w:pPr>
      <w:r w:rsidRPr="004B61B0">
        <w:t>Az egyes felülvizsgálatok ütemezését össze kell hangolni a felügyeleti stratégiával, és azoknak arányosnak kell lenniük a szektorhoz és az értékelési alanyhoz társuló ML/TF kockázattal. A jelentős vagy nagyon jelentős ML/TF kockázatoknak kitett szektorok és értékelési alanyok esetében, illetve azok esetében, amelyek gyorsan változó környezetben tevékenykednek, a felülvizsgálatra gyakrabban van szükség.</w:t>
      </w:r>
    </w:p>
    <w:p w14:paraId="74E7A827" w14:textId="77777777" w:rsidR="00E04030" w:rsidRPr="004B61B0" w:rsidRDefault="00E04030" w:rsidP="004D193D">
      <w:pPr>
        <w:pStyle w:val="Numberedtitlelevel4"/>
        <w:keepNext/>
      </w:pPr>
      <w:r w:rsidRPr="004B61B0">
        <w:t>Eseti felülvizsgálat</w:t>
      </w:r>
    </w:p>
    <w:p w14:paraId="762AD07C" w14:textId="77777777" w:rsidR="00E04030" w:rsidRPr="004B61B0" w:rsidRDefault="00E04030" w:rsidP="00DB6888">
      <w:pPr>
        <w:pStyle w:val="body"/>
        <w:numPr>
          <w:ilvl w:val="0"/>
          <w:numId w:val="94"/>
        </w:numPr>
        <w:tabs>
          <w:tab w:val="left" w:pos="426"/>
        </w:tabs>
      </w:pPr>
      <w:r w:rsidRPr="004B61B0">
        <w:t>A kockázati tényezők, a kockázatértékelés és adott esetben a felügyeleti stratégia és tervek eseti felülvizsgálata az értékelési alany kockázati profilját érintő jelentős változás esetén szükséges, többek között a következők esetében:</w:t>
      </w:r>
    </w:p>
    <w:p w14:paraId="638D09AC" w14:textId="03979FB9" w:rsidR="00E04030" w:rsidRPr="004B61B0" w:rsidRDefault="00811821"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újonnan megjelenő ML/TF kockázatok;</w:t>
      </w:r>
    </w:p>
    <w:p w14:paraId="34B90997" w14:textId="6AD72E8E" w:rsidR="00E04030" w:rsidRPr="004B61B0" w:rsidRDefault="00811821"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a helyszínen kívüli vagy helyszíni felügyeletből és az értékelési alany által végrehajtott korrekciós és helyreállító intézkedések nyomon követéséből származó megállapítások;</w:t>
      </w:r>
    </w:p>
    <w:p w14:paraId="39B1B43B" w14:textId="1F6DFBFE" w:rsidR="00E04030" w:rsidRPr="004B61B0" w:rsidRDefault="00811821"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változások vagy új információk, amelyek a befolyásoló részesedések tulajdonosaival, az igazgatótanács tagjaival, a kulcsfontosságú feladatot ellátó személyek tevékenységeivel vagy az értékelési alany szervezetével kapcsolatban merülnek fel;</w:t>
      </w:r>
    </w:p>
    <w:p w14:paraId="715C151F" w14:textId="2E6B70ED" w:rsidR="00A37C62" w:rsidRPr="004B61B0" w:rsidRDefault="007E1787"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az Európai Bizottság által az (EU) 2015/849 irányelv 6. cikkének (1) bekezdésével összhangban közzétett szupranacionális szintű kockázatértékelés, a nemzeti kockázatértékelés vagy a jelen iránymutatásokkal összhangban kidolgozott felügyeleti kockázatértékelés módosításai;</w:t>
      </w:r>
    </w:p>
    <w:p w14:paraId="74A3305B" w14:textId="6AD8029F" w:rsidR="00A37C62" w:rsidRPr="004B61B0" w:rsidRDefault="00A37C62"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 xml:space="preserve"> új típusú vállalkozások lépnek be a szektorba vagy alszektorba;</w:t>
      </w:r>
    </w:p>
    <w:p w14:paraId="33831B0E" w14:textId="7BE97562" w:rsidR="00F31D9C" w:rsidRPr="004B61B0" w:rsidRDefault="004559F3"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hirtelen változások a szektoron vagy alszektoron belül, beleértve az ügyfélkör, a kínált szolgáltatások és termékek, a teljesítési csatornák vagy az egyes földrajzi területeknek való kitettség változását;</w:t>
      </w:r>
    </w:p>
    <w:p w14:paraId="47B1B5A3" w14:textId="0218929F" w:rsidR="007E1787" w:rsidRPr="004B61B0" w:rsidRDefault="00F31D9C"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olyan új információk merülnek fel, amelyek arra utalnak, hogy egy adott értékelési alany vagy szektor tekintetében megnövekedett az ML/TF kockázati kitettség;</w:t>
      </w:r>
    </w:p>
    <w:p w14:paraId="079207FC" w14:textId="03BD80AF" w:rsidR="00A37C62" w:rsidRPr="004B61B0" w:rsidRDefault="00811821" w:rsidP="00DB6888">
      <w:pPr>
        <w:pStyle w:val="ListParagraph"/>
        <w:widowControl w:val="0"/>
        <w:numPr>
          <w:ilvl w:val="1"/>
          <w:numId w:val="50"/>
        </w:numPr>
        <w:tabs>
          <w:tab w:val="left" w:pos="941"/>
          <w:tab w:val="left" w:pos="942"/>
        </w:tabs>
        <w:autoSpaceDE w:val="0"/>
        <w:autoSpaceDN w:val="0"/>
        <w:spacing w:before="160" w:line="273" w:lineRule="auto"/>
        <w:jc w:val="both"/>
      </w:pPr>
      <w:r w:rsidRPr="004B61B0">
        <w:t>egyéb helyzetek, amelyek esetében az illetékes hatóságnak alapos oka van azt feltételezni, hogy a kockázatértékelés alapjául szolgáló információk már nem relevánsak vagy jelentős hiányosságaik vannak</w:t>
      </w:r>
    </w:p>
    <w:p w14:paraId="0848F2E4" w14:textId="7DEF92C2" w:rsidR="00E04030" w:rsidRPr="004B61B0" w:rsidRDefault="00E04030" w:rsidP="00DB6888">
      <w:pPr>
        <w:pStyle w:val="body"/>
        <w:numPr>
          <w:ilvl w:val="0"/>
          <w:numId w:val="94"/>
        </w:numPr>
        <w:tabs>
          <w:tab w:val="left" w:pos="426"/>
        </w:tabs>
      </w:pPr>
      <w:r w:rsidRPr="004B61B0">
        <w:t>Az illetékes hatóságoknak azt is mérlegelniük kell, hogy az adott értékelési alanyt érintő változás kihathat-e más értékelési alanyokra, és az azon értékelési alanyokra vonatkozó kockázatértékelést is felül kell vizsgálniuk, amelyeket jelentősen érint a változás.</w:t>
      </w:r>
    </w:p>
    <w:p w14:paraId="719ACBF9" w14:textId="149F4BEE" w:rsidR="00E04030" w:rsidRPr="004B61B0" w:rsidRDefault="00E04030" w:rsidP="00DB6888">
      <w:pPr>
        <w:pStyle w:val="body"/>
        <w:numPr>
          <w:ilvl w:val="0"/>
          <w:numId w:val="94"/>
        </w:numPr>
        <w:tabs>
          <w:tab w:val="left" w:pos="426"/>
        </w:tabs>
      </w:pPr>
      <w:r w:rsidRPr="004B61B0">
        <w:lastRenderedPageBreak/>
        <w:t>Amennyiben a módosított kockázatértékelés eredményeként megváltoznak a kockázati kategóriák vagy pontszámok, az illetékes hatóságoknak biztosítaniuk kell, hogy belső rendszereiket és felügyeleti kézikönyvüket ennek megfelelően aktualizálják.</w:t>
      </w:r>
    </w:p>
    <w:p w14:paraId="5A9003AB" w14:textId="3E30994E" w:rsidR="00E04030" w:rsidRPr="004B61B0" w:rsidRDefault="00E04030" w:rsidP="00DB6888">
      <w:pPr>
        <w:pStyle w:val="Numberedtitlelevel3"/>
        <w:numPr>
          <w:ilvl w:val="2"/>
          <w:numId w:val="52"/>
        </w:numPr>
      </w:pPr>
      <w:r w:rsidRPr="004B61B0">
        <w:t>Az AML/CFT RBS modell felülvizsgálata</w:t>
      </w:r>
    </w:p>
    <w:p w14:paraId="61E9ACD5" w14:textId="77777777" w:rsidR="00E04030" w:rsidRPr="004B61B0" w:rsidRDefault="00E04030" w:rsidP="00DB6888">
      <w:pPr>
        <w:pStyle w:val="body"/>
        <w:numPr>
          <w:ilvl w:val="0"/>
          <w:numId w:val="94"/>
        </w:numPr>
        <w:tabs>
          <w:tab w:val="left" w:pos="426"/>
        </w:tabs>
      </w:pPr>
      <w:r w:rsidRPr="004B61B0">
        <w:t>Az illetékes hatóságoknak meg kell győződniük arról, hogy belső folyamataik eljárásaik – ezen belül a ML/TF kockázatértékelési módszertanuk – napra készek, és azokat konzisztensen és hatékonyan alkalmazzák. Az illetékes hatóságoknak felül kell vizsgálniuk és szükség esetén azonnal aktualizálniuk kell a módszertant.</w:t>
      </w:r>
    </w:p>
    <w:p w14:paraId="5C984EEE" w14:textId="204CF266" w:rsidR="00E04030" w:rsidRPr="004B61B0" w:rsidRDefault="00E04030" w:rsidP="00DB6888">
      <w:pPr>
        <w:pStyle w:val="body"/>
        <w:numPr>
          <w:ilvl w:val="0"/>
          <w:numId w:val="94"/>
        </w:numPr>
        <w:tabs>
          <w:tab w:val="left" w:pos="426"/>
        </w:tabs>
      </w:pPr>
      <w:r w:rsidRPr="004B61B0">
        <w:t>Amennyiben a felülvizsgálat problémákat tár fel az AML/CFT RBS modellben, az illetékes hatóságoknak lépéseket kell tenniük ezek rendezésére. Az illetékes hatóságoknak azonban az időbeli összehasonlítások megkönnyítése érdekében tartózkodniuk kell attól, hogy rövid időközönként ismételten megváltoztassák RBS modelljüket.</w:t>
      </w:r>
    </w:p>
    <w:p w14:paraId="5A18DB59" w14:textId="6E6010D5" w:rsidR="007F75CE" w:rsidRPr="004B61B0" w:rsidRDefault="007F75CE" w:rsidP="00DB6888">
      <w:pPr>
        <w:pStyle w:val="ListParagraph"/>
        <w:widowControl w:val="0"/>
        <w:numPr>
          <w:ilvl w:val="0"/>
          <w:numId w:val="94"/>
        </w:numPr>
        <w:tabs>
          <w:tab w:val="left" w:pos="426"/>
          <w:tab w:val="left" w:pos="648"/>
        </w:tabs>
        <w:autoSpaceDE w:val="0"/>
        <w:autoSpaceDN w:val="0"/>
        <w:spacing w:line="276" w:lineRule="auto"/>
        <w:ind w:right="219"/>
        <w:jc w:val="both"/>
      </w:pPr>
      <w:r w:rsidRPr="004B61B0">
        <w:t>Amennyiben az illetékes hatóságok automatizált pontozási rendszereket használnak kockázatértékelésük elvégzéséhez, felül kell vizsgálniuk azokat az eseteket, amikor az automatizált pontszámot szakmai mérlegelés alapján módosították, ami arra engedett következtetni, hogy a kiosztott pontszám nem tükrözte pontosan az értékelési alany kockázati profilját. Ilyen esetekben az illetékes hatóságoknak meg kell vizsgálniuk, hogy az ilyen módosítások mértéke és gyakorisága nem utal-e a kockázatértékelési módszertan hibájára. Ha hibát állapítanak meg, az illetékes hatóságoknak meg kell tenniük a szükséges lépéseket a hiba kijavítása érdekében.</w:t>
      </w:r>
    </w:p>
    <w:p w14:paraId="06A3CBD6" w14:textId="77777777" w:rsidR="00E04030" w:rsidRPr="004B61B0" w:rsidRDefault="00E04030" w:rsidP="00EC596C">
      <w:pPr>
        <w:pStyle w:val="Numberedtitlelevel4"/>
        <w:numPr>
          <w:ilvl w:val="0"/>
          <w:numId w:val="27"/>
        </w:numPr>
      </w:pPr>
      <w:r w:rsidRPr="004B61B0">
        <w:t>Időszakos felülvizsgálatok</w:t>
      </w:r>
    </w:p>
    <w:p w14:paraId="54CF96CD" w14:textId="1A528508" w:rsidR="00C306B0" w:rsidRDefault="00E04030" w:rsidP="00DB6888">
      <w:pPr>
        <w:pStyle w:val="body"/>
        <w:numPr>
          <w:ilvl w:val="0"/>
          <w:numId w:val="94"/>
        </w:numPr>
        <w:tabs>
          <w:tab w:val="left" w:pos="426"/>
        </w:tabs>
      </w:pPr>
      <w:r w:rsidRPr="004B61B0">
        <w:t>Az illetékes hatóságoknak időszakonként felül kell vizsgálniuk, hogy AML/CFT RBS modelljük hozza-e a kívánt eredményeket és különösen, hogy a felügyeleti erőforrások szintje továbbra is arányban van-e az azonosított ML/TF kockázatokkal. Az illetékes hatóságoknak különféle rendelkezésükre álló eszközöket kell felhasználniuk AML/CFT RBS-modelljük megfelelőségének és hatékonyságának felülvizsgálata és értékelése során. Ezen eszközök közé többek között az alábbiak tartoznak:</w:t>
      </w:r>
    </w:p>
    <w:p w14:paraId="6AC63D13" w14:textId="78127EF1" w:rsidR="00A87AB6" w:rsidRPr="004B61B0" w:rsidRDefault="00A87AB6" w:rsidP="00A87AB6">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3AD909F2" w14:textId="114FDAA3" w:rsidR="00C306B0" w:rsidRDefault="00E04030" w:rsidP="00DB6888">
      <w:pPr>
        <w:pStyle w:val="ListParagraph"/>
        <w:widowControl w:val="0"/>
        <w:numPr>
          <w:ilvl w:val="1"/>
          <w:numId w:val="53"/>
        </w:numPr>
        <w:tabs>
          <w:tab w:val="left" w:pos="941"/>
          <w:tab w:val="left" w:pos="942"/>
        </w:tabs>
        <w:autoSpaceDE w:val="0"/>
        <w:autoSpaceDN w:val="0"/>
        <w:spacing w:before="160" w:line="273" w:lineRule="auto"/>
        <w:jc w:val="both"/>
      </w:pPr>
      <w:r w:rsidRPr="004B61B0">
        <w:t xml:space="preserve">szakmai </w:t>
      </w:r>
      <w:r w:rsidR="003162F0" w:rsidRPr="00E6582A">
        <w:t>és technikai szakértelem</w:t>
      </w:r>
      <w:r w:rsidRPr="004B61B0">
        <w:t>;</w:t>
      </w:r>
    </w:p>
    <w:p w14:paraId="3F834D12" w14:textId="2B73F39E" w:rsidR="00A87AB6" w:rsidRPr="004B61B0" w:rsidRDefault="00A87AB6" w:rsidP="00A87AB6">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35F49BA" w14:textId="03D49A85" w:rsidR="00C306B0" w:rsidRPr="004B61B0" w:rsidRDefault="00E04030" w:rsidP="00DB6888">
      <w:pPr>
        <w:pStyle w:val="ListParagraph"/>
        <w:widowControl w:val="0"/>
        <w:numPr>
          <w:ilvl w:val="1"/>
          <w:numId w:val="53"/>
        </w:numPr>
        <w:tabs>
          <w:tab w:val="left" w:pos="941"/>
          <w:tab w:val="left" w:pos="942"/>
        </w:tabs>
        <w:autoSpaceDE w:val="0"/>
        <w:autoSpaceDN w:val="0"/>
        <w:spacing w:before="160" w:line="273" w:lineRule="auto"/>
        <w:jc w:val="both"/>
      </w:pPr>
      <w:r w:rsidRPr="004B61B0">
        <w:t>önértékelési kérdőívek;</w:t>
      </w:r>
    </w:p>
    <w:p w14:paraId="699C42FA" w14:textId="0E389658" w:rsidR="00C306B0" w:rsidRPr="004B61B0" w:rsidRDefault="00E04030" w:rsidP="00DB6888">
      <w:pPr>
        <w:pStyle w:val="ListParagraph"/>
        <w:widowControl w:val="0"/>
        <w:numPr>
          <w:ilvl w:val="1"/>
          <w:numId w:val="53"/>
        </w:numPr>
        <w:tabs>
          <w:tab w:val="left" w:pos="941"/>
          <w:tab w:val="left" w:pos="942"/>
        </w:tabs>
        <w:autoSpaceDE w:val="0"/>
        <w:autoSpaceDN w:val="0"/>
        <w:spacing w:before="160" w:line="273" w:lineRule="auto"/>
        <w:jc w:val="both"/>
      </w:pPr>
      <w:r w:rsidRPr="004B61B0">
        <w:t>a felügyeleti intézkedések és fellépések mintavételen alapuló tesztelése;</w:t>
      </w:r>
    </w:p>
    <w:p w14:paraId="2AC26BEE" w14:textId="2BEC6006" w:rsidR="00C306B0" w:rsidRPr="004B61B0" w:rsidRDefault="00E04030" w:rsidP="00DB6888">
      <w:pPr>
        <w:pStyle w:val="ListParagraph"/>
        <w:widowControl w:val="0"/>
        <w:numPr>
          <w:ilvl w:val="1"/>
          <w:numId w:val="53"/>
        </w:numPr>
        <w:tabs>
          <w:tab w:val="left" w:pos="941"/>
          <w:tab w:val="left" w:pos="942"/>
        </w:tabs>
        <w:autoSpaceDE w:val="0"/>
        <w:autoSpaceDN w:val="0"/>
        <w:spacing w:before="160" w:line="273" w:lineRule="auto"/>
        <w:jc w:val="both"/>
      </w:pPr>
      <w:r w:rsidRPr="004B61B0">
        <w:t>új információk, például más illetékes hatóságoktól vagy érintett AML/CFT hatóságoktól származó jelentések és visszajelzések;</w:t>
      </w:r>
    </w:p>
    <w:p w14:paraId="7FB34DA4" w14:textId="15325D76" w:rsidR="00C306B0" w:rsidRPr="004B61B0" w:rsidRDefault="00C306B0" w:rsidP="00DB6888">
      <w:pPr>
        <w:pStyle w:val="ListParagraph"/>
        <w:widowControl w:val="0"/>
        <w:numPr>
          <w:ilvl w:val="1"/>
          <w:numId w:val="53"/>
        </w:numPr>
        <w:tabs>
          <w:tab w:val="left" w:pos="941"/>
          <w:tab w:val="left" w:pos="942"/>
        </w:tabs>
        <w:autoSpaceDE w:val="0"/>
        <w:autoSpaceDN w:val="0"/>
        <w:spacing w:before="160" w:line="273" w:lineRule="auto"/>
        <w:jc w:val="both"/>
      </w:pPr>
      <w:r w:rsidRPr="004B61B0">
        <w:t>a pénzügyi információs egységektől, a bűnüldöző hatóságoktól és más nemzeti ügynökségektől érkező visszajelzések; vagy</w:t>
      </w:r>
    </w:p>
    <w:p w14:paraId="1CB69806" w14:textId="48383EF9" w:rsidR="00C306B0" w:rsidRPr="004B61B0" w:rsidRDefault="00C306B0" w:rsidP="00DB6888">
      <w:pPr>
        <w:pStyle w:val="ListParagraph"/>
        <w:widowControl w:val="0"/>
        <w:numPr>
          <w:ilvl w:val="1"/>
          <w:numId w:val="53"/>
        </w:numPr>
        <w:tabs>
          <w:tab w:val="left" w:pos="941"/>
          <w:tab w:val="left" w:pos="942"/>
        </w:tabs>
        <w:autoSpaceDE w:val="0"/>
        <w:autoSpaceDN w:val="0"/>
        <w:spacing w:before="160" w:line="273" w:lineRule="auto"/>
        <w:jc w:val="both"/>
      </w:pPr>
      <w:r w:rsidRPr="004B61B0">
        <w:lastRenderedPageBreak/>
        <w:t>az érintett európai vagy nemzetközi szervezetek kiadványai.</w:t>
      </w:r>
    </w:p>
    <w:p w14:paraId="23F2D302" w14:textId="77777777" w:rsidR="00E04030" w:rsidRPr="004B61B0" w:rsidRDefault="00E04030" w:rsidP="00DB6888">
      <w:pPr>
        <w:pStyle w:val="body"/>
        <w:widowControl w:val="0"/>
        <w:numPr>
          <w:ilvl w:val="0"/>
          <w:numId w:val="94"/>
        </w:numPr>
        <w:tabs>
          <w:tab w:val="left" w:pos="426"/>
        </w:tabs>
        <w:autoSpaceDE w:val="0"/>
        <w:autoSpaceDN w:val="0"/>
        <w:spacing w:before="160" w:after="0" w:line="273" w:lineRule="auto"/>
        <w:ind w:left="720"/>
      </w:pPr>
      <w:r w:rsidRPr="004B61B0">
        <w:t>Az illetékes hatóságoknak törekedniük kell arra, hogy megismerjék a legjobb nemzetközi gyakorlatokat, és ha lehetséges, mérlegelniük kell a vonatkozó nemzetközi és európai fórumokon való részvételt.</w:t>
      </w:r>
    </w:p>
    <w:p w14:paraId="3595A960" w14:textId="30D4BEC2" w:rsidR="00E04030" w:rsidRPr="004B61B0" w:rsidRDefault="00E04030" w:rsidP="00DB6888">
      <w:pPr>
        <w:pStyle w:val="body"/>
        <w:numPr>
          <w:ilvl w:val="0"/>
          <w:numId w:val="94"/>
        </w:numPr>
        <w:tabs>
          <w:tab w:val="left" w:pos="426"/>
        </w:tabs>
      </w:pPr>
      <w:r w:rsidRPr="004B61B0">
        <w:t>Az AML/CFT felügyelet által az értékelési alanyok megfelelésének szintjére és AML/CFT kontrollmechanizmusainak eredményességére kifejtett hatás mérése szintén segítheti az illetékes hatóságokat saját AML/CFT RBS modelljük eredményességének mérésében.</w:t>
      </w:r>
    </w:p>
    <w:p w14:paraId="498FA3D0" w14:textId="77777777" w:rsidR="00E04030" w:rsidRPr="004B61B0" w:rsidRDefault="00E04030" w:rsidP="00E04030">
      <w:pPr>
        <w:pStyle w:val="Numberedtitlelevel4"/>
      </w:pPr>
      <w:r w:rsidRPr="004B61B0">
        <w:t>Eseti felülvizsgálatok</w:t>
      </w:r>
    </w:p>
    <w:p w14:paraId="268C3788" w14:textId="6CA6EC52" w:rsidR="00E04030" w:rsidRPr="004B61B0" w:rsidRDefault="00E04030" w:rsidP="00DB6888">
      <w:pPr>
        <w:pStyle w:val="body"/>
        <w:numPr>
          <w:ilvl w:val="0"/>
          <w:numId w:val="94"/>
        </w:numPr>
        <w:tabs>
          <w:tab w:val="left" w:pos="426"/>
        </w:tabs>
      </w:pPr>
      <w:r w:rsidRPr="004B61B0">
        <w:t>A meghatározott időszakonként végzett rendszeres felülvizsgálatok mellett az illetékes hatóságoknak akkor is felül kell vizsgálniuk, aktualizálniuk kell, illetve módosítaniuk kell saját AML/CFT RBS modelljüket, amennyiben annak megfelelőségét vagy eredményességét az alábbi események megkérdőjelezik:</w:t>
      </w:r>
    </w:p>
    <w:p w14:paraId="6C3B357E" w14:textId="5AC4E971" w:rsidR="00E04030" w:rsidRPr="004B61B0" w:rsidRDefault="00E04030" w:rsidP="00DB6888">
      <w:pPr>
        <w:pStyle w:val="ListParagraph"/>
        <w:widowControl w:val="0"/>
        <w:numPr>
          <w:ilvl w:val="1"/>
          <w:numId w:val="51"/>
        </w:numPr>
        <w:tabs>
          <w:tab w:val="left" w:pos="941"/>
          <w:tab w:val="left" w:pos="942"/>
        </w:tabs>
        <w:autoSpaceDE w:val="0"/>
        <w:autoSpaceDN w:val="0"/>
        <w:spacing w:before="160" w:line="273" w:lineRule="auto"/>
        <w:jc w:val="both"/>
      </w:pPr>
      <w:r w:rsidRPr="004B61B0">
        <w:t>a modell külső értékelése, többek között a FATF, a MoneyVal vagy külső minősítő részéről;</w:t>
      </w:r>
    </w:p>
    <w:p w14:paraId="368021DA" w14:textId="5FAEEEB3" w:rsidR="00E04030" w:rsidRPr="004B61B0" w:rsidRDefault="00DC6B47" w:rsidP="00DB6888">
      <w:pPr>
        <w:pStyle w:val="ListParagraph"/>
        <w:widowControl w:val="0"/>
        <w:numPr>
          <w:ilvl w:val="1"/>
          <w:numId w:val="51"/>
        </w:numPr>
        <w:tabs>
          <w:tab w:val="left" w:pos="941"/>
          <w:tab w:val="left" w:pos="942"/>
        </w:tabs>
        <w:autoSpaceDE w:val="0"/>
        <w:autoSpaceDN w:val="0"/>
        <w:spacing w:before="160" w:line="273" w:lineRule="auto"/>
        <w:jc w:val="both"/>
      </w:pPr>
      <w:r w:rsidRPr="004B61B0">
        <w:t xml:space="preserve"> a modell belső értékelése, többek között belső hiányelemzés, belső ellenőrzési jelentések, minőségbiztosítási tesztelés és a tanulságok levonását célzó tevékenységek;</w:t>
      </w:r>
    </w:p>
    <w:p w14:paraId="6C9F846E" w14:textId="55084016" w:rsidR="00DC6B47" w:rsidRPr="004B61B0" w:rsidRDefault="00E04030" w:rsidP="00DB6888">
      <w:pPr>
        <w:pStyle w:val="ListParagraph"/>
        <w:widowControl w:val="0"/>
        <w:numPr>
          <w:ilvl w:val="1"/>
          <w:numId w:val="51"/>
        </w:numPr>
        <w:tabs>
          <w:tab w:val="left" w:pos="941"/>
          <w:tab w:val="left" w:pos="942"/>
        </w:tabs>
        <w:autoSpaceDE w:val="0"/>
        <w:autoSpaceDN w:val="0"/>
        <w:spacing w:before="160" w:line="273" w:lineRule="auto"/>
        <w:jc w:val="both"/>
      </w:pPr>
      <w:r w:rsidRPr="004B61B0">
        <w:t>jelentős változások az AML/CFT jogszabályi vagy szabályozási környezetben;</w:t>
      </w:r>
    </w:p>
    <w:p w14:paraId="3EA860CE" w14:textId="77777777" w:rsidR="00E04030" w:rsidRPr="004B61B0" w:rsidRDefault="00DC6B47" w:rsidP="00DB6888">
      <w:pPr>
        <w:pStyle w:val="ListParagraph"/>
        <w:widowControl w:val="0"/>
        <w:numPr>
          <w:ilvl w:val="1"/>
          <w:numId w:val="51"/>
        </w:numPr>
        <w:tabs>
          <w:tab w:val="left" w:pos="941"/>
          <w:tab w:val="left" w:pos="942"/>
        </w:tabs>
        <w:autoSpaceDE w:val="0"/>
        <w:autoSpaceDN w:val="0"/>
        <w:spacing w:before="160" w:line="273" w:lineRule="auto"/>
        <w:jc w:val="both"/>
      </w:pPr>
      <w:r w:rsidRPr="004B61B0">
        <w:t xml:space="preserve"> vonatkozó nemzetközi útmutatások közzététele; és</w:t>
      </w:r>
    </w:p>
    <w:p w14:paraId="5C968797" w14:textId="77777777" w:rsidR="00E04030" w:rsidRPr="004B61B0" w:rsidRDefault="00E04030" w:rsidP="00DB6888">
      <w:pPr>
        <w:pStyle w:val="ListParagraph"/>
        <w:widowControl w:val="0"/>
        <w:numPr>
          <w:ilvl w:val="1"/>
          <w:numId w:val="51"/>
        </w:numPr>
        <w:tabs>
          <w:tab w:val="left" w:pos="941"/>
          <w:tab w:val="left" w:pos="942"/>
        </w:tabs>
        <w:autoSpaceDE w:val="0"/>
        <w:autoSpaceDN w:val="0"/>
        <w:spacing w:before="160" w:line="273" w:lineRule="auto"/>
        <w:jc w:val="both"/>
      </w:pPr>
      <w:r w:rsidRPr="004B61B0">
        <w:t>új kockázati tényezők felmerülése vagy azonosítása.</w:t>
      </w:r>
    </w:p>
    <w:p w14:paraId="15DC9402" w14:textId="77777777" w:rsidR="00E04030" w:rsidRPr="004B61B0" w:rsidRDefault="00E04030" w:rsidP="00DB6888">
      <w:pPr>
        <w:pStyle w:val="Numberedtitlelevel3"/>
        <w:numPr>
          <w:ilvl w:val="2"/>
          <w:numId w:val="52"/>
        </w:numPr>
      </w:pPr>
      <w:r w:rsidRPr="004B61B0">
        <w:t>A felülvizsgálati eljárás szervezeti és eljárási aspektusai</w:t>
      </w:r>
    </w:p>
    <w:p w14:paraId="4A26D6A2" w14:textId="7D2C2484" w:rsidR="00AF3AE7" w:rsidRPr="004B61B0" w:rsidRDefault="00F84394" w:rsidP="00DB6888">
      <w:pPr>
        <w:pStyle w:val="body"/>
        <w:numPr>
          <w:ilvl w:val="0"/>
          <w:numId w:val="94"/>
        </w:numPr>
        <w:tabs>
          <w:tab w:val="left" w:pos="426"/>
        </w:tabs>
      </w:pPr>
      <w:r w:rsidRPr="004B61B0">
        <w:t>Az illetékes hatóságoknak objektív felülvizsgálati eljárást kell bevezetniük az RBS modelljükre vonatkozóan, amely világos és átlátható belső eljárásokon alapul. Ezekben az eljárásokban rögzíteni kell legalább a következőket:</w:t>
      </w:r>
    </w:p>
    <w:p w14:paraId="4F04F0BF" w14:textId="05CF8905" w:rsidR="00AF3AE7" w:rsidRPr="004B61B0" w:rsidRDefault="00E04030" w:rsidP="00DB6888">
      <w:pPr>
        <w:pStyle w:val="ListParagraph"/>
        <w:widowControl w:val="0"/>
        <w:numPr>
          <w:ilvl w:val="1"/>
          <w:numId w:val="54"/>
        </w:numPr>
        <w:tabs>
          <w:tab w:val="left" w:pos="941"/>
          <w:tab w:val="left" w:pos="942"/>
        </w:tabs>
        <w:autoSpaceDE w:val="0"/>
        <w:autoSpaceDN w:val="0"/>
        <w:spacing w:before="160" w:line="273" w:lineRule="auto"/>
        <w:jc w:val="both"/>
      </w:pPr>
      <w:r w:rsidRPr="004B61B0">
        <w:t>mikor esedékes a felülvizsgálat, illetve milyen események esetén kell felülvizsgálatot végezni;</w:t>
      </w:r>
    </w:p>
    <w:p w14:paraId="0B94BECF" w14:textId="05C83201" w:rsidR="00AF3AE7" w:rsidRPr="004B61B0" w:rsidRDefault="00F84394" w:rsidP="00DB6888">
      <w:pPr>
        <w:pStyle w:val="ListParagraph"/>
        <w:widowControl w:val="0"/>
        <w:numPr>
          <w:ilvl w:val="1"/>
          <w:numId w:val="54"/>
        </w:numPr>
        <w:tabs>
          <w:tab w:val="left" w:pos="941"/>
          <w:tab w:val="left" w:pos="942"/>
        </w:tabs>
        <w:autoSpaceDE w:val="0"/>
        <w:autoSpaceDN w:val="0"/>
        <w:spacing w:before="160" w:line="273" w:lineRule="auto"/>
        <w:jc w:val="both"/>
      </w:pPr>
      <w:r w:rsidRPr="004B61B0">
        <w:t>mi a felülvizsgálat hatóköre, illetve hogyan kell meghatározni a hatókört; és</w:t>
      </w:r>
    </w:p>
    <w:p w14:paraId="6468C27F" w14:textId="7BD824AF" w:rsidR="00E04030" w:rsidRPr="004B61B0" w:rsidRDefault="00F84394" w:rsidP="00DB6888">
      <w:pPr>
        <w:pStyle w:val="ListParagraph"/>
        <w:widowControl w:val="0"/>
        <w:numPr>
          <w:ilvl w:val="1"/>
          <w:numId w:val="54"/>
        </w:numPr>
        <w:tabs>
          <w:tab w:val="left" w:pos="941"/>
          <w:tab w:val="left" w:pos="942"/>
        </w:tabs>
        <w:autoSpaceDE w:val="0"/>
        <w:autoSpaceDN w:val="0"/>
        <w:spacing w:before="160" w:line="273" w:lineRule="auto"/>
        <w:jc w:val="both"/>
      </w:pPr>
      <w:r w:rsidRPr="004B61B0">
        <w:t>az illetékes hatóságon belül ki a felelős a felülvizsgálati folyamatért. Az illetékes hatóságoknak mérlegelniük kell, hogy az illetékes hatóságon belül az RSB modell felülvizsgálatáért is a modell létrehozásáért felelős csoport vagy személy, vagy inkább egy másik személy vagy csoport legyen-e felelős, például az illetékes hatóság belső minőségbiztosítási, belső ellenőrzési vagy kockázatkezelési csoportja.</w:t>
      </w:r>
    </w:p>
    <w:p w14:paraId="21FA5DED" w14:textId="2E045A97" w:rsidR="00E04030" w:rsidRPr="004B61B0" w:rsidRDefault="00E04030" w:rsidP="00DB6888">
      <w:pPr>
        <w:pStyle w:val="body"/>
        <w:numPr>
          <w:ilvl w:val="0"/>
          <w:numId w:val="94"/>
        </w:numPr>
        <w:tabs>
          <w:tab w:val="left" w:pos="426"/>
        </w:tabs>
      </w:pPr>
      <w:r w:rsidRPr="004B61B0">
        <w:t>A belső felülvizsgálati eljárások mellett az illetékes hatóságoknak mérlegelniük kell, hogy szükséges-e külső szakértőt megbízniuk azzal, hogy tárgyilagos értékelést készítsen az RBS modelljükről, vagy hogy biztosítsa a modell összehangolását nemzeti szinten a más illetékes hatóságok által használt modellekkel.</w:t>
      </w:r>
    </w:p>
    <w:p w14:paraId="1CF21422" w14:textId="781426FF" w:rsidR="00E04030" w:rsidRPr="004B61B0" w:rsidRDefault="00B72C4E" w:rsidP="00DB6888">
      <w:pPr>
        <w:pStyle w:val="Numberedtitlelevel3"/>
        <w:numPr>
          <w:ilvl w:val="2"/>
          <w:numId w:val="52"/>
        </w:numPr>
      </w:pPr>
      <w:r w:rsidRPr="004B61B0">
        <w:lastRenderedPageBreak/>
        <w:t>Nyilvántartás</w:t>
      </w:r>
    </w:p>
    <w:p w14:paraId="0DFB1753" w14:textId="3829042A" w:rsidR="00E04030" w:rsidRPr="004B61B0" w:rsidRDefault="00E04030" w:rsidP="00DB6888">
      <w:pPr>
        <w:pStyle w:val="body"/>
        <w:numPr>
          <w:ilvl w:val="0"/>
          <w:numId w:val="94"/>
        </w:numPr>
        <w:tabs>
          <w:tab w:val="left" w:pos="426"/>
        </w:tabs>
      </w:pPr>
      <w:r w:rsidRPr="004B61B0">
        <w:t>Az illetékes hatóságoknak megfelelően dokumentálniuk kell AML/CFT RBS modelljüket, annak végrehajtását és az azt követő felülvizsgálatokat az intézményi (felügyeleti) memória részére, és fel kell jegyezniük az eredményeket és döntéseket, azok indokolását annak biztosítása érdekében, hogy az illetékes hatóság által meghozott intézkedések az egyes értékelési alanyok vonatkozásában koherensek és konzisztensek legyenek.</w:t>
      </w:r>
    </w:p>
    <w:p w14:paraId="74BA7CC1" w14:textId="77777777" w:rsidR="00E04030" w:rsidRPr="004B61B0" w:rsidRDefault="00E04030" w:rsidP="00DB6888">
      <w:pPr>
        <w:pStyle w:val="Numberedtitlelevel3"/>
        <w:numPr>
          <w:ilvl w:val="2"/>
          <w:numId w:val="52"/>
        </w:numPr>
      </w:pPr>
      <w:r w:rsidRPr="004B61B0">
        <w:t>Elszámoltathatóság</w:t>
      </w:r>
    </w:p>
    <w:p w14:paraId="3150DB65" w14:textId="4AD54DC1" w:rsidR="00E04030" w:rsidRPr="004B61B0" w:rsidRDefault="00E04030" w:rsidP="00DB6888">
      <w:pPr>
        <w:pStyle w:val="body"/>
        <w:numPr>
          <w:ilvl w:val="0"/>
          <w:numId w:val="94"/>
        </w:numPr>
        <w:tabs>
          <w:tab w:val="left" w:pos="426"/>
        </w:tabs>
      </w:pPr>
      <w:r w:rsidRPr="004B61B0">
        <w:t>Az illetékes hatóság felső vezetésének átfogó ismeretekkel kell rendelkeznie a felügyelt szektorban és alszektorokban jelen lévő ML/TF kockázatokról, és rendszeresen tájékozódnia kell az AML/CFT felügyeleti intézkedésekről és azok kimeneteléről. Ennek az a célja, hogy meg tudják ítélni az értékelési alanyok által ezen kockázatok csökkentése érdekében végrehajtott intézkedések általános eredményességét, valamint a felügyelet mértékére és gyakoriságára, illetve a felügyeleti erőforrások elosztására vonatkozó felülvizsgálat szükségességét.</w:t>
      </w:r>
    </w:p>
    <w:p w14:paraId="05FD7F19" w14:textId="7414D14F" w:rsidR="00316446" w:rsidRPr="004B61B0" w:rsidDel="00FA751C" w:rsidRDefault="00E06825" w:rsidP="00DB6888">
      <w:pPr>
        <w:pStyle w:val="body"/>
        <w:numPr>
          <w:ilvl w:val="0"/>
          <w:numId w:val="94"/>
        </w:numPr>
        <w:tabs>
          <w:tab w:val="left" w:pos="426"/>
        </w:tabs>
      </w:pPr>
      <w:r w:rsidRPr="004B61B0">
        <w:t>Az illetékes hatóságok felső vezetésének biztosítania kell, hogy a felügyeleti stratégia felső vezetői szintű jóváhagyása és az azt követő módosítások, valamint az AML/CFT felügyeleti stratégia végrehajtásának nyomon követése tekintetében az illetékes hatóságnál megfelelő irányítási szabályokat vezessenek be. Gondoskodnia kell különösen arról, hogy az illetékes hatóság elegendő erőforrással rendelkezzen a stratégia végrehajtásához, beleértve az AML/CFT szakértői, jogi, szakpolitikai és kockázati szakértői erőforrásokat, és hogy a stratégiában meghatározott felügyeleti célkitűzések teljes mértékben teljesüljenek.</w:t>
      </w:r>
    </w:p>
    <w:p w14:paraId="46BF3399" w14:textId="77777777" w:rsidR="00701E89" w:rsidRPr="004B61B0" w:rsidRDefault="00B43E07" w:rsidP="00C568D1">
      <w:pPr>
        <w:pStyle w:val="Numberedtilelevel1"/>
        <w:numPr>
          <w:ilvl w:val="0"/>
          <w:numId w:val="0"/>
        </w:numPr>
        <w:outlineLvl w:val="0"/>
      </w:pPr>
      <w:r w:rsidRPr="004B61B0">
        <w:br w:type="page"/>
      </w:r>
      <w:r w:rsidRPr="004B61B0">
        <w:lastRenderedPageBreak/>
        <w:t>Melléklet</w:t>
      </w:r>
    </w:p>
    <w:p w14:paraId="302B49A0" w14:textId="5D600E26" w:rsidR="00D135E9" w:rsidRPr="004B61B0" w:rsidRDefault="00D135E9" w:rsidP="00C568D1">
      <w:pPr>
        <w:pStyle w:val="Numberedtitlelevel2"/>
        <w:numPr>
          <w:ilvl w:val="0"/>
          <w:numId w:val="0"/>
        </w:numPr>
        <w:outlineLvl w:val="1"/>
      </w:pPr>
      <w:r w:rsidRPr="004B61B0">
        <w:t>A kockázati kategóriák átváltása</w:t>
      </w:r>
    </w:p>
    <w:p w14:paraId="07B45F30" w14:textId="77777777" w:rsidR="00701E89" w:rsidRPr="004B61B0"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68"/>
        <w:gridCol w:w="4403"/>
      </w:tblGrid>
      <w:tr w:rsidR="00701E89" w:rsidRPr="004B61B0"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4B61B0" w:rsidRDefault="00701E89" w:rsidP="009E1CAB">
            <w:r w:rsidRPr="004B61B0">
              <w:t>Az illetékes hatóság kockázati kategóriái</w:t>
            </w:r>
          </w:p>
        </w:tc>
        <w:tc>
          <w:tcPr>
            <w:tcW w:w="4508" w:type="dxa"/>
            <w:tcBorders>
              <w:top w:val="single" w:sz="4" w:space="0" w:color="auto"/>
              <w:right w:val="single" w:sz="4" w:space="0" w:color="auto"/>
            </w:tcBorders>
          </w:tcPr>
          <w:p w14:paraId="7C3A16BB" w14:textId="77777777" w:rsidR="00701E89" w:rsidRPr="004B61B0"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4B61B0">
              <w:t>A jelen iránymutatásokban javasolt kockázati kategóriák</w:t>
            </w:r>
          </w:p>
        </w:tc>
      </w:tr>
      <w:tr w:rsidR="00701E89" w:rsidRPr="004B61B0"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4B61B0" w:rsidRDefault="00701E89" w:rsidP="009E1CAB">
            <w:r w:rsidRPr="004B61B0">
              <w:t>Alacsony kockázat →</w:t>
            </w:r>
          </w:p>
        </w:tc>
        <w:tc>
          <w:tcPr>
            <w:tcW w:w="4508" w:type="dxa"/>
            <w:tcBorders>
              <w:right w:val="single" w:sz="4" w:space="0" w:color="auto"/>
            </w:tcBorders>
          </w:tcPr>
          <w:p w14:paraId="18B446C8" w14:textId="619F7990" w:rsidR="00701E89" w:rsidRPr="004B61B0"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4B61B0">
              <w:t>Kevésbé jelentős kockázat</w:t>
            </w:r>
          </w:p>
        </w:tc>
      </w:tr>
      <w:tr w:rsidR="00701E89" w:rsidRPr="004B61B0"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4B61B0" w:rsidRDefault="00701E89" w:rsidP="009E1CAB">
            <w:pPr>
              <w:rPr>
                <w:rFonts w:cstheme="minorHAnsi"/>
              </w:rPr>
            </w:pPr>
            <w:r w:rsidRPr="004B61B0">
              <w:t xml:space="preserve">Közepes kockázat → </w:t>
            </w:r>
          </w:p>
        </w:tc>
        <w:tc>
          <w:tcPr>
            <w:tcW w:w="4508" w:type="dxa"/>
            <w:tcBorders>
              <w:right w:val="single" w:sz="4" w:space="0" w:color="auto"/>
            </w:tcBorders>
          </w:tcPr>
          <w:p w14:paraId="3525785B" w14:textId="77777777" w:rsidR="00701E89" w:rsidRPr="004B61B0"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4B61B0">
              <w:t>Mérsékelten jelentős kockázat</w:t>
            </w:r>
          </w:p>
        </w:tc>
      </w:tr>
      <w:tr w:rsidR="00701E89" w:rsidRPr="004B61B0"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4B61B0" w:rsidRDefault="00701E89" w:rsidP="009E1CAB">
            <w:pPr>
              <w:rPr>
                <w:rFonts w:cstheme="minorHAnsi"/>
              </w:rPr>
            </w:pPr>
            <w:r w:rsidRPr="004B61B0">
              <w:t>Magas kockázat →</w:t>
            </w:r>
          </w:p>
        </w:tc>
        <w:tc>
          <w:tcPr>
            <w:tcW w:w="4508" w:type="dxa"/>
            <w:tcBorders>
              <w:bottom w:val="single" w:sz="4" w:space="0" w:color="auto"/>
              <w:right w:val="single" w:sz="4" w:space="0" w:color="auto"/>
            </w:tcBorders>
          </w:tcPr>
          <w:p w14:paraId="663A5E61" w14:textId="77777777" w:rsidR="00701E89" w:rsidRPr="004B61B0"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4B61B0">
              <w:t>Nagyon jelentős kockázat</w:t>
            </w:r>
          </w:p>
        </w:tc>
      </w:tr>
    </w:tbl>
    <w:p w14:paraId="054FCF04" w14:textId="77777777" w:rsidR="00701E89" w:rsidRPr="004B61B0" w:rsidRDefault="00701E89" w:rsidP="00701E89">
      <w:r w:rsidRPr="004B61B0">
        <w:rPr>
          <w:b/>
        </w:rPr>
        <w:t>1. forgatókönyv</w:t>
      </w:r>
      <w:r w:rsidRPr="004B61B0">
        <w:t>: Amennyiben az illetékes hatóságok három kockázati kategóriába sorolják az értékelési alanyokat és a szektorokat, az 1. táblázatban meghatározott megközelítést kell alkalmazniuk, amikor a kockázati kategóriáknak a jelen iránymutatásokban javasolt négy kategóriára történő átváltására kérik őket.</w:t>
      </w:r>
    </w:p>
    <w:p w14:paraId="61C572AA" w14:textId="77777777" w:rsidR="00701E89" w:rsidRPr="004B61B0" w:rsidRDefault="00701E89" w:rsidP="00701E89"/>
    <w:p w14:paraId="6ECCD605" w14:textId="77777777" w:rsidR="00701E89" w:rsidRPr="004B61B0" w:rsidRDefault="00701E89" w:rsidP="00701E89"/>
    <w:p w14:paraId="433B7E18" w14:textId="77777777" w:rsidR="00701E89" w:rsidRPr="004B61B0" w:rsidRDefault="00701E89" w:rsidP="00701E89"/>
    <w:p w14:paraId="5C61375C" w14:textId="77777777" w:rsidR="00701E89" w:rsidRPr="004B61B0" w:rsidRDefault="00701E89" w:rsidP="00701E89"/>
    <w:p w14:paraId="189599B1" w14:textId="6C8816E4" w:rsidR="00701E89" w:rsidRPr="004B61B0" w:rsidRDefault="00701E89" w:rsidP="00701E89">
      <w:r w:rsidRPr="004B61B0">
        <w:rPr>
          <w:b/>
        </w:rPr>
        <w:t>2. forgatókönyv</w:t>
      </w:r>
      <w:r w:rsidRPr="004B61B0">
        <w:t>: Amennyiben az illetékes hatóságok öt kockázati kategóriába sorolják az értékelési alanyokat és a szektorokat, akkor a 2. táblázatban meghatározott megközelítést kell alkalmazniuk, amikor a kockázati kategóriáknak a jelen iránymutatásokban javasolt négy kategóriára történő átváltására kérik őket.</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4B61B0"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4B61B0" w:rsidRDefault="00616A3B" w:rsidP="00616A3B">
            <w:r w:rsidRPr="004B61B0">
              <w:t>Az illetékes hatóság kockázati kategóriái</w:t>
            </w:r>
          </w:p>
        </w:tc>
        <w:tc>
          <w:tcPr>
            <w:tcW w:w="4390" w:type="dxa"/>
            <w:tcBorders>
              <w:top w:val="single" w:sz="4" w:space="0" w:color="auto"/>
              <w:right w:val="single" w:sz="4" w:space="0" w:color="auto"/>
            </w:tcBorders>
          </w:tcPr>
          <w:p w14:paraId="22267B5A" w14:textId="77777777" w:rsidR="00616A3B" w:rsidRPr="004B61B0"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4B61B0">
              <w:t>A jelen iránymutatásokban javasolt kockázati kategóriák</w:t>
            </w:r>
          </w:p>
        </w:tc>
      </w:tr>
      <w:tr w:rsidR="00616A3B" w:rsidRPr="004B61B0"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4B61B0" w:rsidRDefault="00616A3B" w:rsidP="00616A3B">
            <w:pPr>
              <w:rPr>
                <w:rFonts w:cstheme="minorHAnsi"/>
              </w:rPr>
            </w:pPr>
            <w:r w:rsidRPr="004B61B0">
              <w:t>Alacsony kockázat →</w:t>
            </w:r>
          </w:p>
          <w:p w14:paraId="29E4F0E7" w14:textId="77777777" w:rsidR="00616A3B" w:rsidRPr="004B61B0" w:rsidRDefault="00616A3B" w:rsidP="00616A3B">
            <w:r w:rsidRPr="004B61B0">
              <w:t>Közepesen alacsony kockázat →</w:t>
            </w:r>
          </w:p>
        </w:tc>
        <w:tc>
          <w:tcPr>
            <w:tcW w:w="4390" w:type="dxa"/>
            <w:tcBorders>
              <w:right w:val="single" w:sz="4" w:space="0" w:color="auto"/>
            </w:tcBorders>
          </w:tcPr>
          <w:p w14:paraId="4EFA8E35" w14:textId="77777777" w:rsidR="00616A3B" w:rsidRPr="004B61B0"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4B61B0">
              <w:t>Kevésbé jelentős kockázat</w:t>
            </w:r>
          </w:p>
          <w:p w14:paraId="7D2E5B3F" w14:textId="77777777" w:rsidR="00616A3B" w:rsidRPr="004B61B0"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4B61B0">
              <w:t>Kevésbé jelentős kockázat</w:t>
            </w:r>
          </w:p>
        </w:tc>
      </w:tr>
      <w:tr w:rsidR="00616A3B" w:rsidRPr="004B61B0"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4B61B0" w:rsidRDefault="00616A3B" w:rsidP="00616A3B">
            <w:pPr>
              <w:rPr>
                <w:rFonts w:cstheme="minorHAnsi"/>
              </w:rPr>
            </w:pPr>
            <w:r w:rsidRPr="004B61B0">
              <w:t xml:space="preserve">Közepesen magas kockázat → </w:t>
            </w:r>
          </w:p>
        </w:tc>
        <w:tc>
          <w:tcPr>
            <w:tcW w:w="4390" w:type="dxa"/>
            <w:tcBorders>
              <w:right w:val="single" w:sz="4" w:space="0" w:color="auto"/>
            </w:tcBorders>
          </w:tcPr>
          <w:p w14:paraId="29777154" w14:textId="77777777" w:rsidR="00616A3B" w:rsidRPr="004B61B0"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4B61B0">
              <w:t>Mérsékelten jelentős kockázat</w:t>
            </w:r>
          </w:p>
        </w:tc>
      </w:tr>
      <w:tr w:rsidR="00616A3B" w:rsidRPr="004B61B0"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4B61B0" w:rsidRDefault="00616A3B" w:rsidP="00616A3B">
            <w:pPr>
              <w:rPr>
                <w:rFonts w:cstheme="minorHAnsi"/>
              </w:rPr>
            </w:pPr>
            <w:r w:rsidRPr="004B61B0">
              <w:t>Magas kockázat →</w:t>
            </w:r>
          </w:p>
        </w:tc>
        <w:tc>
          <w:tcPr>
            <w:tcW w:w="4390" w:type="dxa"/>
            <w:tcBorders>
              <w:right w:val="single" w:sz="4" w:space="0" w:color="auto"/>
            </w:tcBorders>
          </w:tcPr>
          <w:p w14:paraId="28AFC7BF" w14:textId="77777777" w:rsidR="00616A3B" w:rsidRPr="004B61B0"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4B61B0">
              <w:t>Jelentős kockázat</w:t>
            </w:r>
          </w:p>
        </w:tc>
      </w:tr>
      <w:tr w:rsidR="00616A3B" w:rsidRPr="004B61B0"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4B61B0" w:rsidRDefault="00616A3B" w:rsidP="00616A3B">
            <w:pPr>
              <w:rPr>
                <w:rFonts w:cstheme="minorHAnsi"/>
              </w:rPr>
            </w:pPr>
            <w:r w:rsidRPr="004B61B0">
              <w:t xml:space="preserve">Rendkívül magas kockázat → </w:t>
            </w:r>
          </w:p>
        </w:tc>
        <w:tc>
          <w:tcPr>
            <w:tcW w:w="4390" w:type="dxa"/>
            <w:tcBorders>
              <w:bottom w:val="single" w:sz="4" w:space="0" w:color="auto"/>
              <w:right w:val="single" w:sz="4" w:space="0" w:color="auto"/>
            </w:tcBorders>
          </w:tcPr>
          <w:p w14:paraId="3B8E709E" w14:textId="77777777" w:rsidR="00616A3B" w:rsidRPr="004B61B0"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4B61B0">
              <w:t>Nagyon jelentős kockázat</w:t>
            </w:r>
          </w:p>
        </w:tc>
      </w:tr>
    </w:tbl>
    <w:p w14:paraId="4833BF9A" w14:textId="77777777" w:rsidR="00956912" w:rsidRPr="004B61B0"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4B61B0"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1663" w14:textId="77777777" w:rsidR="000405C9" w:rsidRPr="004B61B0" w:rsidRDefault="000405C9" w:rsidP="00A00E34">
      <w:r w:rsidRPr="004B61B0">
        <w:separator/>
      </w:r>
    </w:p>
    <w:p w14:paraId="723BB359" w14:textId="77777777" w:rsidR="000405C9" w:rsidRPr="004B61B0" w:rsidRDefault="000405C9"/>
  </w:endnote>
  <w:endnote w:type="continuationSeparator" w:id="0">
    <w:p w14:paraId="290DB587" w14:textId="77777777" w:rsidR="000405C9" w:rsidRPr="004B61B0" w:rsidRDefault="000405C9" w:rsidP="00A00E34">
      <w:r w:rsidRPr="004B61B0">
        <w:continuationSeparator/>
      </w:r>
    </w:p>
    <w:p w14:paraId="0DF9BFB5" w14:textId="77777777" w:rsidR="000405C9" w:rsidRPr="004B61B0" w:rsidRDefault="0004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C49B" w14:textId="77777777" w:rsidR="00F50532" w:rsidRDefault="00F5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29C" w14:textId="77777777" w:rsidR="00F50532" w:rsidRDefault="00F50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975" w14:textId="77777777" w:rsidR="00F50532" w:rsidRDefault="00F50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6C8B" w:rsidRPr="004B61B0" w:rsidRDefault="00866C8B" w:rsidP="00C43FD9">
    <w:pPr>
      <w:pStyle w:val="Footer"/>
      <w:framePr w:wrap="around" w:vAnchor="text" w:hAnchor="margin" w:xAlign="right" w:y="1"/>
      <w:rPr>
        <w:rStyle w:val="PageNumber"/>
      </w:rPr>
    </w:pPr>
    <w:r w:rsidRPr="004B61B0">
      <w:rPr>
        <w:rStyle w:val="PageNumber"/>
      </w:rPr>
      <w:fldChar w:fldCharType="begin"/>
    </w:r>
    <w:r w:rsidRPr="004B61B0">
      <w:rPr>
        <w:rStyle w:val="PageNumber"/>
      </w:rPr>
      <w:instrText xml:space="preserve">PAGE  </w:instrText>
    </w:r>
    <w:r w:rsidRPr="004B61B0">
      <w:rPr>
        <w:rStyle w:val="PageNumber"/>
      </w:rPr>
      <w:fldChar w:fldCharType="end"/>
    </w:r>
  </w:p>
  <w:p w14:paraId="22CE74DD" w14:textId="77777777" w:rsidR="00866C8B" w:rsidRPr="004B61B0" w:rsidRDefault="00866C8B" w:rsidP="00610305">
    <w:pPr>
      <w:pStyle w:val="Footer"/>
      <w:ind w:right="360"/>
    </w:pPr>
  </w:p>
  <w:p w14:paraId="65660E56" w14:textId="77777777" w:rsidR="00866C8B" w:rsidRPr="004B61B0" w:rsidRDefault="00866C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6C8B" w:rsidRPr="004B61B0" w:rsidRDefault="00866C8B" w:rsidP="00610305">
    <w:pPr>
      <w:pStyle w:val="Footer"/>
      <w:ind w:right="360"/>
    </w:pPr>
    <w:r w:rsidRPr="004B61B0">
      <w:rPr>
        <w:noProof/>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A1FA9FA"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77777777" w:rsidR="004D193D" w:rsidRPr="004B61B0" w:rsidRDefault="004D193D" w:rsidP="004D193D">
    <w:pPr>
      <w:pStyle w:val="Footer"/>
      <w:framePr w:wrap="around" w:vAnchor="text" w:hAnchor="margin" w:xAlign="right" w:y="1"/>
      <w:rPr>
        <w:rStyle w:val="PageNumber"/>
      </w:rPr>
    </w:pPr>
    <w:r w:rsidRPr="004B61B0">
      <w:rPr>
        <w:rStyle w:val="PageNumber"/>
      </w:rPr>
      <w:fldChar w:fldCharType="begin"/>
    </w:r>
    <w:r w:rsidRPr="004B61B0">
      <w:rPr>
        <w:rStyle w:val="PageNumber"/>
      </w:rPr>
      <w:instrText xml:space="preserve">PAGE  </w:instrText>
    </w:r>
    <w:r w:rsidRPr="004B61B0">
      <w:rPr>
        <w:rStyle w:val="PageNumber"/>
      </w:rPr>
      <w:fldChar w:fldCharType="separate"/>
    </w:r>
    <w:r w:rsidRPr="004B61B0">
      <w:rPr>
        <w:rStyle w:val="PageNumber"/>
      </w:rPr>
      <w:t>47</w:t>
    </w:r>
    <w:r w:rsidRPr="004B61B0">
      <w:rPr>
        <w:rStyle w:val="PageNumber"/>
      </w:rPr>
      <w:fldChar w:fldCharType="end"/>
    </w:r>
  </w:p>
  <w:p w14:paraId="4E6758ED" w14:textId="77777777" w:rsidR="00866C8B" w:rsidRPr="004B61B0" w:rsidRDefault="00866C8B"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6C8B" w:rsidRPr="004B61B0" w:rsidRDefault="0086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5D24" w14:textId="77777777" w:rsidR="000405C9" w:rsidRPr="004B61B0" w:rsidRDefault="000405C9">
      <w:pPr>
        <w:rPr>
          <w:sz w:val="12"/>
          <w:szCs w:val="12"/>
        </w:rPr>
      </w:pPr>
      <w:r w:rsidRPr="004B61B0">
        <w:rPr>
          <w:sz w:val="12"/>
          <w:szCs w:val="12"/>
        </w:rPr>
        <w:separator/>
      </w:r>
    </w:p>
  </w:footnote>
  <w:footnote w:type="continuationSeparator" w:id="0">
    <w:p w14:paraId="029E4751" w14:textId="77777777" w:rsidR="000405C9" w:rsidRPr="004B61B0" w:rsidRDefault="000405C9" w:rsidP="00A00E34">
      <w:r w:rsidRPr="004B61B0">
        <w:continuationSeparator/>
      </w:r>
    </w:p>
    <w:p w14:paraId="0D22A1AE" w14:textId="77777777" w:rsidR="000405C9" w:rsidRPr="004B61B0" w:rsidRDefault="000405C9"/>
  </w:footnote>
  <w:footnote w:type="continuationNotice" w:id="1">
    <w:p w14:paraId="3B130F91" w14:textId="77777777" w:rsidR="000405C9" w:rsidRPr="004B61B0" w:rsidRDefault="000405C9"/>
  </w:footnote>
  <w:footnote w:id="2">
    <w:p w14:paraId="25F44310" w14:textId="77777777" w:rsidR="00866C8B" w:rsidRPr="004B61B0" w:rsidRDefault="00866C8B" w:rsidP="004D193D">
      <w:pPr>
        <w:pStyle w:val="FootnoteText"/>
      </w:pPr>
      <w:r w:rsidRPr="004B61B0">
        <w:rPr>
          <w:rStyle w:val="FootnoteReference"/>
        </w:rPr>
        <w:footnoteRef/>
      </w:r>
      <w:r w:rsidRPr="004B61B0">
        <w:t xml:space="preserve"> Az Európai Parlament és a Tanács 1093/2010/EU rendelete (2010. november 24.) az európai felügyeleti hatóság (Európai Bankhatóság) létrehozásáról, a 716/2009/EK határozat módosításáról és a 2009/78/EK bizottsági határozat hatályon kívül helyezéséről (HL L 331., 2010.12.15., 12. o.).</w:t>
      </w:r>
    </w:p>
  </w:footnote>
  <w:footnote w:id="3">
    <w:p w14:paraId="23068BEF" w14:textId="77777777" w:rsidR="00B83476" w:rsidRPr="003A280F" w:rsidRDefault="00B83476" w:rsidP="00B83476">
      <w:pPr>
        <w:pStyle w:val="FootnoteText"/>
      </w:pPr>
      <w:r w:rsidRPr="003A280F">
        <w:rPr>
          <w:rStyle w:val="FootnoteReference"/>
        </w:rPr>
        <w:footnoteRef/>
      </w:r>
      <w:r w:rsidRPr="003A280F">
        <w:t xml:space="preserve"> Az Európai Parlament és a Tanács (EU) 2015/849 irányelve (2015. május 20.) a pénzügyi rendszereknek a pénzmosás, illetve terrorizmus finanszírozása céljára való felhasználásának megelőzéséről, a 648/2012/EU európai parlamenti és tanácsi rendelet módosításáról, valamint a 2005/60/EK európai parlamenti és tanácsi irányelv és a 2006/70/EK bizottsági irányelv hatályon kívül helyezéséről (HL L 141., 2015.6.5., 73-117. o.).</w:t>
      </w:r>
    </w:p>
  </w:footnote>
  <w:footnote w:id="4">
    <w:p w14:paraId="4D33271D" w14:textId="77777777" w:rsidR="00B83476" w:rsidRPr="003A280F" w:rsidRDefault="00B83476" w:rsidP="00B83476">
      <w:pPr>
        <w:pStyle w:val="FootnoteText"/>
      </w:pPr>
      <w:r w:rsidRPr="003A280F">
        <w:rPr>
          <w:rStyle w:val="FootnoteReference"/>
        </w:rPr>
        <w:footnoteRef/>
      </w:r>
      <w:r>
        <w:t xml:space="preserve"> </w:t>
      </w:r>
      <w:r w:rsidRPr="003A280F">
        <w:t>Az Európai Parlament és a Tanács (EU) 2023/1113 rendelete (2023. május 31.) a pénzátutalásokat és bizonyos kriptoeszköz-átutalásokat kísérő adatokról, valamint az (EU) 2015/849 irányelv módosításáról (átdolgozás) (HL L 150., 2023.6.9., 1. o.).</w:t>
      </w:r>
    </w:p>
  </w:footnote>
  <w:footnote w:id="5">
    <w:p w14:paraId="002D2582" w14:textId="77777777" w:rsidR="0075562E" w:rsidRPr="003A280F" w:rsidRDefault="0075562E" w:rsidP="0075562E">
      <w:pPr>
        <w:spacing w:before="120"/>
        <w:jc w:val="both"/>
        <w:rPr>
          <w:sz w:val="18"/>
          <w:szCs w:val="18"/>
        </w:rPr>
      </w:pPr>
      <w:r w:rsidRPr="003A280F">
        <w:rPr>
          <w:rStyle w:val="FootnoteReference"/>
          <w:sz w:val="18"/>
        </w:rPr>
        <w:footnoteRef/>
      </w:r>
      <w:r w:rsidRPr="003A280F">
        <w:rPr>
          <w:sz w:val="18"/>
          <w:szCs w:val="18"/>
        </w:rPr>
        <w:t xml:space="preserve"> Az ESMA és az EBH közös iránymutatása a vezető testületi tagok és a kulcsfontosságú feladatot ellátó személyek alkalmasságának értékeléséről a 2013/36/EU irányelv és a 2014/65/EU irányelv alapján, </w:t>
      </w:r>
      <w:hyperlink r:id="rId1">
        <w:r w:rsidRPr="003A280F">
          <w:rPr>
            <w:color w:val="2E5673"/>
            <w:sz w:val="18"/>
            <w:szCs w:val="18"/>
            <w:u w:val="single" w:color="2E5673"/>
          </w:rPr>
          <w:t>EBA/GL/2021/06</w:t>
        </w:r>
        <w:r w:rsidRPr="003A280F">
          <w:rPr>
            <w:sz w:val="18"/>
            <w:szCs w:val="18"/>
          </w:rPr>
          <w:t>.</w:t>
        </w:r>
      </w:hyperlink>
    </w:p>
  </w:footnote>
  <w:footnote w:id="6">
    <w:p w14:paraId="5F04AB9D" w14:textId="77777777" w:rsidR="0075562E" w:rsidRPr="003A280F" w:rsidRDefault="0075562E" w:rsidP="0075562E">
      <w:pPr>
        <w:spacing w:before="120"/>
        <w:jc w:val="both"/>
        <w:rPr>
          <w:sz w:val="18"/>
          <w:szCs w:val="18"/>
        </w:rPr>
      </w:pPr>
      <w:r w:rsidRPr="003A280F">
        <w:rPr>
          <w:rStyle w:val="FootnoteReference"/>
          <w:sz w:val="18"/>
        </w:rPr>
        <w:footnoteRef/>
      </w:r>
      <w:r w:rsidRPr="003A280F">
        <w:rPr>
          <w:sz w:val="18"/>
          <w:szCs w:val="18"/>
        </w:rPr>
        <w:t xml:space="preserve">Az EBH iránymutatása a 2013/36/EU irányelv szerinti belső irányításról, </w:t>
      </w:r>
      <w:hyperlink r:id="rId2" w:history="1">
        <w:r w:rsidRPr="003A280F">
          <w:rPr>
            <w:rStyle w:val="Hyperlink"/>
            <w:sz w:val="18"/>
            <w:szCs w:val="18"/>
          </w:rPr>
          <w:t>EBA/GL/2021/05</w:t>
        </w:r>
      </w:hyperlink>
      <w:r w:rsidRPr="003A280F">
        <w:rPr>
          <w:sz w:val="18"/>
          <w:szCs w:val="18"/>
        </w:rPr>
        <w:t>.</w:t>
      </w:r>
    </w:p>
  </w:footnote>
  <w:footnote w:id="7">
    <w:p w14:paraId="51389980" w14:textId="77777777" w:rsidR="0075562E" w:rsidRPr="003A280F" w:rsidRDefault="0075562E" w:rsidP="0075562E">
      <w:pPr>
        <w:pStyle w:val="FootnoteText"/>
      </w:pPr>
      <w:r w:rsidRPr="003A280F">
        <w:rPr>
          <w:rStyle w:val="FootnoteReference"/>
        </w:rPr>
        <w:footnoteRef/>
      </w:r>
      <w:r w:rsidRPr="003A280F">
        <w:t xml:space="preserve"> Az EBH (EU) 2019/2034 irányelv szerinti belső irányításról szóló iránymutatása, </w:t>
      </w:r>
      <w:hyperlink r:id="rId3" w:history="1">
        <w:r w:rsidRPr="003A280F">
          <w:rPr>
            <w:rStyle w:val="Hyperlink"/>
          </w:rPr>
          <w:t>EBA/GL/2021/14</w:t>
        </w:r>
      </w:hyperlink>
      <w:r w:rsidRPr="003A280F">
        <w:t>.</w:t>
      </w:r>
    </w:p>
  </w:footnote>
  <w:footnote w:id="8">
    <w:p w14:paraId="0365A835" w14:textId="77777777" w:rsidR="0075562E" w:rsidRPr="003A280F" w:rsidRDefault="0075562E" w:rsidP="0075562E">
      <w:pPr>
        <w:pStyle w:val="FootnoteText"/>
      </w:pPr>
      <w:r w:rsidRPr="003A280F">
        <w:rPr>
          <w:rStyle w:val="FootnoteReference"/>
        </w:rPr>
        <w:footnoteRef/>
      </w:r>
      <w:r w:rsidRPr="003A280F">
        <w:t xml:space="preserve"> Ez nem érinti az (EU) 2023/1114 rendelet (MiCA) 68. cikkének a kriptoeszköz-szolgáltatók irányítási szabályairól szóló rendelkezését.</w:t>
      </w:r>
    </w:p>
  </w:footnote>
  <w:footnote w:id="9">
    <w:p w14:paraId="1549B087" w14:textId="77777777" w:rsidR="0075562E" w:rsidRPr="0063736C" w:rsidRDefault="0075562E" w:rsidP="0075562E">
      <w:pPr>
        <w:pStyle w:val="FootnoteText"/>
        <w:spacing w:before="120" w:line="240" w:lineRule="auto"/>
      </w:pPr>
      <w:r w:rsidRPr="0063736C">
        <w:rPr>
          <w:rStyle w:val="FootnoteReference"/>
        </w:rPr>
        <w:footnoteRef/>
      </w:r>
      <w:r w:rsidRPr="0063736C">
        <w:t xml:space="preserve"> Közös iránymutatás az (EU) 2015/849 irányelv alkalmazásában a hitel- és pénzügyi intézmények felügyeletét ellátó illetékes hatóságok közötti együttműködésről és információcseréről, „ Az AML/CFT közös iránymutatás”, </w:t>
      </w:r>
      <w:hyperlink r:id="rId4" w:history="1">
        <w:r w:rsidRPr="0063736C">
          <w:rPr>
            <w:rStyle w:val="Hyperlink"/>
          </w:rPr>
          <w:t>JC 2019 81</w:t>
        </w:r>
      </w:hyperlink>
      <w:r w:rsidRPr="0063736C">
        <w:t>.</w:t>
      </w:r>
    </w:p>
  </w:footnote>
  <w:footnote w:id="10">
    <w:p w14:paraId="4705E4BD" w14:textId="77777777" w:rsidR="0075562E" w:rsidRPr="0063736C" w:rsidRDefault="0075562E" w:rsidP="0075562E">
      <w:pPr>
        <w:pStyle w:val="FootnoteText"/>
        <w:spacing w:before="120" w:line="240" w:lineRule="auto"/>
      </w:pPr>
      <w:r w:rsidRPr="0063736C">
        <w:rPr>
          <w:rStyle w:val="FootnoteReference"/>
        </w:rPr>
        <w:footnoteRef/>
      </w:r>
      <w:r w:rsidRPr="0063736C">
        <w:t xml:space="preserve"> EBH </w:t>
      </w:r>
      <w:hyperlink r:id="rId5">
        <w:r w:rsidRPr="0063736C">
          <w:rPr>
            <w:color w:val="2E5673"/>
            <w:u w:val="single" w:color="2E5673"/>
          </w:rPr>
          <w:t>iránymutatás a prudenciális felügyeletek, az AML/CFT-felügyeletek és</w:t>
        </w:r>
      </w:hyperlink>
      <w:r w:rsidRPr="0063736C">
        <w:rPr>
          <w:color w:val="2E5673"/>
        </w:rPr>
        <w:t xml:space="preserve"> </w:t>
      </w:r>
      <w:hyperlink r:id="rId6">
        <w:r w:rsidRPr="0063736C">
          <w:rPr>
            <w:color w:val="2E5673"/>
            <w:u w:val="single" w:color="2E5673"/>
          </w:rPr>
          <w:t>a pénzügyi hírszerző egységek közötti együttműködésről és információcseréről a 2013/36/EU irányelv 117. cikkének (6) bekezdése alapján</w:t>
        </w:r>
        <w:r w:rsidRPr="0063736C">
          <w:t>,</w:t>
        </w:r>
      </w:hyperlink>
      <w:r w:rsidRPr="0063736C">
        <w:t xml:space="preserve"> 2021. december.</w:t>
      </w:r>
    </w:p>
  </w:footnote>
  <w:footnote w:id="11">
    <w:p w14:paraId="4824FB41" w14:textId="77777777" w:rsidR="0075562E" w:rsidRPr="0063736C" w:rsidRDefault="0075562E" w:rsidP="0075562E">
      <w:pPr>
        <w:pStyle w:val="FootnoteText"/>
        <w:spacing w:before="120" w:line="240" w:lineRule="auto"/>
      </w:pPr>
      <w:r w:rsidRPr="0063736C">
        <w:rPr>
          <w:rStyle w:val="FootnoteReference"/>
        </w:rPr>
        <w:footnoteRef/>
      </w:r>
      <w:r w:rsidRPr="0063736C">
        <w:t xml:space="preserve"> </w:t>
      </w:r>
      <w:hyperlink r:id="rId7">
        <w:r w:rsidRPr="0063736C">
          <w:rPr>
            <w:color w:val="2E5673"/>
            <w:u w:val="single" w:color="2E5673"/>
          </w:rPr>
          <w:t>Többoldalú megállapodás</w:t>
        </w:r>
      </w:hyperlink>
      <w:r w:rsidRPr="0063736C">
        <w:t xml:space="preserve"> az Európai Központi Bank és az illetékes nemzeti hatóságok között az (EU) 2015/849 irányelv 57a. cikke (2) bekezdésének b) pontja alapján</w:t>
      </w:r>
    </w:p>
  </w:footnote>
  <w:footnote w:id="12">
    <w:p w14:paraId="14B16390" w14:textId="47C0EEAE" w:rsidR="00866C8B" w:rsidRPr="004B61B0" w:rsidRDefault="00866C8B">
      <w:pPr>
        <w:pStyle w:val="FootnoteText"/>
      </w:pPr>
      <w:r w:rsidRPr="004B61B0">
        <w:rPr>
          <w:rStyle w:val="FootnoteReference"/>
        </w:rPr>
        <w:footnoteRef/>
      </w:r>
      <w:r w:rsidRPr="004B61B0">
        <w:t xml:space="preserve"> Az EBH iránymutatásai az (EU) 2015/849 irányelv 17. cikke és 18. cikkének (4) bekezdése szerint az ügyfél-átvilágításról, valamint a hitelintézetek és a pénzügyi intézmények által az egyedi üzleti kapcsolatokhoz és az ügyleti megbízásokhoz kapcsolódó pénzmosási és terrorizmusfinanszírozási kockázat értékelése során figyelembe veendő tényezőkről (a továbbiakban: a pénzmosási és terrorizmusfinanszírozási kockázati tényezőkről szóló iránymutatások) </w:t>
      </w:r>
      <w:hyperlink r:id="rId8" w:history="1">
        <w:r w:rsidRPr="004B61B0">
          <w:rPr>
            <w:rStyle w:val="Hyperlink"/>
          </w:rPr>
          <w:t>EBA/GL/2021/02</w:t>
        </w:r>
      </w:hyperlink>
      <w:r w:rsidRPr="004B61B0">
        <w:t>.</w:t>
      </w:r>
    </w:p>
  </w:footnote>
  <w:footnote w:id="13">
    <w:p w14:paraId="0B84FC8E" w14:textId="47D4CD9C" w:rsidR="00866C8B" w:rsidRPr="004B61B0" w:rsidRDefault="00866C8B">
      <w:pPr>
        <w:pStyle w:val="FootnoteText"/>
      </w:pPr>
      <w:r w:rsidRPr="004B61B0">
        <w:rPr>
          <w:rStyle w:val="FootnoteReference"/>
        </w:rPr>
        <w:footnoteRef/>
      </w:r>
      <w:r w:rsidRPr="004B61B0">
        <w:t xml:space="preserve"> Az európai felügyeleti hatóságok közös iránymutatásai a hitelintézetek és pénzügyi intézmények felügyeletéért felelős illetékes hatóságok között az (EU) 2015/849 irányelv alkalmazásában történő együttműködésről és információcseréről (JC 2019 81).</w:t>
      </w:r>
    </w:p>
  </w:footnote>
  <w:footnote w:id="14">
    <w:p w14:paraId="55DAE16C" w14:textId="12E32F7D" w:rsidR="00866C8B" w:rsidRPr="004B61B0" w:rsidRDefault="00866C8B">
      <w:pPr>
        <w:pStyle w:val="FootnoteText"/>
      </w:pPr>
      <w:r w:rsidRPr="004B61B0">
        <w:rPr>
          <w:rStyle w:val="FootnoteReference"/>
        </w:rPr>
        <w:footnoteRef/>
      </w:r>
      <w:r w:rsidRPr="004B61B0">
        <w:t xml:space="preserve"> Az EBH iránymutatásai az (EU) 2015/849 irányelv 17. cikke és 18. cikkének (4) bekezdése szerint az ügyfél-átvilágításról, valamint a hitelintézetek és a pénzügyi intézmények által az egyedi üzleti kapcsolatokhoz és az ügyleti megbízásokhoz kapcsolódó pénzmosási és terrorizmusfinanszírozási kockázat értékelése során figyelembe veendő tényezőkről (a továbbiakban: a pénzmosási és terrorizmusfinanszírozási kockázati tényezőkről szóló iránymutatások) </w:t>
      </w:r>
      <w:hyperlink r:id="rId9" w:history="1">
        <w:r w:rsidRPr="004B61B0">
          <w:rPr>
            <w:rStyle w:val="Hyperlink"/>
          </w:rPr>
          <w:t>EBA/GL/2021/02</w:t>
        </w:r>
      </w:hyperlink>
      <w:r w:rsidRPr="004B61B0">
        <w:t>.</w:t>
      </w:r>
    </w:p>
  </w:footnote>
  <w:footnote w:id="15">
    <w:p w14:paraId="7CE546D2" w14:textId="77777777" w:rsidR="00BA6CE8" w:rsidRPr="004B61B0" w:rsidRDefault="00BA6CE8" w:rsidP="00BA6CE8">
      <w:pPr>
        <w:spacing w:before="80" w:line="218" w:lineRule="auto"/>
        <w:jc w:val="both"/>
        <w:rPr>
          <w:sz w:val="18"/>
          <w:szCs w:val="18"/>
        </w:rPr>
      </w:pPr>
      <w:r w:rsidRPr="004B61B0">
        <w:rPr>
          <w:rStyle w:val="FootnoteReference"/>
          <w:sz w:val="18"/>
        </w:rPr>
        <w:footnoteRef/>
      </w:r>
      <w:r w:rsidRPr="004B61B0">
        <w:t xml:space="preserve"> </w:t>
      </w:r>
      <w:r w:rsidRPr="004B61B0">
        <w:rPr>
          <w:sz w:val="18"/>
          <w:szCs w:val="18"/>
        </w:rPr>
        <w:t xml:space="preserve">Az EBH iránymutatásai az (EU) 2015/849 irányelv 17. cikke és 18. cikkének (4) bekezdése szerint az ügyfél-átvilágításról, valamint a hitelintézetek és a pénzügyi intézmények által az egyedi üzleti kapcsolatokhoz és az ügyleti megbízásokhoz kapcsolódó pénzmosási és terrorizmusfinanszírozási kockázat értékelése során figyelembe veendő tényezőkről (a továbbiakban: a pénzmosási és terrorizmusfinanszírozási kockázati tényezőkről szóló iránymutatások) </w:t>
      </w:r>
      <w:hyperlink r:id="rId10" w:history="1">
        <w:r w:rsidRPr="004B61B0">
          <w:rPr>
            <w:rStyle w:val="Hyperlink"/>
            <w:sz w:val="18"/>
            <w:szCs w:val="18"/>
          </w:rPr>
          <w:t>EBA/GL/2021/02</w:t>
        </w:r>
      </w:hyperlink>
      <w:r w:rsidRPr="004B61B0">
        <w:rPr>
          <w:sz w:val="18"/>
          <w:szCs w:val="18"/>
        </w:rPr>
        <w:t>.</w:t>
      </w:r>
    </w:p>
  </w:footnote>
  <w:footnote w:id="16">
    <w:p w14:paraId="7110384E" w14:textId="6AB58C65" w:rsidR="00866C8B" w:rsidRPr="004B61B0" w:rsidRDefault="00866C8B">
      <w:pPr>
        <w:pStyle w:val="FootnoteText"/>
      </w:pPr>
      <w:r w:rsidRPr="004B61B0">
        <w:rPr>
          <w:rStyle w:val="FootnoteReference"/>
        </w:rPr>
        <w:footnoteRef/>
      </w:r>
      <w:r w:rsidRPr="004B61B0">
        <w:t xml:space="preserve"> (JC 2019 81).</w:t>
      </w:r>
    </w:p>
  </w:footnote>
  <w:footnote w:id="17">
    <w:p w14:paraId="2544F01C" w14:textId="12CB9B75" w:rsidR="00866C8B" w:rsidRPr="004B61B0" w:rsidRDefault="00866C8B">
      <w:pPr>
        <w:pStyle w:val="FootnoteText"/>
      </w:pPr>
      <w:r w:rsidRPr="004B61B0">
        <w:rPr>
          <w:rStyle w:val="FootnoteReference"/>
        </w:rPr>
        <w:footnoteRef/>
      </w:r>
      <w:r w:rsidRPr="004B61B0">
        <w:t xml:space="preserve"> Az (EU) 2015/849 irányelv 17. cikke és 18. cikkének (4) bekezdése szerinti EBH-iránymutatások szerint az állítások hitelességét többek között az adatforrás minősége és függetlensége, valamint az állításokat tartalmazó beszámolók tartósan magas száma alapján lehet meghatározni.</w:t>
      </w:r>
    </w:p>
  </w:footnote>
  <w:footnote w:id="18">
    <w:p w14:paraId="11231B0E" w14:textId="354AAA66" w:rsidR="00866C8B" w:rsidRPr="004B61B0" w:rsidRDefault="00866C8B">
      <w:pPr>
        <w:pStyle w:val="FootnoteText"/>
      </w:pPr>
      <w:r w:rsidRPr="004B61B0">
        <w:rPr>
          <w:rStyle w:val="FootnoteReference"/>
        </w:rPr>
        <w:footnoteRef/>
      </w:r>
      <w:r w:rsidRPr="004B61B0">
        <w:t xml:space="preserve"> Annak eldöntése, hogy mely hatóság jár el vezető felügyeleti hatóságként, a hitelintézetek és pénzügyi intézmények felügyeletéért felelős illetékes hatóságok között az (EU) 2015/849 irányelv alkalmazásában történő együttműködésről és információcseréről szóló, európai felügyeleti hatósági közös iránymutatásokkal (a pénzmosás és terrorizmusfinanszírozás elleni küzdelemmel foglalkozó kollégiumoknak készült iránymutatások) (JC 2019 81) összhangban történik. A vezető felügyeleti hatóság általában az az illetékes hatóság, amely a csoport központi irodájának helye szerinti tagállamban az AML/CFT felügyeletéért felelős.</w:t>
      </w:r>
    </w:p>
  </w:footnote>
  <w:footnote w:id="19">
    <w:p w14:paraId="4472C079" w14:textId="28A0FF3B" w:rsidR="00866C8B" w:rsidRPr="004B61B0" w:rsidRDefault="00866C8B">
      <w:pPr>
        <w:pStyle w:val="FootnoteText"/>
      </w:pPr>
      <w:r w:rsidRPr="004B61B0">
        <w:rPr>
          <w:rStyle w:val="FootnoteReference"/>
        </w:rPr>
        <w:footnoteRef/>
      </w:r>
      <w:r w:rsidRPr="004B61B0">
        <w:t xml:space="preserve"> </w:t>
      </w:r>
      <w:hyperlink r:id="rId11" w:history="1">
        <w:r w:rsidRPr="004B61B0">
          <w:rPr>
            <w:rStyle w:val="Hyperlink"/>
          </w:rPr>
          <w:t>Az EBH iránymutatásai a 2013/36/EU irányelv szerinti, a prudenciális felügyeleti hatóságok, a pénzmosás és a terrorizmusfinanszírozás elleni felügyeletet ellátó hatóságok és a pénzügyi információs egységek közötti együttműködéshez és információcseréhez</w:t>
        </w:r>
      </w:hyperlink>
      <w:r w:rsidRPr="004B61B0">
        <w:t>, 2021. december.</w:t>
      </w:r>
    </w:p>
  </w:footnote>
  <w:footnote w:id="20">
    <w:p w14:paraId="5013941C" w14:textId="6720E5C1" w:rsidR="00A132DF" w:rsidRDefault="00A132DF" w:rsidP="00A132DF">
      <w:pPr>
        <w:pStyle w:val="BodyText"/>
        <w:numPr>
          <w:ilvl w:val="0"/>
          <w:numId w:val="0"/>
        </w:numPr>
        <w:tabs>
          <w:tab w:val="left" w:pos="1802"/>
        </w:tabs>
        <w:spacing w:after="80" w:line="200" w:lineRule="exact"/>
        <w:jc w:val="both"/>
        <w:rPr>
          <w:b/>
        </w:rPr>
      </w:pPr>
      <w:r>
        <w:rPr>
          <w:rFonts w:asciiTheme="minorHAnsi" w:eastAsia="Wingdings" w:hAnsiTheme="minorHAnsi" w:cstheme="minorHAnsi"/>
          <w:color w:val="E98E31" w:themeColor="background2"/>
          <w:spacing w:val="-1"/>
          <w:sz w:val="18"/>
          <w:szCs w:val="18"/>
        </w:rPr>
        <w:sym w:font="Wingdings" w:char="F0DA"/>
      </w:r>
      <w:r>
        <w:rPr>
          <w:rFonts w:asciiTheme="minorHAnsi" w:hAnsiTheme="minorHAnsi" w:cstheme="minorHAnsi"/>
          <w:color w:val="E98E31" w:themeColor="background2"/>
          <w:spacing w:val="-1"/>
          <w:sz w:val="18"/>
          <w:szCs w:val="18"/>
        </w:rPr>
        <w:t>C1</w:t>
      </w:r>
    </w:p>
    <w:p w14:paraId="08AAF2C3" w14:textId="38C3F179" w:rsidR="00866C8B" w:rsidRPr="004B61B0" w:rsidRDefault="00866C8B" w:rsidP="00C732C5">
      <w:pPr>
        <w:pStyle w:val="FootnoteText"/>
      </w:pPr>
      <w:r w:rsidRPr="004B61B0">
        <w:rPr>
          <w:rStyle w:val="FootnoteReference"/>
        </w:rPr>
        <w:footnoteRef/>
      </w:r>
      <w:r w:rsidR="00892D31" w:rsidRPr="00892D31">
        <w:rPr>
          <w:b/>
        </w:rPr>
        <w:t xml:space="preserve"> </w:t>
      </w:r>
      <w:r w:rsidR="00892D31" w:rsidRPr="00892D31">
        <w:rPr>
          <w:bCs/>
        </w:rPr>
        <w:t>Iránymutatás</w:t>
      </w:r>
      <w:r w:rsidRPr="004B61B0">
        <w:t xml:space="preserve"> a jogszabályoknak való megfeleléssel kapcsolatos politikákról és eljárásokról, valamint az (EU) 2015/849 irányelv 8. cikke és VI. fejezete szerinti AML/CFT megfelelési tisztviselő szerepéről és felelősségi köréről.</w:t>
      </w:r>
    </w:p>
  </w:footnote>
  <w:footnote w:id="21">
    <w:p w14:paraId="23B777BF" w14:textId="741B1718" w:rsidR="00866C8B" w:rsidRDefault="00866C8B" w:rsidP="003865B8">
      <w:pPr>
        <w:pStyle w:val="FootnoteText"/>
      </w:pPr>
      <w:r w:rsidRPr="004B61B0">
        <w:rPr>
          <w:rStyle w:val="FootnoteReference"/>
        </w:rPr>
        <w:footnoteRef/>
      </w:r>
      <w:r w:rsidRPr="004B61B0">
        <w:t xml:space="preserve"> </w:t>
      </w:r>
      <w:r w:rsidR="00892D31">
        <w:t>Különösen a 2013/36/EU irányelv szerinti, a prudenciális felügyeletek, az AML/CFT-felügyeletek és a pénzügyi hírszerző egységek közötti együttműködésről és információcseréről szóló, EBH-iránymutatás 19. bekezdésével összhangban</w:t>
      </w:r>
      <w:r w:rsidRPr="004B61B0">
        <w:t>.</w:t>
      </w:r>
    </w:p>
    <w:p w14:paraId="4E51E8D5" w14:textId="5206C657" w:rsidR="00A132DF" w:rsidRPr="004B61B0" w:rsidRDefault="00A132DF" w:rsidP="003865B8">
      <w:pPr>
        <w:pStyle w:val="FootnoteText"/>
      </w:pPr>
      <w:r>
        <w:rPr>
          <w:rFonts w:ascii="Wingdings" w:eastAsia="Wingdings" w:hAnsi="Wingdings" w:cs="Wingdings"/>
          <w:color w:val="E98E31" w:themeColor="background2"/>
          <w:spacing w:val="-1"/>
        </w:rPr>
        <w:t>Ú</w:t>
      </w:r>
      <w:r>
        <w:rPr>
          <w:rFonts w:ascii="Calibri" w:eastAsia="Calibri" w:hAnsi="Calibri" w:cs="Calibri"/>
          <w:color w:val="E98E31" w:themeColor="background2"/>
          <w:spacing w:val="-1"/>
        </w:rPr>
        <w:t>O</w:t>
      </w:r>
    </w:p>
  </w:footnote>
  <w:footnote w:id="22">
    <w:p w14:paraId="4842A51C" w14:textId="1A1D774B" w:rsidR="00866C8B" w:rsidRPr="004B61B0" w:rsidRDefault="00866C8B">
      <w:pPr>
        <w:pStyle w:val="FootnoteText"/>
      </w:pPr>
      <w:r w:rsidRPr="004B61B0">
        <w:rPr>
          <w:rStyle w:val="FootnoteReference"/>
        </w:rPr>
        <w:footnoteRef/>
      </w:r>
      <w:r w:rsidRPr="004B61B0">
        <w:t xml:space="preserve"> ESMA és EBH közös iránymutatások a vezető testületi tagok és a kulcsfontosságú feladatot ellátó személyek alkalmasságának értékeléséről a 2013/36/EU irányelv és a 2014/65/EU irányelv alapján </w:t>
      </w:r>
      <w:hyperlink r:id="rId12" w:history="1">
        <w:r w:rsidRPr="004B61B0">
          <w:rPr>
            <w:rStyle w:val="Hyperlink"/>
          </w:rPr>
          <w:t>EBA/GL/2021/06</w:t>
        </w:r>
      </w:hyperlink>
      <w:r w:rsidRPr="004B61B0">
        <w:t>.</w:t>
      </w:r>
    </w:p>
  </w:footnote>
  <w:footnote w:id="23">
    <w:p w14:paraId="5079A2C4" w14:textId="32705B7A" w:rsidR="00866C8B" w:rsidRPr="004B61B0" w:rsidRDefault="00866C8B" w:rsidP="003865B8">
      <w:pPr>
        <w:pStyle w:val="FootnoteText"/>
      </w:pPr>
      <w:r w:rsidRPr="004B61B0">
        <w:rPr>
          <w:rStyle w:val="FootnoteReference"/>
        </w:rPr>
        <w:footnoteRef/>
      </w:r>
      <w:r w:rsidRPr="004B61B0">
        <w:t xml:space="preserve"> A 2013/36/EU irányelv szerinti, a prudenciális felügyeleti hatóságok, a pénzmosás és a terrorizmusfinanszírozás elleni felügyeletet ellátó hatóságok és a pénzügyi információs egységek közötti együttműködésről és információcseréről szóló, hamarosan kiadásra kerülő EBH-iránymutatás 6.1. és 6.3. szakaszában előirányzott intézkedéseket is beleértve.</w:t>
      </w:r>
    </w:p>
  </w:footnote>
  <w:footnote w:id="24">
    <w:p w14:paraId="263642D7" w14:textId="1B721B48" w:rsidR="00866C8B" w:rsidRPr="004B61B0" w:rsidRDefault="00866C8B" w:rsidP="005E484A">
      <w:pPr>
        <w:pStyle w:val="FootnoteText"/>
      </w:pPr>
      <w:r w:rsidRPr="004B61B0">
        <w:rPr>
          <w:rStyle w:val="FootnoteReference"/>
        </w:rPr>
        <w:footnoteRef/>
      </w:r>
      <w:r w:rsidRPr="004B61B0">
        <w:t xml:space="preserve"> A hiányosságok lényegességének meghatározására vonatkozó további részleteket az EBH által az EBH-rendelet 9a. cikke alapján kidolgozott szabályozástechnikai standardok tartalmazzák.</w:t>
      </w:r>
    </w:p>
  </w:footnote>
  <w:footnote w:id="25">
    <w:p w14:paraId="07884EDC" w14:textId="0CEF6F27" w:rsidR="00866C8B" w:rsidRPr="004B61B0" w:rsidRDefault="00866C8B">
      <w:pPr>
        <w:pStyle w:val="FootnoteText"/>
      </w:pPr>
      <w:r w:rsidRPr="004B61B0">
        <w:rPr>
          <w:rStyle w:val="FootnoteReference"/>
        </w:rPr>
        <w:footnoteRef/>
      </w:r>
      <w:r w:rsidRPr="004B61B0">
        <w:t xml:space="preserve"> </w:t>
      </w:r>
      <w:hyperlink r:id="rId13" w:history="1">
        <w:r w:rsidRPr="004B61B0">
          <w:rPr>
            <w:rStyle w:val="Hyperlink"/>
          </w:rPr>
          <w:t>Az EBH iránymutatásai a 2013/36/EU irányelv szerinti, a prudenciális felügyeleti hatóságok, a pénzmosás és a terrorizmusfinanszírozás elleni felügyeletet ellátó hatóságok és a pénzügyi információs egységek közötti együttműködéshez és információcseréhez</w:t>
        </w:r>
      </w:hyperlink>
      <w:r w:rsidRPr="004B61B0">
        <w:t>, 2021. december.</w:t>
      </w:r>
    </w:p>
  </w:footnote>
  <w:footnote w:id="26">
    <w:p w14:paraId="75D24BD6" w14:textId="2EC0CCC4" w:rsidR="00866C8B" w:rsidRPr="004B61B0" w:rsidRDefault="00866C8B">
      <w:pPr>
        <w:pStyle w:val="FootnoteText"/>
      </w:pPr>
      <w:r w:rsidRPr="004B61B0">
        <w:rPr>
          <w:rStyle w:val="FootnoteReference"/>
        </w:rPr>
        <w:footnoteRef/>
      </w:r>
      <w:r w:rsidRPr="004B61B0">
        <w:t xml:space="preserve"> Az EBH iránymutatásai az (EU) 2015/849 irányelv 17. cikke és 18. cikkének (4) bekezdése szerint az ügyfél-átvilágításról, valamint a hitelintézetek és a pénzügyi intézmények által az egyedi üzleti kapcsolatokhoz és az ügyleti megbízásokhoz kapcsolódó pénzmosási és terrorizmusfinanszírozási kockázat értékelése során figyelembe veendő tényezőkről (a továbbiakban: a pénzmosási és terrorizmusfinanszírozási kockázati tényezőkről szóló iránymutatások) </w:t>
      </w:r>
      <w:hyperlink r:id="rId14" w:history="1">
        <w:r w:rsidRPr="004B61B0">
          <w:rPr>
            <w:rStyle w:val="Hyperlink"/>
          </w:rPr>
          <w:t>EBA/GL/2021/02</w:t>
        </w:r>
      </w:hyperlink>
      <w:r w:rsidRPr="004B61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75F4" w14:textId="58C0A147" w:rsidR="00F50532" w:rsidRDefault="00F50532">
    <w:pPr>
      <w:pStyle w:val="Header"/>
    </w:pPr>
    <w:r>
      <w:rPr>
        <w:noProof/>
      </w:rPr>
      <mc:AlternateContent>
        <mc:Choice Requires="wps">
          <w:drawing>
            <wp:anchor distT="0" distB="0" distL="0" distR="0" simplePos="0" relativeHeight="251663872" behindDoc="0" locked="0" layoutInCell="1" allowOverlap="1" wp14:anchorId="70F7F995" wp14:editId="69897746">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6259A" w14:textId="442D4E00"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F7F995"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3D96259A" w14:textId="442D4E00"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1024E620" w:rsidR="00866C8B" w:rsidRPr="004B61B0" w:rsidRDefault="00F50532" w:rsidP="00B95D4B">
    <w:pPr>
      <w:pStyle w:val="Runningtitle"/>
    </w:pPr>
    <w:r>
      <w:rPr>
        <w:noProof/>
      </w:rPr>
      <mc:AlternateContent>
        <mc:Choice Requires="wps">
          <w:drawing>
            <wp:anchor distT="0" distB="0" distL="0" distR="0" simplePos="0" relativeHeight="251664896" behindDoc="0" locked="0" layoutInCell="1" allowOverlap="1" wp14:anchorId="729D0A53" wp14:editId="3516EA1C">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08BA69" w14:textId="4FE4157A"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9D0A53" id="_x0000_t202" coordsize="21600,21600" o:spt="202" path="m,l,21600r21600,l21600,xe">
              <v:stroke joinstyle="miter"/>
              <v:path gradientshapeok="t" o:connecttype="rect"/>
            </v:shapetype>
            <v:shape id="Text Box 13" o:spid="_x0000_s1027" type="#_x0000_t202" alt="EBA Public"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1E08BA69" w14:textId="4FE4157A"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v:textbox>
              <w10:wrap type="square" anchorx="margin"/>
            </v:shape>
          </w:pict>
        </mc:Fallback>
      </mc:AlternateContent>
    </w:r>
    <w:r w:rsidR="00866C8B" w:rsidRPr="004B61B0">
      <w:t>végső jelentés kockázatalapú felügyeletre vonatkozó, az (EU) 2015/849 irányelv 48. cikkének (10) bekezdése szerinti iránymutatásokról</w:t>
    </w:r>
  </w:p>
  <w:p w14:paraId="755C0FF5" w14:textId="32C540FF" w:rsidR="00866C8B" w:rsidRPr="004B61B0" w:rsidRDefault="00866C8B" w:rsidP="004D193D">
    <w:pPr>
      <w:pStyle w:val="Runningtitle"/>
      <w:jc w:val="right"/>
    </w:pPr>
    <w:r w:rsidRPr="004B61B0">
      <w:rPr>
        <w:noProof/>
      </w:rPr>
      <w:drawing>
        <wp:inline distT="0" distB="0" distL="0" distR="0" wp14:anchorId="3D20EA2B" wp14:editId="5D1FD0FA">
          <wp:extent cx="120777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67DD293B" w14:textId="0D8E9A61" w:rsidR="00866C8B" w:rsidRPr="004B61B0" w:rsidRDefault="0086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04D1" w14:textId="56B159CE" w:rsidR="00F50532" w:rsidRDefault="00F50532">
    <w:pPr>
      <w:pStyle w:val="Header"/>
    </w:pPr>
    <w:r>
      <w:rPr>
        <w:noProof/>
      </w:rPr>
      <mc:AlternateContent>
        <mc:Choice Requires="wps">
          <w:drawing>
            <wp:anchor distT="0" distB="0" distL="0" distR="0" simplePos="0" relativeHeight="251662848" behindDoc="0" locked="0" layoutInCell="1" allowOverlap="1" wp14:anchorId="6CCF207B" wp14:editId="16AF82CF">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BD556" w14:textId="56542ABE"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CF207B"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559BD556" w14:textId="56542ABE"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1B8DE194" w:rsidR="00866C8B" w:rsidRPr="004B61B0" w:rsidRDefault="00F50532" w:rsidP="00931807">
    <w:pPr>
      <w:pStyle w:val="Header"/>
    </w:pPr>
    <w:r>
      <w:rPr>
        <w:noProof/>
      </w:rPr>
      <mc:AlternateContent>
        <mc:Choice Requires="wps">
          <w:drawing>
            <wp:anchor distT="0" distB="0" distL="0" distR="0" simplePos="0" relativeHeight="251666944" behindDoc="0" locked="0" layoutInCell="1" allowOverlap="1" wp14:anchorId="2D13B4A5" wp14:editId="01893B1A">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8F3EDD" w14:textId="3A6B6F70"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13B4A5"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488F3EDD" w14:textId="3A6B6F70"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7010262C" w:rsidR="00866C8B" w:rsidRPr="004B61B0" w:rsidRDefault="00F50532" w:rsidP="00B95D4B">
    <w:pPr>
      <w:pStyle w:val="Runningtitle"/>
    </w:pPr>
    <w:r>
      <w:rPr>
        <w:noProof/>
      </w:rPr>
      <mc:AlternateContent>
        <mc:Choice Requires="wps">
          <w:drawing>
            <wp:anchor distT="0" distB="0" distL="0" distR="0" simplePos="0" relativeHeight="251667968" behindDoc="0" locked="0" layoutInCell="1" allowOverlap="1" wp14:anchorId="3695689F" wp14:editId="053504DB">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519F2" w14:textId="7AD11E12"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95689F" id="_x0000_t202" coordsize="21600,21600" o:spt="202" path="m,l,21600r21600,l21600,xe">
              <v:stroke joinstyle="miter"/>
              <v:path gradientshapeok="t" o:connecttype="rect"/>
            </v:shapetype>
            <v:shape id="Text Box 16" o:spid="_x0000_s1030" type="#_x0000_t202" alt="EBA Public"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2B5519F2" w14:textId="7AD11E12"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v:textbox>
              <w10:wrap type="square" anchorx="margin"/>
            </v:shape>
          </w:pict>
        </mc:Fallback>
      </mc:AlternateContent>
    </w:r>
    <w:r w:rsidR="00866C8B" w:rsidRPr="004B61B0">
      <w:t>végső jelentés kockázatalapú felügyeletre vonatkozó, az (EU) 2015/849 irányelv 48. cikkének (10) bekezdése szerinti iránymutatásokról</w:t>
    </w:r>
  </w:p>
  <w:p w14:paraId="7A444760" w14:textId="77777777" w:rsidR="00866C8B" w:rsidRPr="004B61B0" w:rsidRDefault="00866C8B" w:rsidP="00224D96">
    <w:pPr>
      <w:pStyle w:val="Runningtitle"/>
    </w:pPr>
  </w:p>
  <w:p w14:paraId="287319B3" w14:textId="77777777" w:rsidR="00866C8B" w:rsidRPr="004B61B0" w:rsidRDefault="00866C8B">
    <w:pPr>
      <w:pStyle w:val="Header"/>
    </w:pPr>
    <w:r w:rsidRPr="004B61B0">
      <w:rPr>
        <w:noProof/>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p>
  <w:p w14:paraId="62ADAA30" w14:textId="77777777" w:rsidR="00866C8B" w:rsidRPr="004B61B0" w:rsidRDefault="00866C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280B57A9" w:rsidR="00866C8B" w:rsidRPr="004B61B0" w:rsidRDefault="00F50532" w:rsidP="00E677EF">
    <w:pPr>
      <w:pStyle w:val="Runningtitle"/>
    </w:pPr>
    <w:r>
      <w:rPr>
        <w:noProof/>
      </w:rPr>
      <mc:AlternateContent>
        <mc:Choice Requires="wps">
          <w:drawing>
            <wp:anchor distT="0" distB="0" distL="0" distR="0" simplePos="0" relativeHeight="251665920" behindDoc="0" locked="0" layoutInCell="1" allowOverlap="1" wp14:anchorId="562EB19B" wp14:editId="4E68EC4A">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72502" w14:textId="06F3678A"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2EB19B"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04172502" w14:textId="06F3678A" w:rsidR="00F50532" w:rsidRPr="00F50532" w:rsidRDefault="00F50532">
                    <w:pPr>
                      <w:rPr>
                        <w:rFonts w:ascii="Calibri" w:eastAsia="Calibri" w:hAnsi="Calibri" w:cs="Calibri"/>
                        <w:color w:val="000000"/>
                        <w:sz w:val="24"/>
                      </w:rPr>
                    </w:pPr>
                    <w:r w:rsidRPr="00F50532">
                      <w:rPr>
                        <w:rFonts w:ascii="Calibri" w:eastAsia="Calibri" w:hAnsi="Calibri" w:cs="Calibri"/>
                        <w:color w:val="000000"/>
                        <w:sz w:val="24"/>
                      </w:rPr>
                      <w:t>EBA Public</w:t>
                    </w:r>
                  </w:p>
                </w:txbxContent>
              </v:textbox>
              <w10:wrap type="square" anchorx="margin"/>
            </v:shape>
          </w:pict>
        </mc:Fallback>
      </mc:AlternateContent>
    </w:r>
    <w:r w:rsidR="00866C8B" w:rsidRPr="004B61B0">
      <w:t>fejléc beillesztése fejlécstílusban</w:t>
    </w:r>
    <w:r w:rsidR="00866C8B" w:rsidRPr="004B61B0">
      <w:rPr>
        <w:noProof/>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F8215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1B442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1"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0" w15:restartNumberingAfterBreak="0">
    <w:nsid w:val="29F02638"/>
    <w:multiLevelType w:val="hybridMultilevel"/>
    <w:tmpl w:val="017ADE0E"/>
    <w:lvl w:ilvl="0" w:tplc="1504B9BE">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2"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3"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2B3464"/>
    <w:multiLevelType w:val="multilevel"/>
    <w:tmpl w:val="8D706990"/>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6"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6B35E5"/>
    <w:multiLevelType w:val="hybridMultilevel"/>
    <w:tmpl w:val="AD6A5C0C"/>
    <w:lvl w:ilvl="0" w:tplc="A10CBF48">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7" w15:restartNumberingAfterBreak="0">
    <w:nsid w:val="72B015BF"/>
    <w:multiLevelType w:val="multilevel"/>
    <w:tmpl w:val="F53A7516"/>
    <w:styleLink w:val="LFO6"/>
    <w:lvl w:ilvl="0">
      <w:numFmt w:val="bullet"/>
      <w:lvlText w:val=""/>
      <w:lvlJc w:val="left"/>
      <w:pPr>
        <w:ind w:left="680" w:hanging="68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1"/>
  </w:num>
  <w:num w:numId="2">
    <w:abstractNumId w:val="3"/>
  </w:num>
  <w:num w:numId="3">
    <w:abstractNumId w:val="32"/>
  </w:num>
  <w:num w:numId="4">
    <w:abstractNumId w:val="40"/>
  </w:num>
  <w:num w:numId="5">
    <w:abstractNumId w:val="75"/>
  </w:num>
  <w:num w:numId="6">
    <w:abstractNumId w:val="1"/>
  </w:num>
  <w:num w:numId="7">
    <w:abstractNumId w:val="73"/>
  </w:num>
  <w:num w:numId="8">
    <w:abstractNumId w:val="59"/>
  </w:num>
  <w:num w:numId="9">
    <w:abstractNumId w:val="0"/>
  </w:num>
  <w:num w:numId="10">
    <w:abstractNumId w:val="84"/>
  </w:num>
  <w:num w:numId="11">
    <w:abstractNumId w:val="31"/>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3"/>
  </w:num>
  <w:num w:numId="15">
    <w:abstractNumId w:val="49"/>
  </w:num>
  <w:num w:numId="16">
    <w:abstractNumId w:val="35"/>
  </w:num>
  <w:num w:numId="17">
    <w:abstractNumId w:val="10"/>
  </w:num>
  <w:num w:numId="18">
    <w:abstractNumId w:val="68"/>
  </w:num>
  <w:num w:numId="19">
    <w:abstractNumId w:val="15"/>
  </w:num>
  <w:num w:numId="20">
    <w:abstractNumId w:val="17"/>
  </w:num>
  <w:num w:numId="21">
    <w:abstractNumId w:val="46"/>
  </w:num>
  <w:num w:numId="22">
    <w:abstractNumId w:val="4"/>
  </w:num>
  <w:num w:numId="23">
    <w:abstractNumId w:val="50"/>
  </w:num>
  <w:num w:numId="24">
    <w:abstractNumId w:val="24"/>
  </w:num>
  <w:num w:numId="25">
    <w:abstractNumId w:val="72"/>
  </w:num>
  <w:num w:numId="26">
    <w:abstractNumId w:val="40"/>
    <w:lvlOverride w:ilvl="0">
      <w:startOverride w:val="1"/>
    </w:lvlOverride>
  </w:num>
  <w:num w:numId="27">
    <w:abstractNumId w:val="40"/>
    <w:lvlOverride w:ilvl="0">
      <w:startOverride w:val="1"/>
    </w:lvlOverride>
  </w:num>
  <w:num w:numId="28">
    <w:abstractNumId w:val="54"/>
  </w:num>
  <w:num w:numId="29">
    <w:abstractNumId w:val="85"/>
  </w:num>
  <w:num w:numId="30">
    <w:abstractNumId w:val="66"/>
  </w:num>
  <w:num w:numId="31">
    <w:abstractNumId w:val="18"/>
  </w:num>
  <w:num w:numId="32">
    <w:abstractNumId w:val="33"/>
  </w:num>
  <w:num w:numId="33">
    <w:abstractNumId w:val="78"/>
  </w:num>
  <w:num w:numId="34">
    <w:abstractNumId w:val="81"/>
  </w:num>
  <w:num w:numId="35">
    <w:abstractNumId w:val="44"/>
  </w:num>
  <w:num w:numId="36">
    <w:abstractNumId w:val="87"/>
  </w:num>
  <w:num w:numId="37">
    <w:abstractNumId w:val="16"/>
  </w:num>
  <w:num w:numId="38">
    <w:abstractNumId w:val="60"/>
  </w:num>
  <w:num w:numId="39">
    <w:abstractNumId w:val="70"/>
  </w:num>
  <w:num w:numId="40">
    <w:abstractNumId w:val="63"/>
  </w:num>
  <w:num w:numId="41">
    <w:abstractNumId w:val="42"/>
  </w:num>
  <w:num w:numId="42">
    <w:abstractNumId w:val="55"/>
  </w:num>
  <w:num w:numId="43">
    <w:abstractNumId w:val="23"/>
  </w:num>
  <w:num w:numId="44">
    <w:abstractNumId w:val="48"/>
  </w:num>
  <w:num w:numId="45">
    <w:abstractNumId w:val="79"/>
  </w:num>
  <w:num w:numId="46">
    <w:abstractNumId w:val="53"/>
  </w:num>
  <w:num w:numId="47">
    <w:abstractNumId w:val="82"/>
  </w:num>
  <w:num w:numId="48">
    <w:abstractNumId w:val="37"/>
  </w:num>
  <w:num w:numId="49">
    <w:abstractNumId w:val="71"/>
  </w:num>
  <w:num w:numId="50">
    <w:abstractNumId w:val="2"/>
  </w:num>
  <w:num w:numId="51">
    <w:abstractNumId w:val="39"/>
  </w:num>
  <w:num w:numId="52">
    <w:abstractNumId w:val="73"/>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3">
    <w:abstractNumId w:val="12"/>
  </w:num>
  <w:num w:numId="54">
    <w:abstractNumId w:val="69"/>
  </w:num>
  <w:num w:numId="55">
    <w:abstractNumId w:val="14"/>
  </w:num>
  <w:num w:numId="56">
    <w:abstractNumId w:val="34"/>
  </w:num>
  <w:num w:numId="57">
    <w:abstractNumId w:val="40"/>
    <w:lvlOverride w:ilvl="0">
      <w:startOverride w:val="1"/>
    </w:lvlOverride>
  </w:num>
  <w:num w:numId="58">
    <w:abstractNumId w:val="58"/>
  </w:num>
  <w:num w:numId="59">
    <w:abstractNumId w:val="25"/>
  </w:num>
  <w:num w:numId="60">
    <w:abstractNumId w:val="80"/>
  </w:num>
  <w:num w:numId="61">
    <w:abstractNumId w:val="74"/>
    <w:lvlOverride w:ilvl="0">
      <w:startOverride w:val="1"/>
    </w:lvlOverride>
  </w:num>
  <w:num w:numId="62">
    <w:abstractNumId w:val="86"/>
  </w:num>
  <w:num w:numId="63">
    <w:abstractNumId w:val="47"/>
  </w:num>
  <w:num w:numId="64">
    <w:abstractNumId w:val="62"/>
  </w:num>
  <w:num w:numId="65">
    <w:abstractNumId w:val="7"/>
  </w:num>
  <w:num w:numId="66">
    <w:abstractNumId w:val="20"/>
    <w:lvlOverride w:ilvl="0">
      <w:startOverride w:val="1"/>
    </w:lvlOverride>
  </w:num>
  <w:num w:numId="67">
    <w:abstractNumId w:val="8"/>
  </w:num>
  <w:num w:numId="68">
    <w:abstractNumId w:val="83"/>
  </w:num>
  <w:num w:numId="69">
    <w:abstractNumId w:val="52"/>
  </w:num>
  <w:num w:numId="70">
    <w:abstractNumId w:val="56"/>
  </w:num>
  <w:num w:numId="71">
    <w:abstractNumId w:val="36"/>
  </w:num>
  <w:num w:numId="72">
    <w:abstractNumId w:val="22"/>
  </w:num>
  <w:num w:numId="73">
    <w:abstractNumId w:val="9"/>
  </w:num>
  <w:num w:numId="74">
    <w:abstractNumId w:val="5"/>
  </w:num>
  <w:num w:numId="75">
    <w:abstractNumId w:val="67"/>
  </w:num>
  <w:num w:numId="76">
    <w:abstractNumId w:val="28"/>
  </w:num>
  <w:num w:numId="77">
    <w:abstractNumId w:val="27"/>
  </w:num>
  <w:num w:numId="78">
    <w:abstractNumId w:val="26"/>
  </w:num>
  <w:num w:numId="79">
    <w:abstractNumId w:val="41"/>
  </w:num>
  <w:num w:numId="80">
    <w:abstractNumId w:val="38"/>
  </w:num>
  <w:num w:numId="81">
    <w:abstractNumId w:val="45"/>
  </w:num>
  <w:num w:numId="82">
    <w:abstractNumId w:val="61"/>
  </w:num>
  <w:num w:numId="83">
    <w:abstractNumId w:val="64"/>
  </w:num>
  <w:num w:numId="84">
    <w:abstractNumId w:val="19"/>
  </w:num>
  <w:num w:numId="85">
    <w:abstractNumId w:val="21"/>
  </w:num>
  <w:num w:numId="86">
    <w:abstractNumId w:val="11"/>
  </w:num>
  <w:num w:numId="87">
    <w:abstractNumId w:val="57"/>
  </w:num>
  <w:num w:numId="88">
    <w:abstractNumId w:val="43"/>
  </w:num>
  <w:num w:numId="89">
    <w:abstractNumId w:val="77"/>
  </w:num>
  <w:num w:numId="90">
    <w:abstractNumId w:val="29"/>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num>
  <w:num w:numId="93">
    <w:abstractNumId w:val="30"/>
  </w:num>
  <w:num w:numId="94">
    <w:abstractNumId w:val="76"/>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21D00"/>
    <w:rsid w:val="000231B7"/>
    <w:rsid w:val="00025FB8"/>
    <w:rsid w:val="00027CA0"/>
    <w:rsid w:val="00030D65"/>
    <w:rsid w:val="000319F9"/>
    <w:rsid w:val="00032BB4"/>
    <w:rsid w:val="00037139"/>
    <w:rsid w:val="00040129"/>
    <w:rsid w:val="000405C9"/>
    <w:rsid w:val="00045C28"/>
    <w:rsid w:val="00051446"/>
    <w:rsid w:val="00054493"/>
    <w:rsid w:val="00055F28"/>
    <w:rsid w:val="00060F40"/>
    <w:rsid w:val="00062830"/>
    <w:rsid w:val="00064B03"/>
    <w:rsid w:val="00064E6E"/>
    <w:rsid w:val="00066E93"/>
    <w:rsid w:val="0006781F"/>
    <w:rsid w:val="00070C8F"/>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A8A"/>
    <w:rsid w:val="000C5BB2"/>
    <w:rsid w:val="000C5DB1"/>
    <w:rsid w:val="000C6E72"/>
    <w:rsid w:val="000C7FD8"/>
    <w:rsid w:val="000D1CEB"/>
    <w:rsid w:val="000D3170"/>
    <w:rsid w:val="000D446C"/>
    <w:rsid w:val="000D6D74"/>
    <w:rsid w:val="000D7A44"/>
    <w:rsid w:val="000D7AD5"/>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1029C"/>
    <w:rsid w:val="0011262B"/>
    <w:rsid w:val="0011421B"/>
    <w:rsid w:val="00114F3E"/>
    <w:rsid w:val="0011517F"/>
    <w:rsid w:val="00115EC2"/>
    <w:rsid w:val="00121BB0"/>
    <w:rsid w:val="0012300A"/>
    <w:rsid w:val="0012338A"/>
    <w:rsid w:val="0012686C"/>
    <w:rsid w:val="0013060C"/>
    <w:rsid w:val="0013090C"/>
    <w:rsid w:val="001315E6"/>
    <w:rsid w:val="00131C5D"/>
    <w:rsid w:val="001354D3"/>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686C"/>
    <w:rsid w:val="001E02B5"/>
    <w:rsid w:val="001E1188"/>
    <w:rsid w:val="001E14A9"/>
    <w:rsid w:val="001E17DC"/>
    <w:rsid w:val="001E1BFB"/>
    <w:rsid w:val="001E3599"/>
    <w:rsid w:val="001E4450"/>
    <w:rsid w:val="001E7CEB"/>
    <w:rsid w:val="001F1CB9"/>
    <w:rsid w:val="001F5455"/>
    <w:rsid w:val="001F7501"/>
    <w:rsid w:val="00203504"/>
    <w:rsid w:val="00204D15"/>
    <w:rsid w:val="002052D3"/>
    <w:rsid w:val="00205878"/>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4F64"/>
    <w:rsid w:val="00250098"/>
    <w:rsid w:val="00254CA9"/>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40"/>
    <w:rsid w:val="002C5467"/>
    <w:rsid w:val="002C75CD"/>
    <w:rsid w:val="002D1867"/>
    <w:rsid w:val="002D295E"/>
    <w:rsid w:val="002D5247"/>
    <w:rsid w:val="002D78EC"/>
    <w:rsid w:val="002E4A9C"/>
    <w:rsid w:val="002F003B"/>
    <w:rsid w:val="002F2009"/>
    <w:rsid w:val="002F2A06"/>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2F0"/>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3572"/>
    <w:rsid w:val="003B44C6"/>
    <w:rsid w:val="003C0268"/>
    <w:rsid w:val="003C1707"/>
    <w:rsid w:val="003C60DD"/>
    <w:rsid w:val="003C7923"/>
    <w:rsid w:val="003D45EA"/>
    <w:rsid w:val="003D52A9"/>
    <w:rsid w:val="003D63BC"/>
    <w:rsid w:val="003D7471"/>
    <w:rsid w:val="003D7588"/>
    <w:rsid w:val="003D7A72"/>
    <w:rsid w:val="003D7CBD"/>
    <w:rsid w:val="003E228C"/>
    <w:rsid w:val="003E318D"/>
    <w:rsid w:val="003E75C1"/>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40E7"/>
    <w:rsid w:val="004A432F"/>
    <w:rsid w:val="004A571D"/>
    <w:rsid w:val="004A5D8B"/>
    <w:rsid w:val="004B02B1"/>
    <w:rsid w:val="004B2FC0"/>
    <w:rsid w:val="004B5F94"/>
    <w:rsid w:val="004B61B0"/>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D089E"/>
    <w:rsid w:val="005D3CD2"/>
    <w:rsid w:val="005D4005"/>
    <w:rsid w:val="005D40D1"/>
    <w:rsid w:val="005D4FB4"/>
    <w:rsid w:val="005E00C8"/>
    <w:rsid w:val="005E0590"/>
    <w:rsid w:val="005E0EFF"/>
    <w:rsid w:val="005E3D12"/>
    <w:rsid w:val="005E484A"/>
    <w:rsid w:val="005F08C3"/>
    <w:rsid w:val="005F1F68"/>
    <w:rsid w:val="005F209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90A91"/>
    <w:rsid w:val="006922BD"/>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562E"/>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7C4"/>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821"/>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753E"/>
    <w:rsid w:val="008501B0"/>
    <w:rsid w:val="008552A0"/>
    <w:rsid w:val="00857E87"/>
    <w:rsid w:val="00860C0B"/>
    <w:rsid w:val="008633CF"/>
    <w:rsid w:val="00863D01"/>
    <w:rsid w:val="0086423A"/>
    <w:rsid w:val="00865043"/>
    <w:rsid w:val="00865492"/>
    <w:rsid w:val="00866C8B"/>
    <w:rsid w:val="00867CB4"/>
    <w:rsid w:val="008708AB"/>
    <w:rsid w:val="00872E8A"/>
    <w:rsid w:val="00874ED5"/>
    <w:rsid w:val="00875731"/>
    <w:rsid w:val="008761B3"/>
    <w:rsid w:val="00876E2E"/>
    <w:rsid w:val="00880C5B"/>
    <w:rsid w:val="00884CF0"/>
    <w:rsid w:val="0088724C"/>
    <w:rsid w:val="00890721"/>
    <w:rsid w:val="00892D3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59A6"/>
    <w:rsid w:val="008F03E4"/>
    <w:rsid w:val="008F3908"/>
    <w:rsid w:val="008F402E"/>
    <w:rsid w:val="008F585D"/>
    <w:rsid w:val="008F5E14"/>
    <w:rsid w:val="008F6916"/>
    <w:rsid w:val="009014B6"/>
    <w:rsid w:val="0090371F"/>
    <w:rsid w:val="00905139"/>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2DF"/>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AB6"/>
    <w:rsid w:val="00A87D75"/>
    <w:rsid w:val="00A92440"/>
    <w:rsid w:val="00A94C7F"/>
    <w:rsid w:val="00A95878"/>
    <w:rsid w:val="00A963B1"/>
    <w:rsid w:val="00A967C1"/>
    <w:rsid w:val="00AA08AE"/>
    <w:rsid w:val="00AA0A5D"/>
    <w:rsid w:val="00AA3E04"/>
    <w:rsid w:val="00AA4D84"/>
    <w:rsid w:val="00AB0064"/>
    <w:rsid w:val="00AB03CB"/>
    <w:rsid w:val="00AB104D"/>
    <w:rsid w:val="00AB2435"/>
    <w:rsid w:val="00AB2476"/>
    <w:rsid w:val="00AB573C"/>
    <w:rsid w:val="00AC0AD5"/>
    <w:rsid w:val="00AC2195"/>
    <w:rsid w:val="00AC67D4"/>
    <w:rsid w:val="00AD0C73"/>
    <w:rsid w:val="00AD2796"/>
    <w:rsid w:val="00AD331C"/>
    <w:rsid w:val="00AD5707"/>
    <w:rsid w:val="00AD6904"/>
    <w:rsid w:val="00AD7DAA"/>
    <w:rsid w:val="00AE1A2D"/>
    <w:rsid w:val="00AE440A"/>
    <w:rsid w:val="00AE5347"/>
    <w:rsid w:val="00AE55F6"/>
    <w:rsid w:val="00AE56DB"/>
    <w:rsid w:val="00AE7416"/>
    <w:rsid w:val="00AE74CE"/>
    <w:rsid w:val="00AF3AE7"/>
    <w:rsid w:val="00AF4CBA"/>
    <w:rsid w:val="00AF4D13"/>
    <w:rsid w:val="00AF6D89"/>
    <w:rsid w:val="00B00F5D"/>
    <w:rsid w:val="00B0149F"/>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476"/>
    <w:rsid w:val="00B83D9D"/>
    <w:rsid w:val="00B84529"/>
    <w:rsid w:val="00B85E09"/>
    <w:rsid w:val="00B87162"/>
    <w:rsid w:val="00B9235A"/>
    <w:rsid w:val="00B948C7"/>
    <w:rsid w:val="00B95D4B"/>
    <w:rsid w:val="00B96F7F"/>
    <w:rsid w:val="00BA26A9"/>
    <w:rsid w:val="00BA45A4"/>
    <w:rsid w:val="00BA4C73"/>
    <w:rsid w:val="00BA59FB"/>
    <w:rsid w:val="00BA6CE8"/>
    <w:rsid w:val="00BB1776"/>
    <w:rsid w:val="00BB2111"/>
    <w:rsid w:val="00BB301F"/>
    <w:rsid w:val="00BB3BD9"/>
    <w:rsid w:val="00BB5219"/>
    <w:rsid w:val="00BB5778"/>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21A"/>
    <w:rsid w:val="00C02F61"/>
    <w:rsid w:val="00C03A0B"/>
    <w:rsid w:val="00C03AE7"/>
    <w:rsid w:val="00C03AF6"/>
    <w:rsid w:val="00C040ED"/>
    <w:rsid w:val="00C05D9D"/>
    <w:rsid w:val="00C11BBE"/>
    <w:rsid w:val="00C128F3"/>
    <w:rsid w:val="00C12FA8"/>
    <w:rsid w:val="00C133CA"/>
    <w:rsid w:val="00C14ECF"/>
    <w:rsid w:val="00C14F20"/>
    <w:rsid w:val="00C15412"/>
    <w:rsid w:val="00C16073"/>
    <w:rsid w:val="00C176E9"/>
    <w:rsid w:val="00C17DE2"/>
    <w:rsid w:val="00C20D6C"/>
    <w:rsid w:val="00C22C06"/>
    <w:rsid w:val="00C23937"/>
    <w:rsid w:val="00C255AC"/>
    <w:rsid w:val="00C306B0"/>
    <w:rsid w:val="00C3237B"/>
    <w:rsid w:val="00C3265F"/>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13A0"/>
    <w:rsid w:val="00C93791"/>
    <w:rsid w:val="00C93B1A"/>
    <w:rsid w:val="00C9594D"/>
    <w:rsid w:val="00C964B8"/>
    <w:rsid w:val="00C97939"/>
    <w:rsid w:val="00CA221B"/>
    <w:rsid w:val="00CA3D2E"/>
    <w:rsid w:val="00CA689B"/>
    <w:rsid w:val="00CA7C86"/>
    <w:rsid w:val="00CB0E86"/>
    <w:rsid w:val="00CB2453"/>
    <w:rsid w:val="00CB2B9E"/>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B1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1579"/>
    <w:rsid w:val="00DB1F29"/>
    <w:rsid w:val="00DB32D1"/>
    <w:rsid w:val="00DB3747"/>
    <w:rsid w:val="00DB4809"/>
    <w:rsid w:val="00DB52B4"/>
    <w:rsid w:val="00DB5E8F"/>
    <w:rsid w:val="00DB6888"/>
    <w:rsid w:val="00DC0167"/>
    <w:rsid w:val="00DC173F"/>
    <w:rsid w:val="00DC3E99"/>
    <w:rsid w:val="00DC6B47"/>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7517"/>
    <w:rsid w:val="00DF7E24"/>
    <w:rsid w:val="00E009C7"/>
    <w:rsid w:val="00E03331"/>
    <w:rsid w:val="00E04030"/>
    <w:rsid w:val="00E044D6"/>
    <w:rsid w:val="00E05632"/>
    <w:rsid w:val="00E05A57"/>
    <w:rsid w:val="00E06825"/>
    <w:rsid w:val="00E07F1C"/>
    <w:rsid w:val="00E12C5D"/>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EF3"/>
    <w:rsid w:val="00E61FD7"/>
    <w:rsid w:val="00E62DB8"/>
    <w:rsid w:val="00E670AE"/>
    <w:rsid w:val="00E677EF"/>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153A"/>
    <w:rsid w:val="00EB2C5B"/>
    <w:rsid w:val="00EB4C88"/>
    <w:rsid w:val="00EC0572"/>
    <w:rsid w:val="00EC0C41"/>
    <w:rsid w:val="00EC11F0"/>
    <w:rsid w:val="00EC1594"/>
    <w:rsid w:val="00EC43FD"/>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2AE4"/>
    <w:rsid w:val="00EE3501"/>
    <w:rsid w:val="00EE353A"/>
    <w:rsid w:val="00EE377E"/>
    <w:rsid w:val="00EE43D4"/>
    <w:rsid w:val="00EE456B"/>
    <w:rsid w:val="00EF0D30"/>
    <w:rsid w:val="00EF35BF"/>
    <w:rsid w:val="00EF58B5"/>
    <w:rsid w:val="00F00C37"/>
    <w:rsid w:val="00F0177D"/>
    <w:rsid w:val="00F032B7"/>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41CD"/>
    <w:rsid w:val="00F45FF6"/>
    <w:rsid w:val="00F462CE"/>
    <w:rsid w:val="00F465E9"/>
    <w:rsid w:val="00F4748D"/>
    <w:rsid w:val="00F50532"/>
    <w:rsid w:val="00F51C4E"/>
    <w:rsid w:val="00F51E8D"/>
    <w:rsid w:val="00F522CA"/>
    <w:rsid w:val="00F52628"/>
    <w:rsid w:val="00F5382E"/>
    <w:rsid w:val="00F55DF4"/>
    <w:rsid w:val="00F562E9"/>
    <w:rsid w:val="00F606E3"/>
    <w:rsid w:val="00F612B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4D0B"/>
    <w:rsid w:val="00FB7206"/>
    <w:rsid w:val="00FC157A"/>
    <w:rsid w:val="00FC1D72"/>
    <w:rsid w:val="00FC3345"/>
    <w:rsid w:val="00FC3D4E"/>
    <w:rsid w:val="00FC5E4A"/>
    <w:rsid w:val="00FC7B13"/>
    <w:rsid w:val="00FD06BF"/>
    <w:rsid w:val="00FD2DA9"/>
    <w:rsid w:val="00FD5BCB"/>
    <w:rsid w:val="00FD71DF"/>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uiPriority w:val="8"/>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hu-HU"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hu-HU"/>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hu-HU"/>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1"/>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2"/>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3"/>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4"/>
      </w:numPr>
      <w:ind w:left="567" w:hanging="567"/>
    </w:pPr>
  </w:style>
  <w:style w:type="paragraph" w:customStyle="1" w:styleId="Level3EBAstylenumberedparagraph">
    <w:name w:val="Level 3 EBA style numbered paragraph"/>
    <w:basedOn w:val="Level2EBAstylenumberedparagraph"/>
    <w:qFormat/>
    <w:rsid w:val="00EC596C"/>
    <w:pPr>
      <w:numPr>
        <w:numId w:val="65"/>
      </w:numPr>
    </w:pPr>
  </w:style>
  <w:style w:type="paragraph" w:customStyle="1" w:styleId="Level4EBAstylenumberedparagraph">
    <w:name w:val="Level 4 EBA style numbered paragraph"/>
    <w:basedOn w:val="Level3EBAstylenumberedparagraph"/>
    <w:qFormat/>
    <w:rsid w:val="00EC596C"/>
    <w:pPr>
      <w:numPr>
        <w:numId w:val="66"/>
      </w:numPr>
    </w:pPr>
  </w:style>
  <w:style w:type="paragraph" w:customStyle="1" w:styleId="Level1EBAstylenumberedparagraphGL2">
    <w:name w:val="Level 1 EBA style numbered paragraph GL2"/>
    <w:basedOn w:val="Level1EBAstylenumberedparagraphGL1"/>
    <w:qFormat/>
    <w:rsid w:val="00EC596C"/>
    <w:pPr>
      <w:numPr>
        <w:numId w:val="67"/>
      </w:numPr>
    </w:pPr>
  </w:style>
  <w:style w:type="paragraph" w:customStyle="1" w:styleId="Level1EBAstylenumberedparagraphGL3">
    <w:name w:val="Level 1 EBA style numbered paragraph GL3"/>
    <w:basedOn w:val="Level1EBAstylenumberedparagraphGL2"/>
    <w:qFormat/>
    <w:rsid w:val="00EC596C"/>
    <w:pPr>
      <w:numPr>
        <w:numId w:val="68"/>
      </w:numPr>
      <w:ind w:left="567" w:hanging="567"/>
    </w:pPr>
  </w:style>
  <w:style w:type="paragraph" w:customStyle="1" w:styleId="Level1EBAstylenumberedparagraphGL4">
    <w:name w:val="Level 1 EBA style numbered paragraph GL4"/>
    <w:basedOn w:val="Level1EBAstylenumberedparagraphGL3"/>
    <w:qFormat/>
    <w:rsid w:val="00EC596C"/>
    <w:pPr>
      <w:numPr>
        <w:numId w:val="69"/>
      </w:numPr>
    </w:pPr>
  </w:style>
  <w:style w:type="paragraph" w:customStyle="1" w:styleId="Level1EBAstylenumberedparagraphGL5">
    <w:name w:val="Level 1 EBA style numbered paragraph GL5"/>
    <w:basedOn w:val="Level1EBAstylenumberedparagraphGL4"/>
    <w:qFormat/>
    <w:rsid w:val="00EC596C"/>
    <w:pPr>
      <w:numPr>
        <w:numId w:val="70"/>
      </w:numPr>
      <w:ind w:left="567" w:hanging="567"/>
    </w:pPr>
  </w:style>
  <w:style w:type="paragraph" w:customStyle="1" w:styleId="Level1EBAstylenumberedparagraphGL6">
    <w:name w:val="Level 1 EBA style numbered paragraph GL6"/>
    <w:basedOn w:val="Level1EBAstylenumberedparagraphGL5"/>
    <w:qFormat/>
    <w:rsid w:val="00EC596C"/>
    <w:pPr>
      <w:numPr>
        <w:numId w:val="71"/>
      </w:numPr>
      <w:ind w:left="567" w:hanging="567"/>
    </w:pPr>
  </w:style>
  <w:style w:type="paragraph" w:customStyle="1" w:styleId="Level1EBAstylenumberedparagraphGL7">
    <w:name w:val="Level 1 EBA style numbered paragraph GL7"/>
    <w:basedOn w:val="Level1EBAstylenumberedparagraphGL6"/>
    <w:qFormat/>
    <w:rsid w:val="00EC596C"/>
    <w:pPr>
      <w:numPr>
        <w:numId w:val="72"/>
      </w:numPr>
      <w:ind w:left="567" w:hanging="567"/>
    </w:pPr>
  </w:style>
  <w:style w:type="paragraph" w:customStyle="1" w:styleId="Level1EBAstylenumberedparagraphGL8">
    <w:name w:val="Level 1 EBA style numbered paragraph GL8"/>
    <w:basedOn w:val="Level1EBAstylenumberedparagraphGL7"/>
    <w:qFormat/>
    <w:rsid w:val="00EC596C"/>
    <w:pPr>
      <w:numPr>
        <w:numId w:val="73"/>
      </w:numPr>
      <w:ind w:left="567" w:hanging="567"/>
    </w:pPr>
  </w:style>
  <w:style w:type="paragraph" w:customStyle="1" w:styleId="Level1EBAstylenumberedparagraphGL9">
    <w:name w:val="Level 1 EBA style numbered paragraph GL9"/>
    <w:basedOn w:val="Level1EBAstylenumberedparagraphGL8"/>
    <w:qFormat/>
    <w:rsid w:val="00EC596C"/>
    <w:pPr>
      <w:numPr>
        <w:numId w:val="74"/>
      </w:numPr>
    </w:pPr>
  </w:style>
  <w:style w:type="paragraph" w:customStyle="1" w:styleId="Level1EBAstylenumberedparagraphGL10">
    <w:name w:val="Level 1 EBA style numbered paragraph GL10"/>
    <w:basedOn w:val="Level1EBAstylenumberedparagraphGL1"/>
    <w:qFormat/>
    <w:rsid w:val="00EC596C"/>
    <w:pPr>
      <w:numPr>
        <w:numId w:val="75"/>
      </w:numPr>
      <w:ind w:left="567" w:hanging="567"/>
    </w:pPr>
  </w:style>
  <w:style w:type="paragraph" w:customStyle="1" w:styleId="Level1EBAstylenumberedparagraphGL11">
    <w:name w:val="Level 1 EBA style numbered paragraph GL11"/>
    <w:basedOn w:val="Level1EBAstylenumberedparagraphGL1"/>
    <w:qFormat/>
    <w:rsid w:val="00EC596C"/>
    <w:pPr>
      <w:numPr>
        <w:numId w:val="76"/>
      </w:numPr>
      <w:ind w:left="567" w:hanging="567"/>
    </w:pPr>
  </w:style>
  <w:style w:type="paragraph" w:customStyle="1" w:styleId="Level1EBAstylenumberedparagraphGL12">
    <w:name w:val="Level 1 EBA style numbered paragraph GL12"/>
    <w:basedOn w:val="Level1EBAstylenumberedparagraphGL1"/>
    <w:qFormat/>
    <w:rsid w:val="00EC596C"/>
    <w:pPr>
      <w:numPr>
        <w:numId w:val="77"/>
      </w:numPr>
      <w:ind w:left="567" w:hanging="567"/>
    </w:pPr>
  </w:style>
  <w:style w:type="paragraph" w:customStyle="1" w:styleId="Level1EBAstylenumberedparagraphGL13">
    <w:name w:val="Level 1 EBA style numbered paragraph GL13"/>
    <w:basedOn w:val="Level1EBAstylenumberedparagraphGL1"/>
    <w:qFormat/>
    <w:rsid w:val="00EC596C"/>
    <w:pPr>
      <w:numPr>
        <w:numId w:val="78"/>
      </w:numPr>
      <w:ind w:left="567" w:hanging="567"/>
    </w:pPr>
  </w:style>
  <w:style w:type="paragraph" w:customStyle="1" w:styleId="Level1EBAstylenumberedparagraphGL14">
    <w:name w:val="Level 1 EBA style numbered paragraph GL14"/>
    <w:basedOn w:val="Level1EBAstylenumberedparagraphGL1"/>
    <w:qFormat/>
    <w:rsid w:val="00EC596C"/>
    <w:pPr>
      <w:numPr>
        <w:numId w:val="79"/>
      </w:numPr>
      <w:ind w:left="567" w:hanging="567"/>
    </w:pPr>
  </w:style>
  <w:style w:type="paragraph" w:customStyle="1" w:styleId="Level1EBAstylenumberedparagraphGL15">
    <w:name w:val="Level 1 EBA style numbered paragraph GL15"/>
    <w:basedOn w:val="Level1EBAstylenumberedparagraphGL1"/>
    <w:qFormat/>
    <w:rsid w:val="00EC596C"/>
    <w:pPr>
      <w:numPr>
        <w:numId w:val="80"/>
      </w:numPr>
    </w:pPr>
  </w:style>
  <w:style w:type="paragraph" w:customStyle="1" w:styleId="Level1EBAstylenumberedparagraphGL16">
    <w:name w:val="Level 1 EBA style numbered paragraph GL16"/>
    <w:basedOn w:val="Level1EBAstylenumberedparagraphGL1"/>
    <w:qFormat/>
    <w:rsid w:val="00EC596C"/>
    <w:pPr>
      <w:numPr>
        <w:numId w:val="81"/>
      </w:numPr>
      <w:ind w:left="567" w:hanging="567"/>
    </w:pPr>
  </w:style>
  <w:style w:type="paragraph" w:customStyle="1" w:styleId="Level1EBAstylenumberedparagraphGL17">
    <w:name w:val="Level 1 EBA style numbered paragraph GL17"/>
    <w:basedOn w:val="Level1EBAstylenumberedparagraphGL1"/>
    <w:qFormat/>
    <w:rsid w:val="00EC596C"/>
    <w:pPr>
      <w:numPr>
        <w:numId w:val="82"/>
      </w:numPr>
      <w:ind w:left="567" w:hanging="567"/>
    </w:pPr>
  </w:style>
  <w:style w:type="paragraph" w:customStyle="1" w:styleId="Level1EBAstylenumberedparagraphGL18">
    <w:name w:val="Level 1 EBA style numbered paragraph GL18"/>
    <w:basedOn w:val="Level1EBAstylenumberedparagraphGL1"/>
    <w:qFormat/>
    <w:rsid w:val="00EC596C"/>
    <w:pPr>
      <w:numPr>
        <w:numId w:val="83"/>
      </w:numPr>
      <w:ind w:left="567" w:hanging="567"/>
    </w:pPr>
  </w:style>
  <w:style w:type="paragraph" w:customStyle="1" w:styleId="Level1EBAstylenumberedparagraphGL19">
    <w:name w:val="Level 1 EBA style numbered paragraph GL19"/>
    <w:basedOn w:val="Level1EBAstylenumberedparagraphGL1"/>
    <w:qFormat/>
    <w:rsid w:val="00EC596C"/>
    <w:pPr>
      <w:numPr>
        <w:numId w:val="84"/>
      </w:numPr>
      <w:ind w:left="567" w:hanging="567"/>
    </w:pPr>
  </w:style>
  <w:style w:type="paragraph" w:customStyle="1" w:styleId="Level1EBAstylenumberedparagraphGL20">
    <w:name w:val="Level 1 EBA style numbered paragraph GL20"/>
    <w:basedOn w:val="Level1EBAstylenumberedparagraphGL1"/>
    <w:qFormat/>
    <w:rsid w:val="00EC596C"/>
    <w:pPr>
      <w:numPr>
        <w:numId w:val="85"/>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86"/>
      </w:numPr>
    </w:pPr>
  </w:style>
  <w:style w:type="character" w:customStyle="1" w:styleId="Hyperlink0">
    <w:name w:val="Hyperlink.0"/>
    <w:basedOn w:val="DefaultParagraphFont"/>
    <w:rsid w:val="00EC596C"/>
    <w:rPr>
      <w:lang w:val="hu-HU"/>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styleId="UnresolvedMention">
    <w:name w:val="Unresolved Mention"/>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B83476"/>
  </w:style>
  <w:style w:type="numbering" w:customStyle="1" w:styleId="LFO6">
    <w:name w:val="LFO6"/>
    <w:basedOn w:val="NoList"/>
    <w:rsid w:val="0075562E"/>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160120413">
      <w:bodyDiv w:val="1"/>
      <w:marLeft w:val="0"/>
      <w:marRight w:val="0"/>
      <w:marTop w:val="0"/>
      <w:marBottom w:val="0"/>
      <w:divBdr>
        <w:top w:val="none" w:sz="0" w:space="0" w:color="auto"/>
        <w:left w:val="none" w:sz="0" w:space="0" w:color="auto"/>
        <w:bottom w:val="none" w:sz="0" w:space="0" w:color="auto"/>
        <w:right w:val="none" w:sz="0" w:space="0" w:color="auto"/>
      </w:divBdr>
    </w:div>
    <w:div w:id="167839600">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39951521">
      <w:bodyDiv w:val="1"/>
      <w:marLeft w:val="0"/>
      <w:marRight w:val="0"/>
      <w:marTop w:val="0"/>
      <w:marBottom w:val="0"/>
      <w:divBdr>
        <w:top w:val="none" w:sz="0" w:space="0" w:color="auto"/>
        <w:left w:val="none" w:sz="0" w:space="0" w:color="auto"/>
        <w:bottom w:val="none" w:sz="0" w:space="0" w:color="auto"/>
        <w:right w:val="none" w:sz="0" w:space="0" w:color="auto"/>
      </w:divBdr>
    </w:div>
    <w:div w:id="441997885">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546986857">
      <w:bodyDiv w:val="1"/>
      <w:marLeft w:val="0"/>
      <w:marRight w:val="0"/>
      <w:marTop w:val="0"/>
      <w:marBottom w:val="0"/>
      <w:divBdr>
        <w:top w:val="none" w:sz="0" w:space="0" w:color="auto"/>
        <w:left w:val="none" w:sz="0" w:space="0" w:color="auto"/>
        <w:bottom w:val="none" w:sz="0" w:space="0" w:color="auto"/>
        <w:right w:val="none" w:sz="0" w:space="0" w:color="auto"/>
      </w:divBdr>
    </w:div>
    <w:div w:id="567764022">
      <w:bodyDiv w:val="1"/>
      <w:marLeft w:val="0"/>
      <w:marRight w:val="0"/>
      <w:marTop w:val="0"/>
      <w:marBottom w:val="0"/>
      <w:divBdr>
        <w:top w:val="none" w:sz="0" w:space="0" w:color="auto"/>
        <w:left w:val="none" w:sz="0" w:space="0" w:color="auto"/>
        <w:bottom w:val="none" w:sz="0" w:space="0" w:color="auto"/>
        <w:right w:val="none" w:sz="0" w:space="0" w:color="auto"/>
      </w:divBdr>
    </w:div>
    <w:div w:id="595139409">
      <w:bodyDiv w:val="1"/>
      <w:marLeft w:val="0"/>
      <w:marRight w:val="0"/>
      <w:marTop w:val="0"/>
      <w:marBottom w:val="0"/>
      <w:divBdr>
        <w:top w:val="none" w:sz="0" w:space="0" w:color="auto"/>
        <w:left w:val="none" w:sz="0" w:space="0" w:color="auto"/>
        <w:bottom w:val="none" w:sz="0" w:space="0" w:color="auto"/>
        <w:right w:val="none" w:sz="0" w:space="0" w:color="auto"/>
      </w:divBdr>
    </w:div>
    <w:div w:id="613102228">
      <w:bodyDiv w:val="1"/>
      <w:marLeft w:val="0"/>
      <w:marRight w:val="0"/>
      <w:marTop w:val="0"/>
      <w:marBottom w:val="0"/>
      <w:divBdr>
        <w:top w:val="none" w:sz="0" w:space="0" w:color="auto"/>
        <w:left w:val="none" w:sz="0" w:space="0" w:color="auto"/>
        <w:bottom w:val="none" w:sz="0" w:space="0" w:color="auto"/>
        <w:right w:val="none" w:sz="0" w:space="0" w:color="auto"/>
      </w:divBdr>
    </w:div>
    <w:div w:id="695814982">
      <w:bodyDiv w:val="1"/>
      <w:marLeft w:val="0"/>
      <w:marRight w:val="0"/>
      <w:marTop w:val="0"/>
      <w:marBottom w:val="0"/>
      <w:divBdr>
        <w:top w:val="none" w:sz="0" w:space="0" w:color="auto"/>
        <w:left w:val="none" w:sz="0" w:space="0" w:color="auto"/>
        <w:bottom w:val="none" w:sz="0" w:space="0" w:color="auto"/>
        <w:right w:val="none" w:sz="0" w:space="0" w:color="auto"/>
      </w:divBdr>
    </w:div>
    <w:div w:id="699283613">
      <w:bodyDiv w:val="1"/>
      <w:marLeft w:val="0"/>
      <w:marRight w:val="0"/>
      <w:marTop w:val="0"/>
      <w:marBottom w:val="0"/>
      <w:divBdr>
        <w:top w:val="none" w:sz="0" w:space="0" w:color="auto"/>
        <w:left w:val="none" w:sz="0" w:space="0" w:color="auto"/>
        <w:bottom w:val="none" w:sz="0" w:space="0" w:color="auto"/>
        <w:right w:val="none" w:sz="0" w:space="0" w:color="auto"/>
      </w:divBdr>
    </w:div>
    <w:div w:id="760952241">
      <w:bodyDiv w:val="1"/>
      <w:marLeft w:val="0"/>
      <w:marRight w:val="0"/>
      <w:marTop w:val="0"/>
      <w:marBottom w:val="0"/>
      <w:divBdr>
        <w:top w:val="none" w:sz="0" w:space="0" w:color="auto"/>
        <w:left w:val="none" w:sz="0" w:space="0" w:color="auto"/>
        <w:bottom w:val="none" w:sz="0" w:space="0" w:color="auto"/>
        <w:right w:val="none" w:sz="0" w:space="0" w:color="auto"/>
      </w:divBdr>
    </w:div>
    <w:div w:id="838958839">
      <w:bodyDiv w:val="1"/>
      <w:marLeft w:val="0"/>
      <w:marRight w:val="0"/>
      <w:marTop w:val="0"/>
      <w:marBottom w:val="0"/>
      <w:divBdr>
        <w:top w:val="none" w:sz="0" w:space="0" w:color="auto"/>
        <w:left w:val="none" w:sz="0" w:space="0" w:color="auto"/>
        <w:bottom w:val="none" w:sz="0" w:space="0" w:color="auto"/>
        <w:right w:val="none" w:sz="0" w:space="0" w:color="auto"/>
      </w:divBdr>
    </w:div>
    <w:div w:id="912354773">
      <w:bodyDiv w:val="1"/>
      <w:marLeft w:val="0"/>
      <w:marRight w:val="0"/>
      <w:marTop w:val="0"/>
      <w:marBottom w:val="0"/>
      <w:divBdr>
        <w:top w:val="none" w:sz="0" w:space="0" w:color="auto"/>
        <w:left w:val="none" w:sz="0" w:space="0" w:color="auto"/>
        <w:bottom w:val="none" w:sz="0" w:space="0" w:color="auto"/>
        <w:right w:val="none" w:sz="0" w:space="0" w:color="auto"/>
      </w:divBdr>
    </w:div>
    <w:div w:id="922832690">
      <w:bodyDiv w:val="1"/>
      <w:marLeft w:val="0"/>
      <w:marRight w:val="0"/>
      <w:marTop w:val="0"/>
      <w:marBottom w:val="0"/>
      <w:divBdr>
        <w:top w:val="none" w:sz="0" w:space="0" w:color="auto"/>
        <w:left w:val="none" w:sz="0" w:space="0" w:color="auto"/>
        <w:bottom w:val="none" w:sz="0" w:space="0" w:color="auto"/>
        <w:right w:val="none" w:sz="0" w:space="0" w:color="auto"/>
      </w:divBdr>
    </w:div>
    <w:div w:id="969165416">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6732767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24826168">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414468497">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559320184">
      <w:bodyDiv w:val="1"/>
      <w:marLeft w:val="0"/>
      <w:marRight w:val="0"/>
      <w:marTop w:val="0"/>
      <w:marBottom w:val="0"/>
      <w:divBdr>
        <w:top w:val="none" w:sz="0" w:space="0" w:color="auto"/>
        <w:left w:val="none" w:sz="0" w:space="0" w:color="auto"/>
        <w:bottom w:val="none" w:sz="0" w:space="0" w:color="auto"/>
        <w:right w:val="none" w:sz="0" w:space="0" w:color="auto"/>
      </w:divBdr>
    </w:div>
    <w:div w:id="1589925001">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728915697">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748452295">
      <w:bodyDiv w:val="1"/>
      <w:marLeft w:val="0"/>
      <w:marRight w:val="0"/>
      <w:marTop w:val="0"/>
      <w:marBottom w:val="0"/>
      <w:divBdr>
        <w:top w:val="none" w:sz="0" w:space="0" w:color="auto"/>
        <w:left w:val="none" w:sz="0" w:space="0" w:color="auto"/>
        <w:bottom w:val="none" w:sz="0" w:space="0" w:color="auto"/>
        <w:right w:val="none" w:sz="0" w:space="0" w:color="auto"/>
      </w:divBdr>
    </w:div>
    <w:div w:id="1843665706">
      <w:bodyDiv w:val="1"/>
      <w:marLeft w:val="0"/>
      <w:marRight w:val="0"/>
      <w:marTop w:val="0"/>
      <w:marBottom w:val="0"/>
      <w:divBdr>
        <w:top w:val="none" w:sz="0" w:space="0" w:color="auto"/>
        <w:left w:val="none" w:sz="0" w:space="0" w:color="auto"/>
        <w:bottom w:val="none" w:sz="0" w:space="0" w:color="auto"/>
        <w:right w:val="none" w:sz="0" w:space="0" w:color="auto"/>
      </w:divBdr>
    </w:div>
    <w:div w:id="1849445165">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876190578">
      <w:bodyDiv w:val="1"/>
      <w:marLeft w:val="0"/>
      <w:marRight w:val="0"/>
      <w:marTop w:val="0"/>
      <w:marBottom w:val="0"/>
      <w:divBdr>
        <w:top w:val="none" w:sz="0" w:space="0" w:color="auto"/>
        <w:left w:val="none" w:sz="0" w:space="0" w:color="auto"/>
        <w:bottom w:val="none" w:sz="0" w:space="0" w:color="auto"/>
        <w:right w:val="none" w:sz="0" w:space="0" w:color="auto"/>
      </w:divBdr>
    </w:div>
    <w:div w:id="1922324480">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1988783818">
      <w:bodyDiv w:val="1"/>
      <w:marLeft w:val="0"/>
      <w:marRight w:val="0"/>
      <w:marTop w:val="0"/>
      <w:marBottom w:val="0"/>
      <w:divBdr>
        <w:top w:val="none" w:sz="0" w:space="0" w:color="auto"/>
        <w:left w:val="none" w:sz="0" w:space="0" w:color="auto"/>
        <w:bottom w:val="none" w:sz="0" w:space="0" w:color="auto"/>
        <w:right w:val="none" w:sz="0" w:space="0" w:color="auto"/>
      </w:divBdr>
    </w:div>
    <w:div w:id="2012291740">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EDE2-FB87-4486-8DDE-C49179FA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54</Pages>
  <Words>19835</Words>
  <Characters>113060</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9</cp:revision>
  <cp:lastPrinted>2021-12-16T11:00:00Z</cp:lastPrinted>
  <dcterms:created xsi:type="dcterms:W3CDTF">2022-03-28T07:54:00Z</dcterms:created>
  <dcterms:modified xsi:type="dcterms:W3CDTF">2024-04-22T13:16:00Z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b,c,d,e,f,10</vt:lpwstr>
  </property>
  <property fmtid="{D5CDD505-2E9C-101B-9397-08002B2CF9AE}" pid="3" name="ClassificationContentMarkingHeaderFontProps">
    <vt:lpwstr>#000000,12,Calibri</vt:lpwstr>
  </property>
  <property fmtid="{D5CDD505-2E9C-101B-9397-08002B2CF9AE}" pid="4" name="ClassificationContentMarkingHeaderText">
    <vt:lpwstr>EBA Public</vt:lpwstr>
  </property>
  <property fmtid="{D5CDD505-2E9C-101B-9397-08002B2CF9AE}" pid="5" name="MSIP_Label_71689188-9188-43d8-bdb9-0a0de5358646_Enabled">
    <vt:lpwstr>true</vt:lpwstr>
  </property>
  <property fmtid="{D5CDD505-2E9C-101B-9397-08002B2CF9AE}" pid="6" name="MSIP_Label_71689188-9188-43d8-bdb9-0a0de5358646_SetDate">
    <vt:lpwstr>2022-03-28T07:52:44Z</vt:lpwstr>
  </property>
  <property fmtid="{D5CDD505-2E9C-101B-9397-08002B2CF9AE}" pid="7" name="MSIP_Label_71689188-9188-43d8-bdb9-0a0de5358646_Method">
    <vt:lpwstr>Privileged</vt:lpwstr>
  </property>
  <property fmtid="{D5CDD505-2E9C-101B-9397-08002B2CF9AE}" pid="8" name="MSIP_Label_71689188-9188-43d8-bdb9-0a0de5358646_Name">
    <vt:lpwstr>EBA Public</vt:lpwstr>
  </property>
  <property fmtid="{D5CDD505-2E9C-101B-9397-08002B2CF9AE}" pid="9" name="MSIP_Label_71689188-9188-43d8-bdb9-0a0de5358646_SiteId">
    <vt:lpwstr>3bacb4ff-f1a2-4c92-b96c-e99fec826b68</vt:lpwstr>
  </property>
  <property fmtid="{D5CDD505-2E9C-101B-9397-08002B2CF9AE}" pid="10" name="MSIP_Label_71689188-9188-43d8-bdb9-0a0de5358646_ActionId">
    <vt:lpwstr>f4526e11-3cb2-4291-a7e0-2479ffe1b456</vt:lpwstr>
  </property>
  <property fmtid="{D5CDD505-2E9C-101B-9397-08002B2CF9AE}" pid="11" name="MSIP_Label_71689188-9188-43d8-bdb9-0a0de5358646_ContentBits">
    <vt:lpwstr>1</vt:lpwstr>
  </property>
</Properties>
</file>