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8B5A58"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4111"/>
          </w:tblGrid>
          <w:tr w:rsidRPr="008B5A58" w:rsidR="005B3658" w:rsidTr="001C5A56" w14:paraId="3170F2D8" w14:textId="77777777">
            <w:tc>
              <w:tcPr>
                <w:tcW w:w="4111" w:type="dxa"/>
                <w:tcBorders>
                  <w:bottom w:val="single" w:color="A6A6A6" w:themeColor="background1" w:themeShade="A6" w:sz="4" w:space="0"/>
                </w:tcBorders>
                <w:shd w:val="clear" w:color="auto" w:fill="auto"/>
              </w:tcPr>
              <w:p w:rsidRPr="008B5A58" w:rsidR="005B3658" w:rsidP="005B3658" w:rsidRDefault="005B3658" w14:paraId="6AAE07DF" w14:textId="612D13D9">
                <w:r w:rsidRPr="008B5A58">
                  <w:t>EBA/GL/2020/14</w:t>
                </w:r>
                <w:r w:rsidR="001C5A56">
                  <w:t xml:space="preserve"> </w:t>
                </w:r>
                <w:r w:rsidRPr="001C5A56" w:rsidR="001C5A56">
                  <w:t>(konsoliderad version)</w:t>
                </w:r>
              </w:p>
            </w:tc>
          </w:tr>
          <w:tr w:rsidRPr="008B5A58" w:rsidR="005B3658" w:rsidTr="001C5A56" w14:paraId="70F4DBFA" w14:textId="77777777">
            <w:tc>
              <w:tcPr>
                <w:tcW w:w="4111" w:type="dxa"/>
                <w:tcBorders>
                  <w:top w:val="single" w:color="A6A6A6" w:themeColor="background1" w:themeShade="A6" w:sz="4" w:space="0"/>
                  <w:bottom w:val="single" w:color="A6A6A6" w:themeColor="background1" w:themeShade="A6" w:sz="4" w:space="0"/>
                </w:tcBorders>
                <w:shd w:val="clear" w:color="auto" w:fill="auto"/>
              </w:tcPr>
              <w:p w:rsidRPr="008B5A58" w:rsidR="005B3658" w:rsidP="005B3658" w:rsidRDefault="005B3658" w14:paraId="55211379" w14:textId="73FFF2EB">
                <w:r w:rsidRPr="008B5A58">
                  <w:rPr>
                    <w:color w:val="000000"/>
                  </w:rPr>
                  <w:t>4 november 2020</w:t>
                </w:r>
              </w:p>
            </w:tc>
          </w:tr>
        </w:tbl>
        <w:p w:rsidRPr="008B5A58"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8B5A58"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1926C2" w:rsidP="001926C2" w:rsidRDefault="001926C2" w14:paraId="442FF421"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8B5A58" w:rsidR="00B43E07" w:rsidP="00721D07" w:rsidRDefault="00A81586" w14:paraId="6E80AD78" w14:textId="1CA22651">
                <w:pPr>
                  <w:pStyle w:val="Contenttitle"/>
                </w:pPr>
                <w:r w:rsidRPr="008B5A58">
                  <w:t xml:space="preserve">Riktlinjer </w:t>
                </w:r>
              </w:p>
            </w:tc>
          </w:tr>
          <w:tr w:rsidRPr="008B5A58" w:rsidR="00B43E07" w:rsidTr="00993B1E" w14:paraId="15A7E3AC" w14:textId="77777777">
            <w:tc>
              <w:tcPr>
                <w:tcW w:w="8781" w:type="dxa"/>
                <w:tcMar>
                  <w:left w:w="0" w:type="dxa"/>
                  <w:right w:w="0" w:type="dxa"/>
                </w:tcMar>
                <w:vAlign w:val="top"/>
              </w:tcPr>
              <w:p w:rsidRPr="00B749B5" w:rsidR="00B43E07" w:rsidP="00E410F0" w:rsidRDefault="00B43E07" w14:paraId="0720F01B" w14:textId="502EF582">
                <w:pPr>
                  <w:pStyle w:val="Titlelevel4"/>
                  <w:rPr>
                    <w:lang w:val="sv-SE"/>
                  </w:rPr>
                </w:pPr>
                <w:r w:rsidRPr="00B749B5">
                  <w:rPr>
                    <w:rFonts w:asciiTheme="majorHAnsi" w:hAnsiTheme="majorHAnsi"/>
                    <w:bCs/>
                    <w:color w:val="2F5773" w:themeColor="text2"/>
                    <w:sz w:val="52"/>
                    <w:szCs w:val="52"/>
                    <w:lang w:val="sv-SE"/>
                  </w:rPr>
                  <w:t>om angivande och offentliggörande av systemviktiga indikatorer</w:t>
                </w:r>
              </w:p>
            </w:tc>
          </w:tr>
        </w:tbl>
        <w:p w:rsidRPr="001C5A56" w:rsidR="00DE7302" w:rsidP="00B43E07" w:rsidRDefault="00DE7302" w14:paraId="0B57ABA3" w14:textId="1A05077D">
          <w:pPr>
            <w:rPr>
              <w:sz w:val="52"/>
              <w:szCs w:val="52"/>
              <w:lang w:val="de-DE"/>
            </w:rPr>
          </w:pPr>
        </w:p>
        <w:p w:rsidRPr="001C5A56" w:rsidR="00DE7302" w:rsidP="00B43E07" w:rsidRDefault="00DE7302" w14:paraId="4DFCFC48" w14:textId="6CABC2B4">
          <w:pPr>
            <w:rPr>
              <w:sz w:val="52"/>
              <w:szCs w:val="52"/>
              <w:lang w:val="de-DE"/>
            </w:rPr>
          </w:pPr>
        </w:p>
        <w:p w:rsidRPr="001C5A56" w:rsidR="001C5A56" w:rsidP="00B43E07" w:rsidRDefault="001C5A56" w14:paraId="1459717F" w14:textId="77777777">
          <w:pPr>
            <w:rPr>
              <w:sz w:val="52"/>
              <w:szCs w:val="52"/>
              <w:lang w:val="de-DE"/>
            </w:rPr>
          </w:pPr>
        </w:p>
        <w:p w:rsidRPr="001C5A56" w:rsidR="00DE7302" w:rsidP="00B43E07" w:rsidRDefault="00DE7302" w14:paraId="7E1B939A" w14:textId="4663E396">
          <w:pPr>
            <w:rPr>
              <w:sz w:val="52"/>
              <w:szCs w:val="52"/>
              <w:lang w:val="de-DE"/>
            </w:rPr>
          </w:pPr>
        </w:p>
        <w:p w:rsidRPr="001C5A56" w:rsidR="001C5A56" w:rsidP="00B43E07" w:rsidRDefault="001C5A56" w14:paraId="011ED227" w14:textId="1670E1C9">
          <w:pPr>
            <w:rPr>
              <w:szCs w:val="22"/>
              <w:lang w:val="de-DE"/>
            </w:rPr>
          </w:pPr>
        </w:p>
        <w:tbl>
          <w:tblPr>
            <w:tblStyle w:val="EBAtable"/>
            <w:tblW w:w="9125" w:type="dxa"/>
            <w:tblLook w:val="04A0" w:firstRow="1" w:lastRow="0" w:firstColumn="1" w:lastColumn="0" w:noHBand="0" w:noVBand="1"/>
          </w:tblPr>
          <w:tblGrid>
            <w:gridCol w:w="824"/>
            <w:gridCol w:w="2190"/>
            <w:gridCol w:w="6111"/>
          </w:tblGrid>
          <w:tr w:rsidRPr="00D13DB3" w:rsidR="001C5A56" w:rsidTr="005D18C0" w14:paraId="78EE0023"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1C5A56" w:rsidP="005D18C0" w:rsidRDefault="001C5A56" w14:paraId="470542B6" w14:textId="77777777">
                <w:pPr>
                  <w:spacing w:before="240" w:after="120" w:line="276" w:lineRule="auto"/>
                  <w:jc w:val="both"/>
                  <w:rPr>
                    <w:rFonts w:eastAsia="MS PGothic" w:cs="Times New Roman"/>
                    <w:lang w:eastAsia="en-GB"/>
                  </w:rPr>
                </w:pPr>
              </w:p>
              <w:p w:rsidRPr="00D13DB3" w:rsidR="001C5A56" w:rsidP="005D18C0" w:rsidRDefault="001C5A56" w14:paraId="2FDD111E" w14:textId="77777777">
                <w:pPr>
                  <w:rPr>
                    <w:rFonts w:eastAsia="MS PGothic" w:cs="Times New Roman"/>
                    <w:lang w:val="en-GB" w:eastAsia="en-GB"/>
                  </w:rPr>
                </w:pPr>
              </w:p>
            </w:tc>
            <w:tc>
              <w:tcPr>
                <w:tcW w:w="6111" w:type="dxa"/>
                <w:tcBorders>
                  <w:top w:val="single" w:color="auto" w:sz="12" w:space="0"/>
                  <w:right w:val="single" w:color="auto" w:sz="12" w:space="0"/>
                </w:tcBorders>
              </w:tcPr>
              <w:p w:rsidRPr="001C5A56" w:rsidR="001C5A56" w:rsidP="001C5A56" w:rsidRDefault="001C5A56" w14:paraId="4EE66CF0" w14:textId="69750DAB">
                <w:pPr>
                  <w:rPr>
                    <w:rFonts w:ascii="Calibri" w:hAnsi="Calibri" w:cs="Calibri"/>
                    <w:color w:val="000000"/>
                    <w:szCs w:val="22"/>
                  </w:rPr>
                </w:pPr>
                <w:r>
                  <w:rPr>
                    <w:rFonts w:ascii="Calibri" w:hAnsi="Calibri" w:cs="Calibri"/>
                    <w:color w:val="000000"/>
                    <w:szCs w:val="22"/>
                  </w:rPr>
                  <w:t>Tillämpningsdatum</w:t>
                </w:r>
              </w:p>
            </w:tc>
          </w:tr>
          <w:tr w:rsidRPr="00D13DB3" w:rsidR="001C5A56" w:rsidTr="005D18C0" w14:paraId="0685D19B" w14:textId="77777777">
            <w:trPr>
              <w:trHeight w:val="300"/>
            </w:trPr>
            <w:tc>
              <w:tcPr>
                <w:tcW w:w="3014" w:type="dxa"/>
                <w:gridSpan w:val="2"/>
                <w:tcBorders>
                  <w:left w:val="single" w:color="auto" w:sz="12" w:space="0"/>
                </w:tcBorders>
              </w:tcPr>
              <w:p w:rsidRPr="00D13DB3" w:rsidR="001C5A56" w:rsidP="005D18C0" w:rsidRDefault="001C5A56" w14:paraId="5D882D75"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1C5A56" w:rsidP="005D18C0" w:rsidRDefault="001C5A56" w14:paraId="4C44CD53"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1C5A56" w:rsidTr="005D18C0" w14:paraId="199B921A" w14:textId="77777777">
            <w:trPr>
              <w:trHeight w:val="300"/>
            </w:trPr>
            <w:tc>
              <w:tcPr>
                <w:tcW w:w="3014" w:type="dxa"/>
                <w:gridSpan w:val="2"/>
                <w:tcBorders>
                  <w:left w:val="single" w:color="auto" w:sz="12" w:space="0"/>
                </w:tcBorders>
              </w:tcPr>
              <w:p w:rsidRPr="001C5A56" w:rsidR="001C5A56" w:rsidP="001C5A56" w:rsidRDefault="001C5A56" w14:paraId="56C6E2BA" w14:textId="2536CF15">
                <w:pPr>
                  <w:rPr>
                    <w:rFonts w:ascii="Calibri" w:hAnsi="Calibri" w:cs="Calibri"/>
                    <w:color w:val="000000"/>
                    <w:szCs w:val="22"/>
                  </w:rPr>
                </w:pPr>
                <w:r>
                  <w:rPr>
                    <w:rFonts w:ascii="Calibri" w:hAnsi="Calibri" w:cs="Calibri"/>
                    <w:color w:val="000000"/>
                    <w:szCs w:val="22"/>
                  </w:rPr>
                  <w:t>Ändrade genom:</w:t>
                </w:r>
              </w:p>
            </w:tc>
            <w:tc>
              <w:tcPr>
                <w:tcW w:w="6111" w:type="dxa"/>
                <w:tcBorders>
                  <w:right w:val="single" w:color="auto" w:sz="12" w:space="0"/>
                </w:tcBorders>
              </w:tcPr>
              <w:p w:rsidRPr="00D13DB3" w:rsidR="001C5A56" w:rsidP="005D18C0" w:rsidRDefault="001C5A56" w14:paraId="26F4D4FC" w14:textId="77777777">
                <w:pPr>
                  <w:rPr>
                    <w:rFonts w:eastAsia="MS PGothic" w:cs="Times New Roman"/>
                    <w:lang w:val="en-GB" w:eastAsia="en-GB"/>
                  </w:rPr>
                </w:pPr>
              </w:p>
            </w:tc>
          </w:tr>
          <w:tr w:rsidRPr="00D13DB3" w:rsidR="001C5A56" w:rsidTr="005D18C0" w14:paraId="040654A3" w14:textId="77777777">
            <w:trPr>
              <w:trHeight w:val="58"/>
            </w:trPr>
            <w:tc>
              <w:tcPr>
                <w:tcW w:w="824" w:type="dxa"/>
                <w:tcBorders>
                  <w:left w:val="single" w:color="auto" w:sz="12" w:space="0"/>
                  <w:bottom w:val="single" w:color="auto" w:sz="12" w:space="0"/>
                </w:tcBorders>
              </w:tcPr>
              <w:p w:rsidRPr="00D13DB3" w:rsidR="001C5A56" w:rsidP="005D18C0" w:rsidRDefault="001C5A56" w14:paraId="0040BF06"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1C5A56" w:rsidP="005D18C0" w:rsidRDefault="001C5A56" w14:paraId="4EECF8E9"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1C5A56" w:rsidP="005D18C0" w:rsidRDefault="001C5A56" w14:paraId="7415D12B" w14:textId="77777777">
                <w:pPr>
                  <w:rPr>
                    <w:rFonts w:eastAsia="MS PGothic" w:cs="Times New Roman"/>
                    <w:lang w:val="en-GB" w:eastAsia="en-GB"/>
                  </w:rPr>
                </w:pPr>
              </w:p>
            </w:tc>
          </w:tr>
        </w:tbl>
        <w:p w:rsidR="001C5A56" w:rsidP="00B43E07" w:rsidRDefault="001C5A56" w14:paraId="039297AB" w14:textId="77777777">
          <w:pPr>
            <w:rPr>
              <w:sz w:val="40"/>
              <w:szCs w:val="40"/>
              <w:lang w:val="de-DE"/>
            </w:rPr>
          </w:pPr>
        </w:p>
        <w:p w:rsidRPr="008B5A58" w:rsidR="00B43E07" w:rsidP="00B43E07" w:rsidRDefault="00B43E07" w14:paraId="3673D6BB" w14:textId="43BAFE2E">
          <w:r w:rsidRPr="008B5A58">
            <w:br w:type="page"/>
          </w:r>
        </w:p>
      </w:sdtContent>
    </w:sdt>
    <w:p w:rsidRPr="008B5A58" w:rsidR="00B43E07" w:rsidP="00CE3517" w:rsidRDefault="00B43E07" w14:paraId="72D6F5BF" w14:textId="77777777">
      <w:pPr>
        <w:pStyle w:val="Numberedtilelevel1"/>
        <w:numPr>
          <w:ilvl w:val="0"/>
          <w:numId w:val="34"/>
        </w:numPr>
      </w:pPr>
      <w:r w:rsidRPr="008B5A58">
        <w:lastRenderedPageBreak/>
        <w:t>Efterlevnads- och rapporteringsskyldigheter</w:t>
      </w:r>
    </w:p>
    <w:p w:rsidRPr="008B5A58" w:rsidR="00B43E07" w:rsidP="00B43E07" w:rsidRDefault="00B43E07" w14:paraId="3B9E826E" w14:textId="5EE3EC56">
      <w:pPr>
        <w:pStyle w:val="Titlelevel2"/>
      </w:pPr>
      <w:r w:rsidRPr="008B5A58">
        <w:t>Riktlinjernas status</w:t>
      </w:r>
    </w:p>
    <w:p w:rsidRPr="008B5A58" w:rsidR="00B43E07" w:rsidP="00B43E07" w:rsidRDefault="00B43E07" w14:paraId="4AFE96B1" w14:textId="13B187BE">
      <w:pPr>
        <w:pStyle w:val="body"/>
        <w:numPr>
          <w:ilvl w:val="0"/>
          <w:numId w:val="28"/>
        </w:numPr>
      </w:pPr>
      <w:r w:rsidRPr="008B5A58">
        <w:t>Detta dokument innehåller riktlinjer som har utfärdats enligt artikel 16 i förordning (EU) nr 1093/2010</w:t>
      </w:r>
      <w:r w:rsidRPr="008B5A58">
        <w:rPr>
          <w:rStyle w:val="FootnoteReference"/>
          <w:lang w:val="en-GB"/>
        </w:rPr>
        <w:footnoteReference w:id="2"/>
      </w:r>
      <w:r w:rsidRPr="008B5A58">
        <w:t>. I enlighet med artikel 16.3 i förordning (EU) nr 1093/2010 ska de behöriga myndigheterna och finansinstituten med alla tillgängliga medel söka följa riktlinjerna.</w:t>
      </w:r>
    </w:p>
    <w:p w:rsidRPr="008B5A58" w:rsidR="00B43E07" w:rsidP="00B43E07" w:rsidRDefault="00B43E07" w14:paraId="23E7F140" w14:textId="591D7378">
      <w:pPr>
        <w:pStyle w:val="body"/>
        <w:numPr>
          <w:ilvl w:val="0"/>
          <w:numId w:val="28"/>
        </w:numPr>
      </w:pPr>
      <w:r w:rsidRPr="008B5A58">
        <w:t>I riktlinjerna fastställs Europeiska bankmyndighetens (EBA) syn på lämplig tillsynspraxis inom det europeiska systemet för finansiell tillsyn eller på hur unionslagstiftningen bör tillämpas inom ett särskilt område. Behöriga myndigheter enligt definitionen i artikel 4.2 i förordning (EU) nr 1093/2010 som berörs av riktlinjerna ska följa dem genom att på lämpligt sätt införliva dem i sin praxis (till exempel genom att ändra sina rättsliga ramar eller tillsynsrutiner), även när riktlinjerna i första hand riktas till finansinstitut.</w:t>
      </w:r>
    </w:p>
    <w:p w:rsidRPr="008B5A58" w:rsidR="00B43E07" w:rsidP="00B43E07" w:rsidRDefault="00B43E07" w14:paraId="141EDBC6" w14:textId="77777777">
      <w:pPr>
        <w:pStyle w:val="Titlelevel2"/>
      </w:pPr>
      <w:r w:rsidRPr="008B5A58">
        <w:t>Rapporteringskrav</w:t>
      </w:r>
    </w:p>
    <w:p w:rsidRPr="008B5A58" w:rsidR="00B43E07" w:rsidP="00B43E07" w:rsidRDefault="00236329" w14:paraId="7EE20541" w14:textId="6A91AD34">
      <w:pPr>
        <w:pStyle w:val="body"/>
        <w:numPr>
          <w:ilvl w:val="0"/>
          <w:numId w:val="28"/>
        </w:numPr>
      </w:pPr>
      <w:r w:rsidRPr="008B5A58">
        <w:t xml:space="preserve">Enligt artikel 16.3 i förordning (EU) nr 1093/2010 måste de behöriga myndigheterna meddela EBA om att de följer eller avser att följa dessa riktlinjer, alternativt ange skälen till att de inte gör det, senast den </w:t>
      </w:r>
      <w:r w:rsidR="00656CA7">
        <w:t>16.02.2021.</w:t>
      </w:r>
      <w:r w:rsidRPr="008B5A58">
        <w:t xml:space="preserve"> Om någon sådan anmälan inte inkommer inom denna tidsfrist kommer EBA att anse att de behöriga myndigheterna inte följer riktlinjerna. Anmälningar bör lämnas in på det formulär som tillhandahålls på EBA:s webbplats, med hänvisningen ”EBA/GL/2020/14”. Anmälningarna bör lämnas in av personer som har befogenhet att rapportera om hur riktlinjerna följs på de behöriga myndigheternas vägnar. Alla förändringar i graden av efterlevnad måste också rapporteras till EBA.</w:t>
      </w:r>
    </w:p>
    <w:p w:rsidRPr="008B5A58" w:rsidR="00B43E07" w:rsidP="00B43E07" w:rsidRDefault="00B43E07" w14:paraId="3FF09602" w14:textId="563622BD">
      <w:pPr>
        <w:pStyle w:val="body"/>
        <w:numPr>
          <w:ilvl w:val="0"/>
          <w:numId w:val="28"/>
        </w:numPr>
      </w:pPr>
      <w:r w:rsidRPr="008B5A58">
        <w:t>Anmälningarna kommer att offentliggöras på EBA:s webbplats i enlighet med artikel 16.3.</w:t>
      </w:r>
    </w:p>
    <w:p w:rsidRPr="008B5A58" w:rsidR="00B43E07" w:rsidP="00B43E07" w:rsidRDefault="00B43E07" w14:paraId="0BB7AD43" w14:textId="77777777">
      <w:pPr>
        <w:pStyle w:val="Titlelevel2"/>
      </w:pPr>
      <w:r w:rsidRPr="008B5A58">
        <w:br w:type="page"/>
      </w:r>
    </w:p>
    <w:p w:rsidRPr="008B5A58" w:rsidR="00B43E07" w:rsidP="00CE3517" w:rsidRDefault="00B43E07" w14:paraId="207E9159" w14:textId="77777777">
      <w:pPr>
        <w:pStyle w:val="Numberedtilelevel1"/>
      </w:pPr>
      <w:r w:rsidRPr="008B5A58">
        <w:lastRenderedPageBreak/>
        <w:t>Syfte, tillämpningsområde och definitioner</w:t>
      </w:r>
    </w:p>
    <w:p w:rsidRPr="008B5A58" w:rsidR="00B43E07" w:rsidP="00B43E07" w:rsidRDefault="00B43E07" w14:paraId="329ACB0A" w14:textId="77777777">
      <w:pPr>
        <w:pStyle w:val="Titlelevel2"/>
      </w:pPr>
      <w:r w:rsidRPr="008B5A58">
        <w:t>Syfte</w:t>
      </w:r>
    </w:p>
    <w:p w:rsidRPr="008B5A58" w:rsidR="00DE0FE1" w:rsidP="00DE0FE1" w:rsidRDefault="00DE0FE1" w14:paraId="667A5E79" w14:textId="75DF9FF9">
      <w:pPr>
        <w:pStyle w:val="body"/>
        <w:numPr>
          <w:ilvl w:val="0"/>
          <w:numId w:val="28"/>
        </w:numPr>
      </w:pPr>
      <w:r w:rsidRPr="008B5A58">
        <w:t>Dessa riktlinjer gäller följande:</w:t>
      </w:r>
    </w:p>
    <w:p w:rsidRPr="008B5A58" w:rsidR="00DE0FE1" w:rsidP="00DE0FE1" w:rsidRDefault="00DE0FE1" w14:paraId="7F872996" w14:textId="017F20C9">
      <w:pPr>
        <w:pStyle w:val="body"/>
        <w:numPr>
          <w:ilvl w:val="1"/>
          <w:numId w:val="35"/>
        </w:numPr>
      </w:pPr>
      <w:r w:rsidRPr="008B5A58">
        <w:t>Angivande av indikatorer som används för identifiering av globalt systemviktiga institut (G-SII) i enlighet med förordning (EU) nr 1222/2014 (”indikatorer”), och</w:t>
      </w:r>
    </w:p>
    <w:p w:rsidRPr="008B5A58" w:rsidR="00B43E07" w:rsidP="00DE0FE1" w:rsidRDefault="00DE0FE1" w14:paraId="776C11F3" w14:textId="70BD7C4A">
      <w:pPr>
        <w:pStyle w:val="body"/>
        <w:numPr>
          <w:ilvl w:val="1"/>
          <w:numId w:val="35"/>
        </w:numPr>
      </w:pPr>
      <w:r w:rsidRPr="008B5A58">
        <w:t>rapportering av underliggande uppgifter (indikatorer, kompletterande uppgifter och</w:t>
      </w:r>
      <w:r w:rsidR="00B05132">
        <w:t xml:space="preserve"> memorandumposter</w:t>
      </w:r>
      <w:r w:rsidRPr="008B5A58">
        <w:t>) och årligt offentliggörande av de resulterande indikatorvärden som används för identifiering av G-SII-institut.</w:t>
      </w:r>
    </w:p>
    <w:p w:rsidRPr="008B5A58" w:rsidR="00B43E07" w:rsidP="00B43E07" w:rsidRDefault="00B43E07" w14:paraId="07F996E2" w14:textId="77777777">
      <w:pPr>
        <w:pStyle w:val="Titlelevel2"/>
      </w:pPr>
      <w:r w:rsidRPr="008B5A58">
        <w:t>Tillämpningsområde</w:t>
      </w:r>
    </w:p>
    <w:p w:rsidRPr="008B5A58" w:rsidR="00DE0FE1" w:rsidP="00B43E07" w:rsidRDefault="00B43E07" w14:paraId="71B629CF" w14:textId="05197A71">
      <w:pPr>
        <w:pStyle w:val="body"/>
        <w:numPr>
          <w:ilvl w:val="0"/>
          <w:numId w:val="28"/>
        </w:numPr>
      </w:pPr>
      <w:r w:rsidRPr="008B5A58">
        <w:t>Dessa riktlinjer tillämpas på</w:t>
      </w:r>
    </w:p>
    <w:p w:rsidRPr="008B5A58" w:rsidR="00DE0FE1" w:rsidP="00DE0FE1" w:rsidRDefault="000F3C24" w14:paraId="73EAD676" w14:textId="3140197F">
      <w:pPr>
        <w:pStyle w:val="body"/>
        <w:numPr>
          <w:ilvl w:val="0"/>
          <w:numId w:val="36"/>
        </w:numPr>
      </w:pPr>
      <w:r w:rsidRPr="008B5A58">
        <w:t>grupper som leds av ett moderinstitut i EU, ett finansiellt moderholdingföretag i EU eller ett blandat finansiellt moderholdingföretag i EU, och</w:t>
      </w:r>
    </w:p>
    <w:p w:rsidRPr="008B5A58" w:rsidR="00B43E07" w:rsidP="00DE0FE1" w:rsidRDefault="00DE0FE1" w14:paraId="0D1E1C78" w14:textId="031EF3C2">
      <w:pPr>
        <w:pStyle w:val="body"/>
        <w:numPr>
          <w:ilvl w:val="0"/>
          <w:numId w:val="36"/>
        </w:numPr>
      </w:pPr>
      <w:r w:rsidRPr="008B5A58">
        <w:t>institut som inte är dotterbolag till något moderinstitut i EU, något finansiellt moderholdingföretag i EU eller något blandat finansiellt moderholdingföretag i EU</w:t>
      </w:r>
    </w:p>
    <w:p w:rsidRPr="008B5A58" w:rsidR="00B43E07" w:rsidP="00DE0FE1" w:rsidRDefault="003A2221" w14:paraId="5736DC31" w14:textId="098AB936">
      <w:pPr>
        <w:pStyle w:val="body"/>
      </w:pPr>
      <w:r w:rsidRPr="008B5A58">
        <w:t xml:space="preserve">som </w:t>
      </w:r>
      <w:r w:rsidR="00617AE9">
        <w:t>beräknar</w:t>
      </w:r>
      <w:r w:rsidRPr="008B5A58">
        <w:t xml:space="preserve"> ett exponeringsmått för bruttosoliditet på över 200 miljarder euro på gruppnivå respektive individuell nivå (och inklusive försäkringsdotterbolag) med hjälp av en lämplig växelkurs med beaktande av referensväxelkursen som publiceras av Europeiska centralbanken och som gäller vid slutet av </w:t>
      </w:r>
      <w:r w:rsidR="0042584A">
        <w:t>budget</w:t>
      </w:r>
      <w:r w:rsidRPr="008B5A58">
        <w:t>året och internationella standarder (”relevanta enheter”).</w:t>
      </w:r>
    </w:p>
    <w:p w:rsidRPr="008B5A58" w:rsidR="00B43E07" w:rsidP="00B43E07" w:rsidRDefault="00B43E07" w14:paraId="6EAA3145" w14:textId="77777777">
      <w:pPr>
        <w:pStyle w:val="Titlelevel2"/>
      </w:pPr>
      <w:r w:rsidRPr="008B5A58">
        <w:t>Mottagare</w:t>
      </w:r>
    </w:p>
    <w:p w:rsidRPr="008B5A58" w:rsidR="00B43E07" w:rsidP="00DE0FE1" w:rsidRDefault="00DE0FE1" w14:paraId="12310C5F" w14:textId="42F50B99">
      <w:pPr>
        <w:pStyle w:val="body"/>
        <w:numPr>
          <w:ilvl w:val="0"/>
          <w:numId w:val="28"/>
        </w:numPr>
      </w:pPr>
      <w:r w:rsidRPr="008B5A58">
        <w:t>Dessa riktlinjer riktar sig till behöriga myndigheter enligt definitionen i punkt i i artikel 4.2 i i förordning (EU) nr 1093/2010 och till finansinstitut som riktlinjerna tillämpas på. Andra utsedda myndigheter enligt artikel 131.1 i direktiv nr 2013/36/EU än behöriga myndigheter uppmanas att tillämpa dessa riktlinjer. Både behöriga och utsedda myndigheter kallas för ”relevanta myndigheter” i dessa riktlinjer.</w:t>
      </w:r>
    </w:p>
    <w:p w:rsidRPr="008B5A58" w:rsidR="00DE0FE1" w:rsidP="00DE0FE1" w:rsidRDefault="00DE0FE1" w14:paraId="52A8B3D5" w14:textId="77777777">
      <w:pPr>
        <w:pStyle w:val="ListParagraph"/>
        <w:numPr>
          <w:ilvl w:val="0"/>
          <w:numId w:val="28"/>
        </w:numPr>
      </w:pPr>
      <w:r w:rsidRPr="008B5A58">
        <w:br w:type="page"/>
      </w:r>
    </w:p>
    <w:p w:rsidRPr="008B5A58" w:rsidR="00B43E07" w:rsidP="00CE3517" w:rsidRDefault="00B43E07" w14:paraId="25D099DB" w14:textId="77777777">
      <w:pPr>
        <w:pStyle w:val="Numberedtilelevel1"/>
      </w:pPr>
      <w:r w:rsidRPr="008B5A58">
        <w:lastRenderedPageBreak/>
        <w:t>Genomförande</w:t>
      </w:r>
    </w:p>
    <w:p w:rsidRPr="008B5A58" w:rsidR="00B43E07" w:rsidP="00B43E07" w:rsidRDefault="00B43E07" w14:paraId="4EAB2FB0" w14:textId="77777777">
      <w:pPr>
        <w:pStyle w:val="Titlelevel2"/>
      </w:pPr>
      <w:r w:rsidRPr="008B5A58">
        <w:t>Tillämpningsdatum</w:t>
      </w:r>
    </w:p>
    <w:p w:rsidRPr="008B5A58" w:rsidR="00B43E07" w:rsidP="00DE0FE1" w:rsidRDefault="00DE0FE1" w14:paraId="18515792" w14:textId="2E6168FC">
      <w:pPr>
        <w:pStyle w:val="body"/>
        <w:numPr>
          <w:ilvl w:val="0"/>
          <w:numId w:val="38"/>
        </w:numPr>
      </w:pPr>
      <w:r w:rsidRPr="008B5A58">
        <w:t xml:space="preserve">Dessa riktlinjer gäller från </w:t>
      </w:r>
      <w:r w:rsidR="00656CA7">
        <w:t>16.12.2020.</w:t>
      </w:r>
    </w:p>
    <w:p w:rsidRPr="008B5A58" w:rsidR="00B43E07" w:rsidP="00B43E07" w:rsidRDefault="00B43E07" w14:paraId="4AB150AF" w14:textId="64BC8239">
      <w:pPr>
        <w:pStyle w:val="Titlelevel2"/>
      </w:pPr>
      <w:r w:rsidRPr="008B5A58">
        <w:t>Upphävande</w:t>
      </w:r>
    </w:p>
    <w:p w:rsidRPr="008B5A58" w:rsidR="00B43E07" w:rsidP="00A41338" w:rsidRDefault="00BD1538" w14:paraId="0F71334D" w14:textId="4DCAC658">
      <w:r w:rsidRPr="008B5A58">
        <w:t>De ändrade riktlinjerna om ytterligare angivande av globalt systemviktiga indikatorer och deras offentliggörande av den 29 februari 2016 (EBA/GL/2016/01) upphävs härmed.</w:t>
      </w:r>
    </w:p>
    <w:p w:rsidRPr="008B5A58" w:rsidR="00BD1538" w:rsidP="00B43E07" w:rsidRDefault="00BD1538" w14:paraId="30F30A96" w14:textId="77777777">
      <w:pPr>
        <w:pStyle w:val="body"/>
        <w:sectPr w:rsidRPr="008B5A58" w:rsidR="00BD1538" w:rsidSect="008A320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397" w:gutter="0"/>
          <w:cols w:space="708"/>
          <w:docGrid w:linePitch="299"/>
        </w:sectPr>
      </w:pPr>
    </w:p>
    <w:p w:rsidRPr="008B5A58" w:rsidR="00B43E07" w:rsidP="00BD1538" w:rsidRDefault="00BD1538" w14:paraId="4D344DEC" w14:textId="3CE1317D">
      <w:pPr>
        <w:pStyle w:val="Numberedtilelevel1"/>
        <w:jc w:val="both"/>
      </w:pPr>
      <w:r w:rsidRPr="008B5A58">
        <w:lastRenderedPageBreak/>
        <w:t>Angivande av underliggande uppgifter och indikatorer som används för identifiering av G-SII-institut</w:t>
      </w:r>
    </w:p>
    <w:p w:rsidRPr="001926C2" w:rsidR="001926C2" w:rsidP="001926C2" w:rsidRDefault="001926C2" w14:paraId="2D8D4326" w14:textId="1F55E51E">
      <w:pPr>
        <w:pStyle w:val="body"/>
      </w:pPr>
      <w:r w:rsidRPr="007B541C">
        <w:rPr>
          <w:spacing w:val="-1"/>
          <w:highlight w:val="green"/>
        </w:rPr>
        <w:sym w:font="Wingdings" w:char="F0DA"/>
      </w:r>
      <w:r w:rsidRPr="007B541C">
        <w:rPr>
          <w:spacing w:val="-1"/>
          <w:highlight w:val="green"/>
        </w:rPr>
        <w:t>A1</w:t>
      </w:r>
    </w:p>
    <w:p w:rsidRPr="008B5A58" w:rsidR="00B43E07" w:rsidP="00BD1538" w:rsidRDefault="00DE7302" w14:paraId="50643877" w14:textId="3C80A02A">
      <w:pPr>
        <w:pStyle w:val="body"/>
        <w:numPr>
          <w:ilvl w:val="0"/>
          <w:numId w:val="38"/>
        </w:numPr>
      </w:pPr>
      <w:r w:rsidRPr="00DE7302">
        <w:rPr>
          <w:iCs/>
        </w:rPr>
        <w:t>För de uppgiftsposter som förtecknas i bilagan bör relevanta myndigheter och enheter följa instruktionerna och specifikationerna som finns under länken ”Reporting instructions” i avsnittet om globala systemviktiga institut på EBA:s webbplats</w:t>
      </w:r>
      <w:r w:rsidRPr="00636CF7">
        <w:rPr>
          <w:rStyle w:val="FootnoteReference"/>
          <w:i/>
          <w:iCs/>
        </w:rPr>
        <w:footnoteReference w:id="3"/>
      </w:r>
      <w:r w:rsidRPr="00636CF7">
        <w:rPr>
          <w:i/>
        </w:rPr>
        <w:t>.</w:t>
      </w:r>
    </w:p>
    <w:p w:rsidRPr="008B5A58" w:rsidR="00B43E07" w:rsidP="00BD1538" w:rsidRDefault="00DE7302" w14:paraId="2FD6FE4E" w14:textId="049A2543">
      <w:pPr>
        <w:pStyle w:val="body"/>
        <w:numPr>
          <w:ilvl w:val="0"/>
          <w:numId w:val="38"/>
        </w:numPr>
      </w:pPr>
      <w:r w:rsidRPr="00DE7302">
        <w:t>De relevanta myndigheterna bör tillämpa de kompletterande uppgifterna (avsnitt 15 och 16 i bilagan till dessa riktlinjer) till stöd för sin tillsynsbedömning i enlighet med artikel</w:t>
      </w:r>
      <w:r>
        <w:t> </w:t>
      </w:r>
      <w:r w:rsidRPr="00DE7302">
        <w:t>131.10 i direktiv 2013/36/EU och memorandumposterna (avsnitt 17–22 i bilagan) för att förbättra kvaliteten på uppgifterna och hjälpa till att utveckla framtida förbättringar av identifieringsmetodiken. Memorandumposterna bör i förekommande fall kompletteras med detaljerade kommentarer från relevanta enheter om kvalitet på och tillgång till uppgifter</w:t>
      </w:r>
      <w:r w:rsidRPr="008B5A58" w:rsidR="003A2221">
        <w:t>.</w:t>
      </w:r>
    </w:p>
    <w:p w:rsidR="00BD1538" w:rsidP="00DE7302" w:rsidRDefault="00DE7302" w14:paraId="6A6FBBAE" w14:textId="2C38621C">
      <w:pPr>
        <w:pStyle w:val="body"/>
        <w:ind w:left="360" w:hanging="360"/>
        <w:rPr>
          <w:highlight w:val="yellow"/>
        </w:rPr>
      </w:pPr>
      <w:r w:rsidRPr="00DE7302">
        <w:rPr>
          <w:iCs/>
        </w:rPr>
        <w:t>10 a.</w:t>
      </w:r>
      <w:r>
        <w:rPr>
          <w:iCs/>
        </w:rPr>
        <w:tab/>
      </w:r>
      <w:r w:rsidRPr="00DE7302">
        <w:t>I enlighet med artikel 131.2 a i direktiv 2013/36/EU, som kräver en ytterligare identifieringsmetod som utesluter gränsöverskridande verksamhet inom ramen för den gemensamma resolutionsmekanismen, och i enlighet med Baselkommitténs internationella överenskommelse av den 31 maj 2022 om att erkänna de framsteg som gjorts i utvecklingen av den europeiska bankunionen, bör uppgiftsposter som är relevanta för beräkningen av justerade indikatorer som berör flera jurisdiktioner, när det gäller institut med huvudkontor i medlemsstater som anslutit sig till den gemensamma resolutionsmekanismen, betraktas som en del av de verksamhetsindikatorer som berör flera jurisdiktioner och därmed offentliggöras i enlighet med punkt 12, och inte som kompletterande poster eller memorandumposter för identifiering av globala systemviktiga institut och metoder för tilldelning av underkategorier.</w:t>
      </w:r>
    </w:p>
    <w:p w:rsidRPr="008B5A58" w:rsidR="00DE7302" w:rsidP="00BD1538" w:rsidRDefault="00DE7302" w14:paraId="28B216B6" w14:textId="77777777">
      <w:pPr>
        <w:pStyle w:val="body"/>
        <w:rPr>
          <w:highlight w:val="yellow"/>
        </w:rPr>
      </w:pPr>
    </w:p>
    <w:p w:rsidRPr="008B5A58" w:rsidR="00BD1538" w:rsidP="00505C64" w:rsidRDefault="00BD1538" w14:paraId="2DFFA9BA" w14:textId="77777777">
      <w:pPr>
        <w:pStyle w:val="Titlelevel2"/>
        <w:sectPr w:rsidRPr="008B5A58" w:rsidR="00BD1538" w:rsidSect="008A320C">
          <w:pgSz w:w="11900" w:h="16840"/>
          <w:pgMar w:top="2268" w:right="1418" w:bottom="1134" w:left="1701" w:header="709" w:footer="397" w:gutter="0"/>
          <w:cols w:space="708"/>
          <w:docGrid w:linePitch="299"/>
        </w:sectPr>
      </w:pPr>
    </w:p>
    <w:p w:rsidRPr="008B5A58" w:rsidR="00B43E07" w:rsidP="00BD1538" w:rsidRDefault="00BD1538" w14:paraId="6CDBC73A" w14:textId="63126AA5">
      <w:pPr>
        <w:pStyle w:val="Numberedtilelevel1"/>
        <w:jc w:val="both"/>
      </w:pPr>
      <w:r w:rsidRPr="008B5A58">
        <w:lastRenderedPageBreak/>
        <w:t>Krav på rapportering och offentliggörande av relevanta institut</w:t>
      </w:r>
    </w:p>
    <w:p w:rsidRPr="008B5A58" w:rsidR="0007574B" w:rsidP="0007574B" w:rsidRDefault="00DE7302" w14:paraId="107B3895" w14:textId="68F05C6D">
      <w:pPr>
        <w:pStyle w:val="body"/>
        <w:numPr>
          <w:ilvl w:val="0"/>
          <w:numId w:val="38"/>
        </w:numPr>
      </w:pPr>
      <w:r w:rsidRPr="00DE7302">
        <w:rPr>
          <w:iCs/>
        </w:rPr>
        <w:t>De relevanta myndigheterna bör se till att de inhämtar information för alla uppgiftsposter som anges i bilagan till dessa riktlinjer från relevanta enheter som den 31 december varje år uppfyller de kriterier som anges i punkt 6 i dessa riktlinjer</w:t>
      </w:r>
      <w:r w:rsidRPr="008B5A58" w:rsidR="003A2221">
        <w:t>.</w:t>
      </w:r>
    </w:p>
    <w:p w:rsidRPr="008B5A58" w:rsidR="0007574B" w:rsidP="0007574B" w:rsidRDefault="00DE7302" w14:paraId="623657F6" w14:textId="3FC7C5F0">
      <w:pPr>
        <w:pStyle w:val="body"/>
        <w:numPr>
          <w:ilvl w:val="0"/>
          <w:numId w:val="38"/>
        </w:numPr>
      </w:pPr>
      <w:r w:rsidRPr="00DE7302">
        <w:rPr>
          <w:iCs/>
        </w:rPr>
        <w:t>De relevanta myndigheterna bör säkerställa att relevanta enheter årligen på sina webbplatser offentliggör de indikatorvärden som anges i avsnitt 1–14 i bilagan till dessa riktlinjer och, om den gemensamma resolutionsmekanismens ytterligare identifieringsmetod behöver användas, punkterna e, f och g i avsnitt 21, samt eventuella andra poster i avsnitt 21 som avser gränsöverskridande verksamhet inom ramen för den gemensamma resolutionsmekanismen som den relevanta myndigheten anser vara relevant för beräkning enligt en sådan metod</w:t>
      </w:r>
      <w:r w:rsidRPr="008B5A58" w:rsidR="003A2221">
        <w:t>.</w:t>
      </w:r>
    </w:p>
    <w:p w:rsidR="001926C2" w:rsidP="001926C2" w:rsidRDefault="001926C2" w14:paraId="5CE472B3" w14:textId="476B0800">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07574B" w:rsidRDefault="0007574B" w14:paraId="59D95C2C" w14:textId="15DE8F33">
      <w:pPr>
        <w:pStyle w:val="body"/>
        <w:numPr>
          <w:ilvl w:val="0"/>
          <w:numId w:val="38"/>
        </w:numPr>
      </w:pPr>
      <w:r w:rsidRPr="008B5A58">
        <w:t>Vid rapportering och offentliggörande av informationen enligt punkterna 11 och 12 bör relevanta enheter använda den elektroniska mallen och följa instruktioner som varje år publiceras för detta ändamål på EBA:s webbplats.</w:t>
      </w:r>
    </w:p>
    <w:p w:rsidRPr="008B5A58" w:rsidR="001926C2" w:rsidP="001926C2" w:rsidRDefault="001926C2" w14:paraId="162849F5" w14:textId="22A9F8D9">
      <w:pPr>
        <w:pStyle w:val="body"/>
      </w:pPr>
      <w:r w:rsidRPr="007B541C">
        <w:rPr>
          <w:spacing w:val="-1"/>
          <w:highlight w:val="green"/>
        </w:rPr>
        <w:sym w:font="Wingdings" w:char="F0DA"/>
      </w:r>
      <w:r w:rsidRPr="007B541C">
        <w:rPr>
          <w:spacing w:val="-1"/>
          <w:highlight w:val="green"/>
        </w:rPr>
        <w:t>A1</w:t>
      </w:r>
    </w:p>
    <w:p w:rsidR="006C6D8E" w:rsidP="0007574B" w:rsidRDefault="00DE7302" w14:paraId="5F511C1E" w14:textId="1DE738DD">
      <w:pPr>
        <w:pStyle w:val="body"/>
        <w:numPr>
          <w:ilvl w:val="0"/>
          <w:numId w:val="38"/>
        </w:numPr>
      </w:pPr>
      <w:r w:rsidRPr="00DE7302">
        <w:rPr>
          <w:iCs/>
        </w:rPr>
        <w:t>Relevanta enheter bör till de relevanta myndigheterna lämna den information som avses i punkt 11 och offentliggöra den information som avses i punkt 12 på årsbasis och senast fyra månader efter slutdatumet för varje budgetår, med början från slutdatumet för det andra budgetåret i rad under vilket tröskelvärdet som anges i punkt 6 i dessa riktlinjer har överskridits. I samband med detta bör relevanta enheter identifiera sig med hjälp av sina LEI-koder (identifieringskoden för juridiska personer)</w:t>
      </w:r>
      <w:r>
        <w:t>.</w:t>
      </w:r>
    </w:p>
    <w:p w:rsidRPr="008B5A58" w:rsidR="001926C2" w:rsidP="001926C2" w:rsidRDefault="001926C2" w14:paraId="4A7D35E6" w14:textId="657ECD87">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8B5A58" w:rsidR="0007574B" w:rsidP="0007574B" w:rsidRDefault="003A2221" w14:paraId="02B1DBBB" w14:textId="24DAD696">
      <w:pPr>
        <w:pStyle w:val="body"/>
        <w:numPr>
          <w:ilvl w:val="0"/>
          <w:numId w:val="38"/>
        </w:numPr>
      </w:pPr>
      <w:r w:rsidRPr="008B5A58">
        <w:t xml:space="preserve">De relevanta myndigheterna kan tillåta relevanta enheter med </w:t>
      </w:r>
      <w:r w:rsidR="00617AE9">
        <w:t>räkenskaps</w:t>
      </w:r>
      <w:r w:rsidRPr="008B5A58">
        <w:t>år som inte avslutas den 31 december att rapportera och offentliggöra dessa uppgifter baserat på deras ställning omkring den 31 december. I alla händelser får informationsinlämning inte ske senare än den 31 juli.</w:t>
      </w:r>
    </w:p>
    <w:p w:rsidRPr="008B5A58" w:rsidR="00B43E07" w:rsidP="00B43E07" w:rsidRDefault="003A2221" w14:paraId="0BE8B0EA" w14:textId="3AD888C3">
      <w:pPr>
        <w:pStyle w:val="body"/>
        <w:numPr>
          <w:ilvl w:val="0"/>
          <w:numId w:val="38"/>
        </w:numPr>
      </w:pPr>
      <w:r w:rsidRPr="008B5A58">
        <w:t>De relevanta myndigheterna bör i förekommande fall säkerställa att de rapporterade och offentliggjorda uppgifterna är identiska med de uppgifter som lämnas in till Baselkommittén för banktillsyn.</w:t>
      </w:r>
    </w:p>
    <w:p w:rsidRPr="008B5A58" w:rsidR="006C6D8E" w:rsidP="006C6D8E" w:rsidRDefault="006C6D8E" w14:paraId="304AED26" w14:textId="0684F911">
      <w:pPr>
        <w:pStyle w:val="body"/>
      </w:pPr>
    </w:p>
    <w:p w:rsidRPr="008B5A58" w:rsidR="006C6D8E" w:rsidP="006C6D8E" w:rsidRDefault="006C6D8E" w14:paraId="3653C3DD" w14:textId="77777777">
      <w:pPr>
        <w:pStyle w:val="body"/>
        <w:sectPr w:rsidRPr="008B5A58" w:rsidR="006C6D8E" w:rsidSect="008A320C">
          <w:pgSz w:w="11900" w:h="16840"/>
          <w:pgMar w:top="2268" w:right="1418" w:bottom="1134" w:left="1701" w:header="709" w:footer="397" w:gutter="0"/>
          <w:cols w:space="708"/>
          <w:docGrid w:linePitch="299"/>
        </w:sectPr>
      </w:pPr>
    </w:p>
    <w:p w:rsidRPr="008B5A58" w:rsidR="00B43E07" w:rsidP="006C6D8E" w:rsidRDefault="006C6D8E" w14:paraId="78D7CAE2" w14:textId="0D9CA5B9">
      <w:pPr>
        <w:pStyle w:val="Numberedtilelevel1"/>
        <w:jc w:val="both"/>
      </w:pPr>
      <w:r w:rsidRPr="008B5A58">
        <w:lastRenderedPageBreak/>
        <w:t>Information till EBA</w:t>
      </w:r>
    </w:p>
    <w:p w:rsidRPr="008B5A58" w:rsidR="006C6D8E" w:rsidP="006C6D8E" w:rsidRDefault="003A2221" w14:paraId="0966C959" w14:textId="52E7A3EF">
      <w:pPr>
        <w:pStyle w:val="body"/>
        <w:numPr>
          <w:ilvl w:val="0"/>
          <w:numId w:val="38"/>
        </w:numPr>
      </w:pPr>
      <w:r w:rsidRPr="008B5A58">
        <w:t>De relevanta myndigheterna bör tillhandahålla EBA alla uppgifter, inklusive kompletterande uppgifter och memorandumposter, som har samlats in i enlighet med dessa riktlinjer, så att de kan sammanställas på EBA:s webbplats. Relevanta enheter bör identifiera sig med hjälp av sina LEI-koder. EBA kommer inte att offentliggöra de kompletterande uppgifterna eller memorandumposterna.</w:t>
      </w:r>
    </w:p>
    <w:p w:rsidRPr="008B5A58" w:rsidR="006C6D8E" w:rsidP="00B43E07" w:rsidRDefault="006C6D8E" w14:paraId="001293F4" w14:textId="77777777">
      <w:pPr>
        <w:pStyle w:val="body"/>
        <w:rPr>
          <w:lang w:val="de-DE" w:eastAsia="en-GB"/>
        </w:rPr>
        <w:sectPr w:rsidRPr="008B5A58" w:rsidR="006C6D8E" w:rsidSect="008A320C">
          <w:pgSz w:w="11900" w:h="16840"/>
          <w:pgMar w:top="2268" w:right="1418" w:bottom="1134" w:left="1701" w:header="709" w:footer="397" w:gutter="0"/>
          <w:cols w:space="708"/>
          <w:docGrid w:linePitch="299"/>
        </w:sectPr>
      </w:pPr>
    </w:p>
    <w:p w:rsidRPr="008B5A58" w:rsidR="006C6D8E" w:rsidP="006C6D8E" w:rsidRDefault="006C6D8E" w14:paraId="6FBD395E" w14:textId="77777777">
      <w:pPr>
        <w:pStyle w:val="Contenttitle"/>
      </w:pPr>
      <w:r w:rsidRPr="008B5A58">
        <w:lastRenderedPageBreak/>
        <w:t>Bilaga</w:t>
      </w:r>
    </w:p>
    <w:tbl>
      <w:tblPr>
        <w:tblStyle w:val="TableGrid1"/>
        <w:tblW w:w="9549" w:type="dxa"/>
        <w:tblLook w:val="04A0" w:firstRow="1" w:lastRow="0" w:firstColumn="1" w:lastColumn="0" w:noHBand="0" w:noVBand="1"/>
      </w:tblPr>
      <w:tblGrid>
        <w:gridCol w:w="2350"/>
        <w:gridCol w:w="4454"/>
        <w:gridCol w:w="2745"/>
      </w:tblGrid>
      <w:tr w:rsidRPr="00636CF7" w:rsidR="00691BF0" w:rsidTr="009A26DB" w14:paraId="4618B988" w14:textId="77777777">
        <w:trPr>
          <w:trHeight w:val="420"/>
        </w:trPr>
        <w:tc>
          <w:tcPr>
            <w:tcW w:w="2350" w:type="dxa"/>
            <w:tcBorders>
              <w:top w:val="nil"/>
              <w:left w:val="nil"/>
              <w:bottom w:val="nil"/>
              <w:right w:val="nil"/>
            </w:tcBorders>
            <w:noWrap/>
            <w:hideMark/>
          </w:tcPr>
          <w:p w:rsidR="001926C2" w:rsidP="009A26DB" w:rsidRDefault="001926C2" w14:paraId="68C7AE3B" w14:textId="4F73F4AF">
            <w:pPr>
              <w:keepNext/>
              <w:keepLines/>
              <w:spacing w:before="47"/>
              <w:outlineLvl w:val="5"/>
              <w:rPr>
                <w:rFonts w:asciiTheme="majorHAnsi" w:hAnsiTheme="majorHAnsi"/>
                <w:b/>
                <w:i/>
                <w:caps/>
              </w:rPr>
            </w:pPr>
            <w:r w:rsidRPr="007B541C">
              <w:rPr>
                <w:spacing w:val="-1"/>
                <w:highlight w:val="green"/>
              </w:rPr>
              <w:sym w:font="Wingdings" w:char="F0DA"/>
            </w:r>
            <w:r w:rsidRPr="007B541C">
              <w:rPr>
                <w:spacing w:val="-1"/>
                <w:highlight w:val="green"/>
              </w:rPr>
              <w:t>A1</w:t>
            </w:r>
          </w:p>
          <w:p w:rsidRPr="00636CF7" w:rsidR="00691BF0" w:rsidP="009A26DB" w:rsidRDefault="00691BF0" w14:paraId="00B44437" w14:textId="543AA48E">
            <w:pPr>
              <w:keepNext/>
              <w:keepLines/>
              <w:spacing w:before="47"/>
              <w:outlineLvl w:val="5"/>
              <w:rPr>
                <w:rFonts w:asciiTheme="majorHAnsi" w:hAnsiTheme="majorHAnsi" w:eastAsiaTheme="majorEastAsia" w:cstheme="majorBidi"/>
                <w:b/>
                <w:bCs/>
                <w:i/>
                <w:iCs/>
                <w:caps/>
                <w:color w:val="172B39" w:themeColor="accent1" w:themeShade="80"/>
              </w:rPr>
            </w:pPr>
            <w:r w:rsidRPr="00691BF0">
              <w:rPr>
                <w:rFonts w:asciiTheme="majorHAnsi" w:hAnsiTheme="majorHAnsi"/>
                <w:b/>
                <w:i/>
                <w:caps/>
              </w:rPr>
              <w:t> Allmänna</w:t>
            </w:r>
            <w:r>
              <w:rPr>
                <w:rFonts w:asciiTheme="majorHAnsi" w:hAnsiTheme="majorHAnsi"/>
                <w:b/>
                <w:i/>
                <w:caps/>
              </w:rPr>
              <w:t xml:space="preserve"> </w:t>
            </w:r>
            <w:r w:rsidRPr="00691BF0">
              <w:rPr>
                <w:rFonts w:asciiTheme="majorHAnsi" w:hAnsiTheme="majorHAnsi"/>
                <w:b/>
                <w:i/>
                <w:caps/>
              </w:rPr>
              <w:t>uppgifter om banken</w:t>
            </w:r>
            <w:r w:rsidRPr="00636CF7">
              <w:rPr>
                <w:rFonts w:ascii="Arial" w:hAnsi="Arial"/>
                <w:i/>
                <w:caps/>
                <w:color w:val="172B39" w:themeColor="accent1" w:themeShade="80"/>
                <w:sz w:val="20"/>
              </w:rPr>
              <w:t> </w:t>
            </w:r>
          </w:p>
        </w:tc>
        <w:tc>
          <w:tcPr>
            <w:tcW w:w="7199" w:type="dxa"/>
            <w:gridSpan w:val="2"/>
            <w:tcBorders>
              <w:top w:val="nil"/>
              <w:left w:val="nil"/>
              <w:bottom w:val="nil"/>
              <w:right w:val="nil"/>
            </w:tcBorders>
          </w:tcPr>
          <w:p w:rsidRPr="00636CF7" w:rsidR="00691BF0" w:rsidP="009A26DB" w:rsidRDefault="00691BF0" w14:paraId="1EA99F17" w14:textId="77777777">
            <w:pPr>
              <w:rPr>
                <w:rFonts w:ascii="Arial" w:hAnsi="Arial" w:eastAsia="Times New Roman" w:cs="Arial"/>
                <w:b/>
                <w:bCs/>
                <w:sz w:val="24"/>
                <w:szCs w:val="24"/>
                <w:lang w:eastAsia="en-GB"/>
              </w:rPr>
            </w:pPr>
          </w:p>
          <w:p w:rsidRPr="00636CF7" w:rsidR="00691BF0" w:rsidP="009A26DB" w:rsidRDefault="00691BF0" w14:paraId="6C48F62B" w14:textId="77777777">
            <w:pPr>
              <w:rPr>
                <w:rFonts w:ascii="Arial" w:hAnsi="Arial" w:eastAsia="Times New Roman" w:cs="Arial"/>
                <w:b/>
                <w:bCs/>
                <w:sz w:val="24"/>
                <w:szCs w:val="24"/>
              </w:rPr>
            </w:pPr>
            <w:r w:rsidRPr="00636CF7">
              <w:rPr>
                <w:rFonts w:ascii="Arial" w:hAnsi="Arial"/>
                <w:sz w:val="20"/>
              </w:rPr>
              <w:t> </w:t>
            </w:r>
          </w:p>
        </w:tc>
      </w:tr>
      <w:tr w:rsidRPr="00636CF7" w:rsidR="00691BF0" w:rsidTr="009A26DB" w14:paraId="67E32357"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3D9279D6"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636CF7" w:rsidR="00691BF0" w:rsidP="009A26DB" w:rsidRDefault="00691BF0" w14:paraId="3758E201" w14:textId="77777777">
            <w:pPr>
              <w:jc w:val="center"/>
              <w:rPr>
                <w:rFonts w:ascii="Arial" w:hAnsi="Arial" w:eastAsia="Times New Roman" w:cs="Arial"/>
                <w:b/>
                <w:bCs/>
                <w:sz w:val="20"/>
                <w:szCs w:val="20"/>
                <w:lang w:eastAsia="en-GB"/>
              </w:rPr>
            </w:pPr>
          </w:p>
        </w:tc>
      </w:tr>
      <w:tr w:rsidRPr="00636CF7" w:rsidR="00691BF0" w:rsidTr="009A26DB" w14:paraId="654F975A" w14:textId="77777777">
        <w:trPr>
          <w:trHeight w:val="300"/>
        </w:trPr>
        <w:tc>
          <w:tcPr>
            <w:tcW w:w="6804" w:type="dxa"/>
            <w:gridSpan w:val="2"/>
            <w:tcBorders>
              <w:top w:val="single" w:color="auto" w:sz="4" w:space="0"/>
              <w:left w:val="nil"/>
              <w:bottom w:val="single" w:color="auto" w:sz="4" w:space="0"/>
              <w:right w:val="nil"/>
            </w:tcBorders>
            <w:noWrap/>
            <w:hideMark/>
          </w:tcPr>
          <w:p w:rsidRPr="00636CF7" w:rsidR="00691BF0" w:rsidP="009A26DB" w:rsidRDefault="00691BF0" w14:paraId="0FCFBECA" w14:textId="77777777">
            <w:pPr>
              <w:rPr>
                <w:rFonts w:ascii="Arial" w:hAnsi="Arial" w:eastAsia="Times New Roman" w:cs="Arial"/>
                <w:b/>
                <w:bCs/>
                <w:sz w:val="20"/>
                <w:szCs w:val="20"/>
              </w:rPr>
            </w:pPr>
            <w:r w:rsidRPr="00636CF7">
              <w:rPr>
                <w:rFonts w:ascii="Arial" w:hAnsi="Arial"/>
                <w:b/>
                <w:sz w:val="20"/>
              </w:rPr>
              <w:t>Avsnitt 1 – Allmän information</w:t>
            </w:r>
          </w:p>
        </w:tc>
        <w:tc>
          <w:tcPr>
            <w:tcW w:w="2745" w:type="dxa"/>
            <w:tcBorders>
              <w:top w:val="single" w:color="auto" w:sz="4" w:space="0"/>
              <w:left w:val="nil"/>
              <w:right w:val="nil"/>
            </w:tcBorders>
            <w:noWrap/>
            <w:hideMark/>
          </w:tcPr>
          <w:p w:rsidRPr="00636CF7" w:rsidR="00691BF0" w:rsidP="009A26DB" w:rsidRDefault="00691BF0" w14:paraId="2FD6FA5D" w14:textId="77777777">
            <w:pPr>
              <w:jc w:val="center"/>
              <w:rPr>
                <w:rFonts w:ascii="Arial" w:hAnsi="Arial" w:eastAsia="Times New Roman" w:cs="Arial"/>
                <w:b/>
                <w:bCs/>
                <w:sz w:val="20"/>
                <w:szCs w:val="20"/>
              </w:rPr>
            </w:pPr>
            <w:r w:rsidRPr="00636CF7">
              <w:rPr>
                <w:rFonts w:ascii="Arial" w:hAnsi="Arial"/>
                <w:b/>
                <w:sz w:val="20"/>
              </w:rPr>
              <w:t>Svar</w:t>
            </w:r>
          </w:p>
        </w:tc>
      </w:tr>
      <w:tr w:rsidRPr="00636CF7" w:rsidR="00691BF0" w:rsidTr="009A26DB" w14:paraId="55ED49BB" w14:textId="77777777">
        <w:trPr>
          <w:gridAfter w:val="1"/>
          <w:wAfter w:w="2745" w:type="dxa"/>
          <w:trHeight w:val="300"/>
        </w:trPr>
        <w:tc>
          <w:tcPr>
            <w:tcW w:w="6804" w:type="dxa"/>
            <w:gridSpan w:val="2"/>
            <w:tcBorders>
              <w:top w:val="single" w:color="auto" w:sz="4" w:space="0"/>
              <w:left w:val="nil"/>
              <w:bottom w:val="single" w:color="auto" w:sz="4" w:space="0"/>
              <w:right w:val="nil"/>
            </w:tcBorders>
            <w:noWrap/>
            <w:hideMark/>
          </w:tcPr>
          <w:p w:rsidRPr="00636CF7" w:rsidR="00691BF0" w:rsidP="009A26DB" w:rsidRDefault="00691BF0" w14:paraId="396E422B" w14:textId="77777777">
            <w:pPr>
              <w:ind w:firstLine="200" w:firstLineChars="100"/>
              <w:rPr>
                <w:rFonts w:ascii="Arial" w:hAnsi="Arial" w:eastAsia="Times New Roman" w:cs="Arial"/>
                <w:sz w:val="20"/>
                <w:szCs w:val="20"/>
              </w:rPr>
            </w:pPr>
            <w:r w:rsidRPr="00636CF7">
              <w:rPr>
                <w:rFonts w:ascii="Arial" w:hAnsi="Arial"/>
                <w:sz w:val="20"/>
              </w:rPr>
              <w:t>a. Allmän information tillhandahållen av relevant tillsynsmyndighet:</w:t>
            </w:r>
          </w:p>
        </w:tc>
      </w:tr>
      <w:tr w:rsidRPr="00636CF7" w:rsidR="00691BF0" w:rsidTr="009A26DB" w14:paraId="6653A276" w14:textId="77777777">
        <w:trPr>
          <w:trHeight w:val="300"/>
        </w:trPr>
        <w:tc>
          <w:tcPr>
            <w:tcW w:w="6804" w:type="dxa"/>
            <w:gridSpan w:val="2"/>
            <w:tcBorders>
              <w:left w:val="nil"/>
              <w:right w:val="nil"/>
            </w:tcBorders>
            <w:noWrap/>
            <w:hideMark/>
          </w:tcPr>
          <w:p w:rsidRPr="00636CF7" w:rsidR="00691BF0" w:rsidP="009A26DB" w:rsidRDefault="00691BF0" w14:paraId="0B326A2C"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Landskod</w:t>
            </w:r>
          </w:p>
        </w:tc>
        <w:tc>
          <w:tcPr>
            <w:tcW w:w="2745" w:type="dxa"/>
            <w:tcBorders>
              <w:left w:val="nil"/>
              <w:bottom w:val="single" w:color="auto" w:sz="4" w:space="0"/>
              <w:right w:val="nil"/>
            </w:tcBorders>
            <w:noWrap/>
            <w:hideMark/>
          </w:tcPr>
          <w:p w:rsidRPr="00636CF7" w:rsidR="00691BF0" w:rsidP="009A26DB" w:rsidRDefault="00691BF0" w14:paraId="281FC84B"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5E5B7992" w14:textId="77777777">
        <w:trPr>
          <w:trHeight w:val="300"/>
        </w:trPr>
        <w:tc>
          <w:tcPr>
            <w:tcW w:w="6804" w:type="dxa"/>
            <w:gridSpan w:val="2"/>
            <w:tcBorders>
              <w:left w:val="nil"/>
              <w:right w:val="nil"/>
            </w:tcBorders>
            <w:noWrap/>
            <w:hideMark/>
          </w:tcPr>
          <w:p w:rsidRPr="00636CF7" w:rsidR="00691BF0" w:rsidP="009A26DB" w:rsidRDefault="00691BF0" w14:paraId="318C7211"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Bankens namn</w:t>
            </w:r>
          </w:p>
        </w:tc>
        <w:tc>
          <w:tcPr>
            <w:tcW w:w="2745" w:type="dxa"/>
            <w:tcBorders>
              <w:left w:val="nil"/>
              <w:bottom w:val="single" w:color="auto" w:sz="4" w:space="0"/>
              <w:right w:val="nil"/>
            </w:tcBorders>
            <w:hideMark/>
          </w:tcPr>
          <w:p w:rsidRPr="00636CF7" w:rsidR="00691BF0" w:rsidP="009A26DB" w:rsidRDefault="00691BF0" w14:paraId="7400D0E9"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3746AA53" w14:textId="77777777">
        <w:trPr>
          <w:trHeight w:val="300"/>
        </w:trPr>
        <w:tc>
          <w:tcPr>
            <w:tcW w:w="6804" w:type="dxa"/>
            <w:gridSpan w:val="2"/>
            <w:tcBorders>
              <w:left w:val="nil"/>
              <w:right w:val="nil"/>
            </w:tcBorders>
            <w:noWrap/>
            <w:hideMark/>
          </w:tcPr>
          <w:p w:rsidRPr="00636CF7" w:rsidR="00691BF0" w:rsidP="009A26DB" w:rsidRDefault="00691BF0" w14:paraId="7653CAD9"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Rapportdatum (åååå-mm-dd)</w:t>
            </w:r>
          </w:p>
        </w:tc>
        <w:tc>
          <w:tcPr>
            <w:tcW w:w="2745" w:type="dxa"/>
            <w:tcBorders>
              <w:left w:val="nil"/>
              <w:bottom w:val="single" w:color="auto" w:sz="4" w:space="0"/>
              <w:right w:val="nil"/>
            </w:tcBorders>
            <w:noWrap/>
            <w:hideMark/>
          </w:tcPr>
          <w:p w:rsidRPr="00636CF7" w:rsidR="00691BF0" w:rsidP="009A26DB" w:rsidRDefault="00691BF0" w14:paraId="0799EDDB" w14:textId="77777777">
            <w:pPr>
              <w:jc w:val="center"/>
              <w:rPr>
                <w:rFonts w:ascii="Arial" w:hAnsi="Arial" w:eastAsia="Times New Roman" w:cs="Arial"/>
                <w:sz w:val="20"/>
                <w:szCs w:val="20"/>
                <w:lang w:eastAsia="en-GB"/>
              </w:rPr>
            </w:pPr>
          </w:p>
        </w:tc>
      </w:tr>
      <w:tr w:rsidRPr="00636CF7" w:rsidR="00691BF0" w:rsidTr="009A26DB" w14:paraId="6053BB07" w14:textId="77777777">
        <w:trPr>
          <w:trHeight w:val="300"/>
        </w:trPr>
        <w:tc>
          <w:tcPr>
            <w:tcW w:w="6804" w:type="dxa"/>
            <w:gridSpan w:val="2"/>
            <w:tcBorders>
              <w:left w:val="nil"/>
              <w:right w:val="nil"/>
            </w:tcBorders>
            <w:noWrap/>
            <w:hideMark/>
          </w:tcPr>
          <w:p w:rsidRPr="00636CF7" w:rsidR="00691BF0" w:rsidP="009A26DB" w:rsidRDefault="00691BF0" w14:paraId="2D00FBBC" w14:textId="77777777">
            <w:pPr>
              <w:ind w:firstLine="400" w:firstLineChars="200"/>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Rapportvaluta</w:t>
            </w:r>
          </w:p>
        </w:tc>
        <w:tc>
          <w:tcPr>
            <w:tcW w:w="2745" w:type="dxa"/>
            <w:tcBorders>
              <w:left w:val="nil"/>
              <w:bottom w:val="single" w:color="auto" w:sz="4" w:space="0"/>
              <w:right w:val="nil"/>
            </w:tcBorders>
            <w:noWrap/>
            <w:hideMark/>
          </w:tcPr>
          <w:p w:rsidRPr="00636CF7" w:rsidR="00691BF0" w:rsidP="009A26DB" w:rsidRDefault="00691BF0" w14:paraId="19C61D03" w14:textId="77777777">
            <w:pPr>
              <w:jc w:val="center"/>
              <w:rPr>
                <w:rFonts w:ascii="Arial" w:hAnsi="Arial" w:eastAsia="Times New Roman" w:cs="Arial"/>
                <w:sz w:val="20"/>
                <w:szCs w:val="20"/>
                <w:lang w:eastAsia="en-GB"/>
              </w:rPr>
            </w:pPr>
          </w:p>
        </w:tc>
      </w:tr>
      <w:tr w:rsidRPr="00636CF7" w:rsidR="00691BF0" w:rsidTr="009A26DB" w14:paraId="1217E075" w14:textId="77777777">
        <w:trPr>
          <w:trHeight w:val="300"/>
        </w:trPr>
        <w:tc>
          <w:tcPr>
            <w:tcW w:w="6804" w:type="dxa"/>
            <w:gridSpan w:val="2"/>
            <w:tcBorders>
              <w:left w:val="nil"/>
              <w:right w:val="nil"/>
            </w:tcBorders>
            <w:noWrap/>
            <w:hideMark/>
          </w:tcPr>
          <w:p w:rsidRPr="00636CF7" w:rsidR="00691BF0" w:rsidP="009A26DB" w:rsidRDefault="00691BF0" w14:paraId="073AEB91" w14:textId="77777777">
            <w:pPr>
              <w:ind w:firstLine="400" w:firstLineChars="200"/>
              <w:rPr>
                <w:rFonts w:ascii="Arial" w:hAnsi="Arial" w:eastAsia="Times New Roman" w:cs="Arial"/>
                <w:sz w:val="20"/>
                <w:szCs w:val="20"/>
              </w:rPr>
            </w:pPr>
            <w:r w:rsidRPr="00636CF7">
              <w:rPr>
                <w:rFonts w:ascii="Arial" w:hAnsi="Arial"/>
                <w:sz w:val="20"/>
                <w:lang w:eastAsia="en-GB"/>
              </w:rPr>
              <w:t xml:space="preserve">(5) </w:t>
            </w:r>
            <w:r w:rsidRPr="00636CF7">
              <w:rPr>
                <w:rFonts w:ascii="Arial" w:hAnsi="Arial"/>
                <w:sz w:val="20"/>
              </w:rPr>
              <w:t>Omräkningskurs euro</w:t>
            </w:r>
          </w:p>
        </w:tc>
        <w:tc>
          <w:tcPr>
            <w:tcW w:w="2745" w:type="dxa"/>
            <w:tcBorders>
              <w:left w:val="nil"/>
              <w:bottom w:val="single" w:color="auto" w:sz="4" w:space="0"/>
              <w:right w:val="nil"/>
            </w:tcBorders>
            <w:noWrap/>
            <w:hideMark/>
          </w:tcPr>
          <w:p w:rsidRPr="00636CF7" w:rsidR="00691BF0" w:rsidP="009A26DB" w:rsidRDefault="00691BF0" w14:paraId="7A6BBBFD" w14:textId="77777777">
            <w:pPr>
              <w:rPr>
                <w:rFonts w:ascii="Arial" w:hAnsi="Arial" w:eastAsia="Times New Roman" w:cs="Arial"/>
                <w:sz w:val="20"/>
                <w:szCs w:val="20"/>
              </w:rPr>
            </w:pPr>
            <w:r w:rsidRPr="00636CF7">
              <w:rPr>
                <w:rFonts w:ascii="Arial" w:hAnsi="Arial"/>
                <w:sz w:val="20"/>
              </w:rPr>
              <w:t> </w:t>
            </w:r>
          </w:p>
        </w:tc>
      </w:tr>
      <w:tr w:rsidRPr="00636CF7" w:rsidR="00691BF0" w:rsidTr="009A26DB" w14:paraId="52A73EED" w14:textId="77777777">
        <w:trPr>
          <w:trHeight w:val="300"/>
        </w:trPr>
        <w:tc>
          <w:tcPr>
            <w:tcW w:w="6804" w:type="dxa"/>
            <w:gridSpan w:val="2"/>
            <w:tcBorders>
              <w:left w:val="nil"/>
              <w:right w:val="nil"/>
            </w:tcBorders>
            <w:noWrap/>
            <w:hideMark/>
          </w:tcPr>
          <w:p w:rsidRPr="00636CF7" w:rsidR="00691BF0" w:rsidP="009A26DB" w:rsidRDefault="00691BF0" w14:paraId="390AB29C" w14:textId="13AC3584">
            <w:pPr>
              <w:ind w:firstLine="400" w:firstLineChars="200"/>
              <w:rPr>
                <w:rFonts w:ascii="Arial" w:hAnsi="Arial" w:eastAsia="Times New Roman" w:cs="Arial"/>
                <w:sz w:val="20"/>
                <w:szCs w:val="20"/>
              </w:rPr>
            </w:pPr>
            <w:r w:rsidRPr="00636CF7">
              <w:rPr>
                <w:rFonts w:ascii="Arial" w:hAnsi="Arial"/>
                <w:sz w:val="20"/>
                <w:lang w:eastAsia="en-GB"/>
              </w:rPr>
              <w:t xml:space="preserve">(6) </w:t>
            </w:r>
            <w:r w:rsidRPr="00636CF7">
              <w:rPr>
                <w:rFonts w:ascii="Arial" w:hAnsi="Arial"/>
                <w:sz w:val="20"/>
              </w:rPr>
              <w:t>Inlämningsdatum (åååå-mm-dd)</w:t>
            </w:r>
          </w:p>
        </w:tc>
        <w:tc>
          <w:tcPr>
            <w:tcW w:w="2745" w:type="dxa"/>
            <w:tcBorders>
              <w:left w:val="nil"/>
              <w:bottom w:val="single" w:color="auto" w:sz="4" w:space="0"/>
              <w:right w:val="nil"/>
            </w:tcBorders>
            <w:noWrap/>
            <w:hideMark/>
          </w:tcPr>
          <w:p w:rsidRPr="00636CF7" w:rsidR="00691BF0" w:rsidP="009A26DB" w:rsidRDefault="00691BF0" w14:paraId="6A72D6CC"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1EF79E33" w14:textId="77777777">
        <w:trPr>
          <w:trHeight w:val="300"/>
        </w:trPr>
        <w:tc>
          <w:tcPr>
            <w:tcW w:w="6804" w:type="dxa"/>
            <w:gridSpan w:val="2"/>
            <w:tcBorders>
              <w:left w:val="nil"/>
              <w:right w:val="nil"/>
            </w:tcBorders>
            <w:noWrap/>
            <w:hideMark/>
          </w:tcPr>
          <w:p w:rsidRPr="00636CF7" w:rsidR="00691BF0" w:rsidP="009A26DB" w:rsidRDefault="00691BF0" w14:paraId="7525FCBC" w14:textId="77777777">
            <w:pPr>
              <w:ind w:firstLine="200" w:firstLineChars="100"/>
              <w:rPr>
                <w:rFonts w:ascii="Arial" w:hAnsi="Arial" w:eastAsia="Times New Roman" w:cs="Arial"/>
                <w:sz w:val="20"/>
                <w:szCs w:val="20"/>
              </w:rPr>
            </w:pPr>
            <w:r w:rsidRPr="00636CF7">
              <w:rPr>
                <w:rFonts w:ascii="Arial" w:hAnsi="Arial"/>
                <w:sz w:val="20"/>
              </w:rPr>
              <w:t>Allmän information tillhandahållen av rapporterande institut:</w:t>
            </w:r>
          </w:p>
        </w:tc>
        <w:tc>
          <w:tcPr>
            <w:tcW w:w="2745" w:type="dxa"/>
            <w:tcBorders>
              <w:left w:val="nil"/>
              <w:bottom w:val="single" w:color="auto" w:sz="4" w:space="0"/>
              <w:right w:val="nil"/>
            </w:tcBorders>
            <w:noWrap/>
            <w:hideMark/>
          </w:tcPr>
          <w:p w:rsidRPr="00636CF7" w:rsidR="00691BF0" w:rsidP="009A26DB" w:rsidRDefault="00691BF0" w14:paraId="4D5DB50D"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21790C6E" w14:textId="77777777">
        <w:trPr>
          <w:trHeight w:val="300"/>
        </w:trPr>
        <w:tc>
          <w:tcPr>
            <w:tcW w:w="6804" w:type="dxa"/>
            <w:gridSpan w:val="2"/>
            <w:tcBorders>
              <w:left w:val="nil"/>
              <w:right w:val="nil"/>
            </w:tcBorders>
            <w:noWrap/>
            <w:hideMark/>
          </w:tcPr>
          <w:p w:rsidRPr="00636CF7" w:rsidR="00691BF0" w:rsidP="009A26DB" w:rsidRDefault="00691BF0" w14:paraId="1C7CC247"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Rapporterande enhet</w:t>
            </w:r>
          </w:p>
        </w:tc>
        <w:tc>
          <w:tcPr>
            <w:tcW w:w="2745" w:type="dxa"/>
            <w:tcBorders>
              <w:left w:val="nil"/>
              <w:bottom w:val="single" w:color="auto" w:sz="4" w:space="0"/>
              <w:right w:val="nil"/>
            </w:tcBorders>
            <w:noWrap/>
            <w:hideMark/>
          </w:tcPr>
          <w:p w:rsidRPr="00636CF7" w:rsidR="00691BF0" w:rsidP="009A26DB" w:rsidRDefault="00691BF0" w14:paraId="7935D6A9"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39605161" w14:textId="77777777">
        <w:trPr>
          <w:trHeight w:val="300"/>
        </w:trPr>
        <w:tc>
          <w:tcPr>
            <w:tcW w:w="6804" w:type="dxa"/>
            <w:gridSpan w:val="2"/>
            <w:tcBorders>
              <w:left w:val="nil"/>
              <w:right w:val="nil"/>
            </w:tcBorders>
            <w:noWrap/>
            <w:hideMark/>
          </w:tcPr>
          <w:p w:rsidRPr="00636CF7" w:rsidR="00691BF0" w:rsidP="009A26DB" w:rsidRDefault="00691BF0" w14:paraId="3BDE9554"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Redovisningsstandard</w:t>
            </w:r>
          </w:p>
        </w:tc>
        <w:tc>
          <w:tcPr>
            <w:tcW w:w="2745" w:type="dxa"/>
            <w:tcBorders>
              <w:left w:val="nil"/>
              <w:bottom w:val="single" w:color="auto" w:sz="4" w:space="0"/>
              <w:right w:val="nil"/>
            </w:tcBorders>
            <w:hideMark/>
          </w:tcPr>
          <w:p w:rsidRPr="00636CF7" w:rsidR="00691BF0" w:rsidP="009A26DB" w:rsidRDefault="00691BF0" w14:paraId="65138849"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43A3CB58" w14:textId="77777777">
        <w:trPr>
          <w:trHeight w:val="300"/>
        </w:trPr>
        <w:tc>
          <w:tcPr>
            <w:tcW w:w="6804" w:type="dxa"/>
            <w:gridSpan w:val="2"/>
            <w:tcBorders>
              <w:left w:val="nil"/>
              <w:right w:val="nil"/>
            </w:tcBorders>
            <w:noWrap/>
            <w:hideMark/>
          </w:tcPr>
          <w:p w:rsidRPr="00636CF7" w:rsidR="00691BF0" w:rsidP="009A26DB" w:rsidRDefault="00691BF0" w14:paraId="3F1ECF8E"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Datum för offentliggörande (åååå-mm-dd)</w:t>
            </w:r>
          </w:p>
        </w:tc>
        <w:tc>
          <w:tcPr>
            <w:tcW w:w="2745" w:type="dxa"/>
            <w:tcBorders>
              <w:left w:val="nil"/>
              <w:bottom w:val="single" w:color="auto" w:sz="4" w:space="0"/>
              <w:right w:val="nil"/>
            </w:tcBorders>
            <w:noWrap/>
            <w:hideMark/>
          </w:tcPr>
          <w:p w:rsidRPr="00636CF7" w:rsidR="00691BF0" w:rsidP="009A26DB" w:rsidRDefault="00691BF0" w14:paraId="1C0D41D8"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747D732C" w14:textId="77777777">
        <w:trPr>
          <w:trHeight w:val="300"/>
        </w:trPr>
        <w:tc>
          <w:tcPr>
            <w:tcW w:w="6804" w:type="dxa"/>
            <w:gridSpan w:val="2"/>
            <w:tcBorders>
              <w:left w:val="nil"/>
              <w:right w:val="nil"/>
            </w:tcBorders>
            <w:noWrap/>
            <w:hideMark/>
          </w:tcPr>
          <w:p w:rsidRPr="00636CF7" w:rsidR="00691BF0" w:rsidP="009A26DB" w:rsidRDefault="00691BF0" w14:paraId="7DBCBA91" w14:textId="77777777">
            <w:pPr>
              <w:ind w:firstLine="400" w:firstLineChars="200"/>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Språk för offentliggörande</w:t>
            </w:r>
          </w:p>
        </w:tc>
        <w:tc>
          <w:tcPr>
            <w:tcW w:w="2745" w:type="dxa"/>
            <w:tcBorders>
              <w:left w:val="nil"/>
              <w:bottom w:val="single" w:color="auto" w:sz="4" w:space="0"/>
              <w:right w:val="nil"/>
            </w:tcBorders>
            <w:hideMark/>
          </w:tcPr>
          <w:p w:rsidRPr="00636CF7" w:rsidR="00691BF0" w:rsidP="009A26DB" w:rsidRDefault="00691BF0" w14:paraId="4C4E5771"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386BF829"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0BB8591F" w14:textId="508DD4A1">
            <w:pPr>
              <w:ind w:firstLine="400" w:firstLineChars="200"/>
              <w:rPr>
                <w:rFonts w:ascii="Arial" w:hAnsi="Arial" w:eastAsia="Times New Roman" w:cs="Arial"/>
                <w:sz w:val="20"/>
                <w:szCs w:val="20"/>
              </w:rPr>
            </w:pPr>
            <w:r w:rsidRPr="00636CF7">
              <w:rPr>
                <w:rFonts w:ascii="Arial" w:hAnsi="Arial"/>
                <w:sz w:val="20"/>
                <w:lang w:eastAsia="en-GB"/>
              </w:rPr>
              <w:t xml:space="preserve">(5) </w:t>
            </w:r>
            <w:r w:rsidRPr="00636CF7">
              <w:rPr>
                <w:rFonts w:ascii="Arial" w:hAnsi="Arial"/>
                <w:sz w:val="20"/>
              </w:rPr>
              <w:t>Webbadress för offentliggörande</w:t>
            </w:r>
          </w:p>
        </w:tc>
        <w:tc>
          <w:tcPr>
            <w:tcW w:w="2745" w:type="dxa"/>
            <w:tcBorders>
              <w:left w:val="nil"/>
              <w:bottom w:val="single" w:color="auto" w:sz="4" w:space="0"/>
              <w:right w:val="nil"/>
            </w:tcBorders>
            <w:noWrap/>
            <w:hideMark/>
          </w:tcPr>
          <w:p w:rsidRPr="00636CF7" w:rsidR="00691BF0" w:rsidP="009A26DB" w:rsidRDefault="00691BF0" w14:paraId="3A3FB0BC" w14:textId="77777777">
            <w:pPr>
              <w:jc w:val="center"/>
              <w:rPr>
                <w:rFonts w:ascii="Arial" w:hAnsi="Arial" w:eastAsia="Times New Roman" w:cs="Arial"/>
                <w:color w:val="0000FF"/>
                <w:sz w:val="20"/>
                <w:szCs w:val="20"/>
                <w:u w:val="single"/>
                <w:lang w:eastAsia="en-GB"/>
              </w:rPr>
            </w:pPr>
          </w:p>
        </w:tc>
      </w:tr>
      <w:tr w:rsidRPr="00636CF7" w:rsidR="00691BF0" w:rsidTr="009A26DB" w14:paraId="2479D7C3"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211C0AE6" w14:textId="77777777">
            <w:pPr>
              <w:ind w:firstLine="400" w:firstLineChars="200"/>
              <w:rPr>
                <w:rFonts w:ascii="Arial" w:hAnsi="Arial" w:eastAsia="Times New Roman" w:cs="Arial"/>
                <w:sz w:val="20"/>
                <w:szCs w:val="20"/>
              </w:rPr>
            </w:pPr>
            <w:r w:rsidRPr="00636CF7">
              <w:rPr>
                <w:rFonts w:ascii="Arial" w:hAnsi="Arial"/>
                <w:sz w:val="20"/>
                <w:lang w:eastAsia="en-GB"/>
              </w:rPr>
              <w:t xml:space="preserve">(6) </w:t>
            </w:r>
            <w:r w:rsidRPr="00636CF7">
              <w:rPr>
                <w:rFonts w:ascii="Arial" w:hAnsi="Arial"/>
                <w:sz w:val="20"/>
              </w:rPr>
              <w:t>LEI-kod</w:t>
            </w:r>
          </w:p>
        </w:tc>
        <w:tc>
          <w:tcPr>
            <w:tcW w:w="2745" w:type="dxa"/>
            <w:tcBorders>
              <w:left w:val="nil"/>
              <w:bottom w:val="single" w:color="auto" w:sz="4" w:space="0"/>
              <w:right w:val="nil"/>
            </w:tcBorders>
            <w:hideMark/>
          </w:tcPr>
          <w:p w:rsidRPr="00636CF7" w:rsidR="00691BF0" w:rsidP="009A26DB" w:rsidRDefault="00691BF0" w14:paraId="4BDAD067" w14:textId="77777777">
            <w:pPr>
              <w:jc w:val="center"/>
              <w:rPr>
                <w:rFonts w:ascii="Arial" w:hAnsi="Arial" w:eastAsia="Times New Roman" w:cs="Arial"/>
                <w:sz w:val="20"/>
                <w:szCs w:val="20"/>
              </w:rPr>
            </w:pPr>
            <w:r w:rsidRPr="00636CF7">
              <w:rPr>
                <w:rFonts w:ascii="Arial" w:hAnsi="Arial"/>
                <w:sz w:val="20"/>
              </w:rPr>
              <w:t> </w:t>
            </w:r>
          </w:p>
        </w:tc>
      </w:tr>
      <w:tr w:rsidRPr="00636CF7" w:rsidR="00691BF0" w:rsidTr="009A26DB" w14:paraId="25B9C5E9" w14:textId="77777777">
        <w:trPr>
          <w:trHeight w:val="300"/>
        </w:trPr>
        <w:tc>
          <w:tcPr>
            <w:tcW w:w="6804" w:type="dxa"/>
            <w:gridSpan w:val="2"/>
            <w:tcBorders>
              <w:left w:val="nil"/>
              <w:bottom w:val="nil"/>
              <w:right w:val="nil"/>
            </w:tcBorders>
            <w:noWrap/>
          </w:tcPr>
          <w:p w:rsidRPr="00636CF7" w:rsidR="00691BF0" w:rsidP="009A26DB" w:rsidRDefault="00691BF0" w14:paraId="71570D3B"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636CF7" w:rsidR="00691BF0" w:rsidP="009A26DB" w:rsidRDefault="00691BF0" w14:paraId="33A395E2" w14:textId="77777777">
            <w:pPr>
              <w:jc w:val="center"/>
              <w:rPr>
                <w:rFonts w:ascii="Arial" w:hAnsi="Arial" w:eastAsia="Times New Roman" w:cs="Arial"/>
                <w:sz w:val="20"/>
                <w:szCs w:val="20"/>
                <w:lang w:eastAsia="en-GB"/>
              </w:rPr>
            </w:pPr>
          </w:p>
        </w:tc>
      </w:tr>
      <w:tr w:rsidRPr="00636CF7" w:rsidR="00691BF0" w:rsidTr="009A26DB" w14:paraId="19362CCF" w14:textId="77777777">
        <w:trPr>
          <w:trHeight w:val="300"/>
        </w:trPr>
        <w:tc>
          <w:tcPr>
            <w:tcW w:w="6804" w:type="dxa"/>
            <w:gridSpan w:val="2"/>
            <w:tcBorders>
              <w:top w:val="nil"/>
              <w:left w:val="nil"/>
              <w:bottom w:val="nil"/>
              <w:right w:val="nil"/>
            </w:tcBorders>
            <w:noWrap/>
          </w:tcPr>
          <w:p w:rsidRPr="00636CF7" w:rsidR="00691BF0" w:rsidP="009A26DB" w:rsidRDefault="00691BF0" w14:paraId="62EA4812" w14:textId="77777777">
            <w:pPr>
              <w:keepNext/>
              <w:keepLines/>
              <w:spacing w:before="47"/>
              <w:outlineLvl w:val="5"/>
              <w:rPr>
                <w:rFonts w:ascii="Arial" w:hAnsi="Arial" w:eastAsia="Times New Roman" w:cs="Arial"/>
                <w:i/>
                <w:iCs/>
                <w:caps/>
                <w:color w:val="172B39" w:themeColor="accent1" w:themeShade="80"/>
                <w:sz w:val="20"/>
                <w:szCs w:val="20"/>
              </w:rPr>
            </w:pPr>
            <w:r w:rsidRPr="00636CF7">
              <w:rPr>
                <w:rFonts w:asciiTheme="majorHAnsi" w:hAnsiTheme="majorHAnsi"/>
                <w:b/>
                <w:i/>
                <w:caps/>
              </w:rPr>
              <w:t>Storleksindikatorer</w:t>
            </w:r>
          </w:p>
        </w:tc>
        <w:tc>
          <w:tcPr>
            <w:tcW w:w="2745" w:type="dxa"/>
            <w:tcBorders>
              <w:top w:val="nil"/>
              <w:left w:val="nil"/>
              <w:bottom w:val="nil"/>
              <w:right w:val="nil"/>
            </w:tcBorders>
          </w:tcPr>
          <w:p w:rsidRPr="00636CF7" w:rsidR="00691BF0" w:rsidP="009A26DB" w:rsidRDefault="00691BF0" w14:paraId="50DBBEDE" w14:textId="77777777">
            <w:pPr>
              <w:jc w:val="center"/>
              <w:rPr>
                <w:rFonts w:ascii="Arial" w:hAnsi="Arial" w:eastAsia="Times New Roman" w:cs="Arial"/>
                <w:sz w:val="20"/>
                <w:szCs w:val="20"/>
                <w:lang w:eastAsia="en-GB"/>
              </w:rPr>
            </w:pPr>
          </w:p>
        </w:tc>
      </w:tr>
      <w:tr w:rsidRPr="00636CF7" w:rsidR="00691BF0" w:rsidTr="009A26DB" w14:paraId="7DDB608C"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4E61B2BA"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636CF7" w:rsidR="00691BF0" w:rsidP="009A26DB" w:rsidRDefault="00691BF0" w14:paraId="151265E3" w14:textId="77777777">
            <w:pPr>
              <w:jc w:val="center"/>
              <w:rPr>
                <w:rFonts w:ascii="Arial" w:hAnsi="Arial" w:eastAsia="Times New Roman" w:cs="Arial"/>
                <w:sz w:val="20"/>
                <w:szCs w:val="20"/>
                <w:lang w:eastAsia="en-GB"/>
              </w:rPr>
            </w:pPr>
          </w:p>
        </w:tc>
      </w:tr>
      <w:tr w:rsidRPr="00636CF7" w:rsidR="00691BF0" w:rsidTr="009A26DB" w14:paraId="0EB83958" w14:textId="77777777">
        <w:trPr>
          <w:trHeight w:val="300"/>
        </w:trPr>
        <w:tc>
          <w:tcPr>
            <w:tcW w:w="6804" w:type="dxa"/>
            <w:gridSpan w:val="2"/>
            <w:tcBorders>
              <w:left w:val="nil"/>
              <w:right w:val="nil"/>
            </w:tcBorders>
            <w:noWrap/>
          </w:tcPr>
          <w:p w:rsidRPr="00636CF7" w:rsidR="00691BF0" w:rsidP="009A26DB" w:rsidRDefault="00691BF0" w14:paraId="6413C5B5" w14:textId="77777777">
            <w:pPr>
              <w:rPr>
                <w:rFonts w:ascii="Arial" w:hAnsi="Arial" w:eastAsia="Times New Roman" w:cs="Arial"/>
                <w:sz w:val="20"/>
                <w:szCs w:val="20"/>
              </w:rPr>
            </w:pPr>
            <w:r w:rsidRPr="00636CF7">
              <w:rPr>
                <w:rFonts w:ascii="Arial" w:hAnsi="Arial"/>
                <w:b/>
                <w:sz w:val="20"/>
              </w:rPr>
              <w:t>Avsnitt 2 – Totala exponeringar</w:t>
            </w:r>
          </w:p>
        </w:tc>
        <w:tc>
          <w:tcPr>
            <w:tcW w:w="2745" w:type="dxa"/>
            <w:tcBorders>
              <w:left w:val="nil"/>
              <w:right w:val="nil"/>
            </w:tcBorders>
            <w:noWrap/>
          </w:tcPr>
          <w:p w:rsidRPr="00636CF7" w:rsidR="00691BF0" w:rsidP="009A26DB" w:rsidRDefault="00691BF0" w14:paraId="65948B7D" w14:textId="77777777">
            <w:pPr>
              <w:ind w:firstLine="201" w:firstLineChars="100"/>
              <w:jc w:val="center"/>
              <w:rPr>
                <w:rFonts w:ascii="Arial" w:hAnsi="Arial" w:eastAsia="Times New Roman" w:cs="Arial"/>
                <w:sz w:val="20"/>
                <w:szCs w:val="20"/>
              </w:rPr>
            </w:pPr>
            <w:r w:rsidRPr="00636CF7">
              <w:rPr>
                <w:rFonts w:ascii="Arial" w:hAnsi="Arial"/>
                <w:b/>
                <w:sz w:val="20"/>
              </w:rPr>
              <w:t>Belopp</w:t>
            </w:r>
          </w:p>
        </w:tc>
      </w:tr>
      <w:tr w:rsidRPr="00636CF7" w:rsidR="00691BF0" w:rsidTr="009A26DB" w14:paraId="00E6B539" w14:textId="77777777">
        <w:trPr>
          <w:trHeight w:val="300"/>
        </w:trPr>
        <w:tc>
          <w:tcPr>
            <w:tcW w:w="6804" w:type="dxa"/>
            <w:gridSpan w:val="2"/>
            <w:tcBorders>
              <w:left w:val="nil"/>
              <w:right w:val="nil"/>
            </w:tcBorders>
            <w:noWrap/>
            <w:hideMark/>
          </w:tcPr>
          <w:p w:rsidRPr="00636CF7" w:rsidR="00691BF0" w:rsidP="009A26DB" w:rsidRDefault="00691BF0" w14:paraId="4C7C8CE8" w14:textId="77777777">
            <w:pPr>
              <w:ind w:firstLine="200" w:firstLineChars="100"/>
              <w:rPr>
                <w:rFonts w:ascii="Arial" w:hAnsi="Arial" w:eastAsia="Times New Roman" w:cs="Arial"/>
                <w:sz w:val="20"/>
                <w:szCs w:val="20"/>
              </w:rPr>
            </w:pPr>
            <w:r w:rsidRPr="00636CF7">
              <w:rPr>
                <w:rFonts w:ascii="Arial" w:hAnsi="Arial"/>
                <w:sz w:val="20"/>
              </w:rPr>
              <w:t>a. Derivat</w:t>
            </w:r>
          </w:p>
        </w:tc>
        <w:tc>
          <w:tcPr>
            <w:tcW w:w="2745" w:type="dxa"/>
            <w:tcBorders>
              <w:left w:val="nil"/>
              <w:right w:val="nil"/>
            </w:tcBorders>
            <w:noWrap/>
            <w:hideMark/>
          </w:tcPr>
          <w:p w:rsidRPr="00636CF7" w:rsidR="00691BF0" w:rsidP="009A26DB" w:rsidRDefault="00691BF0" w14:paraId="61367300"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2EA09A74" w14:textId="77777777">
        <w:trPr>
          <w:trHeight w:val="300"/>
        </w:trPr>
        <w:tc>
          <w:tcPr>
            <w:tcW w:w="6804" w:type="dxa"/>
            <w:gridSpan w:val="2"/>
            <w:tcBorders>
              <w:left w:val="nil"/>
              <w:right w:val="nil"/>
            </w:tcBorders>
            <w:noWrap/>
            <w:hideMark/>
          </w:tcPr>
          <w:p w:rsidRPr="00636CF7" w:rsidR="00691BF0" w:rsidP="009A26DB" w:rsidRDefault="00691BF0" w14:paraId="2DC3069A"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Motpartsexponering för derivatkontrakt</w:t>
            </w:r>
          </w:p>
        </w:tc>
        <w:tc>
          <w:tcPr>
            <w:tcW w:w="2745" w:type="dxa"/>
            <w:tcBorders>
              <w:left w:val="nil"/>
              <w:right w:val="nil"/>
            </w:tcBorders>
            <w:noWrap/>
            <w:hideMark/>
          </w:tcPr>
          <w:p w:rsidRPr="00636CF7" w:rsidR="00691BF0" w:rsidP="009A26DB" w:rsidRDefault="00691BF0" w14:paraId="2DE112F2"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908AE58" w14:textId="77777777">
        <w:trPr>
          <w:trHeight w:val="300"/>
        </w:trPr>
        <w:tc>
          <w:tcPr>
            <w:tcW w:w="6804" w:type="dxa"/>
            <w:gridSpan w:val="2"/>
            <w:tcBorders>
              <w:left w:val="nil"/>
              <w:right w:val="nil"/>
            </w:tcBorders>
            <w:noWrap/>
            <w:hideMark/>
          </w:tcPr>
          <w:p w:rsidRPr="00636CF7" w:rsidR="00691BF0" w:rsidP="009A26DB" w:rsidRDefault="00691BF0" w14:paraId="62522FBD"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Kreditderivatens teoretiska begränsade belopp</w:t>
            </w:r>
          </w:p>
        </w:tc>
        <w:tc>
          <w:tcPr>
            <w:tcW w:w="2745" w:type="dxa"/>
            <w:tcBorders>
              <w:left w:val="nil"/>
              <w:right w:val="nil"/>
            </w:tcBorders>
            <w:noWrap/>
            <w:hideMark/>
          </w:tcPr>
          <w:p w:rsidRPr="00636CF7" w:rsidR="00691BF0" w:rsidP="009A26DB" w:rsidRDefault="00691BF0" w14:paraId="05FE54D2"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C8BD694" w14:textId="77777777">
        <w:trPr>
          <w:trHeight w:val="300"/>
        </w:trPr>
        <w:tc>
          <w:tcPr>
            <w:tcW w:w="6804" w:type="dxa"/>
            <w:gridSpan w:val="2"/>
            <w:tcBorders>
              <w:left w:val="nil"/>
              <w:right w:val="nil"/>
            </w:tcBorders>
            <w:noWrap/>
            <w:hideMark/>
          </w:tcPr>
          <w:p w:rsidRPr="00636CF7" w:rsidR="00691BF0" w:rsidP="009A26DB" w:rsidRDefault="00691BF0" w14:paraId="2D152655" w14:textId="6C230FDC">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Potentiell framtida exponering av derivatkontrakt</w:t>
            </w:r>
          </w:p>
        </w:tc>
        <w:tc>
          <w:tcPr>
            <w:tcW w:w="2745" w:type="dxa"/>
            <w:tcBorders>
              <w:left w:val="nil"/>
              <w:right w:val="nil"/>
            </w:tcBorders>
            <w:noWrap/>
            <w:hideMark/>
          </w:tcPr>
          <w:p w:rsidRPr="00636CF7" w:rsidR="00691BF0" w:rsidP="009A26DB" w:rsidRDefault="00691BF0" w14:paraId="1F6C65D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AC52F73" w14:textId="77777777">
        <w:trPr>
          <w:trHeight w:val="300"/>
        </w:trPr>
        <w:tc>
          <w:tcPr>
            <w:tcW w:w="6804" w:type="dxa"/>
            <w:gridSpan w:val="2"/>
            <w:tcBorders>
              <w:left w:val="nil"/>
              <w:right w:val="nil"/>
            </w:tcBorders>
            <w:noWrap/>
            <w:hideMark/>
          </w:tcPr>
          <w:p w:rsidRPr="00636CF7" w:rsidR="00691BF0" w:rsidP="009A26DB" w:rsidRDefault="00691BF0" w14:paraId="3BB3ADB4" w14:textId="77777777">
            <w:pPr>
              <w:ind w:firstLine="200" w:firstLineChars="100"/>
              <w:rPr>
                <w:rFonts w:ascii="Arial" w:hAnsi="Arial" w:eastAsia="Times New Roman" w:cs="Arial"/>
                <w:sz w:val="20"/>
                <w:szCs w:val="20"/>
              </w:rPr>
            </w:pPr>
            <w:r w:rsidRPr="00636CF7">
              <w:rPr>
                <w:rFonts w:ascii="Arial" w:hAnsi="Arial"/>
                <w:sz w:val="20"/>
              </w:rPr>
              <w:t>b. Transaktioner för värdepappersfinansiering</w:t>
            </w:r>
          </w:p>
        </w:tc>
        <w:tc>
          <w:tcPr>
            <w:tcW w:w="2745" w:type="dxa"/>
            <w:tcBorders>
              <w:left w:val="nil"/>
              <w:right w:val="nil"/>
            </w:tcBorders>
            <w:noWrap/>
            <w:hideMark/>
          </w:tcPr>
          <w:p w:rsidRPr="00636CF7" w:rsidR="00691BF0" w:rsidP="009A26DB" w:rsidRDefault="00691BF0" w14:paraId="771BA63B"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77640E12" w14:textId="77777777">
        <w:trPr>
          <w:trHeight w:val="300"/>
        </w:trPr>
        <w:tc>
          <w:tcPr>
            <w:tcW w:w="6804" w:type="dxa"/>
            <w:gridSpan w:val="2"/>
            <w:tcBorders>
              <w:left w:val="nil"/>
              <w:right w:val="nil"/>
            </w:tcBorders>
            <w:noWrap/>
            <w:hideMark/>
          </w:tcPr>
          <w:p w:rsidRPr="00636CF7" w:rsidR="00691BF0" w:rsidP="009A26DB" w:rsidRDefault="00691BF0" w14:paraId="79BA3F17"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Justerat bruttovärde av transaktioner för värdepappersfinansiering</w:t>
            </w:r>
          </w:p>
        </w:tc>
        <w:tc>
          <w:tcPr>
            <w:tcW w:w="2745" w:type="dxa"/>
            <w:tcBorders>
              <w:left w:val="nil"/>
              <w:right w:val="nil"/>
            </w:tcBorders>
            <w:noWrap/>
            <w:hideMark/>
          </w:tcPr>
          <w:p w:rsidRPr="00636CF7" w:rsidR="00691BF0" w:rsidP="009A26DB" w:rsidRDefault="00691BF0" w14:paraId="7913605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DF8708B" w14:textId="77777777">
        <w:trPr>
          <w:trHeight w:val="300"/>
        </w:trPr>
        <w:tc>
          <w:tcPr>
            <w:tcW w:w="6804" w:type="dxa"/>
            <w:gridSpan w:val="2"/>
            <w:tcBorders>
              <w:left w:val="nil"/>
              <w:right w:val="nil"/>
            </w:tcBorders>
            <w:noWrap/>
            <w:hideMark/>
          </w:tcPr>
          <w:p w:rsidRPr="00636CF7" w:rsidR="00691BF0" w:rsidP="009A26DB" w:rsidRDefault="00691BF0" w14:paraId="547CBD5A"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Motpartsexponering av transaktioner för värdepappersfinansiering</w:t>
            </w:r>
          </w:p>
        </w:tc>
        <w:tc>
          <w:tcPr>
            <w:tcW w:w="2745" w:type="dxa"/>
            <w:tcBorders>
              <w:left w:val="nil"/>
              <w:right w:val="nil"/>
            </w:tcBorders>
            <w:noWrap/>
            <w:hideMark/>
          </w:tcPr>
          <w:p w:rsidRPr="00636CF7" w:rsidR="00691BF0" w:rsidP="009A26DB" w:rsidRDefault="00691BF0" w14:paraId="5079066D"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15A727E" w14:textId="77777777">
        <w:trPr>
          <w:trHeight w:val="300"/>
        </w:trPr>
        <w:tc>
          <w:tcPr>
            <w:tcW w:w="6804" w:type="dxa"/>
            <w:gridSpan w:val="2"/>
            <w:tcBorders>
              <w:left w:val="nil"/>
              <w:right w:val="nil"/>
            </w:tcBorders>
            <w:noWrap/>
            <w:hideMark/>
          </w:tcPr>
          <w:p w:rsidRPr="00636CF7" w:rsidR="00691BF0" w:rsidP="009A26DB" w:rsidRDefault="00691BF0" w14:paraId="4F026261" w14:textId="77777777">
            <w:pPr>
              <w:ind w:firstLine="200" w:firstLineChars="100"/>
              <w:rPr>
                <w:rFonts w:ascii="Arial" w:hAnsi="Arial" w:eastAsia="Times New Roman" w:cs="Arial"/>
                <w:sz w:val="20"/>
                <w:szCs w:val="20"/>
              </w:rPr>
            </w:pPr>
            <w:r w:rsidRPr="00636CF7">
              <w:rPr>
                <w:rFonts w:ascii="Arial" w:hAnsi="Arial"/>
                <w:sz w:val="20"/>
              </w:rPr>
              <w:t>c. Övriga tillgångar</w:t>
            </w:r>
          </w:p>
        </w:tc>
        <w:tc>
          <w:tcPr>
            <w:tcW w:w="2745" w:type="dxa"/>
            <w:tcBorders>
              <w:left w:val="nil"/>
              <w:right w:val="nil"/>
            </w:tcBorders>
            <w:noWrap/>
            <w:hideMark/>
          </w:tcPr>
          <w:p w:rsidRPr="00636CF7" w:rsidR="00691BF0" w:rsidP="009A26DB" w:rsidRDefault="00691BF0" w14:paraId="298513E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9E04F4F" w14:textId="77777777">
        <w:trPr>
          <w:trHeight w:val="300"/>
        </w:trPr>
        <w:tc>
          <w:tcPr>
            <w:tcW w:w="6804" w:type="dxa"/>
            <w:gridSpan w:val="2"/>
            <w:tcBorders>
              <w:left w:val="nil"/>
              <w:right w:val="nil"/>
            </w:tcBorders>
            <w:noWrap/>
            <w:hideMark/>
          </w:tcPr>
          <w:p w:rsidRPr="00636CF7" w:rsidR="00691BF0" w:rsidP="009A26DB" w:rsidRDefault="00691BF0" w14:paraId="35E72E3B" w14:textId="77777777">
            <w:pPr>
              <w:ind w:firstLine="200" w:firstLineChars="100"/>
              <w:rPr>
                <w:rFonts w:ascii="Arial" w:hAnsi="Arial" w:eastAsia="Times New Roman" w:cs="Arial"/>
                <w:sz w:val="20"/>
                <w:szCs w:val="20"/>
              </w:rPr>
            </w:pPr>
            <w:r w:rsidRPr="00636CF7">
              <w:rPr>
                <w:rFonts w:ascii="Arial" w:hAnsi="Arial"/>
                <w:sz w:val="20"/>
              </w:rPr>
              <w:t>d. Teoretiskt bruttobelopp för poster utanför balansräkningen</w:t>
            </w:r>
          </w:p>
        </w:tc>
        <w:tc>
          <w:tcPr>
            <w:tcW w:w="2745" w:type="dxa"/>
            <w:tcBorders>
              <w:left w:val="nil"/>
              <w:right w:val="nil"/>
            </w:tcBorders>
            <w:noWrap/>
            <w:hideMark/>
          </w:tcPr>
          <w:p w:rsidRPr="00636CF7" w:rsidR="00691BF0" w:rsidP="009A26DB" w:rsidRDefault="00691BF0" w14:paraId="00E55AFD"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069E5C4A" w14:textId="77777777">
        <w:trPr>
          <w:trHeight w:val="300"/>
        </w:trPr>
        <w:tc>
          <w:tcPr>
            <w:tcW w:w="6804" w:type="dxa"/>
            <w:gridSpan w:val="2"/>
            <w:tcBorders>
              <w:left w:val="nil"/>
              <w:right w:val="nil"/>
            </w:tcBorders>
            <w:noWrap/>
            <w:hideMark/>
          </w:tcPr>
          <w:p w:rsidRPr="00636CF7" w:rsidR="00691BF0" w:rsidP="009A26DB" w:rsidRDefault="00691BF0" w14:paraId="2D4F7AC5"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Poster som omfattas av 0 % kreditkonverteringsfaktor (KKF)</w:t>
            </w:r>
          </w:p>
        </w:tc>
        <w:tc>
          <w:tcPr>
            <w:tcW w:w="2745" w:type="dxa"/>
            <w:tcBorders>
              <w:left w:val="nil"/>
              <w:right w:val="nil"/>
            </w:tcBorders>
            <w:noWrap/>
            <w:hideMark/>
          </w:tcPr>
          <w:p w:rsidRPr="00636CF7" w:rsidR="00691BF0" w:rsidP="009A26DB" w:rsidRDefault="00691BF0" w14:paraId="5D259A53"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DF7DEF3" w14:textId="77777777">
        <w:trPr>
          <w:trHeight w:val="300"/>
        </w:trPr>
        <w:tc>
          <w:tcPr>
            <w:tcW w:w="6804" w:type="dxa"/>
            <w:gridSpan w:val="2"/>
            <w:tcBorders>
              <w:left w:val="nil"/>
              <w:right w:val="nil"/>
            </w:tcBorders>
            <w:noWrap/>
            <w:hideMark/>
          </w:tcPr>
          <w:p w:rsidRPr="00636CF7" w:rsidR="00691BF0" w:rsidP="009A26DB" w:rsidRDefault="00691BF0" w14:paraId="04473936"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Poster som omfattas av 20 % KKF</w:t>
            </w:r>
          </w:p>
        </w:tc>
        <w:tc>
          <w:tcPr>
            <w:tcW w:w="2745" w:type="dxa"/>
            <w:tcBorders>
              <w:left w:val="nil"/>
              <w:right w:val="nil"/>
            </w:tcBorders>
            <w:noWrap/>
            <w:hideMark/>
          </w:tcPr>
          <w:p w:rsidRPr="00636CF7" w:rsidR="00691BF0" w:rsidP="009A26DB" w:rsidRDefault="00691BF0" w14:paraId="3B6A742E"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CF0865D" w14:textId="77777777">
        <w:trPr>
          <w:trHeight w:val="300"/>
        </w:trPr>
        <w:tc>
          <w:tcPr>
            <w:tcW w:w="6804" w:type="dxa"/>
            <w:gridSpan w:val="2"/>
            <w:tcBorders>
              <w:left w:val="nil"/>
              <w:right w:val="nil"/>
            </w:tcBorders>
            <w:noWrap/>
            <w:hideMark/>
          </w:tcPr>
          <w:p w:rsidRPr="00636CF7" w:rsidR="00691BF0" w:rsidP="009A26DB" w:rsidRDefault="00691BF0" w14:paraId="2931131B"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Poster som omfattas av 50 % KKF</w:t>
            </w:r>
          </w:p>
        </w:tc>
        <w:tc>
          <w:tcPr>
            <w:tcW w:w="2745" w:type="dxa"/>
            <w:tcBorders>
              <w:left w:val="nil"/>
              <w:right w:val="nil"/>
            </w:tcBorders>
            <w:noWrap/>
            <w:hideMark/>
          </w:tcPr>
          <w:p w:rsidRPr="00636CF7" w:rsidR="00691BF0" w:rsidP="009A26DB" w:rsidRDefault="00691BF0" w14:paraId="5AB6ABF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9B95F56" w14:textId="77777777">
        <w:trPr>
          <w:trHeight w:val="300"/>
        </w:trPr>
        <w:tc>
          <w:tcPr>
            <w:tcW w:w="6804" w:type="dxa"/>
            <w:gridSpan w:val="2"/>
            <w:tcBorders>
              <w:left w:val="nil"/>
              <w:right w:val="nil"/>
            </w:tcBorders>
            <w:noWrap/>
            <w:hideMark/>
          </w:tcPr>
          <w:p w:rsidRPr="00636CF7" w:rsidR="00691BF0" w:rsidP="009A26DB" w:rsidRDefault="00691BF0" w14:paraId="225F70E2" w14:textId="77777777">
            <w:pPr>
              <w:ind w:firstLine="400" w:firstLineChars="200"/>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 xml:space="preserve"> Poster som omfattas av 100 % KKF</w:t>
            </w:r>
          </w:p>
        </w:tc>
        <w:tc>
          <w:tcPr>
            <w:tcW w:w="2745" w:type="dxa"/>
            <w:tcBorders>
              <w:left w:val="nil"/>
              <w:right w:val="nil"/>
            </w:tcBorders>
            <w:noWrap/>
            <w:hideMark/>
          </w:tcPr>
          <w:p w:rsidRPr="00636CF7" w:rsidR="00691BF0" w:rsidP="009A26DB" w:rsidRDefault="00691BF0" w14:paraId="427A5270"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663AE8D" w14:textId="77777777">
        <w:trPr>
          <w:trHeight w:val="300"/>
        </w:trPr>
        <w:tc>
          <w:tcPr>
            <w:tcW w:w="6804" w:type="dxa"/>
            <w:gridSpan w:val="2"/>
            <w:tcBorders>
              <w:left w:val="nil"/>
              <w:right w:val="nil"/>
            </w:tcBorders>
            <w:noWrap/>
            <w:hideMark/>
          </w:tcPr>
          <w:p w:rsidRPr="00636CF7" w:rsidR="00691BF0" w:rsidP="009A26DB" w:rsidRDefault="00691BF0" w14:paraId="078B5F7B" w14:textId="77777777">
            <w:pPr>
              <w:ind w:firstLine="200" w:firstLineChars="100"/>
              <w:rPr>
                <w:rFonts w:ascii="Arial" w:hAnsi="Arial" w:eastAsia="Times New Roman" w:cs="Arial"/>
                <w:sz w:val="20"/>
                <w:szCs w:val="20"/>
              </w:rPr>
            </w:pPr>
            <w:r w:rsidRPr="00636CF7">
              <w:rPr>
                <w:rFonts w:ascii="Arial" w:hAnsi="Arial"/>
                <w:sz w:val="20"/>
              </w:rPr>
              <w:t>e. Regulatoriska justeringar</w:t>
            </w:r>
          </w:p>
        </w:tc>
        <w:tc>
          <w:tcPr>
            <w:tcW w:w="2745" w:type="dxa"/>
            <w:tcBorders>
              <w:left w:val="nil"/>
              <w:right w:val="nil"/>
            </w:tcBorders>
            <w:noWrap/>
            <w:hideMark/>
          </w:tcPr>
          <w:p w:rsidRPr="00636CF7" w:rsidR="00691BF0" w:rsidP="009A26DB" w:rsidRDefault="00691BF0" w14:paraId="08DAA11E"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EFB3664" w14:textId="77777777">
        <w:trPr>
          <w:trHeight w:val="300"/>
        </w:trPr>
        <w:tc>
          <w:tcPr>
            <w:tcW w:w="6804" w:type="dxa"/>
            <w:gridSpan w:val="2"/>
            <w:tcBorders>
              <w:left w:val="nil"/>
              <w:right w:val="nil"/>
            </w:tcBorders>
            <w:noWrap/>
          </w:tcPr>
          <w:p w:rsidRPr="00636CF7" w:rsidR="00691BF0" w:rsidP="009A26DB" w:rsidRDefault="00691BF0" w14:paraId="792C28F7" w14:textId="77777777">
            <w:pPr>
              <w:ind w:left="171" w:firstLine="28" w:firstLineChars="14"/>
              <w:rPr>
                <w:rFonts w:ascii="Arial" w:hAnsi="Arial" w:eastAsia="Times New Roman" w:cs="Arial"/>
                <w:sz w:val="20"/>
                <w:szCs w:val="20"/>
              </w:rPr>
            </w:pPr>
            <w:r w:rsidRPr="00636CF7">
              <w:rPr>
                <w:rFonts w:ascii="Arial" w:hAnsi="Arial"/>
                <w:sz w:val="20"/>
              </w:rPr>
              <w:lastRenderedPageBreak/>
              <w:t>f. Totala exponeringar före regulatoriska justeringar (summan av posterna 2 a.(1) till och med 2 c., 0,1 gånger 2 d(1), 0,2 gånger 2 d(2), 0,5 gånger 2 d(3) samt 2 d(4))</w:t>
            </w:r>
          </w:p>
        </w:tc>
        <w:tc>
          <w:tcPr>
            <w:tcW w:w="2745" w:type="dxa"/>
            <w:tcBorders>
              <w:left w:val="nil"/>
              <w:right w:val="nil"/>
            </w:tcBorders>
            <w:noWrap/>
          </w:tcPr>
          <w:p w:rsidRPr="00636CF7" w:rsidR="00691BF0" w:rsidP="009A26DB" w:rsidRDefault="00691BF0" w14:paraId="2E2C9274" w14:textId="77777777">
            <w:pPr>
              <w:jc w:val="right"/>
              <w:rPr>
                <w:rFonts w:ascii="Arial" w:hAnsi="Arial" w:eastAsia="Times New Roman" w:cs="Arial"/>
                <w:sz w:val="20"/>
                <w:szCs w:val="20"/>
                <w:lang w:eastAsia="en-GB"/>
              </w:rPr>
            </w:pPr>
          </w:p>
        </w:tc>
      </w:tr>
      <w:tr w:rsidRPr="00636CF7" w:rsidR="00691BF0" w:rsidTr="009A26DB" w14:paraId="63A74711" w14:textId="77777777">
        <w:trPr>
          <w:trHeight w:val="300"/>
        </w:trPr>
        <w:tc>
          <w:tcPr>
            <w:tcW w:w="6804" w:type="dxa"/>
            <w:gridSpan w:val="2"/>
            <w:tcBorders>
              <w:left w:val="nil"/>
              <w:right w:val="nil"/>
            </w:tcBorders>
            <w:noWrap/>
          </w:tcPr>
          <w:p w:rsidRPr="00636CF7" w:rsidR="00691BF0" w:rsidP="009A26DB" w:rsidRDefault="00691BF0" w14:paraId="06629AC2" w14:textId="77777777">
            <w:pPr>
              <w:ind w:left="171" w:firstLine="28" w:firstLineChars="14"/>
              <w:rPr>
                <w:rFonts w:ascii="Arial" w:hAnsi="Arial" w:eastAsia="Times New Roman" w:cs="Arial"/>
                <w:sz w:val="20"/>
                <w:szCs w:val="20"/>
              </w:rPr>
            </w:pPr>
            <w:r w:rsidRPr="00636CF7">
              <w:rPr>
                <w:rFonts w:ascii="Arial" w:hAnsi="Arial"/>
                <w:sz w:val="20"/>
              </w:rPr>
              <w:t>g. Exponeringar för försäkringsdotterföretag (dotterbolag som är försäkringsföretag) och som inte ingår i 2 f koncernintern nettoexponering:</w:t>
            </w:r>
          </w:p>
        </w:tc>
        <w:tc>
          <w:tcPr>
            <w:tcW w:w="2745" w:type="dxa"/>
            <w:tcBorders>
              <w:left w:val="nil"/>
              <w:right w:val="nil"/>
            </w:tcBorders>
            <w:noWrap/>
          </w:tcPr>
          <w:p w:rsidRPr="00636CF7" w:rsidR="00691BF0" w:rsidP="009A26DB" w:rsidRDefault="00691BF0" w14:paraId="0FD7C4D8" w14:textId="77777777">
            <w:pPr>
              <w:jc w:val="right"/>
              <w:rPr>
                <w:rFonts w:ascii="Arial" w:hAnsi="Arial" w:eastAsia="Times New Roman" w:cs="Arial"/>
                <w:sz w:val="20"/>
                <w:szCs w:val="20"/>
                <w:lang w:eastAsia="en-GB"/>
              </w:rPr>
            </w:pPr>
          </w:p>
        </w:tc>
      </w:tr>
      <w:tr w:rsidRPr="00636CF7" w:rsidR="00691BF0" w:rsidTr="009A26DB" w14:paraId="27055C5F" w14:textId="77777777">
        <w:trPr>
          <w:trHeight w:val="300"/>
        </w:trPr>
        <w:tc>
          <w:tcPr>
            <w:tcW w:w="6804" w:type="dxa"/>
            <w:gridSpan w:val="2"/>
            <w:tcBorders>
              <w:left w:val="nil"/>
              <w:right w:val="nil"/>
            </w:tcBorders>
            <w:noWrap/>
          </w:tcPr>
          <w:p w:rsidRPr="00636CF7" w:rsidR="00691BF0" w:rsidP="009A26DB" w:rsidRDefault="00691BF0" w14:paraId="235E44A6" w14:textId="77777777">
            <w:pPr>
              <w:ind w:left="720" w:firstLine="28" w:firstLineChars="14"/>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Försäkringsdotterföretags tillgångar i och utanför balansräkningen</w:t>
            </w:r>
          </w:p>
        </w:tc>
        <w:tc>
          <w:tcPr>
            <w:tcW w:w="2745" w:type="dxa"/>
            <w:tcBorders>
              <w:left w:val="nil"/>
              <w:right w:val="nil"/>
            </w:tcBorders>
            <w:noWrap/>
          </w:tcPr>
          <w:p w:rsidRPr="00636CF7" w:rsidR="00691BF0" w:rsidP="009A26DB" w:rsidRDefault="00691BF0" w14:paraId="727C563D" w14:textId="77777777">
            <w:pPr>
              <w:jc w:val="right"/>
              <w:rPr>
                <w:rFonts w:ascii="Arial" w:hAnsi="Arial" w:eastAsia="Times New Roman" w:cs="Arial"/>
                <w:sz w:val="20"/>
                <w:szCs w:val="20"/>
                <w:lang w:eastAsia="en-GB"/>
              </w:rPr>
            </w:pPr>
          </w:p>
        </w:tc>
      </w:tr>
      <w:tr w:rsidRPr="00636CF7" w:rsidR="00691BF0" w:rsidTr="009A26DB" w14:paraId="23352917" w14:textId="77777777">
        <w:trPr>
          <w:trHeight w:val="300"/>
        </w:trPr>
        <w:tc>
          <w:tcPr>
            <w:tcW w:w="6804" w:type="dxa"/>
            <w:gridSpan w:val="2"/>
            <w:tcBorders>
              <w:left w:val="nil"/>
              <w:right w:val="nil"/>
            </w:tcBorders>
            <w:noWrap/>
          </w:tcPr>
          <w:p w:rsidRPr="00636CF7" w:rsidR="00691BF0" w:rsidP="009A26DB" w:rsidRDefault="00691BF0" w14:paraId="13B565E2" w14:textId="77777777">
            <w:pPr>
              <w:ind w:left="720" w:firstLine="28" w:firstLineChars="14"/>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Potentiell framtida exponering av derivatkontrakt för försäkringsdotterföretag</w:t>
            </w:r>
          </w:p>
        </w:tc>
        <w:tc>
          <w:tcPr>
            <w:tcW w:w="2745" w:type="dxa"/>
            <w:tcBorders>
              <w:left w:val="nil"/>
              <w:right w:val="nil"/>
            </w:tcBorders>
            <w:noWrap/>
          </w:tcPr>
          <w:p w:rsidRPr="00636CF7" w:rsidR="00691BF0" w:rsidP="009A26DB" w:rsidRDefault="00691BF0" w14:paraId="31123983" w14:textId="77777777">
            <w:pPr>
              <w:jc w:val="right"/>
              <w:rPr>
                <w:rFonts w:ascii="Arial" w:hAnsi="Arial" w:eastAsia="Times New Roman" w:cs="Arial"/>
                <w:sz w:val="20"/>
                <w:szCs w:val="20"/>
                <w:lang w:eastAsia="en-GB"/>
              </w:rPr>
            </w:pPr>
          </w:p>
        </w:tc>
      </w:tr>
      <w:tr w:rsidRPr="00636CF7" w:rsidR="00691BF0" w:rsidTr="009A26DB" w14:paraId="638069E0" w14:textId="77777777">
        <w:trPr>
          <w:trHeight w:val="300"/>
        </w:trPr>
        <w:tc>
          <w:tcPr>
            <w:tcW w:w="6804" w:type="dxa"/>
            <w:gridSpan w:val="2"/>
            <w:tcBorders>
              <w:left w:val="nil"/>
              <w:right w:val="nil"/>
            </w:tcBorders>
            <w:noWrap/>
          </w:tcPr>
          <w:p w:rsidRPr="00636CF7" w:rsidR="00691BF0" w:rsidP="009A26DB" w:rsidRDefault="00691BF0" w14:paraId="49760A4E" w14:textId="77777777">
            <w:pPr>
              <w:ind w:left="720" w:firstLine="28" w:firstLineChars="14"/>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Investeringsvärde i konsoliderade enheter</w:t>
            </w:r>
          </w:p>
        </w:tc>
        <w:tc>
          <w:tcPr>
            <w:tcW w:w="2745" w:type="dxa"/>
            <w:tcBorders>
              <w:left w:val="nil"/>
              <w:right w:val="nil"/>
            </w:tcBorders>
            <w:noWrap/>
          </w:tcPr>
          <w:p w:rsidRPr="00636CF7" w:rsidR="00691BF0" w:rsidP="009A26DB" w:rsidRDefault="00691BF0" w14:paraId="50763FF5" w14:textId="77777777">
            <w:pPr>
              <w:jc w:val="right"/>
              <w:rPr>
                <w:rFonts w:ascii="Arial" w:hAnsi="Arial" w:eastAsia="Times New Roman" w:cs="Arial"/>
                <w:sz w:val="20"/>
                <w:szCs w:val="20"/>
                <w:lang w:eastAsia="en-GB"/>
              </w:rPr>
            </w:pPr>
          </w:p>
        </w:tc>
      </w:tr>
      <w:tr w:rsidRPr="00636CF7" w:rsidR="00691BF0" w:rsidTr="009A26DB" w14:paraId="069293DB" w14:textId="77777777">
        <w:trPr>
          <w:trHeight w:val="300"/>
        </w:trPr>
        <w:tc>
          <w:tcPr>
            <w:tcW w:w="6804" w:type="dxa"/>
            <w:gridSpan w:val="2"/>
            <w:tcBorders>
              <w:left w:val="nil"/>
              <w:right w:val="nil"/>
            </w:tcBorders>
            <w:noWrap/>
          </w:tcPr>
          <w:p w:rsidRPr="00636CF7" w:rsidR="00691BF0" w:rsidP="009A26DB" w:rsidRDefault="00691BF0" w14:paraId="506AA857" w14:textId="77777777">
            <w:pPr>
              <w:ind w:left="171"/>
              <w:rPr>
                <w:rFonts w:ascii="Arial" w:hAnsi="Arial" w:eastAsia="Times New Roman" w:cs="Arial"/>
                <w:sz w:val="20"/>
                <w:szCs w:val="20"/>
              </w:rPr>
            </w:pPr>
            <w:r w:rsidRPr="00636CF7">
              <w:rPr>
                <w:rFonts w:ascii="Arial" w:hAnsi="Arial"/>
                <w:sz w:val="20"/>
              </w:rPr>
              <w:t>h. Koncerninterna exponeringar som ingår i 2 f. mot försäkringsdotterföretag som rapporteras under 2 g.</w:t>
            </w:r>
          </w:p>
        </w:tc>
        <w:tc>
          <w:tcPr>
            <w:tcW w:w="2745" w:type="dxa"/>
            <w:tcBorders>
              <w:left w:val="nil"/>
              <w:right w:val="nil"/>
            </w:tcBorders>
            <w:noWrap/>
          </w:tcPr>
          <w:p w:rsidRPr="00636CF7" w:rsidR="00691BF0" w:rsidP="009A26DB" w:rsidRDefault="00691BF0" w14:paraId="26C8F603" w14:textId="77777777">
            <w:pPr>
              <w:jc w:val="right"/>
              <w:rPr>
                <w:rFonts w:ascii="Arial" w:hAnsi="Arial" w:eastAsia="Times New Roman" w:cs="Arial"/>
                <w:sz w:val="20"/>
                <w:szCs w:val="20"/>
                <w:lang w:eastAsia="en-GB"/>
              </w:rPr>
            </w:pPr>
          </w:p>
        </w:tc>
      </w:tr>
      <w:tr w:rsidRPr="00636CF7" w:rsidR="00691BF0" w:rsidTr="009A26DB" w14:paraId="1EEE03CD"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03EE5F7" w14:textId="77777777">
            <w:pPr>
              <w:ind w:left="171"/>
              <w:rPr>
                <w:rFonts w:ascii="Arial" w:hAnsi="Arial" w:eastAsia="Times New Roman" w:cs="Arial"/>
                <w:sz w:val="20"/>
                <w:szCs w:val="20"/>
              </w:rPr>
            </w:pPr>
            <w:r w:rsidRPr="00636CF7">
              <w:rPr>
                <w:rFonts w:ascii="Arial" w:hAnsi="Arial"/>
                <w:sz w:val="20"/>
              </w:rPr>
              <w:t>i. Indikator för totala exponeringar, inbegripet försäkringsdotterföretag (summan av posterna 2 f, 2 g(1) till 2 g(2) minus 2 g(3) till 2 h)</w:t>
            </w:r>
          </w:p>
        </w:tc>
        <w:tc>
          <w:tcPr>
            <w:tcW w:w="2745" w:type="dxa"/>
            <w:tcBorders>
              <w:left w:val="nil"/>
              <w:bottom w:val="single" w:color="auto" w:sz="4" w:space="0"/>
              <w:right w:val="nil"/>
            </w:tcBorders>
            <w:noWrap/>
          </w:tcPr>
          <w:p w:rsidRPr="00636CF7" w:rsidR="00691BF0" w:rsidP="009A26DB" w:rsidRDefault="00691BF0" w14:paraId="4809116B" w14:textId="77777777">
            <w:pPr>
              <w:jc w:val="right"/>
              <w:rPr>
                <w:rFonts w:ascii="Arial" w:hAnsi="Arial" w:eastAsia="Times New Roman" w:cs="Arial"/>
                <w:sz w:val="20"/>
                <w:szCs w:val="20"/>
                <w:lang w:eastAsia="en-GB"/>
              </w:rPr>
            </w:pPr>
          </w:p>
        </w:tc>
      </w:tr>
      <w:tr w:rsidRPr="00636CF7" w:rsidR="00691BF0" w:rsidTr="009A26DB" w14:paraId="6CDB989C" w14:textId="77777777">
        <w:trPr>
          <w:trHeight w:val="403"/>
        </w:trPr>
        <w:tc>
          <w:tcPr>
            <w:tcW w:w="9549" w:type="dxa"/>
            <w:gridSpan w:val="3"/>
            <w:tcBorders>
              <w:left w:val="nil"/>
              <w:right w:val="nil"/>
            </w:tcBorders>
            <w:noWrap/>
            <w:hideMark/>
          </w:tcPr>
          <w:p w:rsidRPr="00636CF7" w:rsidR="00691BF0" w:rsidP="009A26DB" w:rsidRDefault="00691BF0" w14:paraId="2C147F5A"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636CF7" w:rsidR="00691BF0" w:rsidP="009A26DB" w:rsidRDefault="00691BF0" w14:paraId="29667C29" w14:textId="77777777">
            <w:pPr>
              <w:keepNext/>
              <w:keepLines/>
              <w:spacing w:before="47"/>
              <w:outlineLvl w:val="5"/>
              <w:rPr>
                <w:rFonts w:ascii="Arial" w:hAnsi="Arial" w:eastAsia="Times New Roman" w:cs="Arial"/>
                <w:i/>
                <w:iCs/>
                <w:caps/>
                <w:color w:val="172B39" w:themeColor="accent1" w:themeShade="80"/>
                <w:sz w:val="20"/>
                <w:szCs w:val="20"/>
              </w:rPr>
            </w:pPr>
            <w:r w:rsidRPr="00636CF7">
              <w:rPr>
                <w:rFonts w:ascii="Arial" w:hAnsi="Arial"/>
                <w:b/>
                <w:i/>
                <w:caps/>
                <w:color w:val="172B39" w:themeColor="accent1" w:themeShade="80"/>
                <w:sz w:val="24"/>
              </w:rPr>
              <w:t> </w:t>
            </w:r>
            <w:r w:rsidRPr="00636CF7">
              <w:rPr>
                <w:rFonts w:asciiTheme="majorHAnsi" w:hAnsiTheme="majorHAnsi"/>
                <w:b/>
                <w:i/>
                <w:caps/>
              </w:rPr>
              <w:t>Indikatorer som gäller sammanlänkningar</w:t>
            </w:r>
          </w:p>
          <w:p w:rsidRPr="00636CF7" w:rsidR="00691BF0" w:rsidP="009A26DB" w:rsidRDefault="00691BF0" w14:paraId="5BB5E9EA" w14:textId="77777777">
            <w:pPr>
              <w:rPr>
                <w:rFonts w:ascii="Arial" w:hAnsi="Arial" w:eastAsia="Times New Roman" w:cs="Arial"/>
                <w:b/>
                <w:bCs/>
                <w:sz w:val="24"/>
                <w:szCs w:val="24"/>
              </w:rPr>
            </w:pPr>
            <w:r w:rsidRPr="00636CF7">
              <w:rPr>
                <w:rFonts w:ascii="Arial" w:hAnsi="Arial"/>
                <w:b/>
                <w:sz w:val="24"/>
              </w:rPr>
              <w:t> </w:t>
            </w:r>
          </w:p>
        </w:tc>
      </w:tr>
      <w:tr w:rsidRPr="00636CF7" w:rsidR="00691BF0" w:rsidTr="009A26DB" w14:paraId="3C971A6F"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3F7A9A60" w14:textId="77777777">
            <w:pPr>
              <w:rPr>
                <w:rFonts w:ascii="Arial" w:hAnsi="Arial" w:eastAsia="Times New Roman" w:cs="Arial"/>
                <w:b/>
                <w:bCs/>
                <w:sz w:val="20"/>
                <w:szCs w:val="20"/>
              </w:rPr>
            </w:pPr>
            <w:r w:rsidRPr="00636CF7">
              <w:rPr>
                <w:rFonts w:ascii="Arial" w:hAnsi="Arial"/>
                <w:b/>
                <w:sz w:val="20"/>
              </w:rPr>
              <w:t>Avsnitt 3 – Tillgångar hos andra finansinstitut</w:t>
            </w:r>
          </w:p>
        </w:tc>
        <w:tc>
          <w:tcPr>
            <w:tcW w:w="2745" w:type="dxa"/>
            <w:tcBorders>
              <w:left w:val="nil"/>
              <w:bottom w:val="single" w:color="auto" w:sz="4" w:space="0"/>
              <w:right w:val="nil"/>
            </w:tcBorders>
            <w:hideMark/>
          </w:tcPr>
          <w:p w:rsidRPr="00636CF7" w:rsidR="00691BF0" w:rsidP="009A26DB" w:rsidRDefault="00691BF0" w14:paraId="5D811889"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20FE0DE1" w14:textId="77777777">
        <w:trPr>
          <w:trHeight w:val="300"/>
        </w:trPr>
        <w:tc>
          <w:tcPr>
            <w:tcW w:w="6804" w:type="dxa"/>
            <w:gridSpan w:val="2"/>
            <w:tcBorders>
              <w:left w:val="nil"/>
              <w:right w:val="nil"/>
            </w:tcBorders>
            <w:noWrap/>
            <w:hideMark/>
          </w:tcPr>
          <w:p w:rsidRPr="00636CF7" w:rsidR="00691BF0" w:rsidP="009A26DB" w:rsidRDefault="00691BF0" w14:paraId="0BDDE5ED" w14:textId="77777777">
            <w:pPr>
              <w:ind w:firstLine="200" w:firstLineChars="100"/>
              <w:rPr>
                <w:rFonts w:ascii="Arial" w:hAnsi="Arial" w:eastAsia="Times New Roman" w:cs="Arial"/>
                <w:sz w:val="20"/>
                <w:szCs w:val="20"/>
              </w:rPr>
            </w:pPr>
            <w:r w:rsidRPr="00636CF7">
              <w:rPr>
                <w:rFonts w:ascii="Arial" w:hAnsi="Arial"/>
                <w:sz w:val="20"/>
              </w:rPr>
              <w:t>a. Medel som satts in hos eller lånats ut till andra finansiella institut</w:t>
            </w:r>
          </w:p>
        </w:tc>
        <w:tc>
          <w:tcPr>
            <w:tcW w:w="2745" w:type="dxa"/>
            <w:tcBorders>
              <w:left w:val="nil"/>
              <w:right w:val="nil"/>
            </w:tcBorders>
            <w:noWrap/>
            <w:hideMark/>
          </w:tcPr>
          <w:p w:rsidRPr="00636CF7" w:rsidR="00691BF0" w:rsidP="009A26DB" w:rsidRDefault="00691BF0" w14:paraId="5ACA612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3538A2E"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4D673C1E"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 xml:space="preserve">Insättningsbevis </w:t>
            </w:r>
          </w:p>
        </w:tc>
        <w:tc>
          <w:tcPr>
            <w:tcW w:w="2745" w:type="dxa"/>
            <w:tcBorders>
              <w:left w:val="nil"/>
              <w:right w:val="nil"/>
            </w:tcBorders>
            <w:noWrap/>
            <w:hideMark/>
          </w:tcPr>
          <w:p w:rsidRPr="00636CF7" w:rsidR="00691BF0" w:rsidP="009A26DB" w:rsidRDefault="00691BF0" w14:paraId="0C7A1A6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DE75F4F" w14:textId="77777777">
        <w:trPr>
          <w:gridAfter w:val="1"/>
          <w:wAfter w:w="2745" w:type="dxa"/>
          <w:trHeight w:val="300"/>
        </w:trPr>
        <w:tc>
          <w:tcPr>
            <w:tcW w:w="6804" w:type="dxa"/>
            <w:gridSpan w:val="2"/>
            <w:tcBorders>
              <w:left w:val="nil"/>
              <w:right w:val="nil"/>
            </w:tcBorders>
            <w:noWrap/>
            <w:hideMark/>
          </w:tcPr>
          <w:p w:rsidRPr="00636CF7" w:rsidR="00691BF0" w:rsidP="009A26DB" w:rsidRDefault="00691BF0" w14:paraId="76E8D95B" w14:textId="77777777">
            <w:pPr>
              <w:ind w:left="171" w:firstLine="28" w:firstLineChars="14"/>
              <w:rPr>
                <w:rFonts w:ascii="Arial" w:hAnsi="Arial" w:eastAsia="Times New Roman" w:cs="Arial"/>
                <w:sz w:val="20"/>
                <w:szCs w:val="20"/>
              </w:rPr>
            </w:pPr>
            <w:r w:rsidRPr="00636CF7">
              <w:rPr>
                <w:rFonts w:ascii="Arial" w:hAnsi="Arial"/>
                <w:sz w:val="20"/>
              </w:rPr>
              <w:t>b Outnyttjade andelar av kreditmöjligheter utvidgade till andra finansinstitut</w:t>
            </w:r>
          </w:p>
        </w:tc>
      </w:tr>
      <w:tr w:rsidRPr="00636CF7" w:rsidR="00691BF0" w:rsidTr="009A26DB" w14:paraId="57286D2B" w14:textId="77777777">
        <w:trPr>
          <w:trHeight w:val="300"/>
        </w:trPr>
        <w:tc>
          <w:tcPr>
            <w:tcW w:w="6804" w:type="dxa"/>
            <w:gridSpan w:val="2"/>
            <w:tcBorders>
              <w:left w:val="nil"/>
              <w:right w:val="nil"/>
            </w:tcBorders>
            <w:noWrap/>
            <w:hideMark/>
          </w:tcPr>
          <w:p w:rsidRPr="00636CF7" w:rsidR="00691BF0" w:rsidP="009A26DB" w:rsidRDefault="00691BF0" w14:paraId="10403F3B" w14:textId="77777777">
            <w:pPr>
              <w:ind w:firstLine="200" w:firstLineChars="100"/>
              <w:rPr>
                <w:rFonts w:ascii="Arial" w:hAnsi="Arial" w:eastAsia="Times New Roman" w:cs="Arial"/>
                <w:sz w:val="20"/>
                <w:szCs w:val="20"/>
              </w:rPr>
            </w:pPr>
            <w:r w:rsidRPr="00636CF7">
              <w:rPr>
                <w:rFonts w:ascii="Arial" w:hAnsi="Arial"/>
                <w:sz w:val="20"/>
              </w:rPr>
              <w:t>c. Innehav av värdepapper som emitterats av andra finansinstitut</w:t>
            </w:r>
          </w:p>
        </w:tc>
        <w:tc>
          <w:tcPr>
            <w:tcW w:w="2745" w:type="dxa"/>
            <w:tcBorders>
              <w:left w:val="nil"/>
              <w:right w:val="nil"/>
            </w:tcBorders>
            <w:noWrap/>
            <w:hideMark/>
          </w:tcPr>
          <w:p w:rsidRPr="00636CF7" w:rsidR="00691BF0" w:rsidP="009A26DB" w:rsidRDefault="00691BF0" w14:paraId="0BC672A2"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3EC1C92B" w14:textId="77777777">
        <w:trPr>
          <w:trHeight w:val="300"/>
        </w:trPr>
        <w:tc>
          <w:tcPr>
            <w:tcW w:w="6804" w:type="dxa"/>
            <w:gridSpan w:val="2"/>
            <w:tcBorders>
              <w:left w:val="nil"/>
              <w:right w:val="nil"/>
            </w:tcBorders>
            <w:noWrap/>
            <w:hideMark/>
          </w:tcPr>
          <w:p w:rsidRPr="00636CF7" w:rsidR="00691BF0" w:rsidP="009A26DB" w:rsidRDefault="00691BF0" w14:paraId="44F0ECED"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Räntebärande värdepapper med säkerhet</w:t>
            </w:r>
          </w:p>
        </w:tc>
        <w:tc>
          <w:tcPr>
            <w:tcW w:w="2745" w:type="dxa"/>
            <w:tcBorders>
              <w:left w:val="nil"/>
              <w:right w:val="nil"/>
            </w:tcBorders>
            <w:noWrap/>
            <w:hideMark/>
          </w:tcPr>
          <w:p w:rsidRPr="00636CF7" w:rsidR="00691BF0" w:rsidP="009A26DB" w:rsidRDefault="00691BF0" w14:paraId="69BE25E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B7DA6AD" w14:textId="77777777">
        <w:trPr>
          <w:trHeight w:val="300"/>
        </w:trPr>
        <w:tc>
          <w:tcPr>
            <w:tcW w:w="6804" w:type="dxa"/>
            <w:gridSpan w:val="2"/>
            <w:tcBorders>
              <w:left w:val="nil"/>
              <w:right w:val="nil"/>
            </w:tcBorders>
            <w:noWrap/>
            <w:hideMark/>
          </w:tcPr>
          <w:p w:rsidRPr="00636CF7" w:rsidR="00691BF0" w:rsidP="009A26DB" w:rsidRDefault="00691BF0" w14:paraId="2B4F48D2"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Prioriterade räntebärande värdepapper utan säkerhet</w:t>
            </w:r>
          </w:p>
        </w:tc>
        <w:tc>
          <w:tcPr>
            <w:tcW w:w="2745" w:type="dxa"/>
            <w:tcBorders>
              <w:left w:val="nil"/>
              <w:right w:val="nil"/>
            </w:tcBorders>
            <w:noWrap/>
            <w:hideMark/>
          </w:tcPr>
          <w:p w:rsidRPr="00636CF7" w:rsidR="00691BF0" w:rsidP="009A26DB" w:rsidRDefault="00691BF0" w14:paraId="1BA95DB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25571CB" w14:textId="77777777">
        <w:trPr>
          <w:trHeight w:val="300"/>
        </w:trPr>
        <w:tc>
          <w:tcPr>
            <w:tcW w:w="6804" w:type="dxa"/>
            <w:gridSpan w:val="2"/>
            <w:tcBorders>
              <w:left w:val="nil"/>
              <w:right w:val="nil"/>
            </w:tcBorders>
            <w:noWrap/>
            <w:hideMark/>
          </w:tcPr>
          <w:p w:rsidRPr="00636CF7" w:rsidR="00691BF0" w:rsidP="009A26DB" w:rsidRDefault="00691BF0" w14:paraId="2E700939"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Efterställda räntebärande värdepapper</w:t>
            </w:r>
          </w:p>
        </w:tc>
        <w:tc>
          <w:tcPr>
            <w:tcW w:w="2745" w:type="dxa"/>
            <w:tcBorders>
              <w:left w:val="nil"/>
              <w:right w:val="nil"/>
            </w:tcBorders>
            <w:noWrap/>
            <w:hideMark/>
          </w:tcPr>
          <w:p w:rsidRPr="00636CF7" w:rsidR="00691BF0" w:rsidP="009A26DB" w:rsidRDefault="00691BF0" w14:paraId="1B1EA96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4D27643" w14:textId="77777777">
        <w:trPr>
          <w:trHeight w:val="300"/>
        </w:trPr>
        <w:tc>
          <w:tcPr>
            <w:tcW w:w="6804" w:type="dxa"/>
            <w:gridSpan w:val="2"/>
            <w:tcBorders>
              <w:left w:val="nil"/>
              <w:right w:val="nil"/>
            </w:tcBorders>
            <w:noWrap/>
            <w:hideMark/>
          </w:tcPr>
          <w:p w:rsidRPr="00636CF7" w:rsidR="00691BF0" w:rsidP="009A26DB" w:rsidRDefault="00691BF0" w14:paraId="22FB3404" w14:textId="77777777">
            <w:pPr>
              <w:ind w:firstLine="400" w:firstLineChars="200"/>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 xml:space="preserve">Företagscertifikat </w:t>
            </w:r>
          </w:p>
        </w:tc>
        <w:tc>
          <w:tcPr>
            <w:tcW w:w="2745" w:type="dxa"/>
            <w:tcBorders>
              <w:left w:val="nil"/>
              <w:right w:val="nil"/>
            </w:tcBorders>
            <w:noWrap/>
            <w:hideMark/>
          </w:tcPr>
          <w:p w:rsidRPr="00636CF7" w:rsidR="00691BF0" w:rsidP="009A26DB" w:rsidRDefault="00691BF0" w14:paraId="1A074AE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A2B1E4C"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390FAE19" w14:textId="77777777">
            <w:pPr>
              <w:ind w:firstLine="400" w:firstLineChars="200"/>
              <w:rPr>
                <w:rFonts w:ascii="Arial" w:hAnsi="Arial" w:eastAsia="Times New Roman" w:cs="Arial"/>
                <w:sz w:val="20"/>
                <w:szCs w:val="20"/>
              </w:rPr>
            </w:pPr>
            <w:r w:rsidRPr="00636CF7">
              <w:rPr>
                <w:rFonts w:ascii="Arial" w:hAnsi="Arial"/>
                <w:sz w:val="20"/>
                <w:lang w:eastAsia="en-GB"/>
              </w:rPr>
              <w:t xml:space="preserve">(5) </w:t>
            </w:r>
            <w:r w:rsidRPr="00636CF7">
              <w:rPr>
                <w:rFonts w:ascii="Arial" w:hAnsi="Arial"/>
                <w:sz w:val="20"/>
              </w:rPr>
              <w:t>Aktierelaterade värdepapper</w:t>
            </w:r>
          </w:p>
        </w:tc>
        <w:tc>
          <w:tcPr>
            <w:tcW w:w="2745" w:type="dxa"/>
            <w:tcBorders>
              <w:left w:val="nil"/>
              <w:right w:val="nil"/>
            </w:tcBorders>
            <w:noWrap/>
            <w:hideMark/>
          </w:tcPr>
          <w:p w:rsidRPr="00636CF7" w:rsidR="00691BF0" w:rsidP="009A26DB" w:rsidRDefault="00691BF0" w14:paraId="2996D30B"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1C276AB"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3360029" w14:textId="77777777">
            <w:pPr>
              <w:ind w:left="313" w:firstLine="86" w:firstLineChars="43"/>
              <w:rPr>
                <w:rFonts w:ascii="Arial" w:hAnsi="Arial" w:eastAsia="Times New Roman" w:cs="Arial"/>
                <w:sz w:val="20"/>
                <w:szCs w:val="20"/>
              </w:rPr>
            </w:pPr>
            <w:r w:rsidRPr="00636CF7">
              <w:rPr>
                <w:rFonts w:ascii="Arial" w:hAnsi="Arial"/>
                <w:sz w:val="20"/>
                <w:lang w:eastAsia="en-GB"/>
              </w:rPr>
              <w:t xml:space="preserve">(6) </w:t>
            </w:r>
            <w:r w:rsidRPr="00636CF7">
              <w:rPr>
                <w:rFonts w:ascii="Arial" w:hAnsi="Arial"/>
                <w:sz w:val="20"/>
              </w:rPr>
              <w:t>Avräkning av korta positioner i förhållande till de specifika aktieinnehav som ingår i post 3 c(5)</w:t>
            </w:r>
          </w:p>
        </w:tc>
        <w:tc>
          <w:tcPr>
            <w:tcW w:w="2745" w:type="dxa"/>
            <w:tcBorders>
              <w:left w:val="nil"/>
              <w:right w:val="nil"/>
            </w:tcBorders>
            <w:noWrap/>
          </w:tcPr>
          <w:p w:rsidRPr="00636CF7" w:rsidR="00691BF0" w:rsidP="009A26DB" w:rsidRDefault="00691BF0" w14:paraId="49B0E15D" w14:textId="77777777">
            <w:pPr>
              <w:jc w:val="right"/>
              <w:rPr>
                <w:rFonts w:ascii="Arial" w:hAnsi="Arial" w:eastAsia="Times New Roman" w:cs="Arial"/>
                <w:sz w:val="20"/>
                <w:szCs w:val="20"/>
                <w:lang w:eastAsia="en-GB"/>
              </w:rPr>
            </w:pPr>
          </w:p>
        </w:tc>
      </w:tr>
      <w:tr w:rsidRPr="00636CF7" w:rsidR="00691BF0" w:rsidTr="009A26DB" w14:paraId="6DF91DF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C4F4C59" w14:textId="77777777">
            <w:pPr>
              <w:ind w:firstLine="171"/>
              <w:rPr>
                <w:rFonts w:ascii="Arial" w:hAnsi="Arial" w:eastAsia="Times New Roman" w:cs="Arial"/>
                <w:sz w:val="20"/>
                <w:szCs w:val="20"/>
              </w:rPr>
            </w:pPr>
            <w:r w:rsidRPr="00636CF7">
              <w:rPr>
                <w:rFonts w:ascii="Arial" w:hAnsi="Arial"/>
                <w:sz w:val="20"/>
              </w:rPr>
              <w:t>d. Den aktuella positiva nettoexponeringen för transaktioner för värdepappersfinansiering med andra finansinstitut</w:t>
            </w:r>
          </w:p>
        </w:tc>
        <w:tc>
          <w:tcPr>
            <w:tcW w:w="2745" w:type="dxa"/>
            <w:tcBorders>
              <w:left w:val="nil"/>
              <w:right w:val="nil"/>
            </w:tcBorders>
            <w:noWrap/>
          </w:tcPr>
          <w:p w:rsidRPr="00636CF7" w:rsidR="00691BF0" w:rsidP="009A26DB" w:rsidRDefault="00691BF0" w14:paraId="4930BE16" w14:textId="77777777">
            <w:pPr>
              <w:jc w:val="right"/>
              <w:rPr>
                <w:rFonts w:ascii="Arial" w:hAnsi="Arial" w:eastAsia="Times New Roman" w:cs="Arial"/>
                <w:sz w:val="20"/>
                <w:szCs w:val="20"/>
                <w:lang w:eastAsia="en-GB"/>
              </w:rPr>
            </w:pPr>
          </w:p>
        </w:tc>
      </w:tr>
      <w:tr w:rsidRPr="00636CF7" w:rsidR="00691BF0" w:rsidTr="009A26DB" w14:paraId="60B5691E"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8FF93FB" w14:textId="77777777">
            <w:pPr>
              <w:ind w:left="171"/>
              <w:rPr>
                <w:rFonts w:ascii="Arial" w:hAnsi="Arial" w:eastAsia="Times New Roman" w:cs="Arial"/>
                <w:sz w:val="20"/>
                <w:szCs w:val="20"/>
              </w:rPr>
            </w:pPr>
            <w:r w:rsidRPr="00636CF7">
              <w:rPr>
                <w:rFonts w:ascii="Arial" w:hAnsi="Arial"/>
                <w:sz w:val="20"/>
              </w:rPr>
              <w:t>e. OTC-derivat hos andra finansinstitut som har ett verkligt positivt nettovärde</w:t>
            </w:r>
          </w:p>
        </w:tc>
        <w:tc>
          <w:tcPr>
            <w:tcW w:w="2745" w:type="dxa"/>
            <w:tcBorders>
              <w:left w:val="nil"/>
              <w:right w:val="nil"/>
            </w:tcBorders>
            <w:noWrap/>
          </w:tcPr>
          <w:p w:rsidRPr="00636CF7" w:rsidR="00691BF0" w:rsidP="009A26DB" w:rsidRDefault="00691BF0" w14:paraId="4FDCB26A" w14:textId="77777777">
            <w:pPr>
              <w:jc w:val="right"/>
              <w:rPr>
                <w:rFonts w:ascii="Arial" w:hAnsi="Arial" w:eastAsia="Times New Roman" w:cs="Arial"/>
                <w:sz w:val="20"/>
                <w:szCs w:val="20"/>
                <w:lang w:eastAsia="en-GB"/>
              </w:rPr>
            </w:pPr>
          </w:p>
        </w:tc>
      </w:tr>
      <w:tr w:rsidRPr="00636CF7" w:rsidR="00691BF0" w:rsidTr="009A26DB" w14:paraId="73105AD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2A8E9138" w14:textId="77777777">
            <w:pPr>
              <w:ind w:left="313" w:firstLine="86" w:firstLineChars="43"/>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Verkligt positivt nettovärde</w:t>
            </w:r>
          </w:p>
        </w:tc>
        <w:tc>
          <w:tcPr>
            <w:tcW w:w="2745" w:type="dxa"/>
            <w:tcBorders>
              <w:left w:val="nil"/>
              <w:right w:val="nil"/>
            </w:tcBorders>
            <w:noWrap/>
          </w:tcPr>
          <w:p w:rsidRPr="00636CF7" w:rsidR="00691BF0" w:rsidP="009A26DB" w:rsidRDefault="00691BF0" w14:paraId="3A65EBB5" w14:textId="77777777">
            <w:pPr>
              <w:jc w:val="right"/>
              <w:rPr>
                <w:rFonts w:ascii="Arial" w:hAnsi="Arial" w:eastAsia="Times New Roman" w:cs="Arial"/>
                <w:sz w:val="20"/>
                <w:szCs w:val="20"/>
                <w:lang w:eastAsia="en-GB"/>
              </w:rPr>
            </w:pPr>
          </w:p>
        </w:tc>
      </w:tr>
      <w:tr w:rsidRPr="00636CF7" w:rsidR="00691BF0" w:rsidTr="009A26DB" w14:paraId="62EF1CA6"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579CD03" w14:textId="77777777">
            <w:pPr>
              <w:ind w:left="313" w:firstLine="86" w:firstLineChars="43"/>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Potentiell framtida exponering</w:t>
            </w:r>
          </w:p>
        </w:tc>
        <w:tc>
          <w:tcPr>
            <w:tcW w:w="2745" w:type="dxa"/>
            <w:tcBorders>
              <w:left w:val="nil"/>
              <w:right w:val="nil"/>
            </w:tcBorders>
            <w:noWrap/>
          </w:tcPr>
          <w:p w:rsidRPr="00636CF7" w:rsidR="00691BF0" w:rsidP="009A26DB" w:rsidRDefault="00691BF0" w14:paraId="3CBABCF0" w14:textId="77777777">
            <w:pPr>
              <w:jc w:val="right"/>
              <w:rPr>
                <w:rFonts w:ascii="Arial" w:hAnsi="Arial" w:eastAsia="Times New Roman" w:cs="Arial"/>
                <w:sz w:val="20"/>
                <w:szCs w:val="20"/>
                <w:lang w:eastAsia="en-GB"/>
              </w:rPr>
            </w:pPr>
          </w:p>
        </w:tc>
      </w:tr>
      <w:tr w:rsidRPr="00636CF7" w:rsidR="00691BF0" w:rsidTr="009A26DB" w14:paraId="2FD970EB" w14:textId="77777777">
        <w:trPr>
          <w:gridAfter w:val="1"/>
          <w:wAfter w:w="2745" w:type="dxa"/>
          <w:trHeight w:val="450"/>
        </w:trPr>
        <w:tc>
          <w:tcPr>
            <w:tcW w:w="6804" w:type="dxa"/>
            <w:gridSpan w:val="2"/>
            <w:vMerge w:val="restart"/>
            <w:tcBorders>
              <w:left w:val="nil"/>
              <w:right w:val="nil"/>
            </w:tcBorders>
            <w:hideMark/>
          </w:tcPr>
          <w:p w:rsidRPr="00636CF7" w:rsidR="00691BF0" w:rsidP="009A26DB" w:rsidRDefault="00691BF0" w14:paraId="0A2B07DD" w14:textId="77777777">
            <w:pPr>
              <w:ind w:left="171" w:firstLine="28" w:firstLineChars="14"/>
              <w:rPr>
                <w:rFonts w:ascii="Arial" w:hAnsi="Arial" w:eastAsia="Times New Roman" w:cs="Arial"/>
                <w:sz w:val="20"/>
                <w:szCs w:val="20"/>
              </w:rPr>
            </w:pPr>
            <w:r w:rsidRPr="00636CF7">
              <w:rPr>
                <w:rFonts w:ascii="Arial" w:hAnsi="Arial"/>
                <w:sz w:val="20"/>
              </w:rPr>
              <w:t>f. Indikator för tillgångar hos andra finansinstitut, inklusive försäkringsdotterföretag (summan av posterna 3 a, 3 b till 3 c(5), 3 d, 3 e(1) och 3 e(2), minus 3 c(6))</w:t>
            </w:r>
          </w:p>
        </w:tc>
      </w:tr>
      <w:tr w:rsidRPr="00636CF7" w:rsidR="00691BF0" w:rsidTr="009A26DB" w14:paraId="45749D91" w14:textId="77777777">
        <w:trPr>
          <w:gridAfter w:val="1"/>
          <w:wAfter w:w="2745" w:type="dxa"/>
          <w:trHeight w:val="450"/>
        </w:trPr>
        <w:tc>
          <w:tcPr>
            <w:tcW w:w="6804" w:type="dxa"/>
            <w:gridSpan w:val="2"/>
            <w:vMerge/>
            <w:tcBorders>
              <w:left w:val="nil"/>
              <w:right w:val="nil"/>
            </w:tcBorders>
            <w:hideMark/>
          </w:tcPr>
          <w:p w:rsidRPr="00636CF7" w:rsidR="00691BF0" w:rsidP="009A26DB" w:rsidRDefault="00691BF0" w14:paraId="43CDB3B9" w14:textId="77777777">
            <w:pPr>
              <w:rPr>
                <w:rFonts w:ascii="Arial" w:hAnsi="Arial" w:eastAsia="Times New Roman" w:cs="Arial"/>
                <w:sz w:val="20"/>
                <w:szCs w:val="20"/>
                <w:lang w:eastAsia="en-GB"/>
              </w:rPr>
            </w:pPr>
          </w:p>
        </w:tc>
      </w:tr>
      <w:tr w:rsidRPr="00636CF7" w:rsidR="00691BF0" w:rsidTr="009A26DB" w14:paraId="6CB4575D" w14:textId="77777777">
        <w:trPr>
          <w:trHeight w:val="300"/>
        </w:trPr>
        <w:tc>
          <w:tcPr>
            <w:tcW w:w="6804" w:type="dxa"/>
            <w:gridSpan w:val="2"/>
            <w:tcBorders>
              <w:left w:val="nil"/>
              <w:bottom w:val="nil"/>
              <w:right w:val="nil"/>
            </w:tcBorders>
            <w:noWrap/>
          </w:tcPr>
          <w:p w:rsidRPr="00636CF7" w:rsidR="00691BF0" w:rsidP="009A26DB" w:rsidRDefault="00691BF0" w14:paraId="25CDA9F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5DFDCD28" w14:textId="77777777">
            <w:pPr>
              <w:jc w:val="center"/>
              <w:rPr>
                <w:rFonts w:ascii="Arial" w:hAnsi="Arial" w:eastAsia="Times New Roman" w:cs="Arial"/>
                <w:b/>
                <w:bCs/>
                <w:sz w:val="20"/>
                <w:szCs w:val="20"/>
                <w:lang w:eastAsia="en-GB"/>
              </w:rPr>
            </w:pPr>
          </w:p>
        </w:tc>
      </w:tr>
      <w:tr w:rsidRPr="00636CF7" w:rsidR="00691BF0" w:rsidTr="009A26DB" w14:paraId="6270DA6B"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5D8870D6" w14:textId="77777777">
            <w:pPr>
              <w:rPr>
                <w:rFonts w:ascii="Arial" w:hAnsi="Arial" w:eastAsia="Times New Roman" w:cs="Arial"/>
                <w:b/>
                <w:bCs/>
                <w:sz w:val="20"/>
                <w:szCs w:val="20"/>
              </w:rPr>
            </w:pPr>
            <w:r w:rsidRPr="00636CF7">
              <w:rPr>
                <w:rFonts w:ascii="Arial" w:hAnsi="Arial"/>
                <w:b/>
                <w:sz w:val="20"/>
              </w:rPr>
              <w:t>Avsnitt 4 – Skulder till andra finansinstitut</w:t>
            </w:r>
          </w:p>
        </w:tc>
        <w:tc>
          <w:tcPr>
            <w:tcW w:w="2745" w:type="dxa"/>
            <w:tcBorders>
              <w:top w:val="nil"/>
              <w:left w:val="nil"/>
              <w:right w:val="nil"/>
            </w:tcBorders>
            <w:hideMark/>
          </w:tcPr>
          <w:p w:rsidRPr="00636CF7" w:rsidR="00691BF0" w:rsidP="009A26DB" w:rsidRDefault="00691BF0" w14:paraId="565DAADE"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002C96E1" w14:textId="77777777">
        <w:trPr>
          <w:gridAfter w:val="1"/>
          <w:wAfter w:w="2745" w:type="dxa"/>
          <w:trHeight w:val="300"/>
        </w:trPr>
        <w:tc>
          <w:tcPr>
            <w:tcW w:w="6804" w:type="dxa"/>
            <w:gridSpan w:val="2"/>
            <w:tcBorders>
              <w:left w:val="nil"/>
              <w:right w:val="nil"/>
            </w:tcBorders>
            <w:noWrap/>
            <w:hideMark/>
          </w:tcPr>
          <w:p w:rsidRPr="00636CF7" w:rsidR="00691BF0" w:rsidP="009A26DB" w:rsidRDefault="00691BF0" w14:paraId="1E78178F" w14:textId="77777777">
            <w:pPr>
              <w:ind w:left="171" w:firstLine="28" w:firstLineChars="14"/>
              <w:rPr>
                <w:rFonts w:ascii="Arial" w:hAnsi="Arial" w:eastAsia="Times New Roman" w:cs="Arial"/>
                <w:sz w:val="20"/>
                <w:szCs w:val="20"/>
              </w:rPr>
            </w:pPr>
            <w:r w:rsidRPr="00636CF7">
              <w:rPr>
                <w:rFonts w:ascii="Arial" w:hAnsi="Arial"/>
                <w:sz w:val="20"/>
              </w:rPr>
              <w:t>a. Medel som satts in av eller upplånats från andra finansinstitut</w:t>
            </w:r>
          </w:p>
        </w:tc>
      </w:tr>
      <w:tr w:rsidRPr="00636CF7" w:rsidR="00691BF0" w:rsidTr="009A26DB" w14:paraId="4E5277B1" w14:textId="77777777">
        <w:trPr>
          <w:trHeight w:val="300"/>
        </w:trPr>
        <w:tc>
          <w:tcPr>
            <w:tcW w:w="6804" w:type="dxa"/>
            <w:gridSpan w:val="2"/>
            <w:tcBorders>
              <w:left w:val="nil"/>
              <w:right w:val="nil"/>
            </w:tcBorders>
            <w:noWrap/>
            <w:hideMark/>
          </w:tcPr>
          <w:p w:rsidRPr="00636CF7" w:rsidR="00691BF0" w:rsidP="009A26DB" w:rsidRDefault="00691BF0" w14:paraId="49A4E59E"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Insättningar som ska betalas till inlåningsinstitut</w:t>
            </w:r>
          </w:p>
        </w:tc>
        <w:tc>
          <w:tcPr>
            <w:tcW w:w="2745" w:type="dxa"/>
            <w:tcBorders>
              <w:left w:val="nil"/>
              <w:right w:val="nil"/>
            </w:tcBorders>
            <w:noWrap/>
            <w:hideMark/>
          </w:tcPr>
          <w:p w:rsidRPr="00636CF7" w:rsidR="00691BF0" w:rsidP="009A26DB" w:rsidRDefault="00691BF0" w14:paraId="5609BAD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6BDDC59" w14:textId="77777777">
        <w:trPr>
          <w:trHeight w:val="300"/>
        </w:trPr>
        <w:tc>
          <w:tcPr>
            <w:tcW w:w="6804" w:type="dxa"/>
            <w:gridSpan w:val="2"/>
            <w:tcBorders>
              <w:left w:val="nil"/>
              <w:right w:val="nil"/>
            </w:tcBorders>
            <w:noWrap/>
            <w:hideMark/>
          </w:tcPr>
          <w:p w:rsidRPr="00636CF7" w:rsidR="00691BF0" w:rsidP="009A26DB" w:rsidRDefault="00691BF0" w14:paraId="4CC69F1C"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Insättningar som ska betalas till icke-inlåningsfinansinstitut</w:t>
            </w:r>
          </w:p>
        </w:tc>
        <w:tc>
          <w:tcPr>
            <w:tcW w:w="2745" w:type="dxa"/>
            <w:tcBorders>
              <w:left w:val="nil"/>
              <w:right w:val="nil"/>
            </w:tcBorders>
            <w:noWrap/>
            <w:hideMark/>
          </w:tcPr>
          <w:p w:rsidRPr="00636CF7" w:rsidR="00691BF0" w:rsidP="009A26DB" w:rsidRDefault="00691BF0" w14:paraId="7AD2DEE4"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B58B328" w14:textId="77777777">
        <w:trPr>
          <w:trHeight w:val="300"/>
        </w:trPr>
        <w:tc>
          <w:tcPr>
            <w:tcW w:w="6804" w:type="dxa"/>
            <w:gridSpan w:val="2"/>
            <w:tcBorders>
              <w:left w:val="nil"/>
              <w:right w:val="nil"/>
            </w:tcBorders>
            <w:noWrap/>
            <w:hideMark/>
          </w:tcPr>
          <w:p w:rsidRPr="00636CF7" w:rsidR="00691BF0" w:rsidP="009A26DB" w:rsidRDefault="00691BF0" w14:paraId="3CBAFE33"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Lån som erhållits från andra finansinstitut</w:t>
            </w:r>
          </w:p>
        </w:tc>
        <w:tc>
          <w:tcPr>
            <w:tcW w:w="2745" w:type="dxa"/>
            <w:tcBorders>
              <w:left w:val="nil"/>
              <w:right w:val="nil"/>
            </w:tcBorders>
            <w:noWrap/>
            <w:hideMark/>
          </w:tcPr>
          <w:p w:rsidRPr="00636CF7" w:rsidR="00691BF0" w:rsidP="009A26DB" w:rsidRDefault="00691BF0" w14:paraId="6CB6C962"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FAB390E" w14:textId="77777777">
        <w:trPr>
          <w:trHeight w:val="300"/>
        </w:trPr>
        <w:tc>
          <w:tcPr>
            <w:tcW w:w="6804" w:type="dxa"/>
            <w:gridSpan w:val="2"/>
            <w:tcBorders>
              <w:left w:val="nil"/>
              <w:right w:val="nil"/>
            </w:tcBorders>
            <w:noWrap/>
          </w:tcPr>
          <w:p w:rsidRPr="00636CF7" w:rsidR="00691BF0" w:rsidP="009A26DB" w:rsidRDefault="00691BF0" w14:paraId="54DDD76D" w14:textId="77777777">
            <w:pPr>
              <w:ind w:left="171"/>
              <w:rPr>
                <w:rFonts w:ascii="Arial" w:hAnsi="Arial" w:eastAsia="Times New Roman" w:cs="Arial"/>
                <w:sz w:val="20"/>
                <w:szCs w:val="20"/>
              </w:rPr>
            </w:pPr>
            <w:r w:rsidRPr="00636CF7">
              <w:rPr>
                <w:rFonts w:ascii="Arial" w:hAnsi="Arial"/>
                <w:sz w:val="20"/>
              </w:rPr>
              <w:t>b. Outnyttjade kreditmöjligheter som erhållits från andra finansinstitut</w:t>
            </w:r>
          </w:p>
        </w:tc>
        <w:tc>
          <w:tcPr>
            <w:tcW w:w="2745" w:type="dxa"/>
            <w:tcBorders>
              <w:left w:val="nil"/>
              <w:right w:val="nil"/>
            </w:tcBorders>
            <w:noWrap/>
          </w:tcPr>
          <w:p w:rsidRPr="00636CF7" w:rsidR="00691BF0" w:rsidP="009A26DB" w:rsidRDefault="00691BF0" w14:paraId="5D9E5EE4" w14:textId="77777777">
            <w:pPr>
              <w:jc w:val="right"/>
              <w:rPr>
                <w:rFonts w:ascii="Arial" w:hAnsi="Arial" w:eastAsia="Times New Roman" w:cs="Arial"/>
                <w:sz w:val="20"/>
                <w:szCs w:val="20"/>
                <w:lang w:eastAsia="en-GB"/>
              </w:rPr>
            </w:pPr>
          </w:p>
        </w:tc>
      </w:tr>
      <w:tr w:rsidRPr="00636CF7" w:rsidR="00691BF0" w:rsidTr="009A26DB" w14:paraId="5607CFDF" w14:textId="77777777">
        <w:trPr>
          <w:trHeight w:val="300"/>
        </w:trPr>
        <w:tc>
          <w:tcPr>
            <w:tcW w:w="6804" w:type="dxa"/>
            <w:gridSpan w:val="2"/>
            <w:tcBorders>
              <w:left w:val="nil"/>
              <w:right w:val="nil"/>
            </w:tcBorders>
            <w:noWrap/>
          </w:tcPr>
          <w:p w:rsidRPr="00636CF7" w:rsidR="00691BF0" w:rsidP="009A26DB" w:rsidRDefault="00691BF0" w14:paraId="06B89AF7" w14:textId="77777777">
            <w:pPr>
              <w:ind w:left="171"/>
              <w:rPr>
                <w:rFonts w:ascii="Arial" w:hAnsi="Arial" w:eastAsia="Times New Roman" w:cs="Arial"/>
                <w:sz w:val="20"/>
                <w:szCs w:val="20"/>
              </w:rPr>
            </w:pPr>
            <w:r w:rsidRPr="00636CF7">
              <w:rPr>
                <w:rFonts w:ascii="Arial" w:hAnsi="Arial"/>
                <w:sz w:val="20"/>
              </w:rPr>
              <w:t>c. Negativ aktuell nettoexponering av transaktioner för värdepappersfinansiering med andra finansinstitut</w:t>
            </w:r>
          </w:p>
        </w:tc>
        <w:tc>
          <w:tcPr>
            <w:tcW w:w="2745" w:type="dxa"/>
            <w:tcBorders>
              <w:left w:val="nil"/>
              <w:right w:val="nil"/>
            </w:tcBorders>
            <w:noWrap/>
          </w:tcPr>
          <w:p w:rsidRPr="00636CF7" w:rsidR="00691BF0" w:rsidP="009A26DB" w:rsidRDefault="00691BF0" w14:paraId="731DB724" w14:textId="77777777">
            <w:pPr>
              <w:jc w:val="right"/>
              <w:rPr>
                <w:rFonts w:ascii="Arial" w:hAnsi="Arial" w:eastAsia="Times New Roman" w:cs="Arial"/>
                <w:sz w:val="20"/>
                <w:szCs w:val="20"/>
                <w:lang w:eastAsia="en-GB"/>
              </w:rPr>
            </w:pPr>
          </w:p>
        </w:tc>
      </w:tr>
      <w:tr w:rsidRPr="00636CF7" w:rsidR="00691BF0" w:rsidTr="009A26DB" w14:paraId="149C409B"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4BE7828" w14:textId="77777777">
            <w:pPr>
              <w:ind w:left="171"/>
              <w:rPr>
                <w:rFonts w:ascii="Arial" w:hAnsi="Arial" w:eastAsia="Times New Roman" w:cs="Arial"/>
                <w:sz w:val="20"/>
                <w:szCs w:val="20"/>
              </w:rPr>
            </w:pPr>
            <w:r w:rsidRPr="00636CF7">
              <w:rPr>
                <w:rFonts w:ascii="Arial" w:hAnsi="Arial"/>
                <w:sz w:val="20"/>
              </w:rPr>
              <w:lastRenderedPageBreak/>
              <w:t>d. OTC-derivat hos andra finansiella institut som har ett negativt verkligt nettovärde</w:t>
            </w:r>
          </w:p>
        </w:tc>
        <w:tc>
          <w:tcPr>
            <w:tcW w:w="2745" w:type="dxa"/>
            <w:tcBorders>
              <w:left w:val="nil"/>
              <w:bottom w:val="single" w:color="auto" w:sz="4" w:space="0"/>
              <w:right w:val="nil"/>
            </w:tcBorders>
            <w:noWrap/>
          </w:tcPr>
          <w:p w:rsidRPr="00636CF7" w:rsidR="00691BF0" w:rsidP="009A26DB" w:rsidRDefault="00691BF0" w14:paraId="1A14375A" w14:textId="77777777">
            <w:pPr>
              <w:jc w:val="right"/>
              <w:rPr>
                <w:rFonts w:ascii="Arial" w:hAnsi="Arial" w:eastAsia="Times New Roman" w:cs="Arial"/>
                <w:sz w:val="20"/>
                <w:szCs w:val="20"/>
                <w:lang w:eastAsia="en-GB"/>
              </w:rPr>
            </w:pPr>
          </w:p>
        </w:tc>
      </w:tr>
      <w:tr w:rsidRPr="00636CF7" w:rsidR="00691BF0" w:rsidTr="009A26DB" w14:paraId="137A0D74" w14:textId="77777777">
        <w:trPr>
          <w:trHeight w:val="300"/>
        </w:trPr>
        <w:tc>
          <w:tcPr>
            <w:tcW w:w="6804" w:type="dxa"/>
            <w:gridSpan w:val="2"/>
            <w:tcBorders>
              <w:left w:val="nil"/>
              <w:right w:val="nil"/>
            </w:tcBorders>
            <w:noWrap/>
            <w:hideMark/>
          </w:tcPr>
          <w:p w:rsidRPr="00636CF7" w:rsidR="00691BF0" w:rsidP="009A26DB" w:rsidRDefault="00691BF0" w14:paraId="496723AB"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Negativt verkligt nettovärde</w:t>
            </w:r>
          </w:p>
        </w:tc>
        <w:tc>
          <w:tcPr>
            <w:tcW w:w="2745" w:type="dxa"/>
            <w:tcBorders>
              <w:left w:val="nil"/>
              <w:right w:val="nil"/>
            </w:tcBorders>
            <w:noWrap/>
            <w:hideMark/>
          </w:tcPr>
          <w:p w:rsidRPr="00636CF7" w:rsidR="00691BF0" w:rsidP="009A26DB" w:rsidRDefault="00691BF0" w14:paraId="14D03B2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131ABB8" w14:textId="77777777">
        <w:trPr>
          <w:trHeight w:val="300"/>
        </w:trPr>
        <w:tc>
          <w:tcPr>
            <w:tcW w:w="6804" w:type="dxa"/>
            <w:gridSpan w:val="2"/>
            <w:tcBorders>
              <w:left w:val="nil"/>
              <w:right w:val="nil"/>
            </w:tcBorders>
            <w:noWrap/>
            <w:hideMark/>
          </w:tcPr>
          <w:p w:rsidRPr="00636CF7" w:rsidR="00691BF0" w:rsidP="009A26DB" w:rsidRDefault="00691BF0" w14:paraId="4C62DD27"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Potentiell framtida exponering</w:t>
            </w:r>
          </w:p>
        </w:tc>
        <w:tc>
          <w:tcPr>
            <w:tcW w:w="2745" w:type="dxa"/>
            <w:tcBorders>
              <w:left w:val="nil"/>
              <w:right w:val="nil"/>
            </w:tcBorders>
            <w:noWrap/>
            <w:hideMark/>
          </w:tcPr>
          <w:p w:rsidRPr="00636CF7" w:rsidR="00691BF0" w:rsidP="009A26DB" w:rsidRDefault="00691BF0" w14:paraId="07CAFBF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F73F922"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9957C06" w14:textId="77777777">
            <w:pPr>
              <w:ind w:left="171"/>
              <w:rPr>
                <w:rFonts w:ascii="Arial" w:hAnsi="Arial" w:eastAsia="Times New Roman" w:cs="Arial"/>
                <w:sz w:val="20"/>
                <w:szCs w:val="20"/>
              </w:rPr>
            </w:pPr>
            <w:r w:rsidRPr="00636CF7">
              <w:rPr>
                <w:rFonts w:ascii="Arial" w:hAnsi="Arial"/>
                <w:sz w:val="20"/>
              </w:rPr>
              <w:t>e. Indikator för skulder till andra finansinstitut, inklusive försäkringsdotterföretag (summan av posterna 4 a(1) till 4 d(2))</w:t>
            </w:r>
          </w:p>
        </w:tc>
        <w:tc>
          <w:tcPr>
            <w:tcW w:w="2745" w:type="dxa"/>
            <w:tcBorders>
              <w:left w:val="nil"/>
              <w:bottom w:val="single" w:color="auto" w:sz="4" w:space="0"/>
              <w:right w:val="nil"/>
            </w:tcBorders>
            <w:noWrap/>
          </w:tcPr>
          <w:p w:rsidRPr="00636CF7" w:rsidR="00691BF0" w:rsidP="009A26DB" w:rsidRDefault="00691BF0" w14:paraId="36C3C547" w14:textId="77777777">
            <w:pPr>
              <w:jc w:val="right"/>
              <w:rPr>
                <w:rFonts w:ascii="Arial" w:hAnsi="Arial" w:eastAsia="Times New Roman" w:cs="Arial"/>
                <w:sz w:val="20"/>
                <w:szCs w:val="20"/>
                <w:lang w:eastAsia="en-GB"/>
              </w:rPr>
            </w:pPr>
          </w:p>
        </w:tc>
      </w:tr>
      <w:tr w:rsidRPr="00636CF7" w:rsidR="00691BF0" w:rsidTr="009A26DB" w14:paraId="43D82AB8" w14:textId="77777777">
        <w:trPr>
          <w:trHeight w:val="300"/>
        </w:trPr>
        <w:tc>
          <w:tcPr>
            <w:tcW w:w="6804" w:type="dxa"/>
            <w:gridSpan w:val="2"/>
            <w:tcBorders>
              <w:left w:val="nil"/>
              <w:bottom w:val="nil"/>
              <w:right w:val="nil"/>
            </w:tcBorders>
            <w:noWrap/>
          </w:tcPr>
          <w:p w:rsidRPr="00636CF7" w:rsidR="00691BF0" w:rsidP="009A26DB" w:rsidRDefault="00691BF0" w14:paraId="6F2933A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1AAEED74" w14:textId="77777777">
            <w:pPr>
              <w:jc w:val="center"/>
              <w:rPr>
                <w:rFonts w:ascii="Arial" w:hAnsi="Arial" w:eastAsia="Times New Roman" w:cs="Arial"/>
                <w:b/>
                <w:bCs/>
                <w:sz w:val="20"/>
                <w:szCs w:val="20"/>
                <w:lang w:eastAsia="en-GB"/>
              </w:rPr>
            </w:pPr>
          </w:p>
        </w:tc>
      </w:tr>
      <w:tr w:rsidRPr="00636CF7" w:rsidR="00691BF0" w:rsidTr="009A26DB" w14:paraId="368B4A25" w14:textId="77777777">
        <w:trPr>
          <w:trHeight w:val="300"/>
        </w:trPr>
        <w:tc>
          <w:tcPr>
            <w:tcW w:w="6804" w:type="dxa"/>
            <w:gridSpan w:val="2"/>
            <w:tcBorders>
              <w:top w:val="nil"/>
              <w:left w:val="nil"/>
              <w:right w:val="nil"/>
            </w:tcBorders>
            <w:noWrap/>
            <w:hideMark/>
          </w:tcPr>
          <w:p w:rsidRPr="00636CF7" w:rsidR="00691BF0" w:rsidP="009A26DB" w:rsidRDefault="00691BF0" w14:paraId="56EBBBCB" w14:textId="77777777">
            <w:pPr>
              <w:rPr>
                <w:rFonts w:ascii="Arial" w:hAnsi="Arial" w:eastAsia="Times New Roman" w:cs="Arial"/>
                <w:b/>
                <w:bCs/>
                <w:sz w:val="20"/>
                <w:szCs w:val="20"/>
              </w:rPr>
            </w:pPr>
            <w:r w:rsidRPr="00636CF7">
              <w:rPr>
                <w:rFonts w:ascii="Arial" w:hAnsi="Arial"/>
                <w:b/>
                <w:sz w:val="20"/>
              </w:rPr>
              <w:t>Avsnitt 5 – Utestående värdepapper</w:t>
            </w:r>
          </w:p>
        </w:tc>
        <w:tc>
          <w:tcPr>
            <w:tcW w:w="2745" w:type="dxa"/>
            <w:tcBorders>
              <w:top w:val="nil"/>
              <w:left w:val="nil"/>
              <w:right w:val="nil"/>
            </w:tcBorders>
            <w:hideMark/>
          </w:tcPr>
          <w:p w:rsidRPr="00636CF7" w:rsidR="00691BF0" w:rsidP="009A26DB" w:rsidRDefault="00691BF0" w14:paraId="2C904A9E"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11AEEDA6" w14:textId="77777777">
        <w:trPr>
          <w:trHeight w:val="300"/>
        </w:trPr>
        <w:tc>
          <w:tcPr>
            <w:tcW w:w="6804" w:type="dxa"/>
            <w:gridSpan w:val="2"/>
            <w:tcBorders>
              <w:left w:val="nil"/>
              <w:right w:val="nil"/>
            </w:tcBorders>
            <w:noWrap/>
            <w:hideMark/>
          </w:tcPr>
          <w:p w:rsidRPr="00636CF7" w:rsidR="00691BF0" w:rsidP="009A26DB" w:rsidRDefault="00691BF0" w14:paraId="18A83081" w14:textId="77777777">
            <w:pPr>
              <w:ind w:firstLine="200" w:firstLineChars="100"/>
              <w:rPr>
                <w:rFonts w:ascii="Arial" w:hAnsi="Arial" w:eastAsia="Times New Roman" w:cs="Arial"/>
                <w:sz w:val="20"/>
                <w:szCs w:val="20"/>
              </w:rPr>
            </w:pPr>
            <w:r w:rsidRPr="00636CF7">
              <w:rPr>
                <w:rFonts w:ascii="Arial" w:hAnsi="Arial"/>
                <w:sz w:val="20"/>
              </w:rPr>
              <w:t>a. Räntebärande värdepapper med säkerhet</w:t>
            </w:r>
          </w:p>
        </w:tc>
        <w:tc>
          <w:tcPr>
            <w:tcW w:w="2745" w:type="dxa"/>
            <w:tcBorders>
              <w:left w:val="nil"/>
              <w:right w:val="nil"/>
            </w:tcBorders>
            <w:noWrap/>
            <w:hideMark/>
          </w:tcPr>
          <w:p w:rsidRPr="00636CF7" w:rsidR="00691BF0" w:rsidP="009A26DB" w:rsidRDefault="00691BF0" w14:paraId="07598E2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6FF5F2E" w14:textId="77777777">
        <w:trPr>
          <w:trHeight w:val="300"/>
        </w:trPr>
        <w:tc>
          <w:tcPr>
            <w:tcW w:w="6804" w:type="dxa"/>
            <w:gridSpan w:val="2"/>
            <w:tcBorders>
              <w:left w:val="nil"/>
              <w:right w:val="nil"/>
            </w:tcBorders>
            <w:noWrap/>
            <w:hideMark/>
          </w:tcPr>
          <w:p w:rsidRPr="00636CF7" w:rsidR="00691BF0" w:rsidP="009A26DB" w:rsidRDefault="00691BF0" w14:paraId="7EDFA25D" w14:textId="77777777">
            <w:pPr>
              <w:ind w:firstLine="200" w:firstLineChars="100"/>
              <w:rPr>
                <w:rFonts w:ascii="Arial" w:hAnsi="Arial" w:eastAsia="Times New Roman" w:cs="Arial"/>
                <w:sz w:val="20"/>
                <w:szCs w:val="20"/>
              </w:rPr>
            </w:pPr>
            <w:r w:rsidRPr="00636CF7">
              <w:rPr>
                <w:rFonts w:ascii="Arial" w:hAnsi="Arial"/>
                <w:sz w:val="20"/>
              </w:rPr>
              <w:t>b. Prioriterade räntebärande värdepapper utan säkerhet</w:t>
            </w:r>
          </w:p>
        </w:tc>
        <w:tc>
          <w:tcPr>
            <w:tcW w:w="2745" w:type="dxa"/>
            <w:tcBorders>
              <w:left w:val="nil"/>
              <w:right w:val="nil"/>
            </w:tcBorders>
            <w:noWrap/>
            <w:hideMark/>
          </w:tcPr>
          <w:p w:rsidRPr="00636CF7" w:rsidR="00691BF0" w:rsidP="009A26DB" w:rsidRDefault="00691BF0" w14:paraId="6464B84D"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107C65F" w14:textId="77777777">
        <w:trPr>
          <w:trHeight w:val="300"/>
        </w:trPr>
        <w:tc>
          <w:tcPr>
            <w:tcW w:w="6804" w:type="dxa"/>
            <w:gridSpan w:val="2"/>
            <w:tcBorders>
              <w:left w:val="nil"/>
              <w:right w:val="nil"/>
            </w:tcBorders>
            <w:noWrap/>
            <w:hideMark/>
          </w:tcPr>
          <w:p w:rsidRPr="00636CF7" w:rsidR="00691BF0" w:rsidP="009A26DB" w:rsidRDefault="00691BF0" w14:paraId="0DF32F32" w14:textId="77777777">
            <w:pPr>
              <w:ind w:firstLine="200" w:firstLineChars="100"/>
              <w:rPr>
                <w:rFonts w:ascii="Arial" w:hAnsi="Arial" w:eastAsia="Times New Roman" w:cs="Arial"/>
                <w:sz w:val="20"/>
                <w:szCs w:val="20"/>
              </w:rPr>
            </w:pPr>
            <w:r w:rsidRPr="00636CF7">
              <w:rPr>
                <w:rFonts w:ascii="Arial" w:hAnsi="Arial"/>
                <w:sz w:val="20"/>
              </w:rPr>
              <w:t>c. Efterställda räntebärande värdepapper</w:t>
            </w:r>
          </w:p>
        </w:tc>
        <w:tc>
          <w:tcPr>
            <w:tcW w:w="2745" w:type="dxa"/>
            <w:tcBorders>
              <w:left w:val="nil"/>
              <w:right w:val="nil"/>
            </w:tcBorders>
            <w:noWrap/>
            <w:hideMark/>
          </w:tcPr>
          <w:p w:rsidRPr="00636CF7" w:rsidR="00691BF0" w:rsidP="009A26DB" w:rsidRDefault="00691BF0" w14:paraId="45664F94"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CAB33F6" w14:textId="77777777">
        <w:trPr>
          <w:trHeight w:val="300"/>
        </w:trPr>
        <w:tc>
          <w:tcPr>
            <w:tcW w:w="6804" w:type="dxa"/>
            <w:gridSpan w:val="2"/>
            <w:tcBorders>
              <w:left w:val="nil"/>
              <w:right w:val="nil"/>
            </w:tcBorders>
            <w:noWrap/>
            <w:hideMark/>
          </w:tcPr>
          <w:p w:rsidRPr="00636CF7" w:rsidR="00691BF0" w:rsidP="009A26DB" w:rsidRDefault="00691BF0" w14:paraId="2251E9AE" w14:textId="77777777">
            <w:pPr>
              <w:ind w:firstLine="200" w:firstLineChars="100"/>
              <w:rPr>
                <w:rFonts w:ascii="Arial" w:hAnsi="Arial" w:eastAsia="Times New Roman" w:cs="Arial"/>
                <w:sz w:val="20"/>
                <w:szCs w:val="20"/>
              </w:rPr>
            </w:pPr>
            <w:r w:rsidRPr="00636CF7">
              <w:rPr>
                <w:rFonts w:ascii="Arial" w:hAnsi="Arial"/>
                <w:sz w:val="20"/>
              </w:rPr>
              <w:t>d. Företagscertifikat</w:t>
            </w:r>
          </w:p>
        </w:tc>
        <w:tc>
          <w:tcPr>
            <w:tcW w:w="2745" w:type="dxa"/>
            <w:tcBorders>
              <w:left w:val="nil"/>
              <w:right w:val="nil"/>
            </w:tcBorders>
            <w:noWrap/>
            <w:hideMark/>
          </w:tcPr>
          <w:p w:rsidRPr="00636CF7" w:rsidR="00691BF0" w:rsidP="009A26DB" w:rsidRDefault="00691BF0" w14:paraId="3B7E706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0D855B3" w14:textId="77777777">
        <w:trPr>
          <w:trHeight w:val="300"/>
        </w:trPr>
        <w:tc>
          <w:tcPr>
            <w:tcW w:w="6804" w:type="dxa"/>
            <w:gridSpan w:val="2"/>
            <w:tcBorders>
              <w:left w:val="nil"/>
              <w:right w:val="nil"/>
            </w:tcBorders>
            <w:noWrap/>
            <w:hideMark/>
          </w:tcPr>
          <w:p w:rsidRPr="00636CF7" w:rsidR="00691BF0" w:rsidP="009A26DB" w:rsidRDefault="00691BF0" w14:paraId="4EF5555C" w14:textId="77777777">
            <w:pPr>
              <w:ind w:firstLine="200" w:firstLineChars="100"/>
              <w:rPr>
                <w:rFonts w:ascii="Arial" w:hAnsi="Arial" w:eastAsia="Times New Roman" w:cs="Arial"/>
                <w:sz w:val="20"/>
                <w:szCs w:val="20"/>
              </w:rPr>
            </w:pPr>
            <w:r w:rsidRPr="00636CF7">
              <w:rPr>
                <w:rFonts w:ascii="Arial" w:hAnsi="Arial"/>
                <w:sz w:val="20"/>
              </w:rPr>
              <w:t>e. Inlåningsbevis</w:t>
            </w:r>
          </w:p>
        </w:tc>
        <w:tc>
          <w:tcPr>
            <w:tcW w:w="2745" w:type="dxa"/>
            <w:tcBorders>
              <w:left w:val="nil"/>
              <w:right w:val="nil"/>
            </w:tcBorders>
            <w:noWrap/>
            <w:hideMark/>
          </w:tcPr>
          <w:p w:rsidRPr="00636CF7" w:rsidR="00691BF0" w:rsidP="009A26DB" w:rsidRDefault="00691BF0" w14:paraId="34D880F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08D1A08" w14:textId="77777777">
        <w:trPr>
          <w:trHeight w:val="300"/>
        </w:trPr>
        <w:tc>
          <w:tcPr>
            <w:tcW w:w="6804" w:type="dxa"/>
            <w:gridSpan w:val="2"/>
            <w:tcBorders>
              <w:left w:val="nil"/>
              <w:right w:val="nil"/>
            </w:tcBorders>
            <w:noWrap/>
            <w:hideMark/>
          </w:tcPr>
          <w:p w:rsidRPr="00636CF7" w:rsidR="00691BF0" w:rsidP="009A26DB" w:rsidRDefault="00691BF0" w14:paraId="365CA94B" w14:textId="77777777">
            <w:pPr>
              <w:ind w:firstLine="200" w:firstLineChars="100"/>
              <w:rPr>
                <w:rFonts w:ascii="Arial" w:hAnsi="Arial" w:eastAsia="Times New Roman" w:cs="Arial"/>
                <w:sz w:val="20"/>
                <w:szCs w:val="20"/>
              </w:rPr>
            </w:pPr>
            <w:r w:rsidRPr="00636CF7">
              <w:rPr>
                <w:rFonts w:ascii="Arial" w:hAnsi="Arial"/>
                <w:sz w:val="20"/>
              </w:rPr>
              <w:t>f. Stamaktier</w:t>
            </w:r>
          </w:p>
        </w:tc>
        <w:tc>
          <w:tcPr>
            <w:tcW w:w="2745" w:type="dxa"/>
            <w:tcBorders>
              <w:left w:val="nil"/>
              <w:right w:val="nil"/>
            </w:tcBorders>
            <w:noWrap/>
            <w:hideMark/>
          </w:tcPr>
          <w:p w:rsidRPr="00636CF7" w:rsidR="00691BF0" w:rsidP="009A26DB" w:rsidRDefault="00691BF0" w14:paraId="1BD76011"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CF2D2A7" w14:textId="77777777">
        <w:trPr>
          <w:trHeight w:val="300"/>
        </w:trPr>
        <w:tc>
          <w:tcPr>
            <w:tcW w:w="6804" w:type="dxa"/>
            <w:gridSpan w:val="2"/>
            <w:tcBorders>
              <w:left w:val="nil"/>
              <w:right w:val="nil"/>
            </w:tcBorders>
            <w:noWrap/>
          </w:tcPr>
          <w:p w:rsidRPr="00636CF7" w:rsidR="00691BF0" w:rsidP="009A26DB" w:rsidRDefault="00691BF0" w14:paraId="302C850A" w14:textId="77777777">
            <w:pPr>
              <w:ind w:left="171"/>
              <w:rPr>
                <w:rFonts w:ascii="Arial" w:hAnsi="Arial" w:eastAsia="Times New Roman" w:cs="Arial"/>
                <w:sz w:val="20"/>
                <w:szCs w:val="20"/>
              </w:rPr>
            </w:pPr>
            <w:r w:rsidRPr="00636CF7">
              <w:rPr>
                <w:rFonts w:ascii="Arial" w:hAnsi="Arial"/>
                <w:sz w:val="20"/>
              </w:rPr>
              <w:t>g. Preferensaktier och alla andra former av efterställd finansiering som inte omfattas av post 5 c</w:t>
            </w:r>
          </w:p>
        </w:tc>
        <w:tc>
          <w:tcPr>
            <w:tcW w:w="2745" w:type="dxa"/>
            <w:tcBorders>
              <w:left w:val="nil"/>
              <w:right w:val="nil"/>
            </w:tcBorders>
            <w:noWrap/>
          </w:tcPr>
          <w:p w:rsidRPr="00636CF7" w:rsidR="00691BF0" w:rsidP="009A26DB" w:rsidRDefault="00691BF0" w14:paraId="36F8AC32" w14:textId="77777777">
            <w:pPr>
              <w:jc w:val="right"/>
              <w:rPr>
                <w:rFonts w:ascii="Arial" w:hAnsi="Arial" w:eastAsia="Times New Roman" w:cs="Arial"/>
                <w:sz w:val="20"/>
                <w:szCs w:val="20"/>
                <w:lang w:eastAsia="en-GB"/>
              </w:rPr>
            </w:pPr>
          </w:p>
        </w:tc>
      </w:tr>
      <w:tr w:rsidRPr="00636CF7" w:rsidR="00691BF0" w:rsidTr="009A26DB" w14:paraId="0A0183F9"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A883E5E" w14:textId="77777777">
            <w:pPr>
              <w:ind w:left="171"/>
              <w:rPr>
                <w:rFonts w:ascii="Arial" w:hAnsi="Arial" w:eastAsia="Times New Roman" w:cs="Arial"/>
                <w:sz w:val="20"/>
                <w:szCs w:val="20"/>
              </w:rPr>
            </w:pPr>
            <w:r w:rsidRPr="00636CF7">
              <w:rPr>
                <w:rFonts w:ascii="Arial" w:hAnsi="Arial"/>
                <w:sz w:val="20"/>
              </w:rPr>
              <w:t>h. Indikator för utestående värdepapper, inklusive värdepapper som utfärdats av försäkringsdotterföretag (summan av posterna 5 a–g)</w:t>
            </w:r>
          </w:p>
        </w:tc>
        <w:tc>
          <w:tcPr>
            <w:tcW w:w="2745" w:type="dxa"/>
            <w:tcBorders>
              <w:left w:val="nil"/>
              <w:bottom w:val="single" w:color="auto" w:sz="4" w:space="0"/>
              <w:right w:val="nil"/>
            </w:tcBorders>
            <w:noWrap/>
          </w:tcPr>
          <w:p w:rsidRPr="00636CF7" w:rsidR="00691BF0" w:rsidP="009A26DB" w:rsidRDefault="00691BF0" w14:paraId="27CD4CA1" w14:textId="77777777">
            <w:pPr>
              <w:jc w:val="right"/>
              <w:rPr>
                <w:rFonts w:ascii="Arial" w:hAnsi="Arial" w:eastAsia="Times New Roman" w:cs="Arial"/>
                <w:sz w:val="20"/>
                <w:szCs w:val="20"/>
                <w:lang w:eastAsia="en-GB"/>
              </w:rPr>
            </w:pPr>
          </w:p>
        </w:tc>
      </w:tr>
      <w:tr w:rsidRPr="00636CF7" w:rsidR="00691BF0" w:rsidTr="009A26DB" w14:paraId="74DA098F" w14:textId="77777777">
        <w:trPr>
          <w:trHeight w:val="300"/>
        </w:trPr>
        <w:tc>
          <w:tcPr>
            <w:tcW w:w="6804" w:type="dxa"/>
            <w:gridSpan w:val="2"/>
            <w:tcBorders>
              <w:top w:val="single" w:color="auto" w:sz="4" w:space="0"/>
              <w:left w:val="nil"/>
              <w:bottom w:val="nil"/>
              <w:right w:val="nil"/>
            </w:tcBorders>
            <w:noWrap/>
          </w:tcPr>
          <w:p w:rsidRPr="00636CF7" w:rsidR="00691BF0" w:rsidP="009A26DB" w:rsidRDefault="00691BF0" w14:paraId="7730A5DF"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636CF7" w:rsidR="00691BF0" w:rsidP="009A26DB" w:rsidRDefault="00691BF0" w14:paraId="2058419E" w14:textId="77777777">
            <w:pPr>
              <w:jc w:val="center"/>
              <w:rPr>
                <w:rFonts w:ascii="Arial" w:hAnsi="Arial" w:eastAsia="Times New Roman" w:cs="Arial"/>
                <w:b/>
                <w:bCs/>
                <w:sz w:val="20"/>
                <w:szCs w:val="20"/>
                <w:lang w:eastAsia="en-GB"/>
              </w:rPr>
            </w:pPr>
          </w:p>
        </w:tc>
      </w:tr>
      <w:tr w:rsidRPr="00636CF7" w:rsidR="00691BF0" w:rsidTr="009A26DB" w14:paraId="4E04A3CA" w14:textId="77777777">
        <w:trPr>
          <w:trHeight w:val="300"/>
        </w:trPr>
        <w:tc>
          <w:tcPr>
            <w:tcW w:w="6804" w:type="dxa"/>
            <w:gridSpan w:val="2"/>
            <w:tcBorders>
              <w:top w:val="nil"/>
              <w:left w:val="nil"/>
              <w:bottom w:val="nil"/>
              <w:right w:val="nil"/>
            </w:tcBorders>
            <w:noWrap/>
          </w:tcPr>
          <w:p w:rsidRPr="00636CF7" w:rsidR="00691BF0" w:rsidP="009A26DB" w:rsidRDefault="00691BF0" w14:paraId="6BADB7DF" w14:textId="77777777">
            <w:pPr>
              <w:keepNext/>
              <w:keepLines/>
              <w:spacing w:before="47"/>
              <w:outlineLvl w:val="5"/>
              <w:rPr>
                <w:rFonts w:asciiTheme="majorHAnsi" w:hAnsiTheme="majorHAnsi" w:eastAsiaTheme="majorEastAsia" w:cstheme="majorBidi"/>
                <w:b/>
                <w:bCs/>
                <w:i/>
                <w:iCs/>
                <w:caps/>
                <w:spacing w:val="-2"/>
              </w:rPr>
            </w:pPr>
            <w:r w:rsidRPr="00636CF7">
              <w:rPr>
                <w:rFonts w:asciiTheme="majorHAnsi" w:hAnsiTheme="majorHAnsi"/>
                <w:b/>
                <w:i/>
                <w:caps/>
              </w:rPr>
              <w:t>Indikatorer för substituerbarhet/finansiell infrastruktur</w:t>
            </w:r>
          </w:p>
          <w:p w:rsidRPr="00636CF7" w:rsidR="00691BF0" w:rsidP="009A26DB" w:rsidRDefault="00691BF0" w14:paraId="0273C8D9"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636CF7" w:rsidR="00691BF0" w:rsidP="009A26DB" w:rsidRDefault="00691BF0" w14:paraId="2EECD06D" w14:textId="77777777">
            <w:pPr>
              <w:jc w:val="center"/>
              <w:rPr>
                <w:rFonts w:ascii="Arial" w:hAnsi="Arial" w:eastAsia="Times New Roman" w:cs="Arial"/>
                <w:b/>
                <w:bCs/>
                <w:sz w:val="20"/>
                <w:szCs w:val="20"/>
                <w:lang w:eastAsia="en-GB"/>
              </w:rPr>
            </w:pPr>
          </w:p>
        </w:tc>
      </w:tr>
      <w:tr w:rsidRPr="00636CF7" w:rsidR="00691BF0" w:rsidTr="009A26DB" w14:paraId="1895DA6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230C6416" w14:textId="77777777">
            <w:pPr>
              <w:rPr>
                <w:rFonts w:ascii="Arial" w:hAnsi="Arial" w:eastAsia="Times New Roman" w:cs="Arial"/>
                <w:sz w:val="20"/>
                <w:szCs w:val="20"/>
              </w:rPr>
            </w:pPr>
            <w:r w:rsidRPr="00636CF7">
              <w:rPr>
                <w:rFonts w:ascii="Arial" w:hAnsi="Arial"/>
                <w:b/>
                <w:sz w:val="20"/>
              </w:rPr>
              <w:t>Avsnitt 6 – Betalningar som gjorts under rapporteringsåret (exklusive betalningar inom gruppen)</w:t>
            </w:r>
          </w:p>
        </w:tc>
        <w:tc>
          <w:tcPr>
            <w:tcW w:w="2745" w:type="dxa"/>
            <w:tcBorders>
              <w:left w:val="nil"/>
              <w:bottom w:val="single" w:color="auto" w:sz="4" w:space="0"/>
              <w:right w:val="nil"/>
            </w:tcBorders>
            <w:noWrap/>
          </w:tcPr>
          <w:p w:rsidRPr="00636CF7" w:rsidR="00691BF0" w:rsidP="009A26DB" w:rsidRDefault="00691BF0" w14:paraId="2D686274"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44BDFD77" w14:textId="77777777">
        <w:trPr>
          <w:trHeight w:val="300"/>
        </w:trPr>
        <w:tc>
          <w:tcPr>
            <w:tcW w:w="6804" w:type="dxa"/>
            <w:gridSpan w:val="2"/>
            <w:tcBorders>
              <w:left w:val="nil"/>
              <w:right w:val="nil"/>
            </w:tcBorders>
            <w:noWrap/>
            <w:hideMark/>
          </w:tcPr>
          <w:p w:rsidRPr="00636CF7" w:rsidR="00691BF0" w:rsidP="009A26DB" w:rsidRDefault="00691BF0" w14:paraId="47E8683A" w14:textId="77777777">
            <w:pPr>
              <w:ind w:firstLine="200" w:firstLineChars="100"/>
              <w:rPr>
                <w:rFonts w:ascii="Arial" w:hAnsi="Arial" w:eastAsia="Times New Roman" w:cs="Arial"/>
                <w:sz w:val="20"/>
                <w:szCs w:val="20"/>
              </w:rPr>
            </w:pPr>
            <w:r w:rsidRPr="00636CF7">
              <w:rPr>
                <w:rFonts w:ascii="Arial" w:hAnsi="Arial"/>
                <w:sz w:val="20"/>
              </w:rPr>
              <w:t xml:space="preserve"> a. australiska dollar (AUD)</w:t>
            </w:r>
          </w:p>
        </w:tc>
        <w:tc>
          <w:tcPr>
            <w:tcW w:w="2745" w:type="dxa"/>
            <w:tcBorders>
              <w:left w:val="nil"/>
              <w:right w:val="nil"/>
            </w:tcBorders>
            <w:noWrap/>
            <w:hideMark/>
          </w:tcPr>
          <w:p w:rsidRPr="00636CF7" w:rsidR="00691BF0" w:rsidP="009A26DB" w:rsidRDefault="00691BF0" w14:paraId="39F3457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D8026DE" w14:textId="77777777">
        <w:trPr>
          <w:trHeight w:val="300"/>
        </w:trPr>
        <w:tc>
          <w:tcPr>
            <w:tcW w:w="6804" w:type="dxa"/>
            <w:gridSpan w:val="2"/>
            <w:tcBorders>
              <w:left w:val="nil"/>
              <w:right w:val="nil"/>
            </w:tcBorders>
            <w:noWrap/>
            <w:hideMark/>
          </w:tcPr>
          <w:p w:rsidRPr="00636CF7" w:rsidR="00691BF0" w:rsidP="009A26DB" w:rsidRDefault="00691BF0" w14:paraId="47B1A063" w14:textId="77777777">
            <w:pPr>
              <w:ind w:firstLine="200" w:firstLineChars="100"/>
              <w:rPr>
                <w:rFonts w:ascii="Arial" w:hAnsi="Arial" w:eastAsia="Times New Roman" w:cs="Arial"/>
                <w:sz w:val="20"/>
                <w:szCs w:val="20"/>
              </w:rPr>
            </w:pPr>
            <w:r w:rsidRPr="00636CF7">
              <w:rPr>
                <w:rFonts w:ascii="Arial" w:hAnsi="Arial"/>
                <w:sz w:val="20"/>
              </w:rPr>
              <w:t>b. kanadensiska dollar (CAD)</w:t>
            </w:r>
          </w:p>
        </w:tc>
        <w:tc>
          <w:tcPr>
            <w:tcW w:w="2745" w:type="dxa"/>
            <w:tcBorders>
              <w:left w:val="nil"/>
              <w:right w:val="nil"/>
            </w:tcBorders>
            <w:noWrap/>
            <w:hideMark/>
          </w:tcPr>
          <w:p w:rsidRPr="00636CF7" w:rsidR="00691BF0" w:rsidP="009A26DB" w:rsidRDefault="00691BF0" w14:paraId="0462CDD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B05F848" w14:textId="77777777">
        <w:trPr>
          <w:trHeight w:val="300"/>
        </w:trPr>
        <w:tc>
          <w:tcPr>
            <w:tcW w:w="6804" w:type="dxa"/>
            <w:gridSpan w:val="2"/>
            <w:tcBorders>
              <w:left w:val="nil"/>
              <w:right w:val="nil"/>
            </w:tcBorders>
            <w:noWrap/>
            <w:hideMark/>
          </w:tcPr>
          <w:p w:rsidRPr="00636CF7" w:rsidR="00691BF0" w:rsidP="009A26DB" w:rsidRDefault="00691BF0" w14:paraId="18600A76" w14:textId="77777777">
            <w:pPr>
              <w:ind w:firstLine="200" w:firstLineChars="100"/>
              <w:rPr>
                <w:rFonts w:ascii="Arial" w:hAnsi="Arial" w:eastAsia="Times New Roman" w:cs="Arial"/>
                <w:sz w:val="20"/>
                <w:szCs w:val="20"/>
              </w:rPr>
            </w:pPr>
            <w:r w:rsidRPr="00636CF7">
              <w:rPr>
                <w:rFonts w:ascii="Arial" w:hAnsi="Arial"/>
                <w:sz w:val="20"/>
              </w:rPr>
              <w:t>c. schweizerfranc (CHF)</w:t>
            </w:r>
          </w:p>
        </w:tc>
        <w:tc>
          <w:tcPr>
            <w:tcW w:w="2745" w:type="dxa"/>
            <w:tcBorders>
              <w:left w:val="nil"/>
              <w:right w:val="nil"/>
            </w:tcBorders>
            <w:noWrap/>
            <w:hideMark/>
          </w:tcPr>
          <w:p w:rsidRPr="00636CF7" w:rsidR="00691BF0" w:rsidP="009A26DB" w:rsidRDefault="00691BF0" w14:paraId="377E155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9943B4D" w14:textId="77777777">
        <w:trPr>
          <w:trHeight w:val="300"/>
        </w:trPr>
        <w:tc>
          <w:tcPr>
            <w:tcW w:w="6804" w:type="dxa"/>
            <w:gridSpan w:val="2"/>
            <w:tcBorders>
              <w:left w:val="nil"/>
              <w:right w:val="nil"/>
            </w:tcBorders>
            <w:noWrap/>
            <w:hideMark/>
          </w:tcPr>
          <w:p w:rsidRPr="00636CF7" w:rsidR="00691BF0" w:rsidP="009A26DB" w:rsidRDefault="00691BF0" w14:paraId="2F12D326" w14:textId="77777777">
            <w:pPr>
              <w:ind w:firstLine="200" w:firstLineChars="100"/>
              <w:rPr>
                <w:rFonts w:ascii="Arial" w:hAnsi="Arial" w:eastAsia="Times New Roman" w:cs="Arial"/>
                <w:sz w:val="20"/>
                <w:szCs w:val="20"/>
              </w:rPr>
            </w:pPr>
            <w:r w:rsidRPr="00636CF7">
              <w:rPr>
                <w:rFonts w:ascii="Arial" w:hAnsi="Arial"/>
                <w:sz w:val="20"/>
              </w:rPr>
              <w:t>d. kinesiska yuan (CNY)</w:t>
            </w:r>
          </w:p>
        </w:tc>
        <w:tc>
          <w:tcPr>
            <w:tcW w:w="2745" w:type="dxa"/>
            <w:tcBorders>
              <w:left w:val="nil"/>
              <w:right w:val="nil"/>
            </w:tcBorders>
            <w:noWrap/>
            <w:hideMark/>
          </w:tcPr>
          <w:p w:rsidRPr="00636CF7" w:rsidR="00691BF0" w:rsidP="009A26DB" w:rsidRDefault="00691BF0" w14:paraId="003B2F5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FAECD36" w14:textId="77777777">
        <w:trPr>
          <w:trHeight w:val="300"/>
        </w:trPr>
        <w:tc>
          <w:tcPr>
            <w:tcW w:w="6804" w:type="dxa"/>
            <w:gridSpan w:val="2"/>
            <w:tcBorders>
              <w:left w:val="nil"/>
              <w:right w:val="nil"/>
            </w:tcBorders>
            <w:noWrap/>
            <w:hideMark/>
          </w:tcPr>
          <w:p w:rsidRPr="00636CF7" w:rsidR="00691BF0" w:rsidP="009A26DB" w:rsidRDefault="00691BF0" w14:paraId="46B3EE3D" w14:textId="77777777">
            <w:pPr>
              <w:ind w:firstLine="200" w:firstLineChars="100"/>
              <w:rPr>
                <w:rFonts w:ascii="Arial" w:hAnsi="Arial" w:eastAsia="Times New Roman" w:cs="Arial"/>
                <w:sz w:val="20"/>
                <w:szCs w:val="20"/>
              </w:rPr>
            </w:pPr>
            <w:r w:rsidRPr="00636CF7">
              <w:rPr>
                <w:rFonts w:ascii="Arial" w:hAnsi="Arial"/>
                <w:sz w:val="20"/>
              </w:rPr>
              <w:t>e. euro (EUR)</w:t>
            </w:r>
          </w:p>
        </w:tc>
        <w:tc>
          <w:tcPr>
            <w:tcW w:w="2745" w:type="dxa"/>
            <w:tcBorders>
              <w:left w:val="nil"/>
              <w:right w:val="nil"/>
            </w:tcBorders>
            <w:noWrap/>
            <w:hideMark/>
          </w:tcPr>
          <w:p w:rsidRPr="00636CF7" w:rsidR="00691BF0" w:rsidP="009A26DB" w:rsidRDefault="00691BF0" w14:paraId="7FC7665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B7CE58A" w14:textId="77777777">
        <w:trPr>
          <w:trHeight w:val="300"/>
        </w:trPr>
        <w:tc>
          <w:tcPr>
            <w:tcW w:w="6804" w:type="dxa"/>
            <w:gridSpan w:val="2"/>
            <w:tcBorders>
              <w:left w:val="nil"/>
              <w:right w:val="nil"/>
            </w:tcBorders>
            <w:noWrap/>
            <w:hideMark/>
          </w:tcPr>
          <w:p w:rsidRPr="00636CF7" w:rsidR="00691BF0" w:rsidP="009A26DB" w:rsidRDefault="00691BF0" w14:paraId="100358C7" w14:textId="77777777">
            <w:pPr>
              <w:ind w:firstLine="200" w:firstLineChars="100"/>
              <w:rPr>
                <w:rFonts w:ascii="Arial" w:hAnsi="Arial" w:eastAsia="Times New Roman" w:cs="Arial"/>
                <w:sz w:val="20"/>
                <w:szCs w:val="20"/>
              </w:rPr>
            </w:pPr>
            <w:r w:rsidRPr="00636CF7">
              <w:rPr>
                <w:rFonts w:ascii="Arial" w:hAnsi="Arial"/>
                <w:sz w:val="20"/>
              </w:rPr>
              <w:t>f. brittiska pund (GBP)</w:t>
            </w:r>
          </w:p>
        </w:tc>
        <w:tc>
          <w:tcPr>
            <w:tcW w:w="2745" w:type="dxa"/>
            <w:tcBorders>
              <w:left w:val="nil"/>
              <w:right w:val="nil"/>
            </w:tcBorders>
            <w:noWrap/>
            <w:hideMark/>
          </w:tcPr>
          <w:p w:rsidRPr="00636CF7" w:rsidR="00691BF0" w:rsidP="009A26DB" w:rsidRDefault="00691BF0" w14:paraId="6B717AB2"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33D0B29" w14:textId="77777777">
        <w:trPr>
          <w:trHeight w:val="300"/>
        </w:trPr>
        <w:tc>
          <w:tcPr>
            <w:tcW w:w="6804" w:type="dxa"/>
            <w:gridSpan w:val="2"/>
            <w:tcBorders>
              <w:left w:val="nil"/>
              <w:right w:val="nil"/>
            </w:tcBorders>
            <w:noWrap/>
            <w:hideMark/>
          </w:tcPr>
          <w:p w:rsidRPr="00636CF7" w:rsidR="00691BF0" w:rsidP="009A26DB" w:rsidRDefault="00691BF0" w14:paraId="017EC81D" w14:textId="77777777">
            <w:pPr>
              <w:ind w:firstLine="200" w:firstLineChars="100"/>
              <w:rPr>
                <w:rFonts w:ascii="Arial" w:hAnsi="Arial" w:eastAsia="Times New Roman" w:cs="Arial"/>
                <w:sz w:val="20"/>
                <w:szCs w:val="20"/>
              </w:rPr>
            </w:pPr>
            <w:r w:rsidRPr="00636CF7">
              <w:rPr>
                <w:rFonts w:ascii="Arial" w:hAnsi="Arial"/>
                <w:sz w:val="20"/>
              </w:rPr>
              <w:t>g. Hongkongdollar (HKD)</w:t>
            </w:r>
          </w:p>
        </w:tc>
        <w:tc>
          <w:tcPr>
            <w:tcW w:w="2745" w:type="dxa"/>
            <w:tcBorders>
              <w:left w:val="nil"/>
              <w:right w:val="nil"/>
            </w:tcBorders>
            <w:noWrap/>
            <w:hideMark/>
          </w:tcPr>
          <w:p w:rsidRPr="00636CF7" w:rsidR="00691BF0" w:rsidP="009A26DB" w:rsidRDefault="00691BF0" w14:paraId="77CFA014"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F724507" w14:textId="77777777">
        <w:trPr>
          <w:trHeight w:val="300"/>
        </w:trPr>
        <w:tc>
          <w:tcPr>
            <w:tcW w:w="6804" w:type="dxa"/>
            <w:gridSpan w:val="2"/>
            <w:tcBorders>
              <w:left w:val="nil"/>
              <w:right w:val="nil"/>
            </w:tcBorders>
            <w:noWrap/>
            <w:hideMark/>
          </w:tcPr>
          <w:p w:rsidRPr="00636CF7" w:rsidR="00691BF0" w:rsidP="009A26DB" w:rsidRDefault="00691BF0" w14:paraId="07E21EDB" w14:textId="77777777">
            <w:pPr>
              <w:ind w:firstLine="200" w:firstLineChars="100"/>
              <w:rPr>
                <w:rFonts w:ascii="Arial" w:hAnsi="Arial" w:eastAsia="Times New Roman" w:cs="Arial"/>
                <w:sz w:val="20"/>
                <w:szCs w:val="20"/>
              </w:rPr>
            </w:pPr>
            <w:r w:rsidRPr="00636CF7">
              <w:rPr>
                <w:rFonts w:ascii="Arial" w:hAnsi="Arial"/>
                <w:sz w:val="20"/>
              </w:rPr>
              <w:t>h. indiska rupier (INR)</w:t>
            </w:r>
          </w:p>
        </w:tc>
        <w:tc>
          <w:tcPr>
            <w:tcW w:w="2745" w:type="dxa"/>
            <w:tcBorders>
              <w:left w:val="nil"/>
              <w:right w:val="nil"/>
            </w:tcBorders>
            <w:noWrap/>
            <w:hideMark/>
          </w:tcPr>
          <w:p w:rsidRPr="00636CF7" w:rsidR="00691BF0" w:rsidP="009A26DB" w:rsidRDefault="00691BF0" w14:paraId="08C66DE3"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8E24811" w14:textId="77777777">
        <w:trPr>
          <w:trHeight w:val="300"/>
        </w:trPr>
        <w:tc>
          <w:tcPr>
            <w:tcW w:w="6804" w:type="dxa"/>
            <w:gridSpan w:val="2"/>
            <w:tcBorders>
              <w:left w:val="nil"/>
              <w:right w:val="nil"/>
            </w:tcBorders>
            <w:noWrap/>
            <w:hideMark/>
          </w:tcPr>
          <w:p w:rsidRPr="00636CF7" w:rsidR="00691BF0" w:rsidP="009A26DB" w:rsidRDefault="00691BF0" w14:paraId="1DCEF3CA" w14:textId="77777777">
            <w:pPr>
              <w:ind w:firstLine="200" w:firstLineChars="100"/>
              <w:rPr>
                <w:rFonts w:ascii="Arial" w:hAnsi="Arial" w:eastAsia="Times New Roman" w:cs="Arial"/>
                <w:sz w:val="20"/>
                <w:szCs w:val="20"/>
              </w:rPr>
            </w:pPr>
            <w:r w:rsidRPr="00636CF7">
              <w:rPr>
                <w:rFonts w:ascii="Arial" w:hAnsi="Arial"/>
                <w:sz w:val="20"/>
              </w:rPr>
              <w:t>i. Japanska yen (JPY)</w:t>
            </w:r>
          </w:p>
        </w:tc>
        <w:tc>
          <w:tcPr>
            <w:tcW w:w="2745" w:type="dxa"/>
            <w:tcBorders>
              <w:left w:val="nil"/>
              <w:right w:val="nil"/>
            </w:tcBorders>
            <w:noWrap/>
            <w:hideMark/>
          </w:tcPr>
          <w:p w:rsidRPr="00636CF7" w:rsidR="00691BF0" w:rsidP="009A26DB" w:rsidRDefault="00691BF0" w14:paraId="276B427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712674B" w14:textId="77777777">
        <w:trPr>
          <w:trHeight w:val="300"/>
        </w:trPr>
        <w:tc>
          <w:tcPr>
            <w:tcW w:w="6804" w:type="dxa"/>
            <w:gridSpan w:val="2"/>
            <w:tcBorders>
              <w:left w:val="nil"/>
              <w:right w:val="nil"/>
            </w:tcBorders>
            <w:noWrap/>
            <w:hideMark/>
          </w:tcPr>
          <w:p w:rsidRPr="00636CF7" w:rsidR="00691BF0" w:rsidP="009A26DB" w:rsidRDefault="00691BF0" w14:paraId="7BF396C7" w14:textId="77777777">
            <w:pPr>
              <w:ind w:firstLine="200" w:firstLineChars="100"/>
              <w:rPr>
                <w:rFonts w:ascii="Arial" w:hAnsi="Arial" w:eastAsia="Times New Roman" w:cs="Arial"/>
                <w:sz w:val="20"/>
                <w:szCs w:val="20"/>
              </w:rPr>
            </w:pPr>
            <w:r w:rsidRPr="00636CF7">
              <w:rPr>
                <w:rFonts w:ascii="Arial" w:hAnsi="Arial"/>
                <w:sz w:val="20"/>
              </w:rPr>
              <w:t>j. nyzeeländska dollar (NZD)</w:t>
            </w:r>
          </w:p>
        </w:tc>
        <w:tc>
          <w:tcPr>
            <w:tcW w:w="2745" w:type="dxa"/>
            <w:tcBorders>
              <w:left w:val="nil"/>
              <w:right w:val="nil"/>
            </w:tcBorders>
            <w:noWrap/>
            <w:hideMark/>
          </w:tcPr>
          <w:p w:rsidRPr="00636CF7" w:rsidR="00691BF0" w:rsidP="009A26DB" w:rsidRDefault="00691BF0" w14:paraId="4AEC51FE"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EE242F7" w14:textId="77777777">
        <w:trPr>
          <w:trHeight w:val="300"/>
        </w:trPr>
        <w:tc>
          <w:tcPr>
            <w:tcW w:w="6804" w:type="dxa"/>
            <w:gridSpan w:val="2"/>
            <w:tcBorders>
              <w:left w:val="nil"/>
              <w:right w:val="nil"/>
            </w:tcBorders>
            <w:noWrap/>
            <w:hideMark/>
          </w:tcPr>
          <w:p w:rsidRPr="00636CF7" w:rsidR="00691BF0" w:rsidP="009A26DB" w:rsidRDefault="00691BF0" w14:paraId="4811A946" w14:textId="77777777">
            <w:pPr>
              <w:ind w:firstLine="200" w:firstLineChars="100"/>
              <w:rPr>
                <w:rFonts w:ascii="Arial" w:hAnsi="Arial" w:eastAsia="Times New Roman" w:cs="Arial"/>
                <w:sz w:val="20"/>
                <w:szCs w:val="20"/>
              </w:rPr>
            </w:pPr>
            <w:r w:rsidRPr="00636CF7">
              <w:rPr>
                <w:rFonts w:ascii="Arial" w:hAnsi="Arial"/>
                <w:sz w:val="20"/>
              </w:rPr>
              <w:t>k. svenska kronor (SEK)</w:t>
            </w:r>
          </w:p>
        </w:tc>
        <w:tc>
          <w:tcPr>
            <w:tcW w:w="2745" w:type="dxa"/>
            <w:tcBorders>
              <w:left w:val="nil"/>
              <w:right w:val="nil"/>
            </w:tcBorders>
            <w:noWrap/>
            <w:hideMark/>
          </w:tcPr>
          <w:p w:rsidRPr="00636CF7" w:rsidR="00691BF0" w:rsidP="009A26DB" w:rsidRDefault="00691BF0" w14:paraId="6897B40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AF83B70" w14:textId="77777777">
        <w:trPr>
          <w:trHeight w:val="300"/>
        </w:trPr>
        <w:tc>
          <w:tcPr>
            <w:tcW w:w="6804" w:type="dxa"/>
            <w:gridSpan w:val="2"/>
            <w:tcBorders>
              <w:left w:val="nil"/>
              <w:right w:val="nil"/>
            </w:tcBorders>
            <w:noWrap/>
            <w:hideMark/>
          </w:tcPr>
          <w:p w:rsidRPr="00636CF7" w:rsidR="00691BF0" w:rsidP="009A26DB" w:rsidRDefault="00691BF0" w14:paraId="692FD013" w14:textId="77777777">
            <w:pPr>
              <w:ind w:firstLine="200" w:firstLineChars="100"/>
              <w:rPr>
                <w:rFonts w:ascii="Arial" w:hAnsi="Arial" w:eastAsia="Times New Roman" w:cs="Arial"/>
                <w:sz w:val="20"/>
                <w:szCs w:val="20"/>
              </w:rPr>
            </w:pPr>
            <w:r w:rsidRPr="00636CF7">
              <w:rPr>
                <w:rFonts w:ascii="Arial" w:hAnsi="Arial"/>
                <w:sz w:val="20"/>
              </w:rPr>
              <w:t>l. US-dollar (USD)</w:t>
            </w:r>
          </w:p>
        </w:tc>
        <w:tc>
          <w:tcPr>
            <w:tcW w:w="2745" w:type="dxa"/>
            <w:tcBorders>
              <w:left w:val="nil"/>
              <w:right w:val="nil"/>
            </w:tcBorders>
            <w:noWrap/>
            <w:hideMark/>
          </w:tcPr>
          <w:p w:rsidRPr="00636CF7" w:rsidR="00691BF0" w:rsidP="009A26DB" w:rsidRDefault="00691BF0" w14:paraId="6A4E5AA4"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03F9C87"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000D2D2E" w14:textId="77777777">
            <w:pPr>
              <w:ind w:firstLine="200" w:firstLineChars="100"/>
              <w:rPr>
                <w:rFonts w:ascii="Arial" w:hAnsi="Arial" w:eastAsia="Times New Roman" w:cs="Arial"/>
                <w:sz w:val="20"/>
                <w:szCs w:val="20"/>
              </w:rPr>
            </w:pPr>
            <w:r w:rsidRPr="00636CF7">
              <w:rPr>
                <w:rFonts w:ascii="Arial" w:hAnsi="Arial"/>
                <w:sz w:val="20"/>
              </w:rPr>
              <w:t>m. Indikator för betalningsaktivitet (summan av posterna 6 a–l)</w:t>
            </w:r>
          </w:p>
        </w:tc>
        <w:tc>
          <w:tcPr>
            <w:tcW w:w="2745" w:type="dxa"/>
            <w:tcBorders>
              <w:left w:val="nil"/>
              <w:bottom w:val="single" w:color="auto" w:sz="4" w:space="0"/>
              <w:right w:val="nil"/>
            </w:tcBorders>
            <w:noWrap/>
            <w:hideMark/>
          </w:tcPr>
          <w:p w:rsidRPr="00636CF7" w:rsidR="00691BF0" w:rsidP="009A26DB" w:rsidRDefault="00691BF0" w14:paraId="148AE9FF" w14:textId="77777777">
            <w:pPr>
              <w:jc w:val="right"/>
              <w:rPr>
                <w:rFonts w:ascii="Arial" w:hAnsi="Arial" w:eastAsia="Times New Roman" w:cs="Arial"/>
                <w:sz w:val="20"/>
                <w:szCs w:val="20"/>
              </w:rPr>
            </w:pPr>
            <w:r w:rsidRPr="00636CF7">
              <w:rPr>
                <w:rFonts w:ascii="Arial" w:hAnsi="Arial"/>
                <w:sz w:val="20"/>
              </w:rPr>
              <w:t xml:space="preserve"> </w:t>
            </w:r>
          </w:p>
        </w:tc>
      </w:tr>
      <w:tr w:rsidRPr="00636CF7" w:rsidR="00691BF0" w:rsidTr="009A26DB" w14:paraId="101CEE12" w14:textId="77777777">
        <w:trPr>
          <w:trHeight w:val="300"/>
        </w:trPr>
        <w:tc>
          <w:tcPr>
            <w:tcW w:w="6804" w:type="dxa"/>
            <w:gridSpan w:val="2"/>
            <w:tcBorders>
              <w:left w:val="nil"/>
              <w:bottom w:val="nil"/>
              <w:right w:val="nil"/>
            </w:tcBorders>
            <w:noWrap/>
          </w:tcPr>
          <w:p w:rsidRPr="00636CF7" w:rsidR="00691BF0" w:rsidP="009A26DB" w:rsidRDefault="00691BF0" w14:paraId="1364B3B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194F3E7D" w14:textId="77777777">
            <w:pPr>
              <w:jc w:val="center"/>
              <w:rPr>
                <w:rFonts w:ascii="Arial" w:hAnsi="Arial" w:eastAsia="Times New Roman" w:cs="Arial"/>
                <w:b/>
                <w:bCs/>
                <w:sz w:val="20"/>
                <w:szCs w:val="20"/>
                <w:lang w:eastAsia="en-GB"/>
              </w:rPr>
            </w:pPr>
          </w:p>
        </w:tc>
      </w:tr>
      <w:tr w:rsidRPr="00636CF7" w:rsidR="00691BF0" w:rsidTr="009A26DB" w14:paraId="1507D996"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40E5E5E8" w14:textId="77777777">
            <w:pPr>
              <w:rPr>
                <w:rFonts w:ascii="Arial" w:hAnsi="Arial" w:eastAsia="Times New Roman" w:cs="Arial"/>
                <w:b/>
                <w:bCs/>
                <w:sz w:val="20"/>
                <w:szCs w:val="20"/>
              </w:rPr>
            </w:pPr>
            <w:r w:rsidRPr="00636CF7">
              <w:rPr>
                <w:rFonts w:ascii="Arial" w:hAnsi="Arial"/>
                <w:b/>
                <w:sz w:val="20"/>
              </w:rPr>
              <w:t>Avsnitt 7 – Tillgångar under förvaring</w:t>
            </w:r>
          </w:p>
        </w:tc>
        <w:tc>
          <w:tcPr>
            <w:tcW w:w="2745" w:type="dxa"/>
            <w:tcBorders>
              <w:top w:val="nil"/>
              <w:left w:val="nil"/>
              <w:bottom w:val="single" w:color="auto" w:sz="4" w:space="0"/>
              <w:right w:val="nil"/>
            </w:tcBorders>
            <w:hideMark/>
          </w:tcPr>
          <w:p w:rsidRPr="00636CF7" w:rsidR="00691BF0" w:rsidP="009A26DB" w:rsidRDefault="00691BF0" w14:paraId="4EB1C60E"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232E145C"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69330271" w14:textId="77777777">
            <w:pPr>
              <w:ind w:firstLine="200" w:firstLineChars="100"/>
              <w:rPr>
                <w:rFonts w:ascii="Arial" w:hAnsi="Arial" w:eastAsia="Times New Roman" w:cs="Arial"/>
                <w:sz w:val="20"/>
                <w:szCs w:val="20"/>
              </w:rPr>
            </w:pPr>
            <w:r w:rsidRPr="00636CF7">
              <w:rPr>
                <w:rFonts w:ascii="Arial" w:hAnsi="Arial"/>
                <w:sz w:val="20"/>
              </w:rPr>
              <w:t>Indikator för tillgångar under förvaring</w:t>
            </w:r>
          </w:p>
        </w:tc>
        <w:tc>
          <w:tcPr>
            <w:tcW w:w="2745" w:type="dxa"/>
            <w:tcBorders>
              <w:left w:val="nil"/>
              <w:bottom w:val="single" w:color="auto" w:sz="4" w:space="0"/>
              <w:right w:val="nil"/>
            </w:tcBorders>
            <w:noWrap/>
            <w:hideMark/>
          </w:tcPr>
          <w:p w:rsidRPr="00636CF7" w:rsidR="00691BF0" w:rsidP="009A26DB" w:rsidRDefault="00691BF0" w14:paraId="64F196AB"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9880041" w14:textId="77777777">
        <w:trPr>
          <w:trHeight w:val="300"/>
        </w:trPr>
        <w:tc>
          <w:tcPr>
            <w:tcW w:w="6804" w:type="dxa"/>
            <w:gridSpan w:val="2"/>
            <w:tcBorders>
              <w:left w:val="nil"/>
              <w:bottom w:val="nil"/>
              <w:right w:val="nil"/>
            </w:tcBorders>
            <w:noWrap/>
          </w:tcPr>
          <w:p w:rsidRPr="00636CF7" w:rsidR="00691BF0" w:rsidP="009A26DB" w:rsidRDefault="00691BF0" w14:paraId="39CFD906"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36CF7" w:rsidR="00691BF0" w:rsidP="009A26DB" w:rsidRDefault="00691BF0" w14:paraId="75C59F95" w14:textId="77777777">
            <w:pPr>
              <w:jc w:val="center"/>
              <w:rPr>
                <w:rFonts w:ascii="Arial" w:hAnsi="Arial" w:eastAsia="Times New Roman" w:cs="Arial"/>
                <w:b/>
                <w:bCs/>
                <w:sz w:val="20"/>
                <w:szCs w:val="20"/>
                <w:lang w:eastAsia="en-GB"/>
              </w:rPr>
            </w:pPr>
          </w:p>
        </w:tc>
      </w:tr>
      <w:tr w:rsidRPr="00636CF7" w:rsidR="00691BF0" w:rsidTr="009A26DB" w14:paraId="759503B2"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317E9176" w14:textId="77777777">
            <w:pPr>
              <w:rPr>
                <w:rFonts w:ascii="Arial" w:hAnsi="Arial" w:eastAsia="Times New Roman" w:cs="Arial"/>
                <w:sz w:val="20"/>
                <w:szCs w:val="20"/>
              </w:rPr>
            </w:pPr>
            <w:r w:rsidRPr="00636CF7">
              <w:rPr>
                <w:rFonts w:ascii="Arial" w:hAnsi="Arial"/>
                <w:b/>
                <w:sz w:val="20"/>
              </w:rPr>
              <w:t>Avsnitt 8 – Transaktioner tecknade på skuld- och aktiemarknader</w:t>
            </w:r>
          </w:p>
        </w:tc>
        <w:tc>
          <w:tcPr>
            <w:tcW w:w="2745" w:type="dxa"/>
            <w:tcBorders>
              <w:top w:val="nil"/>
              <w:left w:val="nil"/>
              <w:bottom w:val="single" w:color="auto" w:sz="4" w:space="0"/>
              <w:right w:val="nil"/>
            </w:tcBorders>
            <w:noWrap/>
          </w:tcPr>
          <w:p w:rsidRPr="00636CF7" w:rsidR="00691BF0" w:rsidP="009A26DB" w:rsidRDefault="00691BF0" w14:paraId="5F9F1928"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6BAA72F4" w14:textId="77777777">
        <w:trPr>
          <w:trHeight w:val="300"/>
        </w:trPr>
        <w:tc>
          <w:tcPr>
            <w:tcW w:w="6804" w:type="dxa"/>
            <w:gridSpan w:val="2"/>
            <w:tcBorders>
              <w:left w:val="nil"/>
              <w:right w:val="nil"/>
            </w:tcBorders>
            <w:noWrap/>
            <w:hideMark/>
          </w:tcPr>
          <w:p w:rsidRPr="00636CF7" w:rsidR="00691BF0" w:rsidP="009A26DB" w:rsidRDefault="00691BF0" w14:paraId="70BBC0A4" w14:textId="77777777">
            <w:pPr>
              <w:ind w:firstLine="200" w:firstLineChars="100"/>
              <w:rPr>
                <w:rFonts w:ascii="Arial" w:hAnsi="Arial" w:eastAsia="Times New Roman" w:cs="Arial"/>
                <w:sz w:val="20"/>
                <w:szCs w:val="20"/>
              </w:rPr>
            </w:pPr>
            <w:r w:rsidRPr="00636CF7">
              <w:rPr>
                <w:rFonts w:ascii="Arial" w:hAnsi="Arial"/>
                <w:sz w:val="20"/>
              </w:rPr>
              <w:t>a. Garantiverksamhet för aktier</w:t>
            </w:r>
          </w:p>
        </w:tc>
        <w:tc>
          <w:tcPr>
            <w:tcW w:w="2745" w:type="dxa"/>
            <w:tcBorders>
              <w:left w:val="nil"/>
              <w:right w:val="nil"/>
            </w:tcBorders>
            <w:noWrap/>
            <w:hideMark/>
          </w:tcPr>
          <w:p w:rsidRPr="00636CF7" w:rsidR="00691BF0" w:rsidP="009A26DB" w:rsidRDefault="00691BF0" w14:paraId="6DDA52E1"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653AE83" w14:textId="77777777">
        <w:trPr>
          <w:trHeight w:val="300"/>
        </w:trPr>
        <w:tc>
          <w:tcPr>
            <w:tcW w:w="6804" w:type="dxa"/>
            <w:gridSpan w:val="2"/>
            <w:tcBorders>
              <w:left w:val="nil"/>
              <w:right w:val="nil"/>
            </w:tcBorders>
            <w:noWrap/>
            <w:hideMark/>
          </w:tcPr>
          <w:p w:rsidRPr="00636CF7" w:rsidR="00691BF0" w:rsidP="009A26DB" w:rsidRDefault="00691BF0" w14:paraId="0508E62B" w14:textId="77777777">
            <w:pPr>
              <w:ind w:firstLine="200" w:firstLineChars="100"/>
              <w:rPr>
                <w:rFonts w:ascii="Arial" w:hAnsi="Arial" w:eastAsia="Times New Roman" w:cs="Arial"/>
                <w:sz w:val="20"/>
                <w:szCs w:val="20"/>
              </w:rPr>
            </w:pPr>
            <w:r w:rsidRPr="00636CF7">
              <w:rPr>
                <w:rFonts w:ascii="Arial" w:hAnsi="Arial"/>
                <w:sz w:val="20"/>
              </w:rPr>
              <w:t>b. Garantiverksamhet för skuldinstrument</w:t>
            </w:r>
          </w:p>
        </w:tc>
        <w:tc>
          <w:tcPr>
            <w:tcW w:w="2745" w:type="dxa"/>
            <w:tcBorders>
              <w:left w:val="nil"/>
              <w:right w:val="nil"/>
            </w:tcBorders>
            <w:noWrap/>
            <w:hideMark/>
          </w:tcPr>
          <w:p w:rsidRPr="00636CF7" w:rsidR="00691BF0" w:rsidP="009A26DB" w:rsidRDefault="00691BF0" w14:paraId="4172A5E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E13842A"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335AD3BF" w14:textId="77777777">
            <w:pPr>
              <w:ind w:firstLine="200" w:firstLineChars="100"/>
              <w:rPr>
                <w:rFonts w:ascii="Arial" w:hAnsi="Arial" w:eastAsia="Times New Roman" w:cs="Arial"/>
                <w:sz w:val="20"/>
                <w:szCs w:val="20"/>
              </w:rPr>
            </w:pPr>
            <w:r w:rsidRPr="00636CF7">
              <w:rPr>
                <w:rFonts w:ascii="Arial" w:hAnsi="Arial"/>
                <w:sz w:val="20"/>
              </w:rPr>
              <w:t>c. Indikator för garantiverksamhet (summan av posterna 8 a och 8 b)</w:t>
            </w:r>
          </w:p>
        </w:tc>
        <w:tc>
          <w:tcPr>
            <w:tcW w:w="2745" w:type="dxa"/>
            <w:tcBorders>
              <w:left w:val="nil"/>
              <w:bottom w:val="single" w:color="auto" w:sz="4" w:space="0"/>
              <w:right w:val="nil"/>
            </w:tcBorders>
            <w:noWrap/>
            <w:hideMark/>
          </w:tcPr>
          <w:p w:rsidRPr="00636CF7" w:rsidR="00691BF0" w:rsidP="009A26DB" w:rsidRDefault="00691BF0" w14:paraId="3E7A1F6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05C72CF" w14:textId="77777777">
        <w:trPr>
          <w:trHeight w:val="300"/>
        </w:trPr>
        <w:tc>
          <w:tcPr>
            <w:tcW w:w="6804" w:type="dxa"/>
            <w:gridSpan w:val="2"/>
            <w:tcBorders>
              <w:left w:val="nil"/>
              <w:bottom w:val="nil"/>
              <w:right w:val="nil"/>
            </w:tcBorders>
            <w:noWrap/>
          </w:tcPr>
          <w:p w:rsidRPr="00636CF7" w:rsidR="00691BF0" w:rsidP="009A26DB" w:rsidRDefault="00691BF0" w14:paraId="7DC21F9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1B43BAA8" w14:textId="77777777">
            <w:pPr>
              <w:jc w:val="center"/>
              <w:rPr>
                <w:rFonts w:ascii="Arial" w:hAnsi="Arial" w:eastAsia="Times New Roman" w:cs="Arial"/>
                <w:b/>
                <w:bCs/>
                <w:sz w:val="20"/>
                <w:szCs w:val="20"/>
                <w:lang w:eastAsia="en-GB"/>
              </w:rPr>
            </w:pPr>
          </w:p>
        </w:tc>
      </w:tr>
      <w:tr w:rsidRPr="00636CF7" w:rsidR="00691BF0" w:rsidTr="009A26DB" w14:paraId="67C848F3" w14:textId="77777777">
        <w:trPr>
          <w:trHeight w:val="300"/>
        </w:trPr>
        <w:tc>
          <w:tcPr>
            <w:tcW w:w="6804" w:type="dxa"/>
            <w:gridSpan w:val="2"/>
            <w:tcBorders>
              <w:top w:val="nil"/>
              <w:left w:val="nil"/>
              <w:right w:val="nil"/>
            </w:tcBorders>
            <w:noWrap/>
            <w:hideMark/>
          </w:tcPr>
          <w:p w:rsidRPr="00636CF7" w:rsidR="00691BF0" w:rsidP="009A26DB" w:rsidRDefault="00691BF0" w14:paraId="45AD3662" w14:textId="77777777">
            <w:pPr>
              <w:rPr>
                <w:rFonts w:ascii="Arial" w:hAnsi="Arial" w:eastAsia="Times New Roman" w:cs="Arial"/>
                <w:b/>
                <w:bCs/>
                <w:sz w:val="20"/>
                <w:szCs w:val="20"/>
              </w:rPr>
            </w:pPr>
            <w:r w:rsidRPr="00636CF7">
              <w:rPr>
                <w:rFonts w:ascii="Arial" w:hAnsi="Arial"/>
                <w:b/>
                <w:sz w:val="20"/>
              </w:rPr>
              <w:t>Avsnitt 9 – Handelsvolym</w:t>
            </w:r>
          </w:p>
        </w:tc>
        <w:tc>
          <w:tcPr>
            <w:tcW w:w="2745" w:type="dxa"/>
            <w:tcBorders>
              <w:top w:val="nil"/>
              <w:left w:val="nil"/>
              <w:right w:val="nil"/>
            </w:tcBorders>
            <w:hideMark/>
          </w:tcPr>
          <w:p w:rsidRPr="00636CF7" w:rsidR="00691BF0" w:rsidP="009A26DB" w:rsidRDefault="00691BF0" w14:paraId="210C1682"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63C0D78F" w14:textId="77777777">
        <w:trPr>
          <w:trHeight w:val="300"/>
        </w:trPr>
        <w:tc>
          <w:tcPr>
            <w:tcW w:w="6804" w:type="dxa"/>
            <w:gridSpan w:val="2"/>
            <w:tcBorders>
              <w:left w:val="nil"/>
              <w:right w:val="nil"/>
            </w:tcBorders>
            <w:noWrap/>
          </w:tcPr>
          <w:p w:rsidRPr="00636CF7" w:rsidR="00691BF0" w:rsidP="009A26DB" w:rsidRDefault="00691BF0" w14:paraId="09A3764F" w14:textId="77777777">
            <w:pPr>
              <w:ind w:left="171" w:firstLine="28" w:firstLineChars="14"/>
              <w:rPr>
                <w:rFonts w:ascii="Arial" w:hAnsi="Arial" w:eastAsia="Times New Roman" w:cs="Arial"/>
                <w:sz w:val="20"/>
                <w:szCs w:val="20"/>
              </w:rPr>
            </w:pPr>
            <w:r w:rsidRPr="00636CF7">
              <w:rPr>
                <w:rFonts w:ascii="Arial" w:hAnsi="Arial"/>
                <w:sz w:val="20"/>
              </w:rPr>
              <w:lastRenderedPageBreak/>
              <w:t>a. Handelsvolym för värdepapper som utfärdats av övriga offentliga organ, exklusive transaktioner inom koncernen</w:t>
            </w:r>
          </w:p>
        </w:tc>
        <w:tc>
          <w:tcPr>
            <w:tcW w:w="2745" w:type="dxa"/>
            <w:tcBorders>
              <w:left w:val="nil"/>
              <w:right w:val="nil"/>
            </w:tcBorders>
            <w:noWrap/>
          </w:tcPr>
          <w:p w:rsidRPr="00636CF7" w:rsidR="00691BF0" w:rsidP="009A26DB" w:rsidRDefault="00691BF0" w14:paraId="5EFE7AFB" w14:textId="77777777">
            <w:pPr>
              <w:jc w:val="right"/>
              <w:rPr>
                <w:rFonts w:ascii="Arial" w:hAnsi="Arial" w:eastAsia="Times New Roman" w:cs="Arial"/>
                <w:sz w:val="20"/>
                <w:szCs w:val="20"/>
                <w:lang w:eastAsia="en-GB"/>
              </w:rPr>
            </w:pPr>
          </w:p>
        </w:tc>
      </w:tr>
      <w:tr w:rsidRPr="00636CF7" w:rsidR="00691BF0" w:rsidTr="009A26DB" w14:paraId="5DC4A021"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781A63C2" w14:textId="77777777">
            <w:pPr>
              <w:ind w:left="171" w:firstLine="28" w:firstLineChars="14"/>
              <w:rPr>
                <w:rFonts w:ascii="Arial" w:hAnsi="Arial" w:eastAsia="Times New Roman" w:cs="Arial"/>
                <w:sz w:val="20"/>
                <w:szCs w:val="20"/>
              </w:rPr>
            </w:pPr>
            <w:r w:rsidRPr="00636CF7">
              <w:rPr>
                <w:rFonts w:ascii="Arial" w:hAnsi="Arial"/>
                <w:sz w:val="20"/>
              </w:rPr>
              <w:t>b. Handelsvolym för övriga fastförräntade värdepapper, exklusive transaktioner inom koncernen</w:t>
            </w:r>
          </w:p>
        </w:tc>
        <w:tc>
          <w:tcPr>
            <w:tcW w:w="2745" w:type="dxa"/>
            <w:tcBorders>
              <w:left w:val="nil"/>
              <w:right w:val="nil"/>
            </w:tcBorders>
            <w:noWrap/>
            <w:hideMark/>
          </w:tcPr>
          <w:p w:rsidRPr="00636CF7" w:rsidR="00691BF0" w:rsidP="009A26DB" w:rsidRDefault="00691BF0" w14:paraId="27720F60"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E4F954D" w14:textId="77777777">
        <w:trPr>
          <w:gridAfter w:val="1"/>
          <w:wAfter w:w="2745" w:type="dxa"/>
          <w:trHeight w:val="300"/>
        </w:trPr>
        <w:tc>
          <w:tcPr>
            <w:tcW w:w="6804" w:type="dxa"/>
            <w:gridSpan w:val="2"/>
            <w:tcBorders>
              <w:left w:val="nil"/>
              <w:bottom w:val="single" w:color="auto" w:sz="4" w:space="0"/>
              <w:right w:val="nil"/>
            </w:tcBorders>
            <w:noWrap/>
            <w:hideMark/>
          </w:tcPr>
          <w:p w:rsidRPr="00636CF7" w:rsidR="00691BF0" w:rsidP="009A26DB" w:rsidRDefault="00691BF0" w14:paraId="5B3FEC0D" w14:textId="77777777">
            <w:pPr>
              <w:ind w:firstLine="200" w:firstLineChars="100"/>
              <w:rPr>
                <w:rFonts w:ascii="Arial" w:hAnsi="Arial" w:eastAsia="Times New Roman" w:cs="Arial"/>
                <w:sz w:val="20"/>
                <w:szCs w:val="20"/>
              </w:rPr>
            </w:pPr>
            <w:r w:rsidRPr="00636CF7">
              <w:rPr>
                <w:rFonts w:ascii="Arial" w:hAnsi="Arial"/>
                <w:sz w:val="20"/>
              </w:rPr>
              <w:t>c. Delindikator, handelsvolym för fastförräntade värdepapper (summan av posterna 9 a och 9 b)</w:t>
            </w:r>
          </w:p>
        </w:tc>
      </w:tr>
      <w:tr w:rsidRPr="00636CF7" w:rsidR="00691BF0" w:rsidTr="009A26DB" w14:paraId="2FC8A8E2" w14:textId="77777777">
        <w:trPr>
          <w:trHeight w:val="300"/>
        </w:trPr>
        <w:tc>
          <w:tcPr>
            <w:tcW w:w="6804" w:type="dxa"/>
            <w:gridSpan w:val="2"/>
            <w:tcBorders>
              <w:left w:val="nil"/>
              <w:right w:val="nil"/>
            </w:tcBorders>
            <w:noWrap/>
            <w:hideMark/>
          </w:tcPr>
          <w:p w:rsidRPr="00636CF7" w:rsidR="00691BF0" w:rsidP="009A26DB" w:rsidRDefault="00691BF0" w14:paraId="0E1F7801" w14:textId="77777777">
            <w:pPr>
              <w:ind w:firstLine="200" w:firstLineChars="100"/>
              <w:rPr>
                <w:rFonts w:ascii="Arial" w:hAnsi="Arial" w:eastAsia="Times New Roman" w:cs="Arial"/>
                <w:sz w:val="20"/>
                <w:szCs w:val="20"/>
              </w:rPr>
            </w:pPr>
            <w:r w:rsidRPr="00636CF7">
              <w:rPr>
                <w:rFonts w:ascii="Arial" w:hAnsi="Arial"/>
                <w:sz w:val="20"/>
              </w:rPr>
              <w:t>d. Handelsvolym för börsnoterade aktier, exklusive transaktioner inom koncernen</w:t>
            </w:r>
          </w:p>
        </w:tc>
        <w:tc>
          <w:tcPr>
            <w:tcW w:w="2745" w:type="dxa"/>
            <w:tcBorders>
              <w:left w:val="nil"/>
              <w:right w:val="nil"/>
            </w:tcBorders>
            <w:noWrap/>
            <w:hideMark/>
          </w:tcPr>
          <w:p w:rsidRPr="00636CF7" w:rsidR="00691BF0" w:rsidP="009A26DB" w:rsidRDefault="00691BF0" w14:paraId="684B675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F23F891"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4003C0FD" w14:textId="77777777">
            <w:pPr>
              <w:ind w:left="171"/>
              <w:rPr>
                <w:rFonts w:ascii="Arial" w:hAnsi="Arial" w:eastAsia="Times New Roman" w:cs="Arial"/>
                <w:sz w:val="20"/>
                <w:szCs w:val="20"/>
              </w:rPr>
            </w:pPr>
            <w:r w:rsidRPr="00636CF7">
              <w:rPr>
                <w:rFonts w:ascii="Arial" w:hAnsi="Arial"/>
                <w:sz w:val="20"/>
              </w:rPr>
              <w:t>e. Handelsvolym för alla övriga värdepapper, exklusive transaktioner inom koncernen</w:t>
            </w:r>
          </w:p>
        </w:tc>
        <w:tc>
          <w:tcPr>
            <w:tcW w:w="2745" w:type="dxa"/>
            <w:tcBorders>
              <w:left w:val="nil"/>
              <w:right w:val="nil"/>
            </w:tcBorders>
            <w:noWrap/>
            <w:hideMark/>
          </w:tcPr>
          <w:p w:rsidRPr="00636CF7" w:rsidR="00691BF0" w:rsidP="009A26DB" w:rsidRDefault="00691BF0" w14:paraId="6B0F906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10CA07D" w14:textId="77777777">
        <w:trPr>
          <w:gridAfter w:val="1"/>
          <w:wAfter w:w="2745" w:type="dxa"/>
          <w:trHeight w:val="300"/>
        </w:trPr>
        <w:tc>
          <w:tcPr>
            <w:tcW w:w="6804" w:type="dxa"/>
            <w:gridSpan w:val="2"/>
            <w:tcBorders>
              <w:left w:val="nil"/>
              <w:bottom w:val="single" w:color="auto" w:sz="4" w:space="0"/>
              <w:right w:val="nil"/>
            </w:tcBorders>
            <w:noWrap/>
            <w:hideMark/>
          </w:tcPr>
          <w:p w:rsidRPr="00636CF7" w:rsidR="00691BF0" w:rsidP="009A26DB" w:rsidRDefault="00691BF0" w14:paraId="3203A639" w14:textId="77777777">
            <w:pPr>
              <w:ind w:left="171" w:firstLine="28" w:firstLineChars="14"/>
              <w:rPr>
                <w:rFonts w:ascii="Arial" w:hAnsi="Arial" w:eastAsia="Times New Roman" w:cs="Arial"/>
                <w:sz w:val="20"/>
                <w:szCs w:val="20"/>
              </w:rPr>
            </w:pPr>
            <w:r w:rsidRPr="00636CF7">
              <w:rPr>
                <w:rFonts w:ascii="Arial" w:hAnsi="Arial"/>
                <w:sz w:val="20"/>
              </w:rPr>
              <w:t>f. Delindikator för handelsvolym – aktier och andra värdepapper (summan av posterna 9 d och 9 e)</w:t>
            </w:r>
          </w:p>
        </w:tc>
      </w:tr>
      <w:tr w:rsidRPr="00636CF7" w:rsidR="00691BF0" w:rsidTr="009A26DB" w14:paraId="75769777" w14:textId="77777777">
        <w:trPr>
          <w:trHeight w:val="403"/>
        </w:trPr>
        <w:tc>
          <w:tcPr>
            <w:tcW w:w="6804" w:type="dxa"/>
            <w:gridSpan w:val="2"/>
            <w:tcBorders>
              <w:left w:val="nil"/>
              <w:bottom w:val="nil"/>
              <w:right w:val="nil"/>
            </w:tcBorders>
            <w:noWrap/>
          </w:tcPr>
          <w:p w:rsidRPr="00636CF7" w:rsidR="00691BF0" w:rsidP="009A26DB" w:rsidRDefault="00691BF0" w14:paraId="6C75B5B2"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636CF7" w:rsidR="00691BF0" w:rsidP="009A26DB" w:rsidRDefault="00691BF0" w14:paraId="7AC86925" w14:textId="77777777">
            <w:pPr>
              <w:rPr>
                <w:rFonts w:ascii="Arial" w:hAnsi="Arial" w:eastAsia="Times New Roman" w:cs="Arial"/>
                <w:sz w:val="20"/>
                <w:szCs w:val="20"/>
                <w:lang w:eastAsia="en-GB"/>
              </w:rPr>
            </w:pPr>
          </w:p>
        </w:tc>
      </w:tr>
      <w:tr w:rsidRPr="00636CF7" w:rsidR="00691BF0" w:rsidTr="009A26DB" w14:paraId="64E4F6AA" w14:textId="77777777">
        <w:trPr>
          <w:trHeight w:val="403"/>
        </w:trPr>
        <w:tc>
          <w:tcPr>
            <w:tcW w:w="6804" w:type="dxa"/>
            <w:gridSpan w:val="2"/>
            <w:tcBorders>
              <w:top w:val="nil"/>
              <w:left w:val="nil"/>
              <w:bottom w:val="nil"/>
              <w:right w:val="nil"/>
            </w:tcBorders>
            <w:noWrap/>
            <w:hideMark/>
          </w:tcPr>
          <w:p w:rsidRPr="00636CF7" w:rsidR="00691BF0" w:rsidP="009A26DB" w:rsidRDefault="00691BF0" w14:paraId="619DA724" w14:textId="77777777">
            <w:pPr>
              <w:keepNext/>
              <w:keepLines/>
              <w:spacing w:before="47"/>
              <w:outlineLvl w:val="5"/>
              <w:rPr>
                <w:rFonts w:asciiTheme="majorHAnsi" w:hAnsiTheme="majorHAnsi" w:eastAsiaTheme="majorEastAsia" w:cstheme="majorBidi"/>
                <w:b/>
                <w:bCs/>
                <w:i/>
                <w:iCs/>
                <w:caps/>
                <w:spacing w:val="-2"/>
              </w:rPr>
            </w:pPr>
            <w:r w:rsidRPr="00636CF7">
              <w:rPr>
                <w:rFonts w:ascii="Arial" w:hAnsi="Arial"/>
                <w:i/>
                <w:caps/>
                <w:color w:val="172B39" w:themeColor="accent1" w:themeShade="80"/>
                <w:sz w:val="20"/>
              </w:rPr>
              <w:t> </w:t>
            </w:r>
            <w:r w:rsidRPr="00636CF7">
              <w:rPr>
                <w:rFonts w:asciiTheme="majorHAnsi" w:hAnsiTheme="majorHAnsi"/>
                <w:b/>
                <w:i/>
                <w:caps/>
              </w:rPr>
              <w:t>Indikatorer för komplexitet</w:t>
            </w:r>
          </w:p>
          <w:p w:rsidRPr="00636CF7" w:rsidR="00691BF0" w:rsidP="009A26DB" w:rsidRDefault="00691BF0" w14:paraId="7821F41B"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636CF7" w:rsidR="00691BF0" w:rsidP="009A26DB" w:rsidRDefault="00691BF0" w14:paraId="499E9C74" w14:textId="77777777">
            <w:pPr>
              <w:rPr>
                <w:rFonts w:ascii="Arial" w:hAnsi="Arial" w:eastAsia="Times New Roman" w:cs="Arial"/>
                <w:sz w:val="20"/>
                <w:szCs w:val="20"/>
              </w:rPr>
            </w:pPr>
            <w:r w:rsidRPr="00636CF7">
              <w:rPr>
                <w:rFonts w:ascii="Arial" w:hAnsi="Arial"/>
                <w:sz w:val="20"/>
              </w:rPr>
              <w:t> </w:t>
            </w:r>
          </w:p>
        </w:tc>
      </w:tr>
      <w:tr w:rsidRPr="00636CF7" w:rsidR="00691BF0" w:rsidTr="009A26DB" w14:paraId="2230433F" w14:textId="77777777">
        <w:trPr>
          <w:trHeight w:val="300"/>
        </w:trPr>
        <w:tc>
          <w:tcPr>
            <w:tcW w:w="6804" w:type="dxa"/>
            <w:gridSpan w:val="2"/>
            <w:tcBorders>
              <w:left w:val="nil"/>
              <w:right w:val="nil"/>
            </w:tcBorders>
            <w:noWrap/>
          </w:tcPr>
          <w:p w:rsidRPr="00636CF7" w:rsidR="00691BF0" w:rsidP="009A26DB" w:rsidRDefault="00691BF0" w14:paraId="3ED7C082" w14:textId="77777777">
            <w:pPr>
              <w:ind w:firstLine="201" w:firstLineChars="100"/>
              <w:rPr>
                <w:rFonts w:ascii="Arial" w:hAnsi="Arial" w:eastAsia="Times New Roman" w:cs="Arial"/>
                <w:sz w:val="20"/>
                <w:szCs w:val="20"/>
              </w:rPr>
            </w:pPr>
            <w:r w:rsidRPr="00636CF7">
              <w:rPr>
                <w:rFonts w:ascii="Arial" w:hAnsi="Arial"/>
                <w:b/>
                <w:sz w:val="20"/>
              </w:rPr>
              <w:t>Avsnitt 10 – Teoretiskt belopp för OTC-derivat</w:t>
            </w:r>
          </w:p>
        </w:tc>
        <w:tc>
          <w:tcPr>
            <w:tcW w:w="2745" w:type="dxa"/>
            <w:tcBorders>
              <w:left w:val="nil"/>
              <w:right w:val="nil"/>
            </w:tcBorders>
            <w:noWrap/>
          </w:tcPr>
          <w:p w:rsidRPr="00636CF7" w:rsidR="00691BF0" w:rsidP="009A26DB" w:rsidRDefault="00691BF0" w14:paraId="76011284"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47F3BE08" w14:textId="77777777">
        <w:trPr>
          <w:trHeight w:val="300"/>
        </w:trPr>
        <w:tc>
          <w:tcPr>
            <w:tcW w:w="6804" w:type="dxa"/>
            <w:gridSpan w:val="2"/>
            <w:tcBorders>
              <w:left w:val="nil"/>
              <w:right w:val="nil"/>
            </w:tcBorders>
            <w:noWrap/>
            <w:hideMark/>
          </w:tcPr>
          <w:p w:rsidRPr="00636CF7" w:rsidR="00691BF0" w:rsidP="009A26DB" w:rsidRDefault="00691BF0" w14:paraId="309093F1" w14:textId="77777777">
            <w:pPr>
              <w:ind w:firstLine="200" w:firstLineChars="100"/>
              <w:rPr>
                <w:rFonts w:ascii="Arial" w:hAnsi="Arial" w:eastAsia="Times New Roman" w:cs="Arial"/>
                <w:sz w:val="20"/>
                <w:szCs w:val="20"/>
              </w:rPr>
            </w:pPr>
            <w:r w:rsidRPr="00636CF7">
              <w:rPr>
                <w:rFonts w:ascii="Arial" w:hAnsi="Arial"/>
                <w:sz w:val="20"/>
              </w:rPr>
              <w:t>a. OTC-derivat som clearats genom en central motpart</w:t>
            </w:r>
          </w:p>
        </w:tc>
        <w:tc>
          <w:tcPr>
            <w:tcW w:w="2745" w:type="dxa"/>
            <w:tcBorders>
              <w:left w:val="nil"/>
              <w:right w:val="nil"/>
            </w:tcBorders>
            <w:noWrap/>
            <w:hideMark/>
          </w:tcPr>
          <w:p w:rsidRPr="00636CF7" w:rsidR="00691BF0" w:rsidP="009A26DB" w:rsidRDefault="00691BF0" w14:paraId="3588460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6F22F7E" w14:textId="77777777">
        <w:trPr>
          <w:trHeight w:val="300"/>
        </w:trPr>
        <w:tc>
          <w:tcPr>
            <w:tcW w:w="6804" w:type="dxa"/>
            <w:gridSpan w:val="2"/>
            <w:tcBorders>
              <w:left w:val="nil"/>
              <w:right w:val="nil"/>
            </w:tcBorders>
            <w:noWrap/>
            <w:hideMark/>
          </w:tcPr>
          <w:p w:rsidRPr="00636CF7" w:rsidR="00691BF0" w:rsidP="009A26DB" w:rsidRDefault="00691BF0" w14:paraId="6CCE0EEC" w14:textId="77777777">
            <w:pPr>
              <w:ind w:firstLine="200" w:firstLineChars="100"/>
              <w:rPr>
                <w:rFonts w:ascii="Arial" w:hAnsi="Arial" w:eastAsia="Times New Roman" w:cs="Arial"/>
                <w:sz w:val="20"/>
                <w:szCs w:val="20"/>
              </w:rPr>
            </w:pPr>
            <w:r w:rsidRPr="00636CF7">
              <w:rPr>
                <w:rFonts w:ascii="Arial" w:hAnsi="Arial"/>
                <w:sz w:val="20"/>
              </w:rPr>
              <w:t>b. OTC-derivat avräknade bilateralt</w:t>
            </w:r>
          </w:p>
        </w:tc>
        <w:tc>
          <w:tcPr>
            <w:tcW w:w="2745" w:type="dxa"/>
            <w:tcBorders>
              <w:left w:val="nil"/>
              <w:right w:val="nil"/>
            </w:tcBorders>
            <w:noWrap/>
            <w:hideMark/>
          </w:tcPr>
          <w:p w:rsidRPr="00636CF7" w:rsidR="00691BF0" w:rsidP="009A26DB" w:rsidRDefault="00691BF0" w14:paraId="381F61A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1A68FCE"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414B6DC" w14:textId="77777777">
            <w:pPr>
              <w:ind w:left="171" w:firstLine="28" w:firstLineChars="14"/>
              <w:rPr>
                <w:rFonts w:ascii="Arial" w:hAnsi="Arial" w:eastAsia="Times New Roman" w:cs="Arial"/>
                <w:sz w:val="20"/>
                <w:szCs w:val="20"/>
              </w:rPr>
            </w:pPr>
            <w:r w:rsidRPr="00636CF7">
              <w:rPr>
                <w:rFonts w:ascii="Arial" w:hAnsi="Arial"/>
                <w:sz w:val="20"/>
              </w:rPr>
              <w:t>c. Indikator för teoretiskt belopp för OTC-derivat, inklusive försäkringsdotterföretag (summan av posterna 10 a och 10 b)</w:t>
            </w:r>
          </w:p>
        </w:tc>
        <w:tc>
          <w:tcPr>
            <w:tcW w:w="2745" w:type="dxa"/>
            <w:tcBorders>
              <w:left w:val="nil"/>
              <w:bottom w:val="single" w:color="auto" w:sz="4" w:space="0"/>
              <w:right w:val="nil"/>
            </w:tcBorders>
            <w:noWrap/>
          </w:tcPr>
          <w:p w:rsidRPr="00636CF7" w:rsidR="00691BF0" w:rsidP="009A26DB" w:rsidRDefault="00691BF0" w14:paraId="19B7F7B5" w14:textId="77777777">
            <w:pPr>
              <w:jc w:val="right"/>
              <w:rPr>
                <w:rFonts w:ascii="Arial" w:hAnsi="Arial" w:eastAsia="Times New Roman" w:cs="Arial"/>
                <w:sz w:val="20"/>
                <w:szCs w:val="20"/>
                <w:lang w:eastAsia="en-GB"/>
              </w:rPr>
            </w:pPr>
          </w:p>
        </w:tc>
      </w:tr>
      <w:tr w:rsidRPr="00636CF7" w:rsidR="00691BF0" w:rsidTr="009A26DB" w14:paraId="016FAF04" w14:textId="77777777">
        <w:trPr>
          <w:trHeight w:val="300"/>
        </w:trPr>
        <w:tc>
          <w:tcPr>
            <w:tcW w:w="6804" w:type="dxa"/>
            <w:gridSpan w:val="2"/>
            <w:tcBorders>
              <w:left w:val="nil"/>
              <w:bottom w:val="nil"/>
              <w:right w:val="nil"/>
            </w:tcBorders>
            <w:noWrap/>
          </w:tcPr>
          <w:p w:rsidRPr="00636CF7" w:rsidR="00691BF0" w:rsidP="009A26DB" w:rsidRDefault="00691BF0" w14:paraId="2DE79C6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296777E7" w14:textId="77777777">
            <w:pPr>
              <w:jc w:val="center"/>
              <w:rPr>
                <w:rFonts w:ascii="Arial" w:hAnsi="Arial" w:eastAsia="Times New Roman" w:cs="Arial"/>
                <w:b/>
                <w:bCs/>
                <w:sz w:val="20"/>
                <w:szCs w:val="20"/>
                <w:lang w:eastAsia="en-GB"/>
              </w:rPr>
            </w:pPr>
          </w:p>
        </w:tc>
      </w:tr>
      <w:tr w:rsidRPr="00636CF7" w:rsidR="00691BF0" w:rsidTr="009A26DB" w14:paraId="6A01AAC0"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3499D49E" w14:textId="77777777">
            <w:pPr>
              <w:rPr>
                <w:rFonts w:ascii="Arial" w:hAnsi="Arial" w:eastAsia="Times New Roman" w:cs="Arial"/>
                <w:b/>
                <w:bCs/>
                <w:sz w:val="20"/>
                <w:szCs w:val="20"/>
              </w:rPr>
            </w:pPr>
            <w:r w:rsidRPr="00636CF7">
              <w:rPr>
                <w:rFonts w:ascii="Arial" w:hAnsi="Arial"/>
                <w:b/>
                <w:sz w:val="20"/>
              </w:rPr>
              <w:t>Avsnitt 11 – Värdepapper tillgängliga för handel och försäljning</w:t>
            </w:r>
          </w:p>
        </w:tc>
        <w:tc>
          <w:tcPr>
            <w:tcW w:w="2745" w:type="dxa"/>
            <w:tcBorders>
              <w:top w:val="nil"/>
              <w:left w:val="nil"/>
              <w:bottom w:val="single" w:color="auto" w:sz="4" w:space="0"/>
              <w:right w:val="nil"/>
            </w:tcBorders>
            <w:hideMark/>
          </w:tcPr>
          <w:p w:rsidRPr="00636CF7" w:rsidR="00691BF0" w:rsidP="009A26DB" w:rsidRDefault="00691BF0" w14:paraId="0C7E72AA"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37F91C87" w14:textId="77777777">
        <w:trPr>
          <w:trHeight w:val="300"/>
        </w:trPr>
        <w:tc>
          <w:tcPr>
            <w:tcW w:w="6804" w:type="dxa"/>
            <w:gridSpan w:val="2"/>
            <w:tcBorders>
              <w:left w:val="nil"/>
              <w:right w:val="nil"/>
            </w:tcBorders>
            <w:noWrap/>
            <w:hideMark/>
          </w:tcPr>
          <w:p w:rsidRPr="00636CF7" w:rsidR="00691BF0" w:rsidP="009A26DB" w:rsidRDefault="00691BF0" w14:paraId="5D0078C7" w14:textId="77777777">
            <w:pPr>
              <w:ind w:firstLine="200" w:firstLineChars="100"/>
              <w:rPr>
                <w:rFonts w:ascii="Arial" w:hAnsi="Arial" w:eastAsia="Times New Roman" w:cs="Arial"/>
                <w:sz w:val="20"/>
                <w:szCs w:val="20"/>
              </w:rPr>
            </w:pPr>
            <w:r w:rsidRPr="00636CF7">
              <w:rPr>
                <w:rFonts w:ascii="Arial" w:hAnsi="Arial"/>
                <w:sz w:val="20"/>
              </w:rPr>
              <w:t>a. Värdepapper som innehas för handel</w:t>
            </w:r>
          </w:p>
        </w:tc>
        <w:tc>
          <w:tcPr>
            <w:tcW w:w="2745" w:type="dxa"/>
            <w:tcBorders>
              <w:left w:val="nil"/>
              <w:right w:val="nil"/>
            </w:tcBorders>
            <w:noWrap/>
            <w:hideMark/>
          </w:tcPr>
          <w:p w:rsidRPr="00636CF7" w:rsidR="00691BF0" w:rsidP="009A26DB" w:rsidRDefault="00691BF0" w14:paraId="7626578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33BEAEA"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6AC84753" w14:textId="77777777">
            <w:pPr>
              <w:ind w:firstLine="200" w:firstLineChars="100"/>
              <w:rPr>
                <w:rFonts w:ascii="Arial" w:hAnsi="Arial" w:eastAsia="Times New Roman" w:cs="Arial"/>
                <w:sz w:val="20"/>
                <w:szCs w:val="20"/>
              </w:rPr>
            </w:pPr>
            <w:r w:rsidRPr="00636CF7">
              <w:rPr>
                <w:rFonts w:ascii="Arial" w:hAnsi="Arial"/>
                <w:sz w:val="20"/>
              </w:rPr>
              <w:t>b. Värdepapper tillgängliga för försäljning</w:t>
            </w:r>
          </w:p>
        </w:tc>
        <w:tc>
          <w:tcPr>
            <w:tcW w:w="2745" w:type="dxa"/>
            <w:tcBorders>
              <w:left w:val="nil"/>
              <w:right w:val="nil"/>
            </w:tcBorders>
            <w:noWrap/>
            <w:hideMark/>
          </w:tcPr>
          <w:p w:rsidRPr="00636CF7" w:rsidR="00691BF0" w:rsidP="009A26DB" w:rsidRDefault="00691BF0" w14:paraId="206524A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65C7830"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CB00175" w14:textId="77777777">
            <w:pPr>
              <w:ind w:firstLine="200" w:firstLineChars="100"/>
              <w:rPr>
                <w:rFonts w:ascii="Arial" w:hAnsi="Arial" w:eastAsia="Times New Roman" w:cs="Arial"/>
                <w:sz w:val="20"/>
                <w:szCs w:val="20"/>
              </w:rPr>
            </w:pPr>
            <w:r w:rsidRPr="00636CF7">
              <w:rPr>
                <w:rFonts w:ascii="Arial" w:hAnsi="Arial"/>
                <w:sz w:val="20"/>
              </w:rPr>
              <w:t>c. Värdepapper tillgängliga för handel och försäljning som stämmer överens med definitionen av nivå 1-tillgångar</w:t>
            </w:r>
          </w:p>
        </w:tc>
        <w:tc>
          <w:tcPr>
            <w:tcW w:w="2745" w:type="dxa"/>
            <w:tcBorders>
              <w:left w:val="nil"/>
              <w:right w:val="nil"/>
            </w:tcBorders>
            <w:noWrap/>
          </w:tcPr>
          <w:p w:rsidRPr="00636CF7" w:rsidR="00691BF0" w:rsidP="009A26DB" w:rsidRDefault="00691BF0" w14:paraId="57348EF0" w14:textId="77777777">
            <w:pPr>
              <w:jc w:val="right"/>
              <w:rPr>
                <w:rFonts w:ascii="Arial" w:hAnsi="Arial" w:eastAsia="Times New Roman" w:cs="Arial"/>
                <w:sz w:val="20"/>
                <w:szCs w:val="20"/>
                <w:lang w:eastAsia="en-GB"/>
              </w:rPr>
            </w:pPr>
          </w:p>
        </w:tc>
      </w:tr>
      <w:tr w:rsidRPr="00636CF7" w:rsidR="00691BF0" w:rsidTr="009A26DB" w14:paraId="28817552"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47B8B99" w14:textId="77777777">
            <w:pPr>
              <w:ind w:left="171" w:firstLine="28" w:firstLineChars="14"/>
              <w:rPr>
                <w:rFonts w:ascii="Arial" w:hAnsi="Arial" w:eastAsia="Times New Roman" w:cs="Arial"/>
                <w:sz w:val="20"/>
                <w:szCs w:val="20"/>
              </w:rPr>
            </w:pPr>
            <w:r w:rsidRPr="00636CF7">
              <w:rPr>
                <w:rFonts w:ascii="Arial" w:hAnsi="Arial"/>
                <w:sz w:val="20"/>
              </w:rPr>
              <w:t>d. Värdepapper tillgängliga för handel och försäljning som stämmer överens med definitionen av nivå 2-tillgångar, med värderingsavdrag</w:t>
            </w:r>
          </w:p>
        </w:tc>
        <w:tc>
          <w:tcPr>
            <w:tcW w:w="2745" w:type="dxa"/>
            <w:tcBorders>
              <w:left w:val="nil"/>
              <w:right w:val="nil"/>
            </w:tcBorders>
            <w:noWrap/>
          </w:tcPr>
          <w:p w:rsidRPr="00636CF7" w:rsidR="00691BF0" w:rsidP="009A26DB" w:rsidRDefault="00691BF0" w14:paraId="42A75555" w14:textId="77777777">
            <w:pPr>
              <w:jc w:val="right"/>
              <w:rPr>
                <w:rFonts w:ascii="Arial" w:hAnsi="Arial" w:eastAsia="Times New Roman" w:cs="Arial"/>
                <w:sz w:val="20"/>
                <w:szCs w:val="20"/>
                <w:lang w:eastAsia="en-GB"/>
              </w:rPr>
            </w:pPr>
          </w:p>
        </w:tc>
      </w:tr>
      <w:tr w:rsidRPr="00636CF7" w:rsidR="00691BF0" w:rsidTr="009A26DB" w14:paraId="295A4BB5"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97EA3A8" w14:textId="77777777">
            <w:pPr>
              <w:ind w:left="171" w:firstLine="28" w:firstLineChars="14"/>
              <w:rPr>
                <w:rFonts w:ascii="Arial" w:hAnsi="Arial" w:eastAsia="Times New Roman" w:cs="Arial"/>
                <w:sz w:val="20"/>
                <w:szCs w:val="20"/>
              </w:rPr>
            </w:pPr>
            <w:r w:rsidRPr="00636CF7">
              <w:rPr>
                <w:rFonts w:ascii="Arial" w:hAnsi="Arial"/>
                <w:sz w:val="20"/>
              </w:rPr>
              <w:t>e. Indikator för värdepapper tillgängliga för handel och försäljning (summan av posterna 11 a och 11 b, minus summan av 11 c och 11 d)</w:t>
            </w:r>
          </w:p>
        </w:tc>
        <w:tc>
          <w:tcPr>
            <w:tcW w:w="2745" w:type="dxa"/>
            <w:tcBorders>
              <w:left w:val="nil"/>
              <w:bottom w:val="single" w:color="auto" w:sz="4" w:space="0"/>
              <w:right w:val="nil"/>
            </w:tcBorders>
            <w:noWrap/>
          </w:tcPr>
          <w:p w:rsidRPr="00636CF7" w:rsidR="00691BF0" w:rsidP="009A26DB" w:rsidRDefault="00691BF0" w14:paraId="5A5927D7" w14:textId="77777777">
            <w:pPr>
              <w:jc w:val="right"/>
              <w:rPr>
                <w:rFonts w:ascii="Arial" w:hAnsi="Arial" w:eastAsia="Times New Roman" w:cs="Arial"/>
                <w:sz w:val="20"/>
                <w:szCs w:val="20"/>
                <w:lang w:eastAsia="en-GB"/>
              </w:rPr>
            </w:pPr>
          </w:p>
        </w:tc>
      </w:tr>
      <w:tr w:rsidRPr="00636CF7" w:rsidR="00691BF0" w:rsidTr="009A26DB" w14:paraId="41BD3446" w14:textId="77777777">
        <w:trPr>
          <w:trHeight w:val="300"/>
        </w:trPr>
        <w:tc>
          <w:tcPr>
            <w:tcW w:w="6804" w:type="dxa"/>
            <w:gridSpan w:val="2"/>
            <w:tcBorders>
              <w:left w:val="nil"/>
              <w:bottom w:val="nil"/>
              <w:right w:val="nil"/>
            </w:tcBorders>
            <w:noWrap/>
          </w:tcPr>
          <w:p w:rsidRPr="00636CF7" w:rsidR="00691BF0" w:rsidP="009A26DB" w:rsidRDefault="00691BF0" w14:paraId="0817281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7B6A8D57" w14:textId="77777777">
            <w:pPr>
              <w:jc w:val="center"/>
              <w:rPr>
                <w:rFonts w:ascii="Arial" w:hAnsi="Arial" w:eastAsia="Times New Roman" w:cs="Arial"/>
                <w:b/>
                <w:bCs/>
                <w:sz w:val="20"/>
                <w:szCs w:val="20"/>
                <w:lang w:eastAsia="en-GB"/>
              </w:rPr>
            </w:pPr>
          </w:p>
        </w:tc>
      </w:tr>
      <w:tr w:rsidRPr="00636CF7" w:rsidR="00691BF0" w:rsidTr="009A26DB" w14:paraId="2E1FE433"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128B2A0A" w14:textId="77777777">
            <w:pPr>
              <w:rPr>
                <w:rFonts w:ascii="Arial" w:hAnsi="Arial" w:eastAsia="Times New Roman" w:cs="Arial"/>
                <w:b/>
                <w:bCs/>
                <w:sz w:val="20"/>
                <w:szCs w:val="20"/>
              </w:rPr>
            </w:pPr>
            <w:r w:rsidRPr="00636CF7">
              <w:rPr>
                <w:rFonts w:ascii="Arial" w:hAnsi="Arial"/>
                <w:b/>
                <w:sz w:val="20"/>
              </w:rPr>
              <w:t>Avsnitt 12 – Nivå 3-tillgångar</w:t>
            </w:r>
          </w:p>
        </w:tc>
        <w:tc>
          <w:tcPr>
            <w:tcW w:w="2745" w:type="dxa"/>
            <w:tcBorders>
              <w:top w:val="nil"/>
              <w:left w:val="nil"/>
              <w:bottom w:val="single" w:color="auto" w:sz="4" w:space="0"/>
              <w:right w:val="nil"/>
            </w:tcBorders>
            <w:hideMark/>
          </w:tcPr>
          <w:p w:rsidRPr="00636CF7" w:rsidR="00691BF0" w:rsidP="009A26DB" w:rsidRDefault="00691BF0" w14:paraId="7FD8757B"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7814CD4A"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18823D64" w14:textId="77777777">
            <w:pPr>
              <w:ind w:firstLine="200" w:firstLineChars="100"/>
              <w:rPr>
                <w:rFonts w:ascii="Arial" w:hAnsi="Arial" w:eastAsia="Times New Roman" w:cs="Arial"/>
                <w:sz w:val="20"/>
                <w:szCs w:val="20"/>
              </w:rPr>
            </w:pPr>
            <w:r w:rsidRPr="00636CF7">
              <w:rPr>
                <w:rFonts w:ascii="Arial" w:hAnsi="Arial"/>
                <w:sz w:val="20"/>
              </w:rPr>
              <w:t xml:space="preserve">a. Indikator för nivå 3-tillgångar, inklusive försäkringsdotterföretag </w:t>
            </w:r>
          </w:p>
        </w:tc>
        <w:tc>
          <w:tcPr>
            <w:tcW w:w="2745" w:type="dxa"/>
            <w:tcBorders>
              <w:left w:val="nil"/>
              <w:bottom w:val="single" w:color="auto" w:sz="4" w:space="0"/>
              <w:right w:val="nil"/>
            </w:tcBorders>
            <w:noWrap/>
            <w:hideMark/>
          </w:tcPr>
          <w:p w:rsidRPr="00636CF7" w:rsidR="00691BF0" w:rsidP="009A26DB" w:rsidRDefault="00691BF0" w14:paraId="5779D60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C8A1039" w14:textId="77777777">
        <w:trPr>
          <w:trHeight w:val="300"/>
        </w:trPr>
        <w:tc>
          <w:tcPr>
            <w:tcW w:w="6804" w:type="dxa"/>
            <w:gridSpan w:val="2"/>
            <w:tcBorders>
              <w:left w:val="nil"/>
              <w:bottom w:val="nil"/>
              <w:right w:val="nil"/>
            </w:tcBorders>
            <w:noWrap/>
          </w:tcPr>
          <w:p w:rsidRPr="00636CF7" w:rsidR="00691BF0" w:rsidP="009A26DB" w:rsidRDefault="00691BF0" w14:paraId="51148EA9"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636CF7" w:rsidR="00691BF0" w:rsidP="009A26DB" w:rsidRDefault="00691BF0" w14:paraId="1CB1D020" w14:textId="77777777">
            <w:pPr>
              <w:jc w:val="right"/>
              <w:rPr>
                <w:rFonts w:ascii="Arial" w:hAnsi="Arial" w:eastAsia="Times New Roman" w:cs="Arial"/>
                <w:sz w:val="20"/>
                <w:szCs w:val="20"/>
                <w:lang w:eastAsia="en-GB"/>
              </w:rPr>
            </w:pPr>
          </w:p>
        </w:tc>
      </w:tr>
      <w:tr w:rsidRPr="00636CF7" w:rsidR="00691BF0" w:rsidTr="009A26DB" w14:paraId="2C956A06" w14:textId="77777777">
        <w:trPr>
          <w:trHeight w:val="300"/>
        </w:trPr>
        <w:tc>
          <w:tcPr>
            <w:tcW w:w="6804" w:type="dxa"/>
            <w:gridSpan w:val="2"/>
            <w:tcBorders>
              <w:top w:val="nil"/>
              <w:left w:val="nil"/>
              <w:bottom w:val="nil"/>
              <w:right w:val="nil"/>
            </w:tcBorders>
            <w:noWrap/>
          </w:tcPr>
          <w:p w:rsidRPr="00636CF7" w:rsidR="00691BF0" w:rsidP="009A26DB" w:rsidRDefault="00691BF0" w14:paraId="079D482E" w14:textId="77777777">
            <w:pPr>
              <w:ind w:firstLine="221" w:firstLineChars="100"/>
              <w:rPr>
                <w:rFonts w:ascii="Arial" w:hAnsi="Arial" w:eastAsia="Times New Roman" w:cs="Arial"/>
                <w:sz w:val="20"/>
                <w:szCs w:val="20"/>
              </w:rPr>
            </w:pPr>
            <w:r w:rsidRPr="00636CF7">
              <w:rPr>
                <w:rFonts w:asciiTheme="majorHAnsi" w:hAnsiTheme="majorHAnsi"/>
                <w:b/>
                <w:i/>
                <w:caps/>
              </w:rPr>
              <w:t>Indikatorer för aktivitet över jurisdiktionsgränser</w:t>
            </w:r>
          </w:p>
        </w:tc>
        <w:tc>
          <w:tcPr>
            <w:tcW w:w="2745" w:type="dxa"/>
            <w:tcBorders>
              <w:top w:val="nil"/>
              <w:left w:val="nil"/>
              <w:bottom w:val="nil"/>
              <w:right w:val="nil"/>
            </w:tcBorders>
            <w:noWrap/>
          </w:tcPr>
          <w:p w:rsidRPr="00636CF7" w:rsidR="00691BF0" w:rsidP="009A26DB" w:rsidRDefault="00691BF0" w14:paraId="37E6CEB9" w14:textId="77777777">
            <w:pPr>
              <w:jc w:val="right"/>
              <w:rPr>
                <w:rFonts w:ascii="Arial" w:hAnsi="Arial" w:eastAsia="Times New Roman" w:cs="Arial"/>
                <w:sz w:val="20"/>
                <w:szCs w:val="20"/>
                <w:lang w:eastAsia="en-GB"/>
              </w:rPr>
            </w:pPr>
          </w:p>
        </w:tc>
      </w:tr>
      <w:tr w:rsidRPr="00636CF7" w:rsidR="00691BF0" w:rsidTr="009A26DB" w14:paraId="3EEDBB9F"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7B112159"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636CF7" w:rsidR="00691BF0" w:rsidP="009A26DB" w:rsidRDefault="00691BF0" w14:paraId="5B3943DF" w14:textId="77777777">
            <w:pPr>
              <w:jc w:val="right"/>
              <w:rPr>
                <w:rFonts w:ascii="Arial" w:hAnsi="Arial" w:eastAsia="Times New Roman" w:cs="Arial"/>
                <w:sz w:val="20"/>
                <w:szCs w:val="20"/>
                <w:lang w:eastAsia="en-GB"/>
              </w:rPr>
            </w:pPr>
          </w:p>
        </w:tc>
      </w:tr>
      <w:tr w:rsidRPr="00636CF7" w:rsidR="00691BF0" w:rsidTr="009A26DB" w14:paraId="55A66CD4"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41439509" w14:textId="77777777">
            <w:pPr>
              <w:rPr>
                <w:rFonts w:ascii="Arial" w:hAnsi="Arial" w:eastAsia="Times New Roman" w:cs="Arial"/>
                <w:b/>
                <w:bCs/>
                <w:sz w:val="20"/>
                <w:szCs w:val="20"/>
              </w:rPr>
            </w:pPr>
            <w:r w:rsidRPr="00636CF7">
              <w:rPr>
                <w:rFonts w:ascii="Arial" w:hAnsi="Arial"/>
                <w:b/>
                <w:sz w:val="20"/>
              </w:rPr>
              <w:t>Avsnitt 13 – Fordringar över jurisdiktionsgränser</w:t>
            </w:r>
          </w:p>
        </w:tc>
        <w:tc>
          <w:tcPr>
            <w:tcW w:w="2745" w:type="dxa"/>
            <w:tcBorders>
              <w:left w:val="nil"/>
              <w:bottom w:val="single" w:color="auto" w:sz="4" w:space="0"/>
              <w:right w:val="nil"/>
            </w:tcBorders>
            <w:hideMark/>
          </w:tcPr>
          <w:p w:rsidRPr="00636CF7" w:rsidR="00691BF0" w:rsidP="009A26DB" w:rsidRDefault="00691BF0" w14:paraId="58B93EAE"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6A48A22C" w14:textId="77777777">
        <w:trPr>
          <w:trHeight w:val="300"/>
        </w:trPr>
        <w:tc>
          <w:tcPr>
            <w:tcW w:w="6804" w:type="dxa"/>
            <w:gridSpan w:val="2"/>
            <w:tcBorders>
              <w:left w:val="nil"/>
              <w:right w:val="nil"/>
            </w:tcBorders>
            <w:noWrap/>
            <w:hideMark/>
          </w:tcPr>
          <w:p w:rsidRPr="00636CF7" w:rsidR="00691BF0" w:rsidP="009A26DB" w:rsidRDefault="00691BF0" w14:paraId="6CA9F620" w14:textId="77777777">
            <w:pPr>
              <w:ind w:firstLine="200" w:firstLineChars="100"/>
              <w:rPr>
                <w:rFonts w:ascii="Arial" w:hAnsi="Arial" w:eastAsia="Times New Roman" w:cs="Arial"/>
                <w:sz w:val="20"/>
                <w:szCs w:val="20"/>
              </w:rPr>
            </w:pPr>
            <w:r w:rsidRPr="00636CF7">
              <w:rPr>
                <w:rFonts w:ascii="Arial" w:hAnsi="Arial"/>
                <w:sz w:val="20"/>
              </w:rPr>
              <w:t>a. Summa utländska fordringar på en slutlig riskbasis</w:t>
            </w:r>
          </w:p>
        </w:tc>
        <w:tc>
          <w:tcPr>
            <w:tcW w:w="2745" w:type="dxa"/>
            <w:tcBorders>
              <w:left w:val="nil"/>
              <w:right w:val="nil"/>
            </w:tcBorders>
            <w:noWrap/>
            <w:hideMark/>
          </w:tcPr>
          <w:p w:rsidRPr="00636CF7" w:rsidR="00691BF0" w:rsidP="009A26DB" w:rsidRDefault="00691BF0" w14:paraId="4F54262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72E282E" w14:textId="77777777">
        <w:trPr>
          <w:trHeight w:val="300"/>
        </w:trPr>
        <w:tc>
          <w:tcPr>
            <w:tcW w:w="6804" w:type="dxa"/>
            <w:gridSpan w:val="2"/>
            <w:tcBorders>
              <w:left w:val="nil"/>
              <w:right w:val="nil"/>
            </w:tcBorders>
            <w:noWrap/>
            <w:hideMark/>
          </w:tcPr>
          <w:p w:rsidRPr="00636CF7" w:rsidR="00691BF0" w:rsidP="009A26DB" w:rsidRDefault="00691BF0" w14:paraId="7F82636C" w14:textId="77777777">
            <w:pPr>
              <w:ind w:firstLine="200" w:firstLineChars="100"/>
              <w:rPr>
                <w:rFonts w:ascii="Arial" w:hAnsi="Arial" w:eastAsia="Times New Roman" w:cs="Arial"/>
                <w:sz w:val="20"/>
                <w:szCs w:val="20"/>
              </w:rPr>
            </w:pPr>
            <w:r w:rsidRPr="00636CF7">
              <w:rPr>
                <w:rFonts w:ascii="Arial" w:hAnsi="Arial"/>
                <w:sz w:val="20"/>
              </w:rPr>
              <w:t>b. Fordringar som bygger på utländska derivat på en slutlig riskbasis</w:t>
            </w:r>
          </w:p>
        </w:tc>
        <w:tc>
          <w:tcPr>
            <w:tcW w:w="2745" w:type="dxa"/>
            <w:tcBorders>
              <w:left w:val="nil"/>
              <w:right w:val="nil"/>
            </w:tcBorders>
            <w:noWrap/>
            <w:hideMark/>
          </w:tcPr>
          <w:p w:rsidRPr="00636CF7" w:rsidR="00691BF0" w:rsidP="009A26DB" w:rsidRDefault="00691BF0" w14:paraId="482D269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8458615" w14:textId="77777777">
        <w:trPr>
          <w:gridAfter w:val="1"/>
          <w:wAfter w:w="2745" w:type="dxa"/>
          <w:trHeight w:val="300"/>
        </w:trPr>
        <w:tc>
          <w:tcPr>
            <w:tcW w:w="6804" w:type="dxa"/>
            <w:gridSpan w:val="2"/>
            <w:tcBorders>
              <w:left w:val="nil"/>
              <w:bottom w:val="single" w:color="auto" w:sz="4" w:space="0"/>
              <w:right w:val="nil"/>
            </w:tcBorders>
            <w:hideMark/>
          </w:tcPr>
          <w:p w:rsidRPr="00636CF7" w:rsidR="00691BF0" w:rsidP="009A26DB" w:rsidRDefault="00691BF0" w14:paraId="10C81E77" w14:textId="77777777">
            <w:pPr>
              <w:ind w:firstLine="200" w:firstLineChars="100"/>
              <w:rPr>
                <w:rFonts w:ascii="Arial" w:hAnsi="Arial" w:eastAsia="Times New Roman" w:cs="Arial"/>
                <w:sz w:val="20"/>
                <w:szCs w:val="20"/>
              </w:rPr>
            </w:pPr>
            <w:r w:rsidRPr="00636CF7">
              <w:rPr>
                <w:rFonts w:ascii="Arial" w:hAnsi="Arial"/>
                <w:sz w:val="20"/>
              </w:rPr>
              <w:t>c. Indikator för fordringar över jurisdiktionsgränser (summan av posterna 13 a och 13 b)</w:t>
            </w:r>
          </w:p>
        </w:tc>
      </w:tr>
      <w:tr w:rsidRPr="00636CF7" w:rsidR="00691BF0" w:rsidTr="009A26DB" w14:paraId="5E368C66" w14:textId="77777777">
        <w:trPr>
          <w:trHeight w:val="300"/>
        </w:trPr>
        <w:tc>
          <w:tcPr>
            <w:tcW w:w="6804" w:type="dxa"/>
            <w:gridSpan w:val="2"/>
            <w:tcBorders>
              <w:left w:val="nil"/>
              <w:bottom w:val="nil"/>
              <w:right w:val="nil"/>
            </w:tcBorders>
            <w:noWrap/>
          </w:tcPr>
          <w:p w:rsidRPr="00636CF7" w:rsidR="00691BF0" w:rsidP="009A26DB" w:rsidRDefault="00691BF0" w14:paraId="4E35BF1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7EF027DF" w14:textId="77777777">
            <w:pPr>
              <w:jc w:val="center"/>
              <w:rPr>
                <w:rFonts w:ascii="Arial" w:hAnsi="Arial" w:eastAsia="Times New Roman" w:cs="Arial"/>
                <w:b/>
                <w:bCs/>
                <w:sz w:val="20"/>
                <w:szCs w:val="20"/>
                <w:lang w:eastAsia="en-GB"/>
              </w:rPr>
            </w:pPr>
          </w:p>
        </w:tc>
      </w:tr>
      <w:tr w:rsidRPr="00636CF7" w:rsidR="00691BF0" w:rsidTr="009A26DB" w14:paraId="05E11844"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6DB4FE97" w14:textId="77777777">
            <w:pPr>
              <w:rPr>
                <w:rFonts w:ascii="Arial" w:hAnsi="Arial" w:eastAsia="Times New Roman" w:cs="Arial"/>
                <w:b/>
                <w:bCs/>
                <w:sz w:val="20"/>
                <w:szCs w:val="20"/>
              </w:rPr>
            </w:pPr>
            <w:r w:rsidRPr="00636CF7">
              <w:rPr>
                <w:rFonts w:ascii="Arial" w:hAnsi="Arial"/>
                <w:b/>
                <w:sz w:val="20"/>
              </w:rPr>
              <w:t>Avsnitt 14 – Skulder över jurisdiktionsgränser</w:t>
            </w:r>
          </w:p>
        </w:tc>
        <w:tc>
          <w:tcPr>
            <w:tcW w:w="2745" w:type="dxa"/>
            <w:tcBorders>
              <w:top w:val="nil"/>
              <w:left w:val="nil"/>
              <w:right w:val="nil"/>
            </w:tcBorders>
            <w:hideMark/>
          </w:tcPr>
          <w:p w:rsidRPr="00636CF7" w:rsidR="00691BF0" w:rsidP="009A26DB" w:rsidRDefault="00691BF0" w14:paraId="5397E961"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0CD000F7" w14:textId="77777777">
        <w:trPr>
          <w:gridAfter w:val="1"/>
          <w:wAfter w:w="2745" w:type="dxa"/>
          <w:trHeight w:val="300"/>
        </w:trPr>
        <w:tc>
          <w:tcPr>
            <w:tcW w:w="6804" w:type="dxa"/>
            <w:gridSpan w:val="2"/>
            <w:tcBorders>
              <w:left w:val="nil"/>
              <w:right w:val="nil"/>
            </w:tcBorders>
            <w:noWrap/>
            <w:hideMark/>
          </w:tcPr>
          <w:p w:rsidRPr="00636CF7" w:rsidR="00691BF0" w:rsidP="009A26DB" w:rsidRDefault="00691BF0" w14:paraId="276C9D01" w14:textId="77777777">
            <w:pPr>
              <w:ind w:left="171" w:firstLine="28" w:firstLineChars="14"/>
              <w:rPr>
                <w:rFonts w:ascii="Arial" w:hAnsi="Arial" w:eastAsia="Times New Roman" w:cs="Arial"/>
                <w:sz w:val="20"/>
                <w:szCs w:val="20"/>
              </w:rPr>
            </w:pPr>
            <w:r w:rsidRPr="00636CF7">
              <w:rPr>
                <w:rFonts w:ascii="Arial" w:hAnsi="Arial"/>
                <w:sz w:val="20"/>
              </w:rPr>
              <w:t>a. Utländska skulder på en omedelbar riskbasis, exklusive derivat och inklusive lokala skulder i lokal valuta</w:t>
            </w:r>
          </w:p>
        </w:tc>
      </w:tr>
      <w:tr w:rsidRPr="00636CF7" w:rsidR="00691BF0" w:rsidTr="009A26DB" w14:paraId="387F9350" w14:textId="77777777">
        <w:trPr>
          <w:trHeight w:val="300"/>
        </w:trPr>
        <w:tc>
          <w:tcPr>
            <w:tcW w:w="6804" w:type="dxa"/>
            <w:gridSpan w:val="2"/>
            <w:tcBorders>
              <w:left w:val="nil"/>
              <w:right w:val="nil"/>
            </w:tcBorders>
            <w:noWrap/>
            <w:hideMark/>
          </w:tcPr>
          <w:p w:rsidRPr="00636CF7" w:rsidR="00691BF0" w:rsidP="009A26DB" w:rsidRDefault="00691BF0" w14:paraId="22C1AFCA" w14:textId="77777777">
            <w:pPr>
              <w:ind w:firstLine="200" w:firstLineChars="100"/>
              <w:rPr>
                <w:rFonts w:ascii="Arial" w:hAnsi="Arial" w:eastAsia="Times New Roman" w:cs="Arial"/>
                <w:sz w:val="20"/>
                <w:szCs w:val="20"/>
              </w:rPr>
            </w:pPr>
            <w:r w:rsidRPr="00636CF7">
              <w:rPr>
                <w:rFonts w:ascii="Arial" w:hAnsi="Arial"/>
                <w:sz w:val="20"/>
              </w:rPr>
              <w:t>b. Utländska derivatskulder på en omedelbar riskbasis</w:t>
            </w:r>
          </w:p>
        </w:tc>
        <w:tc>
          <w:tcPr>
            <w:tcW w:w="2745" w:type="dxa"/>
            <w:tcBorders>
              <w:left w:val="nil"/>
              <w:right w:val="nil"/>
            </w:tcBorders>
            <w:noWrap/>
            <w:hideMark/>
          </w:tcPr>
          <w:p w:rsidRPr="00636CF7" w:rsidR="00691BF0" w:rsidP="009A26DB" w:rsidRDefault="00691BF0" w14:paraId="7B81AAB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A23AA2D" w14:textId="77777777">
        <w:trPr>
          <w:gridAfter w:val="1"/>
          <w:wAfter w:w="2745" w:type="dxa"/>
          <w:trHeight w:val="300"/>
        </w:trPr>
        <w:tc>
          <w:tcPr>
            <w:tcW w:w="6804" w:type="dxa"/>
            <w:gridSpan w:val="2"/>
            <w:tcBorders>
              <w:left w:val="nil"/>
              <w:bottom w:val="single" w:color="auto" w:sz="4" w:space="0"/>
              <w:right w:val="nil"/>
            </w:tcBorders>
            <w:hideMark/>
          </w:tcPr>
          <w:p w:rsidRPr="00636CF7" w:rsidR="00691BF0" w:rsidP="009A26DB" w:rsidRDefault="00691BF0" w14:paraId="114333B7" w14:textId="77777777">
            <w:pPr>
              <w:ind w:firstLine="200" w:firstLineChars="100"/>
              <w:rPr>
                <w:rFonts w:ascii="Arial" w:hAnsi="Arial" w:eastAsia="Times New Roman" w:cs="Arial"/>
                <w:sz w:val="20"/>
                <w:szCs w:val="20"/>
              </w:rPr>
            </w:pPr>
            <w:r w:rsidRPr="00636CF7">
              <w:rPr>
                <w:rFonts w:ascii="Arial" w:hAnsi="Arial"/>
                <w:sz w:val="20"/>
              </w:rPr>
              <w:t>c. Indikator för skulder över jurisdiktionsgränser (summan av posterna 14 a och 14 b)</w:t>
            </w:r>
          </w:p>
        </w:tc>
      </w:tr>
      <w:tr w:rsidRPr="00636CF7" w:rsidR="00691BF0" w:rsidTr="009A26DB" w14:paraId="190F5F1B" w14:textId="77777777">
        <w:trPr>
          <w:trHeight w:val="300"/>
        </w:trPr>
        <w:tc>
          <w:tcPr>
            <w:tcW w:w="6804" w:type="dxa"/>
            <w:gridSpan w:val="2"/>
            <w:tcBorders>
              <w:left w:val="nil"/>
              <w:bottom w:val="nil"/>
              <w:right w:val="nil"/>
            </w:tcBorders>
            <w:noWrap/>
          </w:tcPr>
          <w:p w:rsidRPr="00636CF7" w:rsidR="00691BF0" w:rsidP="009A26DB" w:rsidRDefault="00691BF0" w14:paraId="2544711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4DB44D89" w14:textId="77777777">
            <w:pPr>
              <w:jc w:val="center"/>
              <w:rPr>
                <w:rFonts w:ascii="Arial" w:hAnsi="Arial" w:eastAsia="Times New Roman" w:cs="Arial"/>
                <w:b/>
                <w:bCs/>
                <w:sz w:val="20"/>
                <w:szCs w:val="20"/>
                <w:lang w:eastAsia="en-GB"/>
              </w:rPr>
            </w:pPr>
          </w:p>
        </w:tc>
      </w:tr>
      <w:tr w:rsidRPr="00636CF7" w:rsidR="00691BF0" w:rsidTr="009A26DB" w14:paraId="16BAACE4" w14:textId="77777777">
        <w:trPr>
          <w:trHeight w:val="300"/>
        </w:trPr>
        <w:tc>
          <w:tcPr>
            <w:tcW w:w="6804" w:type="dxa"/>
            <w:gridSpan w:val="2"/>
            <w:tcBorders>
              <w:top w:val="nil"/>
              <w:left w:val="nil"/>
              <w:bottom w:val="nil"/>
              <w:right w:val="nil"/>
            </w:tcBorders>
            <w:noWrap/>
          </w:tcPr>
          <w:p w:rsidRPr="00636CF7" w:rsidR="00691BF0" w:rsidP="009A26DB" w:rsidRDefault="00691BF0" w14:paraId="7DC05C95" w14:textId="77777777">
            <w:pPr>
              <w:keepNext/>
              <w:keepLines/>
              <w:spacing w:before="47"/>
              <w:outlineLvl w:val="5"/>
              <w:rPr>
                <w:rFonts w:ascii="Arial" w:hAnsi="Arial" w:eastAsia="Times New Roman" w:cs="Arial"/>
                <w:b/>
                <w:bCs/>
                <w:i/>
                <w:iCs/>
                <w:caps/>
                <w:color w:val="172B39" w:themeColor="accent1" w:themeShade="80"/>
                <w:sz w:val="20"/>
                <w:szCs w:val="20"/>
              </w:rPr>
            </w:pPr>
            <w:r w:rsidRPr="00636CF7">
              <w:rPr>
                <w:rFonts w:asciiTheme="majorHAnsi" w:hAnsiTheme="majorHAnsi"/>
                <w:b/>
                <w:i/>
                <w:caps/>
              </w:rPr>
              <w:lastRenderedPageBreak/>
              <w:t>KOMPLETTERANDE UPPGIFTER</w:t>
            </w:r>
          </w:p>
        </w:tc>
        <w:tc>
          <w:tcPr>
            <w:tcW w:w="2745" w:type="dxa"/>
            <w:tcBorders>
              <w:top w:val="nil"/>
              <w:left w:val="nil"/>
              <w:bottom w:val="nil"/>
              <w:right w:val="nil"/>
            </w:tcBorders>
          </w:tcPr>
          <w:p w:rsidRPr="00636CF7" w:rsidR="00691BF0" w:rsidP="009A26DB" w:rsidRDefault="00691BF0" w14:paraId="57ACAECC" w14:textId="77777777">
            <w:pPr>
              <w:jc w:val="center"/>
              <w:rPr>
                <w:rFonts w:ascii="Arial" w:hAnsi="Arial" w:eastAsia="Times New Roman" w:cs="Arial"/>
                <w:b/>
                <w:bCs/>
                <w:sz w:val="20"/>
                <w:szCs w:val="20"/>
                <w:lang w:eastAsia="en-GB"/>
              </w:rPr>
            </w:pPr>
          </w:p>
        </w:tc>
      </w:tr>
      <w:tr w:rsidRPr="00636CF7" w:rsidR="00691BF0" w:rsidTr="009A26DB" w14:paraId="5726FAF3"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12876612"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636CF7" w:rsidR="00691BF0" w:rsidP="009A26DB" w:rsidRDefault="00691BF0" w14:paraId="6F637FB3" w14:textId="77777777">
            <w:pPr>
              <w:jc w:val="center"/>
              <w:rPr>
                <w:rFonts w:ascii="Arial" w:hAnsi="Arial" w:eastAsia="Times New Roman" w:cs="Arial"/>
                <w:b/>
                <w:bCs/>
                <w:sz w:val="20"/>
                <w:szCs w:val="20"/>
                <w:lang w:eastAsia="en-GB"/>
              </w:rPr>
            </w:pPr>
          </w:p>
        </w:tc>
      </w:tr>
      <w:tr w:rsidRPr="00636CF7" w:rsidR="00691BF0" w:rsidTr="009A26DB" w14:paraId="5D43B34E"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0D761F1C" w14:textId="77777777">
            <w:pPr>
              <w:rPr>
                <w:rFonts w:ascii="Arial" w:hAnsi="Arial" w:eastAsia="Times New Roman" w:cs="Arial"/>
                <w:b/>
                <w:bCs/>
                <w:sz w:val="20"/>
                <w:szCs w:val="20"/>
              </w:rPr>
            </w:pPr>
            <w:r w:rsidRPr="00636CF7">
              <w:rPr>
                <w:rFonts w:ascii="Arial" w:hAnsi="Arial"/>
                <w:b/>
                <w:sz w:val="20"/>
              </w:rPr>
              <w:t>Avsnitt 15 – Kompletterande indikatorer</w:t>
            </w:r>
          </w:p>
        </w:tc>
        <w:tc>
          <w:tcPr>
            <w:tcW w:w="2745" w:type="dxa"/>
            <w:tcBorders>
              <w:left w:val="nil"/>
              <w:bottom w:val="single" w:color="auto" w:sz="4" w:space="0"/>
              <w:right w:val="nil"/>
            </w:tcBorders>
            <w:hideMark/>
          </w:tcPr>
          <w:p w:rsidRPr="00636CF7" w:rsidR="00691BF0" w:rsidP="009A26DB" w:rsidRDefault="00691BF0" w14:paraId="07943F0E"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223FD38E" w14:textId="77777777">
        <w:trPr>
          <w:trHeight w:val="300"/>
        </w:trPr>
        <w:tc>
          <w:tcPr>
            <w:tcW w:w="6804" w:type="dxa"/>
            <w:gridSpan w:val="2"/>
            <w:tcBorders>
              <w:left w:val="nil"/>
              <w:right w:val="nil"/>
            </w:tcBorders>
            <w:noWrap/>
            <w:hideMark/>
          </w:tcPr>
          <w:p w:rsidRPr="00636CF7" w:rsidR="00691BF0" w:rsidP="009A26DB" w:rsidRDefault="00691BF0" w14:paraId="0942B286" w14:textId="77777777">
            <w:pPr>
              <w:ind w:firstLine="200" w:firstLineChars="100"/>
              <w:rPr>
                <w:rFonts w:ascii="Arial" w:hAnsi="Arial" w:eastAsia="Times New Roman" w:cs="Arial"/>
                <w:sz w:val="20"/>
                <w:szCs w:val="20"/>
              </w:rPr>
            </w:pPr>
            <w:r w:rsidRPr="00636CF7">
              <w:rPr>
                <w:rFonts w:ascii="Arial" w:hAnsi="Arial"/>
                <w:sz w:val="20"/>
              </w:rPr>
              <w:t>a. Summa skulder</w:t>
            </w:r>
          </w:p>
        </w:tc>
        <w:tc>
          <w:tcPr>
            <w:tcW w:w="2745" w:type="dxa"/>
            <w:tcBorders>
              <w:left w:val="nil"/>
              <w:right w:val="nil"/>
            </w:tcBorders>
            <w:noWrap/>
            <w:hideMark/>
          </w:tcPr>
          <w:p w:rsidRPr="00636CF7" w:rsidR="00691BF0" w:rsidP="009A26DB" w:rsidRDefault="00691BF0" w14:paraId="5EC76378"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5F1B508" w14:textId="77777777">
        <w:trPr>
          <w:trHeight w:val="300"/>
        </w:trPr>
        <w:tc>
          <w:tcPr>
            <w:tcW w:w="6804" w:type="dxa"/>
            <w:gridSpan w:val="2"/>
            <w:tcBorders>
              <w:left w:val="nil"/>
              <w:right w:val="nil"/>
            </w:tcBorders>
            <w:noWrap/>
            <w:hideMark/>
          </w:tcPr>
          <w:p w:rsidRPr="00636CF7" w:rsidR="00691BF0" w:rsidP="009A26DB" w:rsidRDefault="00691BF0" w14:paraId="05A3A3B7" w14:textId="77777777">
            <w:pPr>
              <w:ind w:firstLine="200" w:firstLineChars="100"/>
              <w:rPr>
                <w:rFonts w:ascii="Arial" w:hAnsi="Arial" w:eastAsia="Times New Roman" w:cs="Arial"/>
                <w:sz w:val="20"/>
                <w:szCs w:val="20"/>
              </w:rPr>
            </w:pPr>
            <w:r w:rsidRPr="00636CF7">
              <w:rPr>
                <w:rFonts w:ascii="Arial" w:hAnsi="Arial"/>
                <w:sz w:val="20"/>
              </w:rPr>
              <w:t>b. Inlåning från allmänheten</w:t>
            </w:r>
          </w:p>
        </w:tc>
        <w:tc>
          <w:tcPr>
            <w:tcW w:w="2745" w:type="dxa"/>
            <w:tcBorders>
              <w:left w:val="nil"/>
              <w:right w:val="nil"/>
            </w:tcBorders>
            <w:noWrap/>
            <w:hideMark/>
          </w:tcPr>
          <w:p w:rsidRPr="00636CF7" w:rsidR="00691BF0" w:rsidP="009A26DB" w:rsidRDefault="00691BF0" w14:paraId="71CC4EA3"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CF56FBF" w14:textId="77777777">
        <w:trPr>
          <w:gridAfter w:val="1"/>
          <w:wAfter w:w="2745" w:type="dxa"/>
          <w:trHeight w:val="540"/>
        </w:trPr>
        <w:tc>
          <w:tcPr>
            <w:tcW w:w="6804" w:type="dxa"/>
            <w:gridSpan w:val="2"/>
            <w:tcBorders>
              <w:left w:val="nil"/>
              <w:right w:val="nil"/>
            </w:tcBorders>
            <w:noWrap/>
            <w:hideMark/>
          </w:tcPr>
          <w:p w:rsidRPr="00636CF7" w:rsidR="00691BF0" w:rsidP="009A26DB" w:rsidRDefault="00691BF0" w14:paraId="64BACA72" w14:textId="77777777">
            <w:pPr>
              <w:ind w:left="171"/>
              <w:rPr>
                <w:rFonts w:ascii="Arial" w:hAnsi="Arial" w:eastAsia="Times New Roman" w:cs="Arial"/>
                <w:sz w:val="20"/>
                <w:szCs w:val="20"/>
              </w:rPr>
            </w:pPr>
            <w:r w:rsidRPr="00636CF7">
              <w:rPr>
                <w:rFonts w:ascii="Arial" w:hAnsi="Arial"/>
                <w:sz w:val="20"/>
              </w:rPr>
              <w:t>c. Kvot för beroende av kapitalmarknadsfinansiering (skillnaden mellan posterna 15 a och 15 b delat med 15 a)</w:t>
            </w:r>
          </w:p>
        </w:tc>
      </w:tr>
      <w:tr w:rsidRPr="00636CF7" w:rsidR="00691BF0" w:rsidTr="009A26DB" w14:paraId="615BFC44" w14:textId="77777777">
        <w:trPr>
          <w:trHeight w:val="300"/>
        </w:trPr>
        <w:tc>
          <w:tcPr>
            <w:tcW w:w="6804" w:type="dxa"/>
            <w:gridSpan w:val="2"/>
            <w:tcBorders>
              <w:left w:val="nil"/>
              <w:right w:val="nil"/>
            </w:tcBorders>
            <w:noWrap/>
            <w:hideMark/>
          </w:tcPr>
          <w:p w:rsidRPr="00636CF7" w:rsidR="00691BF0" w:rsidP="009A26DB" w:rsidRDefault="00691BF0" w14:paraId="1ECCE7A7" w14:textId="77777777">
            <w:pPr>
              <w:ind w:firstLine="200" w:firstLineChars="100"/>
              <w:rPr>
                <w:rFonts w:ascii="Arial" w:hAnsi="Arial" w:eastAsia="Times New Roman" w:cs="Arial"/>
                <w:sz w:val="20"/>
                <w:szCs w:val="20"/>
              </w:rPr>
            </w:pPr>
            <w:r w:rsidRPr="00636CF7">
              <w:rPr>
                <w:rFonts w:ascii="Arial" w:hAnsi="Arial"/>
                <w:sz w:val="20"/>
              </w:rPr>
              <w:t>d. Totala bruttointäkter</w:t>
            </w:r>
          </w:p>
        </w:tc>
        <w:tc>
          <w:tcPr>
            <w:tcW w:w="2745" w:type="dxa"/>
            <w:tcBorders>
              <w:left w:val="nil"/>
              <w:right w:val="nil"/>
            </w:tcBorders>
            <w:noWrap/>
            <w:hideMark/>
          </w:tcPr>
          <w:p w:rsidRPr="00636CF7" w:rsidR="00691BF0" w:rsidP="009A26DB" w:rsidRDefault="00691BF0" w14:paraId="35DFAF7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9301DD3" w14:textId="77777777">
        <w:trPr>
          <w:trHeight w:val="300"/>
        </w:trPr>
        <w:tc>
          <w:tcPr>
            <w:tcW w:w="6804" w:type="dxa"/>
            <w:gridSpan w:val="2"/>
            <w:tcBorders>
              <w:left w:val="nil"/>
              <w:right w:val="nil"/>
            </w:tcBorders>
            <w:noWrap/>
            <w:hideMark/>
          </w:tcPr>
          <w:p w:rsidRPr="00636CF7" w:rsidR="00691BF0" w:rsidP="009A26DB" w:rsidRDefault="00691BF0" w14:paraId="20E99CD7" w14:textId="77777777">
            <w:pPr>
              <w:ind w:firstLine="200" w:firstLineChars="100"/>
              <w:rPr>
                <w:rFonts w:ascii="Arial" w:hAnsi="Arial" w:eastAsia="Times New Roman" w:cs="Arial"/>
                <w:sz w:val="20"/>
                <w:szCs w:val="20"/>
              </w:rPr>
            </w:pPr>
            <w:r w:rsidRPr="00636CF7">
              <w:rPr>
                <w:rFonts w:ascii="Arial" w:hAnsi="Arial"/>
                <w:sz w:val="20"/>
              </w:rPr>
              <w:t>e. Totala nettointäkter</w:t>
            </w:r>
          </w:p>
        </w:tc>
        <w:tc>
          <w:tcPr>
            <w:tcW w:w="2745" w:type="dxa"/>
            <w:tcBorders>
              <w:left w:val="nil"/>
              <w:right w:val="nil"/>
            </w:tcBorders>
            <w:noWrap/>
            <w:hideMark/>
          </w:tcPr>
          <w:p w:rsidRPr="00636CF7" w:rsidR="00691BF0" w:rsidP="009A26DB" w:rsidRDefault="00691BF0" w14:paraId="3D32994E"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F325BD4" w14:textId="77777777">
        <w:trPr>
          <w:trHeight w:val="300"/>
        </w:trPr>
        <w:tc>
          <w:tcPr>
            <w:tcW w:w="6804" w:type="dxa"/>
            <w:gridSpan w:val="2"/>
            <w:tcBorders>
              <w:left w:val="nil"/>
              <w:right w:val="nil"/>
            </w:tcBorders>
            <w:noWrap/>
            <w:hideMark/>
          </w:tcPr>
          <w:p w:rsidRPr="00636CF7" w:rsidR="00691BF0" w:rsidP="009A26DB" w:rsidRDefault="00691BF0" w14:paraId="25F51559" w14:textId="77777777">
            <w:pPr>
              <w:ind w:firstLine="200" w:firstLineChars="100"/>
              <w:rPr>
                <w:rFonts w:ascii="Arial" w:hAnsi="Arial" w:eastAsia="Times New Roman" w:cs="Arial"/>
                <w:sz w:val="20"/>
                <w:szCs w:val="20"/>
              </w:rPr>
            </w:pPr>
            <w:r w:rsidRPr="00636CF7">
              <w:rPr>
                <w:rFonts w:ascii="Arial" w:hAnsi="Arial"/>
                <w:sz w:val="20"/>
              </w:rPr>
              <w:t>f. Utländska nettointäkter</w:t>
            </w:r>
          </w:p>
        </w:tc>
        <w:tc>
          <w:tcPr>
            <w:tcW w:w="2745" w:type="dxa"/>
            <w:tcBorders>
              <w:left w:val="nil"/>
              <w:right w:val="nil"/>
            </w:tcBorders>
            <w:noWrap/>
            <w:hideMark/>
          </w:tcPr>
          <w:p w:rsidRPr="00636CF7" w:rsidR="00691BF0" w:rsidP="009A26DB" w:rsidRDefault="00691BF0" w14:paraId="4640CE2D"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61C620DC" w14:textId="77777777">
        <w:trPr>
          <w:trHeight w:val="300"/>
        </w:trPr>
        <w:tc>
          <w:tcPr>
            <w:tcW w:w="6804" w:type="dxa"/>
            <w:gridSpan w:val="2"/>
            <w:tcBorders>
              <w:left w:val="nil"/>
              <w:right w:val="nil"/>
            </w:tcBorders>
            <w:noWrap/>
          </w:tcPr>
          <w:p w:rsidRPr="00636CF7" w:rsidR="00691BF0" w:rsidP="009A26DB" w:rsidRDefault="00691BF0" w14:paraId="09F9B8CC" w14:textId="77777777">
            <w:pPr>
              <w:ind w:left="171"/>
              <w:rPr>
                <w:rFonts w:ascii="Arial" w:hAnsi="Arial" w:eastAsia="Times New Roman" w:cs="Arial"/>
                <w:sz w:val="20"/>
                <w:szCs w:val="20"/>
              </w:rPr>
            </w:pPr>
            <w:r w:rsidRPr="00636CF7">
              <w:rPr>
                <w:rFonts w:ascii="Arial" w:hAnsi="Arial"/>
                <w:sz w:val="20"/>
              </w:rPr>
              <w:t>g. Bruttovärdet av kontanter som tillhandahållits och det verkliga bruttovärdet av värdepapper som tillhandahållits i transaktioner för värdepappersfinansiering</w:t>
            </w:r>
          </w:p>
        </w:tc>
        <w:tc>
          <w:tcPr>
            <w:tcW w:w="2745" w:type="dxa"/>
            <w:tcBorders>
              <w:left w:val="nil"/>
              <w:right w:val="nil"/>
            </w:tcBorders>
            <w:noWrap/>
          </w:tcPr>
          <w:p w:rsidRPr="00636CF7" w:rsidR="00691BF0" w:rsidP="009A26DB" w:rsidRDefault="00691BF0" w14:paraId="4C332959" w14:textId="77777777">
            <w:pPr>
              <w:jc w:val="right"/>
              <w:rPr>
                <w:rFonts w:ascii="Arial" w:hAnsi="Arial" w:eastAsia="Times New Roman" w:cs="Arial"/>
                <w:sz w:val="20"/>
                <w:szCs w:val="20"/>
                <w:lang w:eastAsia="en-GB"/>
              </w:rPr>
            </w:pPr>
          </w:p>
        </w:tc>
      </w:tr>
      <w:tr w:rsidRPr="00636CF7" w:rsidR="00691BF0" w:rsidTr="009A26DB" w14:paraId="055AE518" w14:textId="77777777">
        <w:trPr>
          <w:trHeight w:val="300"/>
        </w:trPr>
        <w:tc>
          <w:tcPr>
            <w:tcW w:w="6804" w:type="dxa"/>
            <w:gridSpan w:val="2"/>
            <w:tcBorders>
              <w:left w:val="nil"/>
              <w:right w:val="nil"/>
            </w:tcBorders>
            <w:noWrap/>
          </w:tcPr>
          <w:p w:rsidRPr="00636CF7" w:rsidR="00691BF0" w:rsidP="009A26DB" w:rsidRDefault="00691BF0" w14:paraId="08E7767C" w14:textId="77777777">
            <w:pPr>
              <w:ind w:left="171"/>
              <w:rPr>
                <w:rFonts w:ascii="Arial" w:hAnsi="Arial" w:eastAsia="Times New Roman" w:cs="Arial"/>
                <w:sz w:val="20"/>
                <w:szCs w:val="20"/>
              </w:rPr>
            </w:pPr>
            <w:r w:rsidRPr="00636CF7">
              <w:rPr>
                <w:rFonts w:ascii="Arial" w:hAnsi="Arial"/>
                <w:sz w:val="20"/>
              </w:rPr>
              <w:t>h. Bruttovärdet av kontanter som lånats och det verkliga bruttovärdet av värdepapper som lånats i transaktioner för värdepappersfinansiering</w:t>
            </w:r>
          </w:p>
        </w:tc>
        <w:tc>
          <w:tcPr>
            <w:tcW w:w="2745" w:type="dxa"/>
            <w:tcBorders>
              <w:left w:val="nil"/>
              <w:right w:val="nil"/>
            </w:tcBorders>
            <w:noWrap/>
          </w:tcPr>
          <w:p w:rsidRPr="00636CF7" w:rsidR="00691BF0" w:rsidP="009A26DB" w:rsidRDefault="00691BF0" w14:paraId="32B92F5E" w14:textId="77777777">
            <w:pPr>
              <w:jc w:val="right"/>
              <w:rPr>
                <w:rFonts w:ascii="Arial" w:hAnsi="Arial" w:eastAsia="Times New Roman" w:cs="Arial"/>
                <w:sz w:val="20"/>
                <w:szCs w:val="20"/>
                <w:lang w:eastAsia="en-GB"/>
              </w:rPr>
            </w:pPr>
          </w:p>
        </w:tc>
      </w:tr>
      <w:tr w:rsidRPr="00636CF7" w:rsidR="00691BF0" w:rsidTr="009A26DB" w14:paraId="39DFF1A3" w14:textId="77777777">
        <w:trPr>
          <w:trHeight w:val="300"/>
        </w:trPr>
        <w:tc>
          <w:tcPr>
            <w:tcW w:w="6804" w:type="dxa"/>
            <w:gridSpan w:val="2"/>
            <w:tcBorders>
              <w:left w:val="nil"/>
              <w:right w:val="nil"/>
            </w:tcBorders>
            <w:noWrap/>
          </w:tcPr>
          <w:p w:rsidRPr="00636CF7" w:rsidR="00691BF0" w:rsidP="009A26DB" w:rsidRDefault="00691BF0" w14:paraId="0B138930" w14:textId="77777777">
            <w:pPr>
              <w:ind w:left="171"/>
              <w:rPr>
                <w:rFonts w:ascii="Arial" w:hAnsi="Arial" w:eastAsia="Times New Roman" w:cs="Arial"/>
                <w:sz w:val="20"/>
                <w:szCs w:val="20"/>
              </w:rPr>
            </w:pPr>
            <w:r w:rsidRPr="00636CF7">
              <w:rPr>
                <w:rFonts w:ascii="Arial" w:hAnsi="Arial"/>
                <w:sz w:val="20"/>
              </w:rPr>
              <w:t>i. Positivt verkligt bruttovärde av OTC-derivattransaktioner</w:t>
            </w:r>
          </w:p>
        </w:tc>
        <w:tc>
          <w:tcPr>
            <w:tcW w:w="2745" w:type="dxa"/>
            <w:tcBorders>
              <w:left w:val="nil"/>
              <w:right w:val="nil"/>
            </w:tcBorders>
            <w:noWrap/>
          </w:tcPr>
          <w:p w:rsidRPr="00636CF7" w:rsidR="00691BF0" w:rsidP="009A26DB" w:rsidRDefault="00691BF0" w14:paraId="0782A426" w14:textId="77777777">
            <w:pPr>
              <w:jc w:val="right"/>
              <w:rPr>
                <w:rFonts w:ascii="Arial" w:hAnsi="Arial" w:eastAsia="Times New Roman" w:cs="Arial"/>
                <w:sz w:val="20"/>
                <w:szCs w:val="20"/>
                <w:lang w:eastAsia="en-GB"/>
              </w:rPr>
            </w:pPr>
          </w:p>
        </w:tc>
      </w:tr>
      <w:tr w:rsidRPr="00636CF7" w:rsidR="00691BF0" w:rsidTr="009A26DB" w14:paraId="783D6552"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F45DE05" w14:textId="77777777">
            <w:pPr>
              <w:ind w:left="171"/>
              <w:rPr>
                <w:rFonts w:ascii="Arial" w:hAnsi="Arial" w:eastAsia="Times New Roman" w:cs="Arial"/>
                <w:sz w:val="20"/>
                <w:szCs w:val="20"/>
              </w:rPr>
            </w:pPr>
            <w:r w:rsidRPr="00636CF7">
              <w:rPr>
                <w:rFonts w:ascii="Arial" w:hAnsi="Arial"/>
                <w:sz w:val="20"/>
              </w:rPr>
              <w:t>j. Negativt verkligt bruttovärde av OTC-derivattransaktioner</w:t>
            </w:r>
          </w:p>
        </w:tc>
        <w:tc>
          <w:tcPr>
            <w:tcW w:w="2745" w:type="dxa"/>
            <w:tcBorders>
              <w:left w:val="nil"/>
              <w:bottom w:val="single" w:color="auto" w:sz="4" w:space="0"/>
              <w:right w:val="nil"/>
            </w:tcBorders>
            <w:noWrap/>
          </w:tcPr>
          <w:p w:rsidRPr="00636CF7" w:rsidR="00691BF0" w:rsidP="009A26DB" w:rsidRDefault="00691BF0" w14:paraId="16633D8F" w14:textId="77777777">
            <w:pPr>
              <w:jc w:val="right"/>
              <w:rPr>
                <w:rFonts w:ascii="Arial" w:hAnsi="Arial" w:eastAsia="Times New Roman" w:cs="Arial"/>
                <w:sz w:val="20"/>
                <w:szCs w:val="20"/>
                <w:lang w:eastAsia="en-GB"/>
              </w:rPr>
            </w:pPr>
          </w:p>
        </w:tc>
      </w:tr>
      <w:tr w:rsidRPr="00636CF7" w:rsidR="00691BF0" w:rsidTr="009A26DB" w14:paraId="25633065"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6664FAD7" w14:textId="77777777">
            <w:pPr>
              <w:rPr>
                <w:rFonts w:ascii="Arial" w:hAnsi="Arial" w:eastAsia="Times New Roman" w:cs="Arial"/>
                <w:sz w:val="20"/>
                <w:szCs w:val="20"/>
              </w:rPr>
            </w:pPr>
            <w:r w:rsidRPr="00636CF7">
              <w:rPr>
                <w:rFonts w:ascii="Arial" w:hAnsi="Arial"/>
                <w:sz w:val="20"/>
              </w:rPr>
              <w:t> </w:t>
            </w:r>
          </w:p>
        </w:tc>
        <w:tc>
          <w:tcPr>
            <w:tcW w:w="2745" w:type="dxa"/>
            <w:tcBorders>
              <w:left w:val="nil"/>
              <w:bottom w:val="single" w:color="auto" w:sz="4" w:space="0"/>
              <w:right w:val="nil"/>
            </w:tcBorders>
            <w:hideMark/>
          </w:tcPr>
          <w:p w:rsidRPr="00636CF7" w:rsidR="00691BF0" w:rsidP="009A26DB" w:rsidRDefault="00691BF0" w14:paraId="4AF7F447" w14:textId="77777777">
            <w:pPr>
              <w:jc w:val="center"/>
              <w:rPr>
                <w:rFonts w:ascii="Arial" w:hAnsi="Arial" w:eastAsia="Times New Roman" w:cs="Arial"/>
                <w:b/>
                <w:bCs/>
                <w:sz w:val="20"/>
                <w:szCs w:val="20"/>
              </w:rPr>
            </w:pPr>
            <w:r w:rsidRPr="00636CF7">
              <w:rPr>
                <w:rFonts w:ascii="Arial" w:hAnsi="Arial"/>
                <w:b/>
                <w:sz w:val="20"/>
              </w:rPr>
              <w:t>Belopp i enskilda enheter</w:t>
            </w:r>
          </w:p>
        </w:tc>
      </w:tr>
      <w:tr w:rsidRPr="00636CF7" w:rsidR="00691BF0" w:rsidTr="009A26DB" w14:paraId="5DA32BB5"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69445C0B" w14:textId="77777777">
            <w:pPr>
              <w:ind w:firstLine="200" w:firstLineChars="100"/>
              <w:rPr>
                <w:rFonts w:ascii="Arial" w:hAnsi="Arial" w:eastAsia="Times New Roman" w:cs="Arial"/>
                <w:sz w:val="20"/>
                <w:szCs w:val="20"/>
              </w:rPr>
            </w:pPr>
            <w:r w:rsidRPr="00636CF7">
              <w:rPr>
                <w:rFonts w:ascii="Arial" w:hAnsi="Arial"/>
                <w:sz w:val="20"/>
              </w:rPr>
              <w:t xml:space="preserve">k. Antal jurisdiktioner </w:t>
            </w:r>
          </w:p>
        </w:tc>
        <w:tc>
          <w:tcPr>
            <w:tcW w:w="2745" w:type="dxa"/>
            <w:tcBorders>
              <w:left w:val="nil"/>
              <w:bottom w:val="single" w:color="auto" w:sz="4" w:space="0"/>
              <w:right w:val="nil"/>
            </w:tcBorders>
            <w:noWrap/>
            <w:hideMark/>
          </w:tcPr>
          <w:p w:rsidRPr="00636CF7" w:rsidR="00691BF0" w:rsidP="009A26DB" w:rsidRDefault="00691BF0" w14:paraId="7E8C0B8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43D3963" w14:textId="77777777">
        <w:trPr>
          <w:trHeight w:val="300"/>
        </w:trPr>
        <w:tc>
          <w:tcPr>
            <w:tcW w:w="6804" w:type="dxa"/>
            <w:gridSpan w:val="2"/>
            <w:tcBorders>
              <w:left w:val="nil"/>
              <w:bottom w:val="nil"/>
              <w:right w:val="nil"/>
            </w:tcBorders>
            <w:noWrap/>
          </w:tcPr>
          <w:p w:rsidRPr="00636CF7" w:rsidR="00691BF0" w:rsidP="009A26DB" w:rsidRDefault="00691BF0" w14:paraId="57D0ADB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7BA56C6B" w14:textId="77777777">
            <w:pPr>
              <w:jc w:val="center"/>
              <w:rPr>
                <w:rFonts w:ascii="Arial" w:hAnsi="Arial" w:eastAsia="Times New Roman" w:cs="Arial"/>
                <w:b/>
                <w:bCs/>
                <w:sz w:val="20"/>
                <w:szCs w:val="20"/>
                <w:lang w:eastAsia="en-GB"/>
              </w:rPr>
            </w:pPr>
          </w:p>
        </w:tc>
      </w:tr>
      <w:tr w:rsidRPr="00636CF7" w:rsidR="00691BF0" w:rsidTr="009A26DB" w14:paraId="57C4F73B"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0BCF4FD4" w14:textId="77777777">
            <w:pPr>
              <w:rPr>
                <w:rFonts w:ascii="Arial" w:hAnsi="Arial" w:eastAsia="Times New Roman" w:cs="Arial"/>
                <w:b/>
                <w:bCs/>
                <w:sz w:val="20"/>
                <w:szCs w:val="20"/>
              </w:rPr>
            </w:pPr>
            <w:r w:rsidRPr="00636CF7">
              <w:rPr>
                <w:rFonts w:ascii="Arial" w:hAnsi="Arial"/>
                <w:b/>
                <w:sz w:val="20"/>
              </w:rPr>
              <w:t>Avsnitt 16 – Kompletterande poster</w:t>
            </w:r>
          </w:p>
        </w:tc>
        <w:tc>
          <w:tcPr>
            <w:tcW w:w="2745" w:type="dxa"/>
            <w:tcBorders>
              <w:top w:val="nil"/>
              <w:left w:val="nil"/>
              <w:bottom w:val="single" w:color="auto" w:sz="4" w:space="0"/>
              <w:right w:val="nil"/>
            </w:tcBorders>
            <w:hideMark/>
          </w:tcPr>
          <w:p w:rsidRPr="00636CF7" w:rsidR="00691BF0" w:rsidP="009A26DB" w:rsidRDefault="00691BF0" w14:paraId="2B3628B8"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3C8E61EA" w14:textId="77777777">
        <w:trPr>
          <w:trHeight w:val="300"/>
        </w:trPr>
        <w:tc>
          <w:tcPr>
            <w:tcW w:w="6804" w:type="dxa"/>
            <w:gridSpan w:val="2"/>
            <w:tcBorders>
              <w:left w:val="nil"/>
              <w:right w:val="nil"/>
            </w:tcBorders>
            <w:noWrap/>
            <w:hideMark/>
          </w:tcPr>
          <w:p w:rsidRPr="00636CF7" w:rsidR="00691BF0" w:rsidP="009A26DB" w:rsidRDefault="00691BF0" w14:paraId="3A4D6ADA" w14:textId="77777777">
            <w:pPr>
              <w:ind w:firstLine="200" w:firstLineChars="100"/>
              <w:rPr>
                <w:rFonts w:ascii="Arial" w:hAnsi="Arial" w:eastAsia="Times New Roman" w:cs="Arial"/>
                <w:sz w:val="20"/>
                <w:szCs w:val="20"/>
              </w:rPr>
            </w:pPr>
            <w:r w:rsidRPr="00636CF7">
              <w:rPr>
                <w:rFonts w:ascii="Arial" w:hAnsi="Arial"/>
                <w:sz w:val="20"/>
              </w:rPr>
              <w:t>a. Värdepapper som innehas till förfallodagen</w:t>
            </w:r>
          </w:p>
        </w:tc>
        <w:tc>
          <w:tcPr>
            <w:tcW w:w="2745" w:type="dxa"/>
            <w:tcBorders>
              <w:left w:val="nil"/>
              <w:right w:val="nil"/>
            </w:tcBorders>
            <w:noWrap/>
            <w:hideMark/>
          </w:tcPr>
          <w:p w:rsidRPr="00636CF7" w:rsidR="00691BF0" w:rsidP="009A26DB" w:rsidRDefault="00691BF0" w14:paraId="4708ED8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089A297" w14:textId="77777777">
        <w:trPr>
          <w:trHeight w:val="300"/>
        </w:trPr>
        <w:tc>
          <w:tcPr>
            <w:tcW w:w="6804" w:type="dxa"/>
            <w:gridSpan w:val="2"/>
            <w:tcBorders>
              <w:left w:val="nil"/>
              <w:right w:val="nil"/>
            </w:tcBorders>
            <w:noWrap/>
            <w:hideMark/>
          </w:tcPr>
          <w:p w:rsidRPr="00636CF7" w:rsidR="00691BF0" w:rsidP="009A26DB" w:rsidRDefault="00691BF0" w14:paraId="3D4F151E" w14:textId="77777777">
            <w:pPr>
              <w:ind w:firstLine="200" w:firstLineChars="100"/>
              <w:rPr>
                <w:rFonts w:ascii="Arial" w:hAnsi="Arial" w:eastAsia="Times New Roman" w:cs="Arial"/>
                <w:sz w:val="20"/>
                <w:szCs w:val="20"/>
              </w:rPr>
            </w:pPr>
            <w:r w:rsidRPr="00636CF7">
              <w:rPr>
                <w:rFonts w:ascii="Arial" w:hAnsi="Arial"/>
                <w:sz w:val="20"/>
              </w:rPr>
              <w:t>b. Betalningar som gjorts under rapporteringsåret</w:t>
            </w:r>
          </w:p>
        </w:tc>
        <w:tc>
          <w:tcPr>
            <w:tcW w:w="2745" w:type="dxa"/>
            <w:tcBorders>
              <w:left w:val="nil"/>
              <w:right w:val="nil"/>
            </w:tcBorders>
            <w:noWrap/>
            <w:hideMark/>
          </w:tcPr>
          <w:p w:rsidRPr="00636CF7" w:rsidR="00691BF0" w:rsidP="009A26DB" w:rsidRDefault="00691BF0" w14:paraId="1DE9E1D6" w14:textId="77777777">
            <w:pPr>
              <w:ind w:firstLine="200" w:firstLineChars="100"/>
              <w:rPr>
                <w:rFonts w:ascii="Arial" w:hAnsi="Arial" w:eastAsia="Times New Roman" w:cs="Arial"/>
                <w:sz w:val="20"/>
                <w:szCs w:val="20"/>
              </w:rPr>
            </w:pPr>
            <w:r w:rsidRPr="00636CF7">
              <w:rPr>
                <w:rFonts w:ascii="Arial" w:hAnsi="Arial"/>
                <w:sz w:val="20"/>
              </w:rPr>
              <w:t> </w:t>
            </w:r>
          </w:p>
        </w:tc>
      </w:tr>
      <w:tr w:rsidRPr="00636CF7" w:rsidR="00691BF0" w:rsidTr="009A26DB" w14:paraId="3B87DE4A" w14:textId="77777777">
        <w:trPr>
          <w:trHeight w:val="300"/>
        </w:trPr>
        <w:tc>
          <w:tcPr>
            <w:tcW w:w="6804" w:type="dxa"/>
            <w:gridSpan w:val="2"/>
            <w:tcBorders>
              <w:left w:val="nil"/>
              <w:right w:val="nil"/>
            </w:tcBorders>
            <w:noWrap/>
            <w:hideMark/>
          </w:tcPr>
          <w:p w:rsidRPr="00636CF7" w:rsidR="00691BF0" w:rsidP="009A26DB" w:rsidRDefault="00691BF0" w14:paraId="2B2F3826" w14:textId="77777777">
            <w:pPr>
              <w:ind w:firstLine="400" w:firstLineChars="200"/>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brasilianska realer (BRL)</w:t>
            </w:r>
          </w:p>
        </w:tc>
        <w:tc>
          <w:tcPr>
            <w:tcW w:w="2745" w:type="dxa"/>
            <w:tcBorders>
              <w:left w:val="nil"/>
              <w:right w:val="nil"/>
            </w:tcBorders>
            <w:noWrap/>
            <w:hideMark/>
          </w:tcPr>
          <w:p w:rsidRPr="00636CF7" w:rsidR="00691BF0" w:rsidP="009A26DB" w:rsidRDefault="00691BF0" w14:paraId="4D89D39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D2A8271" w14:textId="77777777">
        <w:trPr>
          <w:trHeight w:val="300"/>
        </w:trPr>
        <w:tc>
          <w:tcPr>
            <w:tcW w:w="6804" w:type="dxa"/>
            <w:gridSpan w:val="2"/>
            <w:tcBorders>
              <w:left w:val="nil"/>
              <w:right w:val="nil"/>
            </w:tcBorders>
            <w:noWrap/>
            <w:hideMark/>
          </w:tcPr>
          <w:p w:rsidRPr="00636CF7" w:rsidR="00691BF0" w:rsidP="009A26DB" w:rsidRDefault="00691BF0" w14:paraId="666795D2" w14:textId="77777777">
            <w:pPr>
              <w:ind w:firstLine="400" w:firstLineChars="200"/>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mexikanska pesos (MXN)</w:t>
            </w:r>
          </w:p>
        </w:tc>
        <w:tc>
          <w:tcPr>
            <w:tcW w:w="2745" w:type="dxa"/>
            <w:tcBorders>
              <w:left w:val="nil"/>
              <w:right w:val="nil"/>
            </w:tcBorders>
            <w:noWrap/>
            <w:hideMark/>
          </w:tcPr>
          <w:p w:rsidRPr="00636CF7" w:rsidR="00691BF0" w:rsidP="009A26DB" w:rsidRDefault="00691BF0" w14:paraId="2EEB8A6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3E53766" w14:textId="77777777">
        <w:trPr>
          <w:trHeight w:val="300"/>
        </w:trPr>
        <w:tc>
          <w:tcPr>
            <w:tcW w:w="6804" w:type="dxa"/>
            <w:gridSpan w:val="2"/>
            <w:tcBorders>
              <w:left w:val="nil"/>
              <w:right w:val="nil"/>
            </w:tcBorders>
            <w:noWrap/>
            <w:hideMark/>
          </w:tcPr>
          <w:p w:rsidRPr="00636CF7" w:rsidR="00691BF0" w:rsidP="009A26DB" w:rsidRDefault="00691BF0" w14:paraId="02DAF2C9" w14:textId="77777777">
            <w:pPr>
              <w:ind w:firstLine="400" w:firstLineChars="200"/>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norska kronor (NOK)</w:t>
            </w:r>
          </w:p>
        </w:tc>
        <w:tc>
          <w:tcPr>
            <w:tcW w:w="2745" w:type="dxa"/>
            <w:tcBorders>
              <w:left w:val="nil"/>
              <w:right w:val="nil"/>
            </w:tcBorders>
            <w:noWrap/>
            <w:hideMark/>
          </w:tcPr>
          <w:p w:rsidRPr="00636CF7" w:rsidR="00691BF0" w:rsidP="009A26DB" w:rsidRDefault="00691BF0" w14:paraId="24A0B24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3C3DDA2" w14:textId="77777777">
        <w:trPr>
          <w:trHeight w:val="300"/>
        </w:trPr>
        <w:tc>
          <w:tcPr>
            <w:tcW w:w="6804" w:type="dxa"/>
            <w:gridSpan w:val="2"/>
            <w:tcBorders>
              <w:left w:val="nil"/>
              <w:right w:val="nil"/>
            </w:tcBorders>
            <w:noWrap/>
            <w:hideMark/>
          </w:tcPr>
          <w:p w:rsidRPr="00636CF7" w:rsidR="00691BF0" w:rsidP="009A26DB" w:rsidRDefault="00691BF0" w14:paraId="4B8B2576" w14:textId="77777777">
            <w:pPr>
              <w:ind w:firstLine="400" w:firstLineChars="200"/>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ryska rubel (RUB)</w:t>
            </w:r>
          </w:p>
        </w:tc>
        <w:tc>
          <w:tcPr>
            <w:tcW w:w="2745" w:type="dxa"/>
            <w:tcBorders>
              <w:left w:val="nil"/>
              <w:right w:val="nil"/>
            </w:tcBorders>
            <w:noWrap/>
            <w:hideMark/>
          </w:tcPr>
          <w:p w:rsidRPr="00636CF7" w:rsidR="00691BF0" w:rsidP="009A26DB" w:rsidRDefault="00691BF0" w14:paraId="3428FECD"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E19338E" w14:textId="77777777">
        <w:trPr>
          <w:trHeight w:val="300"/>
        </w:trPr>
        <w:tc>
          <w:tcPr>
            <w:tcW w:w="6804" w:type="dxa"/>
            <w:gridSpan w:val="2"/>
            <w:tcBorders>
              <w:left w:val="nil"/>
              <w:right w:val="nil"/>
            </w:tcBorders>
            <w:noWrap/>
            <w:hideMark/>
          </w:tcPr>
          <w:p w:rsidRPr="00636CF7" w:rsidR="00691BF0" w:rsidP="009A26DB" w:rsidRDefault="00691BF0" w14:paraId="2C1A5D8E" w14:textId="77777777">
            <w:pPr>
              <w:ind w:firstLine="400" w:firstLineChars="200"/>
              <w:rPr>
                <w:rFonts w:ascii="Arial" w:hAnsi="Arial" w:eastAsia="Times New Roman" w:cs="Arial"/>
                <w:sz w:val="20"/>
                <w:szCs w:val="20"/>
              </w:rPr>
            </w:pPr>
            <w:r w:rsidRPr="00636CF7">
              <w:rPr>
                <w:rFonts w:ascii="Arial" w:hAnsi="Arial"/>
                <w:sz w:val="20"/>
                <w:lang w:eastAsia="en-GB"/>
              </w:rPr>
              <w:t xml:space="preserve">(5) </w:t>
            </w:r>
            <w:r w:rsidRPr="00636CF7">
              <w:rPr>
                <w:rFonts w:ascii="Arial" w:hAnsi="Arial"/>
                <w:sz w:val="20"/>
              </w:rPr>
              <w:t>Singaporedollar (SGD)</w:t>
            </w:r>
          </w:p>
        </w:tc>
        <w:tc>
          <w:tcPr>
            <w:tcW w:w="2745" w:type="dxa"/>
            <w:tcBorders>
              <w:left w:val="nil"/>
              <w:right w:val="nil"/>
            </w:tcBorders>
            <w:noWrap/>
            <w:hideMark/>
          </w:tcPr>
          <w:p w:rsidRPr="00636CF7" w:rsidR="00691BF0" w:rsidP="009A26DB" w:rsidRDefault="00691BF0" w14:paraId="0A83D1ED"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E0B32C5"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27DBD336" w14:textId="77777777">
            <w:pPr>
              <w:ind w:firstLine="400" w:firstLineChars="200"/>
              <w:rPr>
                <w:rFonts w:ascii="Arial" w:hAnsi="Arial" w:eastAsia="Times New Roman" w:cs="Arial"/>
                <w:sz w:val="20"/>
                <w:szCs w:val="20"/>
              </w:rPr>
            </w:pPr>
            <w:r w:rsidRPr="00636CF7">
              <w:rPr>
                <w:rFonts w:ascii="Arial" w:hAnsi="Arial"/>
                <w:sz w:val="20"/>
                <w:lang w:eastAsia="en-GB"/>
              </w:rPr>
              <w:t xml:space="preserve">(6) </w:t>
            </w:r>
            <w:r w:rsidRPr="00636CF7">
              <w:rPr>
                <w:rFonts w:ascii="Arial" w:hAnsi="Arial"/>
                <w:sz w:val="20"/>
              </w:rPr>
              <w:t>Sydkoreanska won (KRW)</w:t>
            </w:r>
          </w:p>
        </w:tc>
        <w:tc>
          <w:tcPr>
            <w:tcW w:w="2745" w:type="dxa"/>
            <w:tcBorders>
              <w:left w:val="nil"/>
              <w:bottom w:val="single" w:color="auto" w:sz="4" w:space="0"/>
              <w:right w:val="nil"/>
            </w:tcBorders>
            <w:noWrap/>
            <w:hideMark/>
          </w:tcPr>
          <w:p w:rsidRPr="00636CF7" w:rsidR="00691BF0" w:rsidP="009A26DB" w:rsidRDefault="00691BF0" w14:paraId="37428593"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3D5D83B" w14:textId="77777777">
        <w:trPr>
          <w:trHeight w:val="403"/>
        </w:trPr>
        <w:tc>
          <w:tcPr>
            <w:tcW w:w="6804" w:type="dxa"/>
            <w:gridSpan w:val="2"/>
            <w:tcBorders>
              <w:left w:val="nil"/>
              <w:bottom w:val="nil"/>
              <w:right w:val="nil"/>
            </w:tcBorders>
            <w:noWrap/>
            <w:hideMark/>
          </w:tcPr>
          <w:p w:rsidRPr="00636CF7" w:rsidR="00691BF0" w:rsidP="009A26DB" w:rsidRDefault="00691BF0" w14:paraId="5EA7654A" w14:textId="77777777">
            <w:pPr>
              <w:rPr>
                <w:rFonts w:ascii="Arial" w:hAnsi="Arial" w:eastAsia="Times New Roman" w:cs="Arial"/>
                <w:sz w:val="20"/>
                <w:szCs w:val="20"/>
              </w:rPr>
            </w:pPr>
            <w:r w:rsidRPr="00636CF7">
              <w:rPr>
                <w:rFonts w:ascii="Arial" w:hAnsi="Arial"/>
                <w:sz w:val="20"/>
              </w:rPr>
              <w:t> </w:t>
            </w:r>
          </w:p>
        </w:tc>
        <w:tc>
          <w:tcPr>
            <w:tcW w:w="2745" w:type="dxa"/>
            <w:tcBorders>
              <w:left w:val="nil"/>
              <w:bottom w:val="nil"/>
              <w:right w:val="nil"/>
            </w:tcBorders>
            <w:noWrap/>
            <w:hideMark/>
          </w:tcPr>
          <w:p w:rsidRPr="00636CF7" w:rsidR="00691BF0" w:rsidP="009A26DB" w:rsidRDefault="00691BF0" w14:paraId="56E5AAC9" w14:textId="77777777">
            <w:pPr>
              <w:rPr>
                <w:rFonts w:ascii="Arial" w:hAnsi="Arial" w:eastAsia="Times New Roman" w:cs="Arial"/>
                <w:sz w:val="20"/>
                <w:szCs w:val="20"/>
              </w:rPr>
            </w:pPr>
            <w:r w:rsidRPr="00636CF7">
              <w:rPr>
                <w:rFonts w:ascii="Arial" w:hAnsi="Arial"/>
                <w:sz w:val="20"/>
              </w:rPr>
              <w:t> </w:t>
            </w:r>
          </w:p>
        </w:tc>
      </w:tr>
      <w:tr w:rsidRPr="00636CF7" w:rsidR="00691BF0" w:rsidTr="009A26DB" w14:paraId="03849176" w14:textId="77777777">
        <w:trPr>
          <w:trHeight w:val="403"/>
        </w:trPr>
        <w:tc>
          <w:tcPr>
            <w:tcW w:w="6804" w:type="dxa"/>
            <w:gridSpan w:val="2"/>
            <w:tcBorders>
              <w:top w:val="nil"/>
              <w:left w:val="nil"/>
              <w:bottom w:val="nil"/>
              <w:right w:val="nil"/>
            </w:tcBorders>
            <w:noWrap/>
            <w:hideMark/>
          </w:tcPr>
          <w:p w:rsidRPr="00636CF7" w:rsidR="00691BF0" w:rsidP="009A26DB" w:rsidRDefault="00691BF0" w14:paraId="7DD528E5" w14:textId="77777777">
            <w:pPr>
              <w:rPr>
                <w:rFonts w:asciiTheme="majorHAnsi" w:hAnsiTheme="majorHAnsi" w:eastAsiaTheme="majorEastAsia" w:cstheme="majorBidi"/>
                <w:b/>
                <w:bCs/>
                <w:i/>
                <w:iCs/>
                <w:caps/>
                <w:spacing w:val="-2"/>
              </w:rPr>
            </w:pPr>
            <w:r w:rsidRPr="00636CF7">
              <w:rPr>
                <w:rFonts w:asciiTheme="majorHAnsi" w:hAnsiTheme="majorHAnsi"/>
                <w:b/>
                <w:i/>
                <w:caps/>
              </w:rPr>
              <w:t> Memorandumposter</w:t>
            </w:r>
          </w:p>
        </w:tc>
        <w:tc>
          <w:tcPr>
            <w:tcW w:w="2745" w:type="dxa"/>
            <w:tcBorders>
              <w:top w:val="nil"/>
              <w:left w:val="nil"/>
              <w:bottom w:val="nil"/>
              <w:right w:val="nil"/>
            </w:tcBorders>
            <w:noWrap/>
            <w:hideMark/>
          </w:tcPr>
          <w:p w:rsidRPr="00636CF7" w:rsidR="00691BF0" w:rsidP="009A26DB" w:rsidRDefault="00691BF0" w14:paraId="758ED4BF" w14:textId="77777777">
            <w:pPr>
              <w:rPr>
                <w:rFonts w:ascii="Arial" w:hAnsi="Arial" w:eastAsia="Times New Roman" w:cs="Arial"/>
                <w:b/>
                <w:bCs/>
                <w:sz w:val="24"/>
                <w:szCs w:val="24"/>
              </w:rPr>
            </w:pPr>
            <w:r w:rsidRPr="00636CF7">
              <w:rPr>
                <w:rFonts w:ascii="Arial" w:hAnsi="Arial"/>
                <w:b/>
                <w:sz w:val="24"/>
              </w:rPr>
              <w:t> </w:t>
            </w:r>
          </w:p>
        </w:tc>
      </w:tr>
      <w:tr w:rsidRPr="00636CF7" w:rsidR="00691BF0" w:rsidTr="009A26DB" w14:paraId="4129FE5F" w14:textId="77777777">
        <w:trPr>
          <w:trHeight w:val="403"/>
        </w:trPr>
        <w:tc>
          <w:tcPr>
            <w:tcW w:w="6804" w:type="dxa"/>
            <w:gridSpan w:val="2"/>
            <w:tcBorders>
              <w:top w:val="nil"/>
              <w:left w:val="nil"/>
              <w:bottom w:val="single" w:color="auto" w:sz="4" w:space="0"/>
              <w:right w:val="nil"/>
            </w:tcBorders>
            <w:noWrap/>
            <w:hideMark/>
          </w:tcPr>
          <w:p w:rsidRPr="00636CF7" w:rsidR="00691BF0" w:rsidP="009A26DB" w:rsidRDefault="00691BF0" w14:paraId="0FCD08E7" w14:textId="77777777">
            <w:pPr>
              <w:ind w:firstLine="241" w:firstLineChars="100"/>
              <w:rPr>
                <w:rFonts w:ascii="Arial" w:hAnsi="Arial" w:eastAsia="Times New Roman" w:cs="Arial"/>
                <w:b/>
                <w:bCs/>
                <w:sz w:val="24"/>
                <w:szCs w:val="24"/>
              </w:rPr>
            </w:pPr>
            <w:r w:rsidRPr="00636CF7">
              <w:rPr>
                <w:rFonts w:ascii="Arial" w:hAnsi="Arial"/>
                <w:b/>
                <w:sz w:val="24"/>
              </w:rPr>
              <w:t> </w:t>
            </w:r>
          </w:p>
        </w:tc>
        <w:tc>
          <w:tcPr>
            <w:tcW w:w="2745" w:type="dxa"/>
            <w:tcBorders>
              <w:top w:val="nil"/>
              <w:left w:val="nil"/>
              <w:bottom w:val="single" w:color="auto" w:sz="4" w:space="0"/>
              <w:right w:val="nil"/>
            </w:tcBorders>
            <w:noWrap/>
            <w:hideMark/>
          </w:tcPr>
          <w:p w:rsidRPr="00636CF7" w:rsidR="00691BF0" w:rsidP="009A26DB" w:rsidRDefault="00691BF0" w14:paraId="47DB3FC3" w14:textId="77777777">
            <w:pPr>
              <w:rPr>
                <w:rFonts w:ascii="Arial" w:hAnsi="Arial" w:eastAsia="Times New Roman" w:cs="Arial"/>
                <w:b/>
                <w:bCs/>
                <w:sz w:val="24"/>
                <w:szCs w:val="24"/>
              </w:rPr>
            </w:pPr>
            <w:r w:rsidRPr="00636CF7">
              <w:rPr>
                <w:rFonts w:ascii="Arial" w:hAnsi="Arial"/>
                <w:b/>
                <w:sz w:val="24"/>
              </w:rPr>
              <w:t> </w:t>
            </w:r>
          </w:p>
        </w:tc>
      </w:tr>
      <w:tr w:rsidRPr="00636CF7" w:rsidR="00691BF0" w:rsidTr="009A26DB" w14:paraId="08ED4F87" w14:textId="77777777">
        <w:trPr>
          <w:trHeight w:val="300"/>
        </w:trPr>
        <w:tc>
          <w:tcPr>
            <w:tcW w:w="6804" w:type="dxa"/>
            <w:gridSpan w:val="2"/>
            <w:tcBorders>
              <w:left w:val="nil"/>
              <w:right w:val="nil"/>
            </w:tcBorders>
            <w:noWrap/>
            <w:hideMark/>
          </w:tcPr>
          <w:p w:rsidRPr="00636CF7" w:rsidR="00691BF0" w:rsidP="009A26DB" w:rsidRDefault="00691BF0" w14:paraId="031056E3" w14:textId="77777777">
            <w:pPr>
              <w:rPr>
                <w:rFonts w:ascii="Arial" w:hAnsi="Arial" w:eastAsia="Times New Roman" w:cs="Arial"/>
                <w:b/>
                <w:bCs/>
                <w:sz w:val="20"/>
                <w:szCs w:val="20"/>
              </w:rPr>
            </w:pPr>
            <w:r w:rsidRPr="00636CF7">
              <w:rPr>
                <w:rFonts w:ascii="Arial" w:hAnsi="Arial"/>
                <w:b/>
                <w:sz w:val="20"/>
              </w:rPr>
              <w:t>Avsnitt 17 – Storleksartiklar</w:t>
            </w:r>
          </w:p>
        </w:tc>
        <w:tc>
          <w:tcPr>
            <w:tcW w:w="2745" w:type="dxa"/>
            <w:tcBorders>
              <w:left w:val="nil"/>
              <w:right w:val="nil"/>
            </w:tcBorders>
            <w:hideMark/>
          </w:tcPr>
          <w:p w:rsidRPr="00636CF7" w:rsidR="00691BF0" w:rsidP="009A26DB" w:rsidRDefault="00691BF0" w14:paraId="24E1E3CF"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7DACF888" w14:textId="77777777">
        <w:trPr>
          <w:gridAfter w:val="1"/>
          <w:wAfter w:w="2745" w:type="dxa"/>
          <w:trHeight w:val="300"/>
        </w:trPr>
        <w:tc>
          <w:tcPr>
            <w:tcW w:w="6804" w:type="dxa"/>
            <w:gridSpan w:val="2"/>
            <w:tcBorders>
              <w:left w:val="nil"/>
              <w:right w:val="nil"/>
            </w:tcBorders>
            <w:noWrap/>
            <w:hideMark/>
          </w:tcPr>
          <w:p w:rsidRPr="00636CF7" w:rsidR="00691BF0" w:rsidP="009A26DB" w:rsidRDefault="00691BF0" w14:paraId="13109190" w14:textId="77777777">
            <w:pPr>
              <w:ind w:left="171" w:firstLine="28" w:firstLineChars="14"/>
              <w:rPr>
                <w:rFonts w:ascii="Arial" w:hAnsi="Arial" w:eastAsia="Times New Roman" w:cs="Arial"/>
                <w:sz w:val="20"/>
                <w:szCs w:val="20"/>
              </w:rPr>
            </w:pPr>
            <w:r w:rsidRPr="00636CF7">
              <w:rPr>
                <w:rFonts w:ascii="Arial" w:hAnsi="Arial"/>
                <w:sz w:val="20"/>
              </w:rPr>
              <w:t>a. Exponering av försäkringsdotterföretag som redan omfattas av konsolidering under tillsyn</w:t>
            </w:r>
          </w:p>
        </w:tc>
      </w:tr>
      <w:tr w:rsidRPr="00636CF7" w:rsidR="00691BF0" w:rsidTr="009A26DB" w14:paraId="49317DC2" w14:textId="77777777">
        <w:trPr>
          <w:trHeight w:val="300"/>
        </w:trPr>
        <w:tc>
          <w:tcPr>
            <w:tcW w:w="6804" w:type="dxa"/>
            <w:gridSpan w:val="2"/>
            <w:tcBorders>
              <w:left w:val="nil"/>
              <w:right w:val="nil"/>
            </w:tcBorders>
            <w:noWrap/>
            <w:hideMark/>
          </w:tcPr>
          <w:p w:rsidRPr="00636CF7" w:rsidR="00691BF0" w:rsidP="009A26DB" w:rsidRDefault="00691BF0" w14:paraId="6FC77496" w14:textId="77777777">
            <w:pPr>
              <w:ind w:firstLine="200" w:firstLineChars="100"/>
              <w:rPr>
                <w:rFonts w:ascii="Arial" w:hAnsi="Arial" w:eastAsia="Times New Roman" w:cs="Arial"/>
                <w:sz w:val="20"/>
                <w:szCs w:val="20"/>
              </w:rPr>
            </w:pPr>
            <w:r w:rsidRPr="00636CF7">
              <w:rPr>
                <w:rFonts w:ascii="Arial" w:hAnsi="Arial"/>
                <w:sz w:val="20"/>
              </w:rPr>
              <w:t xml:space="preserve">b. Genomsnittligt värde per kvartal av totala exponeringar </w:t>
            </w:r>
          </w:p>
        </w:tc>
        <w:tc>
          <w:tcPr>
            <w:tcW w:w="2745" w:type="dxa"/>
            <w:tcBorders>
              <w:left w:val="nil"/>
              <w:right w:val="nil"/>
            </w:tcBorders>
            <w:noWrap/>
            <w:hideMark/>
          </w:tcPr>
          <w:p w:rsidRPr="00636CF7" w:rsidR="00691BF0" w:rsidP="009A26DB" w:rsidRDefault="00691BF0" w14:paraId="51D09002"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AE6E7E6"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0AB25DF0" w14:textId="77777777">
            <w:pPr>
              <w:ind w:firstLine="200" w:firstLineChars="100"/>
              <w:rPr>
                <w:rFonts w:ascii="Arial" w:hAnsi="Arial" w:eastAsia="Times New Roman" w:cs="Arial"/>
                <w:sz w:val="20"/>
                <w:szCs w:val="20"/>
              </w:rPr>
            </w:pPr>
            <w:r w:rsidRPr="00636CF7">
              <w:rPr>
                <w:rFonts w:ascii="Arial" w:hAnsi="Arial"/>
                <w:sz w:val="20"/>
              </w:rPr>
              <w:t xml:space="preserve">c. Genomsnittligt värde per månad av totala exponeringar </w:t>
            </w:r>
          </w:p>
        </w:tc>
        <w:tc>
          <w:tcPr>
            <w:tcW w:w="2745" w:type="dxa"/>
            <w:tcBorders>
              <w:left w:val="nil"/>
              <w:bottom w:val="single" w:color="auto" w:sz="4" w:space="0"/>
              <w:right w:val="nil"/>
            </w:tcBorders>
            <w:noWrap/>
            <w:hideMark/>
          </w:tcPr>
          <w:p w:rsidRPr="00636CF7" w:rsidR="00691BF0" w:rsidP="009A26DB" w:rsidRDefault="00691BF0" w14:paraId="77CA673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F1A7B62" w14:textId="77777777">
        <w:trPr>
          <w:trHeight w:val="300"/>
        </w:trPr>
        <w:tc>
          <w:tcPr>
            <w:tcW w:w="6804" w:type="dxa"/>
            <w:gridSpan w:val="2"/>
            <w:tcBorders>
              <w:left w:val="nil"/>
              <w:bottom w:val="nil"/>
              <w:right w:val="nil"/>
            </w:tcBorders>
            <w:noWrap/>
          </w:tcPr>
          <w:p w:rsidRPr="00636CF7" w:rsidR="00691BF0" w:rsidP="009A26DB" w:rsidRDefault="00691BF0" w14:paraId="775B357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01204C44" w14:textId="77777777">
            <w:pPr>
              <w:jc w:val="center"/>
              <w:rPr>
                <w:rFonts w:ascii="Arial" w:hAnsi="Arial" w:eastAsia="Times New Roman" w:cs="Arial"/>
                <w:b/>
                <w:bCs/>
                <w:sz w:val="20"/>
                <w:szCs w:val="20"/>
                <w:lang w:eastAsia="en-GB"/>
              </w:rPr>
            </w:pPr>
          </w:p>
        </w:tc>
      </w:tr>
      <w:tr w:rsidRPr="00636CF7" w:rsidR="00691BF0" w:rsidTr="009A26DB" w14:paraId="12636BBD" w14:textId="77777777">
        <w:trPr>
          <w:trHeight w:val="300"/>
        </w:trPr>
        <w:tc>
          <w:tcPr>
            <w:tcW w:w="6804" w:type="dxa"/>
            <w:gridSpan w:val="2"/>
            <w:tcBorders>
              <w:top w:val="nil"/>
              <w:left w:val="nil"/>
              <w:right w:val="nil"/>
            </w:tcBorders>
            <w:noWrap/>
            <w:hideMark/>
          </w:tcPr>
          <w:p w:rsidRPr="00636CF7" w:rsidR="00691BF0" w:rsidP="009A26DB" w:rsidRDefault="00691BF0" w14:paraId="45FC3EA9" w14:textId="77777777">
            <w:pPr>
              <w:rPr>
                <w:rFonts w:ascii="Arial" w:hAnsi="Arial" w:eastAsia="Times New Roman" w:cs="Arial"/>
                <w:b/>
                <w:bCs/>
                <w:sz w:val="20"/>
                <w:szCs w:val="20"/>
              </w:rPr>
            </w:pPr>
            <w:r w:rsidRPr="00636CF7">
              <w:rPr>
                <w:rFonts w:ascii="Arial" w:hAnsi="Arial"/>
                <w:b/>
                <w:sz w:val="20"/>
              </w:rPr>
              <w:t>Avsnitt 18 – Sammanlänkningsposter</w:t>
            </w:r>
          </w:p>
        </w:tc>
        <w:tc>
          <w:tcPr>
            <w:tcW w:w="2745" w:type="dxa"/>
            <w:tcBorders>
              <w:top w:val="nil"/>
              <w:left w:val="nil"/>
              <w:right w:val="nil"/>
            </w:tcBorders>
            <w:hideMark/>
          </w:tcPr>
          <w:p w:rsidRPr="00636CF7" w:rsidR="00691BF0" w:rsidP="009A26DB" w:rsidRDefault="00691BF0" w14:paraId="78FCB973"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4CAC0433" w14:textId="77777777">
        <w:trPr>
          <w:trHeight w:val="300"/>
        </w:trPr>
        <w:tc>
          <w:tcPr>
            <w:tcW w:w="6804" w:type="dxa"/>
            <w:gridSpan w:val="2"/>
            <w:tcBorders>
              <w:left w:val="nil"/>
              <w:right w:val="nil"/>
            </w:tcBorders>
            <w:noWrap/>
            <w:hideMark/>
          </w:tcPr>
          <w:p w:rsidRPr="00636CF7" w:rsidR="00691BF0" w:rsidP="009A26DB" w:rsidRDefault="00691BF0" w14:paraId="0B28E7FD" w14:textId="77777777">
            <w:pPr>
              <w:ind w:firstLine="200" w:firstLineChars="100"/>
              <w:rPr>
                <w:rFonts w:ascii="Arial" w:hAnsi="Arial" w:eastAsia="Times New Roman" w:cs="Arial"/>
                <w:sz w:val="20"/>
                <w:szCs w:val="20"/>
              </w:rPr>
            </w:pPr>
            <w:r w:rsidRPr="00636CF7">
              <w:rPr>
                <w:rFonts w:ascii="Arial" w:hAnsi="Arial"/>
                <w:sz w:val="20"/>
              </w:rPr>
              <w:t>a. Indikator för tillgångar hos andra finansinstitut (gammal indikator)</w:t>
            </w:r>
          </w:p>
        </w:tc>
        <w:tc>
          <w:tcPr>
            <w:tcW w:w="2745" w:type="dxa"/>
            <w:tcBorders>
              <w:left w:val="nil"/>
              <w:right w:val="nil"/>
            </w:tcBorders>
            <w:noWrap/>
            <w:hideMark/>
          </w:tcPr>
          <w:p w:rsidRPr="00636CF7" w:rsidR="00691BF0" w:rsidP="009A26DB" w:rsidRDefault="00691BF0" w14:paraId="3B587C79"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A75B8EE" w14:textId="77777777">
        <w:trPr>
          <w:trHeight w:val="300"/>
        </w:trPr>
        <w:tc>
          <w:tcPr>
            <w:tcW w:w="6804" w:type="dxa"/>
            <w:gridSpan w:val="2"/>
            <w:tcBorders>
              <w:left w:val="nil"/>
              <w:right w:val="nil"/>
            </w:tcBorders>
            <w:noWrap/>
            <w:hideMark/>
          </w:tcPr>
          <w:p w:rsidRPr="00636CF7" w:rsidR="00691BF0" w:rsidP="009A26DB" w:rsidRDefault="00691BF0" w14:paraId="7E29F4FC" w14:textId="77777777">
            <w:pPr>
              <w:ind w:firstLine="200" w:firstLineChars="100"/>
              <w:rPr>
                <w:rFonts w:ascii="Arial" w:hAnsi="Arial" w:eastAsia="Times New Roman" w:cs="Arial"/>
                <w:sz w:val="20"/>
                <w:szCs w:val="20"/>
              </w:rPr>
            </w:pPr>
            <w:r w:rsidRPr="00636CF7">
              <w:rPr>
                <w:rFonts w:ascii="Arial" w:hAnsi="Arial"/>
                <w:sz w:val="20"/>
              </w:rPr>
              <w:t xml:space="preserve">b. Genomsnittligt värde per kvartal av tillgångar hos andra finansinstitut </w:t>
            </w:r>
          </w:p>
        </w:tc>
        <w:tc>
          <w:tcPr>
            <w:tcW w:w="2745" w:type="dxa"/>
            <w:tcBorders>
              <w:left w:val="nil"/>
              <w:right w:val="nil"/>
            </w:tcBorders>
            <w:noWrap/>
            <w:hideMark/>
          </w:tcPr>
          <w:p w:rsidRPr="00636CF7" w:rsidR="00691BF0" w:rsidP="009A26DB" w:rsidRDefault="00691BF0" w14:paraId="2AA86D4C"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B59D3F4" w14:textId="77777777">
        <w:trPr>
          <w:trHeight w:val="300"/>
        </w:trPr>
        <w:tc>
          <w:tcPr>
            <w:tcW w:w="6804" w:type="dxa"/>
            <w:gridSpan w:val="2"/>
            <w:tcBorders>
              <w:left w:val="nil"/>
              <w:right w:val="nil"/>
            </w:tcBorders>
            <w:noWrap/>
            <w:hideMark/>
          </w:tcPr>
          <w:p w:rsidRPr="00636CF7" w:rsidR="00691BF0" w:rsidP="009A26DB" w:rsidRDefault="00691BF0" w14:paraId="31443E68" w14:textId="77777777">
            <w:pPr>
              <w:ind w:firstLine="200" w:firstLineChars="100"/>
              <w:rPr>
                <w:rFonts w:ascii="Arial" w:hAnsi="Arial" w:eastAsia="Times New Roman" w:cs="Arial"/>
                <w:sz w:val="20"/>
                <w:szCs w:val="20"/>
              </w:rPr>
            </w:pPr>
            <w:r w:rsidRPr="00636CF7">
              <w:rPr>
                <w:rFonts w:ascii="Arial" w:hAnsi="Arial"/>
                <w:sz w:val="20"/>
              </w:rPr>
              <w:t xml:space="preserve">c. Genomsnittligt värde per månad av tillgångar hos andra finansinstitut </w:t>
            </w:r>
          </w:p>
        </w:tc>
        <w:tc>
          <w:tcPr>
            <w:tcW w:w="2745" w:type="dxa"/>
            <w:tcBorders>
              <w:left w:val="nil"/>
              <w:right w:val="nil"/>
            </w:tcBorders>
            <w:noWrap/>
            <w:hideMark/>
          </w:tcPr>
          <w:p w:rsidRPr="00636CF7" w:rsidR="00691BF0" w:rsidP="009A26DB" w:rsidRDefault="00691BF0" w14:paraId="221ADB3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F648C7E" w14:textId="77777777">
        <w:trPr>
          <w:trHeight w:val="300"/>
        </w:trPr>
        <w:tc>
          <w:tcPr>
            <w:tcW w:w="6804" w:type="dxa"/>
            <w:gridSpan w:val="2"/>
            <w:tcBorders>
              <w:left w:val="nil"/>
              <w:right w:val="nil"/>
            </w:tcBorders>
            <w:noWrap/>
            <w:hideMark/>
          </w:tcPr>
          <w:p w:rsidRPr="00636CF7" w:rsidR="00691BF0" w:rsidP="009A26DB" w:rsidRDefault="00691BF0" w14:paraId="40253033" w14:textId="77777777">
            <w:pPr>
              <w:ind w:firstLine="200" w:firstLineChars="100"/>
              <w:rPr>
                <w:rFonts w:ascii="Arial" w:hAnsi="Arial" w:eastAsia="Times New Roman" w:cs="Arial"/>
                <w:sz w:val="20"/>
                <w:szCs w:val="20"/>
              </w:rPr>
            </w:pPr>
            <w:r w:rsidRPr="00636CF7">
              <w:rPr>
                <w:rFonts w:ascii="Arial" w:hAnsi="Arial"/>
                <w:sz w:val="20"/>
              </w:rPr>
              <w:t>d. Indikator för skulder till andra finansinstitut (gammal indikator)</w:t>
            </w:r>
          </w:p>
        </w:tc>
        <w:tc>
          <w:tcPr>
            <w:tcW w:w="2745" w:type="dxa"/>
            <w:tcBorders>
              <w:left w:val="nil"/>
              <w:right w:val="nil"/>
            </w:tcBorders>
            <w:noWrap/>
            <w:hideMark/>
          </w:tcPr>
          <w:p w:rsidRPr="00636CF7" w:rsidR="00691BF0" w:rsidP="009A26DB" w:rsidRDefault="00691BF0" w14:paraId="6DB6F86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F85770A" w14:textId="77777777">
        <w:trPr>
          <w:trHeight w:val="300"/>
        </w:trPr>
        <w:tc>
          <w:tcPr>
            <w:tcW w:w="6804" w:type="dxa"/>
            <w:gridSpan w:val="2"/>
            <w:tcBorders>
              <w:left w:val="nil"/>
              <w:right w:val="nil"/>
            </w:tcBorders>
            <w:noWrap/>
            <w:hideMark/>
          </w:tcPr>
          <w:p w:rsidRPr="00636CF7" w:rsidR="00691BF0" w:rsidP="009A26DB" w:rsidRDefault="00691BF0" w14:paraId="6F6E8806" w14:textId="77777777">
            <w:pPr>
              <w:ind w:firstLine="200" w:firstLineChars="100"/>
              <w:rPr>
                <w:rFonts w:ascii="Arial" w:hAnsi="Arial" w:eastAsia="Times New Roman" w:cs="Arial"/>
                <w:sz w:val="20"/>
                <w:szCs w:val="20"/>
              </w:rPr>
            </w:pPr>
            <w:r w:rsidRPr="00636CF7">
              <w:rPr>
                <w:rFonts w:ascii="Arial" w:hAnsi="Arial"/>
                <w:sz w:val="20"/>
              </w:rPr>
              <w:t xml:space="preserve">e. Genomsnittligt värde av skulder till andra finansinstitut per kvartal </w:t>
            </w:r>
          </w:p>
        </w:tc>
        <w:tc>
          <w:tcPr>
            <w:tcW w:w="2745" w:type="dxa"/>
            <w:tcBorders>
              <w:left w:val="nil"/>
              <w:right w:val="nil"/>
            </w:tcBorders>
            <w:noWrap/>
            <w:hideMark/>
          </w:tcPr>
          <w:p w:rsidRPr="00636CF7" w:rsidR="00691BF0" w:rsidP="009A26DB" w:rsidRDefault="00691BF0" w14:paraId="7E654E9A"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9944B1C" w14:textId="77777777">
        <w:trPr>
          <w:trHeight w:val="300"/>
        </w:trPr>
        <w:tc>
          <w:tcPr>
            <w:tcW w:w="6804" w:type="dxa"/>
            <w:gridSpan w:val="2"/>
            <w:tcBorders>
              <w:left w:val="nil"/>
              <w:right w:val="nil"/>
            </w:tcBorders>
            <w:noWrap/>
            <w:hideMark/>
          </w:tcPr>
          <w:p w:rsidRPr="00636CF7" w:rsidR="00691BF0" w:rsidP="009A26DB" w:rsidRDefault="00691BF0" w14:paraId="0E346F50" w14:textId="77777777">
            <w:pPr>
              <w:ind w:firstLine="200" w:firstLineChars="100"/>
              <w:rPr>
                <w:rFonts w:ascii="Arial" w:hAnsi="Arial" w:eastAsia="Times New Roman" w:cs="Arial"/>
                <w:sz w:val="20"/>
                <w:szCs w:val="20"/>
              </w:rPr>
            </w:pPr>
            <w:r w:rsidRPr="00636CF7">
              <w:rPr>
                <w:rFonts w:ascii="Arial" w:hAnsi="Arial"/>
                <w:sz w:val="20"/>
              </w:rPr>
              <w:lastRenderedPageBreak/>
              <w:t xml:space="preserve">f. Genomsnittligt värde av skulder till andra finansinstitut per månad </w:t>
            </w:r>
          </w:p>
        </w:tc>
        <w:tc>
          <w:tcPr>
            <w:tcW w:w="2745" w:type="dxa"/>
            <w:tcBorders>
              <w:left w:val="nil"/>
              <w:right w:val="nil"/>
            </w:tcBorders>
            <w:noWrap/>
            <w:hideMark/>
          </w:tcPr>
          <w:p w:rsidRPr="00636CF7" w:rsidR="00691BF0" w:rsidP="009A26DB" w:rsidRDefault="00691BF0" w14:paraId="0C9EF7C7"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E2EA36D" w14:textId="77777777">
        <w:trPr>
          <w:trHeight w:val="300"/>
        </w:trPr>
        <w:tc>
          <w:tcPr>
            <w:tcW w:w="6804" w:type="dxa"/>
            <w:gridSpan w:val="2"/>
            <w:tcBorders>
              <w:left w:val="nil"/>
              <w:right w:val="nil"/>
            </w:tcBorders>
            <w:noWrap/>
            <w:hideMark/>
          </w:tcPr>
          <w:p w:rsidRPr="00636CF7" w:rsidR="00691BF0" w:rsidP="009A26DB" w:rsidRDefault="00691BF0" w14:paraId="59124564" w14:textId="77777777">
            <w:pPr>
              <w:ind w:firstLine="200" w:firstLineChars="100"/>
              <w:rPr>
                <w:rFonts w:ascii="Arial" w:hAnsi="Arial" w:eastAsia="Times New Roman" w:cs="Arial"/>
                <w:sz w:val="20"/>
                <w:szCs w:val="20"/>
              </w:rPr>
            </w:pPr>
            <w:r w:rsidRPr="00636CF7">
              <w:rPr>
                <w:rFonts w:ascii="Arial" w:hAnsi="Arial"/>
                <w:sz w:val="20"/>
              </w:rPr>
              <w:t>g. Indikator för utestående värdepapper (gammal indikator)</w:t>
            </w:r>
          </w:p>
        </w:tc>
        <w:tc>
          <w:tcPr>
            <w:tcW w:w="2745" w:type="dxa"/>
            <w:tcBorders>
              <w:left w:val="nil"/>
              <w:right w:val="nil"/>
            </w:tcBorders>
            <w:noWrap/>
            <w:hideMark/>
          </w:tcPr>
          <w:p w:rsidRPr="00636CF7" w:rsidR="00691BF0" w:rsidP="009A26DB" w:rsidRDefault="00691BF0" w14:paraId="2CFCED7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4B78E0AB" w14:textId="77777777">
        <w:trPr>
          <w:trHeight w:val="300"/>
        </w:trPr>
        <w:tc>
          <w:tcPr>
            <w:tcW w:w="6804" w:type="dxa"/>
            <w:gridSpan w:val="2"/>
            <w:tcBorders>
              <w:left w:val="nil"/>
              <w:right w:val="nil"/>
            </w:tcBorders>
            <w:noWrap/>
            <w:hideMark/>
          </w:tcPr>
          <w:p w:rsidRPr="00636CF7" w:rsidR="00691BF0" w:rsidP="009A26DB" w:rsidRDefault="00691BF0" w14:paraId="5E408B73" w14:textId="77777777">
            <w:pPr>
              <w:ind w:firstLine="200" w:firstLineChars="100"/>
              <w:rPr>
                <w:rFonts w:ascii="Arial" w:hAnsi="Arial" w:eastAsia="Times New Roman" w:cs="Arial"/>
                <w:sz w:val="20"/>
                <w:szCs w:val="20"/>
              </w:rPr>
            </w:pPr>
            <w:r w:rsidRPr="00636CF7">
              <w:rPr>
                <w:rFonts w:ascii="Arial" w:hAnsi="Arial"/>
                <w:sz w:val="20"/>
              </w:rPr>
              <w:t xml:space="preserve">h. Genomsnittligt värde av utestående värdepapper per kvartal </w:t>
            </w:r>
          </w:p>
        </w:tc>
        <w:tc>
          <w:tcPr>
            <w:tcW w:w="2745" w:type="dxa"/>
            <w:tcBorders>
              <w:left w:val="nil"/>
              <w:right w:val="nil"/>
            </w:tcBorders>
            <w:noWrap/>
            <w:hideMark/>
          </w:tcPr>
          <w:p w:rsidRPr="00636CF7" w:rsidR="00691BF0" w:rsidP="009A26DB" w:rsidRDefault="00691BF0" w14:paraId="6D32A88B"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364AFDFE"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774FE9D8" w14:textId="77777777">
            <w:pPr>
              <w:ind w:firstLine="200" w:firstLineChars="100"/>
              <w:rPr>
                <w:rFonts w:ascii="Arial" w:hAnsi="Arial" w:eastAsia="Times New Roman" w:cs="Arial"/>
                <w:sz w:val="20"/>
                <w:szCs w:val="20"/>
              </w:rPr>
            </w:pPr>
            <w:r w:rsidRPr="00636CF7">
              <w:rPr>
                <w:rFonts w:ascii="Arial" w:hAnsi="Arial"/>
                <w:sz w:val="20"/>
              </w:rPr>
              <w:t xml:space="preserve">i. Genomsnittligt värde av utestående värdepapper per månad </w:t>
            </w:r>
          </w:p>
        </w:tc>
        <w:tc>
          <w:tcPr>
            <w:tcW w:w="2745" w:type="dxa"/>
            <w:tcBorders>
              <w:left w:val="nil"/>
              <w:bottom w:val="single" w:color="auto" w:sz="4" w:space="0"/>
              <w:right w:val="nil"/>
            </w:tcBorders>
            <w:noWrap/>
            <w:hideMark/>
          </w:tcPr>
          <w:p w:rsidRPr="00636CF7" w:rsidR="00691BF0" w:rsidP="009A26DB" w:rsidRDefault="00691BF0" w14:paraId="4FCAE89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0CD56E65" w14:textId="77777777">
        <w:trPr>
          <w:trHeight w:val="300"/>
        </w:trPr>
        <w:tc>
          <w:tcPr>
            <w:tcW w:w="6804" w:type="dxa"/>
            <w:gridSpan w:val="2"/>
            <w:tcBorders>
              <w:left w:val="nil"/>
              <w:bottom w:val="nil"/>
              <w:right w:val="nil"/>
            </w:tcBorders>
            <w:noWrap/>
          </w:tcPr>
          <w:p w:rsidRPr="00636CF7" w:rsidR="00691BF0" w:rsidP="009A26DB" w:rsidRDefault="00691BF0" w14:paraId="75FED82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4CB6688B" w14:textId="77777777">
            <w:pPr>
              <w:jc w:val="center"/>
              <w:rPr>
                <w:rFonts w:ascii="Arial" w:hAnsi="Arial" w:eastAsia="Times New Roman" w:cs="Arial"/>
                <w:b/>
                <w:bCs/>
                <w:sz w:val="20"/>
                <w:szCs w:val="20"/>
                <w:lang w:eastAsia="en-GB"/>
              </w:rPr>
            </w:pPr>
          </w:p>
        </w:tc>
      </w:tr>
      <w:tr w:rsidRPr="00636CF7" w:rsidR="00691BF0" w:rsidTr="009A26DB" w14:paraId="0E1485DD" w14:textId="77777777">
        <w:trPr>
          <w:trHeight w:val="300"/>
        </w:trPr>
        <w:tc>
          <w:tcPr>
            <w:tcW w:w="6804" w:type="dxa"/>
            <w:gridSpan w:val="2"/>
            <w:tcBorders>
              <w:top w:val="nil"/>
              <w:left w:val="nil"/>
              <w:bottom w:val="single" w:color="auto" w:sz="4" w:space="0"/>
              <w:right w:val="nil"/>
            </w:tcBorders>
            <w:noWrap/>
            <w:hideMark/>
          </w:tcPr>
          <w:p w:rsidRPr="00636CF7" w:rsidR="00691BF0" w:rsidP="009A26DB" w:rsidRDefault="00691BF0" w14:paraId="72F8E09F" w14:textId="77777777">
            <w:pPr>
              <w:rPr>
                <w:rFonts w:ascii="Arial" w:hAnsi="Arial" w:eastAsia="Times New Roman" w:cs="Arial"/>
                <w:b/>
                <w:bCs/>
                <w:sz w:val="20"/>
                <w:szCs w:val="20"/>
              </w:rPr>
            </w:pPr>
            <w:r w:rsidRPr="00636CF7">
              <w:rPr>
                <w:rFonts w:ascii="Arial" w:hAnsi="Arial"/>
                <w:b/>
                <w:sz w:val="20"/>
              </w:rPr>
              <w:t xml:space="preserve">Avsnitt 19 – Poster avs. substituerbarhet/finansiell infrastruktur  </w:t>
            </w:r>
          </w:p>
        </w:tc>
        <w:tc>
          <w:tcPr>
            <w:tcW w:w="2745" w:type="dxa"/>
            <w:tcBorders>
              <w:top w:val="nil"/>
              <w:left w:val="nil"/>
              <w:right w:val="nil"/>
            </w:tcBorders>
            <w:hideMark/>
          </w:tcPr>
          <w:p w:rsidRPr="00636CF7" w:rsidR="00691BF0" w:rsidP="009A26DB" w:rsidRDefault="00691BF0" w14:paraId="50CE1BFC"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6C343679" w14:textId="77777777">
        <w:trPr>
          <w:trHeight w:val="300"/>
        </w:trPr>
        <w:tc>
          <w:tcPr>
            <w:tcW w:w="6804" w:type="dxa"/>
            <w:gridSpan w:val="2"/>
            <w:tcBorders>
              <w:left w:val="nil"/>
              <w:right w:val="nil"/>
            </w:tcBorders>
            <w:noWrap/>
          </w:tcPr>
          <w:p w:rsidRPr="00636CF7" w:rsidR="00691BF0" w:rsidP="009A26DB" w:rsidRDefault="00691BF0" w14:paraId="446037AA" w14:textId="77777777">
            <w:pPr>
              <w:ind w:left="171" w:firstLine="28" w:firstLineChars="14"/>
              <w:rPr>
                <w:rFonts w:ascii="Arial" w:hAnsi="Arial" w:eastAsia="Times New Roman" w:cs="Arial"/>
                <w:sz w:val="20"/>
                <w:szCs w:val="20"/>
              </w:rPr>
            </w:pPr>
            <w:r w:rsidRPr="00636CF7">
              <w:rPr>
                <w:rFonts w:ascii="Arial" w:hAnsi="Arial"/>
                <w:sz w:val="20"/>
              </w:rPr>
              <w:t>a. Handelsvolym för värdepapper som utfärdats av stater, exklusive transaktioner inom koncernen</w:t>
            </w:r>
          </w:p>
        </w:tc>
        <w:tc>
          <w:tcPr>
            <w:tcW w:w="2745" w:type="dxa"/>
            <w:tcBorders>
              <w:left w:val="nil"/>
              <w:right w:val="nil"/>
            </w:tcBorders>
            <w:noWrap/>
          </w:tcPr>
          <w:p w:rsidRPr="00636CF7" w:rsidR="00691BF0" w:rsidP="009A26DB" w:rsidRDefault="00691BF0" w14:paraId="3A44606E" w14:textId="77777777">
            <w:pPr>
              <w:jc w:val="right"/>
              <w:rPr>
                <w:rFonts w:ascii="Arial" w:hAnsi="Arial" w:eastAsia="Times New Roman" w:cs="Arial"/>
                <w:sz w:val="20"/>
                <w:szCs w:val="20"/>
                <w:lang w:eastAsia="en-GB"/>
              </w:rPr>
            </w:pPr>
          </w:p>
        </w:tc>
      </w:tr>
      <w:tr w:rsidRPr="00636CF7" w:rsidR="00691BF0" w:rsidTr="009A26DB" w14:paraId="4EE3224D" w14:textId="77777777">
        <w:trPr>
          <w:trHeight w:val="300"/>
        </w:trPr>
        <w:tc>
          <w:tcPr>
            <w:tcW w:w="6804" w:type="dxa"/>
            <w:gridSpan w:val="2"/>
            <w:tcBorders>
              <w:left w:val="nil"/>
              <w:right w:val="nil"/>
            </w:tcBorders>
            <w:noWrap/>
          </w:tcPr>
          <w:p w:rsidRPr="00636CF7" w:rsidR="00691BF0" w:rsidP="009A26DB" w:rsidRDefault="00691BF0" w14:paraId="2A1AA9FB" w14:textId="77777777">
            <w:pPr>
              <w:ind w:left="171"/>
              <w:rPr>
                <w:rFonts w:ascii="Arial" w:hAnsi="Arial" w:eastAsia="Times New Roman" w:cs="Arial"/>
                <w:sz w:val="20"/>
                <w:szCs w:val="20"/>
              </w:rPr>
            </w:pPr>
            <w:r w:rsidRPr="00636CF7">
              <w:rPr>
                <w:rFonts w:ascii="Arial" w:hAnsi="Arial"/>
                <w:sz w:val="20"/>
              </w:rPr>
              <w:t>b. Initialsäkerhet som ställts till centrala motparter för kunders räkning</w:t>
            </w:r>
          </w:p>
        </w:tc>
        <w:tc>
          <w:tcPr>
            <w:tcW w:w="2745" w:type="dxa"/>
            <w:tcBorders>
              <w:left w:val="nil"/>
              <w:right w:val="nil"/>
            </w:tcBorders>
            <w:noWrap/>
          </w:tcPr>
          <w:p w:rsidRPr="00636CF7" w:rsidR="00691BF0" w:rsidP="009A26DB" w:rsidRDefault="00691BF0" w14:paraId="5BF7DCEC" w14:textId="77777777">
            <w:pPr>
              <w:jc w:val="right"/>
              <w:rPr>
                <w:rFonts w:ascii="Arial" w:hAnsi="Arial" w:eastAsia="Times New Roman" w:cs="Arial"/>
                <w:sz w:val="20"/>
                <w:szCs w:val="20"/>
                <w:lang w:eastAsia="en-GB"/>
              </w:rPr>
            </w:pPr>
          </w:p>
        </w:tc>
      </w:tr>
      <w:tr w:rsidRPr="00636CF7" w:rsidR="00691BF0" w:rsidTr="009A26DB" w14:paraId="527F7206" w14:textId="77777777">
        <w:trPr>
          <w:trHeight w:val="300"/>
        </w:trPr>
        <w:tc>
          <w:tcPr>
            <w:tcW w:w="6804" w:type="dxa"/>
            <w:gridSpan w:val="2"/>
            <w:tcBorders>
              <w:left w:val="nil"/>
              <w:right w:val="nil"/>
            </w:tcBorders>
            <w:noWrap/>
          </w:tcPr>
          <w:p w:rsidRPr="00636CF7" w:rsidR="00691BF0" w:rsidP="009A26DB" w:rsidRDefault="00691BF0" w14:paraId="7AA7B245" w14:textId="77777777">
            <w:pPr>
              <w:ind w:firstLine="200" w:firstLineChars="100"/>
              <w:rPr>
                <w:rFonts w:ascii="Arial" w:hAnsi="Arial" w:eastAsia="Times New Roman" w:cs="Arial"/>
                <w:sz w:val="20"/>
                <w:szCs w:val="20"/>
              </w:rPr>
            </w:pPr>
            <w:r w:rsidRPr="00636CF7">
              <w:rPr>
                <w:rFonts w:ascii="Arial" w:hAnsi="Arial"/>
                <w:sz w:val="20"/>
              </w:rPr>
              <w:t>c. Initialsäkerhet som ställts till centrala motparter för den rapporterande gruppens egen räkning</w:t>
            </w:r>
          </w:p>
        </w:tc>
        <w:tc>
          <w:tcPr>
            <w:tcW w:w="2745" w:type="dxa"/>
            <w:tcBorders>
              <w:left w:val="nil"/>
              <w:right w:val="nil"/>
            </w:tcBorders>
            <w:noWrap/>
          </w:tcPr>
          <w:p w:rsidRPr="00636CF7" w:rsidR="00691BF0" w:rsidP="009A26DB" w:rsidRDefault="00691BF0" w14:paraId="0E6EFA27" w14:textId="77777777">
            <w:pPr>
              <w:jc w:val="right"/>
              <w:rPr>
                <w:rFonts w:ascii="Arial" w:hAnsi="Arial" w:eastAsia="Times New Roman" w:cs="Arial"/>
                <w:sz w:val="20"/>
                <w:szCs w:val="20"/>
                <w:lang w:eastAsia="en-GB"/>
              </w:rPr>
            </w:pPr>
          </w:p>
        </w:tc>
      </w:tr>
      <w:tr w:rsidRPr="00636CF7" w:rsidR="00691BF0" w:rsidTr="009A26DB" w14:paraId="5FE72F0C" w14:textId="77777777">
        <w:trPr>
          <w:trHeight w:val="300"/>
        </w:trPr>
        <w:tc>
          <w:tcPr>
            <w:tcW w:w="6804" w:type="dxa"/>
            <w:gridSpan w:val="2"/>
            <w:tcBorders>
              <w:left w:val="nil"/>
              <w:right w:val="nil"/>
            </w:tcBorders>
            <w:noWrap/>
            <w:hideMark/>
          </w:tcPr>
          <w:p w:rsidRPr="00636CF7" w:rsidR="00691BF0" w:rsidP="009A26DB" w:rsidRDefault="00691BF0" w14:paraId="7E46316F" w14:textId="77777777">
            <w:pPr>
              <w:ind w:firstLine="200" w:firstLineChars="100"/>
              <w:rPr>
                <w:rFonts w:ascii="Arial" w:hAnsi="Arial" w:eastAsia="Times New Roman" w:cs="Arial"/>
                <w:sz w:val="20"/>
                <w:szCs w:val="20"/>
              </w:rPr>
            </w:pPr>
            <w:r w:rsidRPr="00636CF7">
              <w:rPr>
                <w:rFonts w:ascii="Arial" w:hAnsi="Arial"/>
                <w:sz w:val="20"/>
              </w:rPr>
              <w:t>d. Obeståndsfondbidrag till centrala motparter</w:t>
            </w:r>
          </w:p>
        </w:tc>
        <w:tc>
          <w:tcPr>
            <w:tcW w:w="2745" w:type="dxa"/>
            <w:tcBorders>
              <w:left w:val="nil"/>
              <w:right w:val="nil"/>
            </w:tcBorders>
            <w:noWrap/>
            <w:hideMark/>
          </w:tcPr>
          <w:p w:rsidRPr="00636CF7" w:rsidR="00691BF0" w:rsidP="009A26DB" w:rsidRDefault="00691BF0" w14:paraId="65E366A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226AB793" w14:textId="77777777">
        <w:trPr>
          <w:trHeight w:val="300"/>
        </w:trPr>
        <w:tc>
          <w:tcPr>
            <w:tcW w:w="6804" w:type="dxa"/>
            <w:gridSpan w:val="2"/>
            <w:tcBorders>
              <w:left w:val="nil"/>
              <w:right w:val="nil"/>
            </w:tcBorders>
            <w:noWrap/>
            <w:hideMark/>
          </w:tcPr>
          <w:p w:rsidRPr="00636CF7" w:rsidR="00691BF0" w:rsidP="009A26DB" w:rsidRDefault="00691BF0" w14:paraId="4304D9A4" w14:textId="77777777">
            <w:pPr>
              <w:ind w:firstLine="200" w:firstLineChars="100"/>
              <w:rPr>
                <w:rFonts w:ascii="Arial" w:hAnsi="Arial" w:eastAsia="Times New Roman" w:cs="Arial"/>
                <w:sz w:val="20"/>
                <w:szCs w:val="20"/>
              </w:rPr>
            </w:pPr>
            <w:r w:rsidRPr="00636CF7">
              <w:rPr>
                <w:rFonts w:ascii="Arial" w:hAnsi="Arial"/>
                <w:sz w:val="20"/>
              </w:rPr>
              <w:t>e. Övriga medel till centrala motparter</w:t>
            </w:r>
          </w:p>
        </w:tc>
        <w:tc>
          <w:tcPr>
            <w:tcW w:w="2745" w:type="dxa"/>
            <w:tcBorders>
              <w:left w:val="nil"/>
              <w:right w:val="nil"/>
            </w:tcBorders>
            <w:noWrap/>
            <w:hideMark/>
          </w:tcPr>
          <w:p w:rsidRPr="00636CF7" w:rsidR="00691BF0" w:rsidP="009A26DB" w:rsidRDefault="00691BF0" w14:paraId="2C1E5334"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7B9F4D1B" w14:textId="77777777">
        <w:trPr>
          <w:gridAfter w:val="1"/>
          <w:wAfter w:w="2745" w:type="dxa"/>
          <w:trHeight w:val="300"/>
        </w:trPr>
        <w:tc>
          <w:tcPr>
            <w:tcW w:w="6804" w:type="dxa"/>
            <w:gridSpan w:val="2"/>
            <w:tcBorders>
              <w:left w:val="nil"/>
              <w:right w:val="nil"/>
            </w:tcBorders>
            <w:noWrap/>
            <w:hideMark/>
          </w:tcPr>
          <w:p w:rsidRPr="00636CF7" w:rsidR="00691BF0" w:rsidP="009A26DB" w:rsidRDefault="00691BF0" w14:paraId="73115964" w14:textId="77777777">
            <w:pPr>
              <w:ind w:left="171"/>
              <w:rPr>
                <w:rFonts w:ascii="Arial" w:hAnsi="Arial" w:eastAsia="Times New Roman" w:cs="Arial"/>
                <w:sz w:val="20"/>
                <w:szCs w:val="20"/>
              </w:rPr>
            </w:pPr>
            <w:r w:rsidRPr="00636CF7">
              <w:rPr>
                <w:rFonts w:ascii="Arial" w:hAnsi="Arial"/>
                <w:sz w:val="20"/>
              </w:rPr>
              <w:t>f. Tillhandahållande av avvecklingstjänster i anslutning till transaktioner vars clearing sker centralt</w:t>
            </w:r>
          </w:p>
        </w:tc>
      </w:tr>
      <w:tr w:rsidRPr="00636CF7" w:rsidR="00691BF0" w:rsidTr="009A26DB" w14:paraId="0880772B" w14:textId="77777777">
        <w:trPr>
          <w:trHeight w:val="300"/>
        </w:trPr>
        <w:tc>
          <w:tcPr>
            <w:tcW w:w="6804" w:type="dxa"/>
            <w:gridSpan w:val="2"/>
            <w:tcBorders>
              <w:left w:val="nil"/>
              <w:right w:val="nil"/>
            </w:tcBorders>
            <w:noWrap/>
            <w:hideMark/>
          </w:tcPr>
          <w:p w:rsidRPr="00636CF7" w:rsidR="00691BF0" w:rsidP="009A26DB" w:rsidRDefault="00691BF0" w14:paraId="295E07B6" w14:textId="77777777">
            <w:pPr>
              <w:ind w:firstLine="200" w:firstLineChars="100"/>
              <w:rPr>
                <w:rFonts w:ascii="Arial" w:hAnsi="Arial" w:eastAsia="Times New Roman" w:cs="Arial"/>
                <w:sz w:val="20"/>
                <w:szCs w:val="20"/>
              </w:rPr>
            </w:pPr>
            <w:r w:rsidRPr="00636CF7">
              <w:rPr>
                <w:rFonts w:ascii="Arial" w:hAnsi="Arial"/>
                <w:sz w:val="20"/>
              </w:rPr>
              <w:t xml:space="preserve">g. Genomsnittligt värde av tillgångar under förvaring per kvartal </w:t>
            </w:r>
          </w:p>
        </w:tc>
        <w:tc>
          <w:tcPr>
            <w:tcW w:w="2745" w:type="dxa"/>
            <w:tcBorders>
              <w:left w:val="nil"/>
              <w:right w:val="nil"/>
            </w:tcBorders>
            <w:noWrap/>
            <w:hideMark/>
          </w:tcPr>
          <w:p w:rsidRPr="00636CF7" w:rsidR="00691BF0" w:rsidP="009A26DB" w:rsidRDefault="00691BF0" w14:paraId="175A912F"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5210CC9" w14:textId="77777777">
        <w:trPr>
          <w:trHeight w:val="300"/>
        </w:trPr>
        <w:tc>
          <w:tcPr>
            <w:tcW w:w="6804" w:type="dxa"/>
            <w:gridSpan w:val="2"/>
            <w:tcBorders>
              <w:left w:val="nil"/>
              <w:bottom w:val="single" w:color="auto" w:sz="4" w:space="0"/>
              <w:right w:val="nil"/>
            </w:tcBorders>
            <w:noWrap/>
            <w:hideMark/>
          </w:tcPr>
          <w:p w:rsidRPr="00636CF7" w:rsidR="00691BF0" w:rsidP="009A26DB" w:rsidRDefault="00691BF0" w14:paraId="43685DD9" w14:textId="77777777">
            <w:pPr>
              <w:ind w:firstLine="200" w:firstLineChars="100"/>
              <w:rPr>
                <w:rFonts w:ascii="Arial" w:hAnsi="Arial" w:eastAsia="Times New Roman" w:cs="Arial"/>
                <w:sz w:val="20"/>
                <w:szCs w:val="20"/>
              </w:rPr>
            </w:pPr>
            <w:r w:rsidRPr="00636CF7">
              <w:rPr>
                <w:rFonts w:ascii="Arial" w:hAnsi="Arial"/>
                <w:sz w:val="20"/>
              </w:rPr>
              <w:t xml:space="preserve">h. Genomsnittligt värde av tillgångar under förvaring per månad </w:t>
            </w:r>
          </w:p>
        </w:tc>
        <w:tc>
          <w:tcPr>
            <w:tcW w:w="2745" w:type="dxa"/>
            <w:tcBorders>
              <w:left w:val="nil"/>
              <w:bottom w:val="single" w:color="auto" w:sz="4" w:space="0"/>
              <w:right w:val="nil"/>
            </w:tcBorders>
            <w:noWrap/>
            <w:hideMark/>
          </w:tcPr>
          <w:p w:rsidRPr="00636CF7" w:rsidR="00691BF0" w:rsidP="009A26DB" w:rsidRDefault="00691BF0" w14:paraId="15E534A3"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199170F5" w14:textId="77777777">
        <w:trPr>
          <w:trHeight w:val="300"/>
        </w:trPr>
        <w:tc>
          <w:tcPr>
            <w:tcW w:w="6804" w:type="dxa"/>
            <w:gridSpan w:val="2"/>
            <w:tcBorders>
              <w:left w:val="nil"/>
              <w:bottom w:val="nil"/>
              <w:right w:val="nil"/>
            </w:tcBorders>
            <w:noWrap/>
          </w:tcPr>
          <w:p w:rsidRPr="00636CF7" w:rsidR="00691BF0" w:rsidP="009A26DB" w:rsidRDefault="00691BF0" w14:paraId="2FF43E0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636CF7" w:rsidR="00691BF0" w:rsidP="009A26DB" w:rsidRDefault="00691BF0" w14:paraId="47FB950A" w14:textId="77777777">
            <w:pPr>
              <w:jc w:val="center"/>
              <w:rPr>
                <w:rFonts w:ascii="Arial" w:hAnsi="Arial" w:eastAsia="Times New Roman" w:cs="Arial"/>
                <w:b/>
                <w:bCs/>
                <w:sz w:val="20"/>
                <w:szCs w:val="20"/>
                <w:lang w:eastAsia="en-GB"/>
              </w:rPr>
            </w:pPr>
          </w:p>
        </w:tc>
      </w:tr>
      <w:tr w:rsidRPr="00636CF7" w:rsidR="00691BF0" w:rsidTr="009A26DB" w14:paraId="78925E5C" w14:textId="77777777">
        <w:trPr>
          <w:trHeight w:val="300"/>
        </w:trPr>
        <w:tc>
          <w:tcPr>
            <w:tcW w:w="6804" w:type="dxa"/>
            <w:gridSpan w:val="2"/>
            <w:tcBorders>
              <w:top w:val="nil"/>
              <w:left w:val="nil"/>
              <w:right w:val="nil"/>
            </w:tcBorders>
            <w:noWrap/>
            <w:hideMark/>
          </w:tcPr>
          <w:p w:rsidRPr="00636CF7" w:rsidR="00691BF0" w:rsidP="009A26DB" w:rsidRDefault="00691BF0" w14:paraId="7BA7360D" w14:textId="77777777">
            <w:pPr>
              <w:rPr>
                <w:rFonts w:ascii="Arial" w:hAnsi="Arial" w:eastAsia="Times New Roman" w:cs="Arial"/>
                <w:b/>
                <w:bCs/>
                <w:sz w:val="20"/>
                <w:szCs w:val="20"/>
              </w:rPr>
            </w:pPr>
            <w:r w:rsidRPr="00636CF7">
              <w:rPr>
                <w:rFonts w:ascii="Arial" w:hAnsi="Arial"/>
                <w:b/>
                <w:sz w:val="20"/>
              </w:rPr>
              <w:t>Avsnitt 20 – Komplexitetsposter</w:t>
            </w:r>
          </w:p>
        </w:tc>
        <w:tc>
          <w:tcPr>
            <w:tcW w:w="2745" w:type="dxa"/>
            <w:tcBorders>
              <w:top w:val="nil"/>
              <w:left w:val="nil"/>
              <w:right w:val="nil"/>
            </w:tcBorders>
            <w:hideMark/>
          </w:tcPr>
          <w:p w:rsidRPr="00636CF7" w:rsidR="00691BF0" w:rsidP="009A26DB" w:rsidRDefault="00691BF0" w14:paraId="58D182C3"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62BA5A97" w14:textId="77777777">
        <w:trPr>
          <w:trHeight w:val="300"/>
        </w:trPr>
        <w:tc>
          <w:tcPr>
            <w:tcW w:w="6804" w:type="dxa"/>
            <w:gridSpan w:val="2"/>
            <w:tcBorders>
              <w:left w:val="nil"/>
              <w:right w:val="nil"/>
            </w:tcBorders>
            <w:noWrap/>
            <w:hideMark/>
          </w:tcPr>
          <w:p w:rsidRPr="00636CF7" w:rsidR="00691BF0" w:rsidP="009A26DB" w:rsidRDefault="00691BF0" w14:paraId="223AE25D" w14:textId="77777777">
            <w:pPr>
              <w:ind w:firstLine="200" w:firstLineChars="100"/>
              <w:rPr>
                <w:rFonts w:ascii="Arial" w:hAnsi="Arial" w:eastAsia="Times New Roman" w:cs="Arial"/>
                <w:sz w:val="20"/>
                <w:szCs w:val="20"/>
              </w:rPr>
            </w:pPr>
            <w:r w:rsidRPr="00636CF7">
              <w:rPr>
                <w:rFonts w:ascii="Arial" w:hAnsi="Arial"/>
                <w:sz w:val="20"/>
              </w:rPr>
              <w:t>a. Indikator för OTC-derivat (gammal indikator)</w:t>
            </w:r>
          </w:p>
        </w:tc>
        <w:tc>
          <w:tcPr>
            <w:tcW w:w="2745" w:type="dxa"/>
            <w:tcBorders>
              <w:left w:val="nil"/>
              <w:right w:val="nil"/>
            </w:tcBorders>
            <w:noWrap/>
            <w:hideMark/>
          </w:tcPr>
          <w:p w:rsidRPr="00636CF7" w:rsidR="00691BF0" w:rsidP="009A26DB" w:rsidRDefault="00691BF0" w14:paraId="480AD5D6" w14:textId="77777777">
            <w:pPr>
              <w:jc w:val="right"/>
              <w:rPr>
                <w:rFonts w:ascii="Arial" w:hAnsi="Arial" w:eastAsia="Times New Roman" w:cs="Arial"/>
                <w:sz w:val="20"/>
                <w:szCs w:val="20"/>
              </w:rPr>
            </w:pPr>
            <w:r w:rsidRPr="00636CF7">
              <w:rPr>
                <w:rFonts w:ascii="Arial" w:hAnsi="Arial"/>
                <w:sz w:val="20"/>
              </w:rPr>
              <w:t> </w:t>
            </w:r>
          </w:p>
        </w:tc>
      </w:tr>
      <w:tr w:rsidRPr="00636CF7" w:rsidR="00691BF0" w:rsidTr="009A26DB" w14:paraId="5332B86D" w14:textId="77777777">
        <w:trPr>
          <w:trHeight w:val="300"/>
        </w:trPr>
        <w:tc>
          <w:tcPr>
            <w:tcW w:w="6804" w:type="dxa"/>
            <w:gridSpan w:val="2"/>
            <w:tcBorders>
              <w:left w:val="nil"/>
              <w:right w:val="nil"/>
            </w:tcBorders>
            <w:noWrap/>
          </w:tcPr>
          <w:p w:rsidRPr="00636CF7" w:rsidR="00691BF0" w:rsidP="009A26DB" w:rsidRDefault="00691BF0" w14:paraId="2232499E" w14:textId="77777777">
            <w:pPr>
              <w:ind w:left="171" w:firstLine="28" w:firstLineChars="14"/>
              <w:rPr>
                <w:rFonts w:ascii="Arial" w:hAnsi="Arial" w:eastAsia="Times New Roman" w:cs="Arial"/>
                <w:sz w:val="20"/>
                <w:szCs w:val="20"/>
              </w:rPr>
            </w:pPr>
            <w:r w:rsidRPr="00636CF7">
              <w:rPr>
                <w:rFonts w:ascii="Arial" w:hAnsi="Arial"/>
                <w:sz w:val="20"/>
              </w:rPr>
              <w:t>b. Teoretiskt belopp av OTC-derivat, inklusive försäkringsdotterföretag:</w:t>
            </w:r>
          </w:p>
        </w:tc>
        <w:tc>
          <w:tcPr>
            <w:tcW w:w="2745" w:type="dxa"/>
            <w:tcBorders>
              <w:left w:val="nil"/>
              <w:right w:val="nil"/>
            </w:tcBorders>
            <w:noWrap/>
          </w:tcPr>
          <w:p w:rsidRPr="00636CF7" w:rsidR="00691BF0" w:rsidP="009A26DB" w:rsidRDefault="00691BF0" w14:paraId="7E3F086A" w14:textId="77777777">
            <w:pPr>
              <w:jc w:val="right"/>
              <w:rPr>
                <w:rFonts w:ascii="Arial" w:hAnsi="Arial" w:eastAsia="Times New Roman" w:cs="Arial"/>
                <w:sz w:val="20"/>
                <w:szCs w:val="20"/>
                <w:lang w:eastAsia="en-GB"/>
              </w:rPr>
            </w:pPr>
          </w:p>
        </w:tc>
      </w:tr>
      <w:tr w:rsidRPr="00636CF7" w:rsidR="00691BF0" w:rsidTr="009A26DB" w14:paraId="0A155993" w14:textId="77777777">
        <w:trPr>
          <w:trHeight w:val="300"/>
        </w:trPr>
        <w:tc>
          <w:tcPr>
            <w:tcW w:w="6804" w:type="dxa"/>
            <w:gridSpan w:val="2"/>
            <w:tcBorders>
              <w:left w:val="nil"/>
              <w:right w:val="nil"/>
            </w:tcBorders>
            <w:noWrap/>
          </w:tcPr>
          <w:p w:rsidRPr="00636CF7" w:rsidR="00691BF0" w:rsidP="009A26DB" w:rsidRDefault="00691BF0" w14:paraId="5BDA196B" w14:textId="77777777">
            <w:pPr>
              <w:ind w:left="313"/>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Clearade genom en central motpart varvid koncernen (inklusive försäkringsdotterföretag) agerar som en finansiell förmedlare (centralmotpartssidan)</w:t>
            </w:r>
          </w:p>
        </w:tc>
        <w:tc>
          <w:tcPr>
            <w:tcW w:w="2745" w:type="dxa"/>
            <w:tcBorders>
              <w:left w:val="nil"/>
              <w:right w:val="nil"/>
            </w:tcBorders>
            <w:noWrap/>
          </w:tcPr>
          <w:p w:rsidRPr="00636CF7" w:rsidR="00691BF0" w:rsidP="009A26DB" w:rsidRDefault="00691BF0" w14:paraId="590E0652" w14:textId="77777777">
            <w:pPr>
              <w:jc w:val="right"/>
              <w:rPr>
                <w:rFonts w:ascii="Arial" w:hAnsi="Arial" w:eastAsia="Times New Roman" w:cs="Arial"/>
                <w:sz w:val="20"/>
                <w:szCs w:val="20"/>
                <w:lang w:eastAsia="en-GB"/>
              </w:rPr>
            </w:pPr>
          </w:p>
        </w:tc>
      </w:tr>
      <w:tr w:rsidRPr="00636CF7" w:rsidR="00691BF0" w:rsidTr="009A26DB" w14:paraId="61A9D150" w14:textId="77777777">
        <w:trPr>
          <w:trHeight w:val="300"/>
        </w:trPr>
        <w:tc>
          <w:tcPr>
            <w:tcW w:w="6804" w:type="dxa"/>
            <w:gridSpan w:val="2"/>
            <w:tcBorders>
              <w:left w:val="nil"/>
              <w:right w:val="nil"/>
            </w:tcBorders>
            <w:noWrap/>
          </w:tcPr>
          <w:p w:rsidRPr="00636CF7" w:rsidR="00691BF0" w:rsidP="009A26DB" w:rsidRDefault="00691BF0" w14:paraId="701A1173" w14:textId="77777777">
            <w:pPr>
              <w:ind w:left="313" w:firstLine="58" w:firstLineChars="29"/>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 xml:space="preserve">Clearade genom en central motpart varvid koncernen (inklusive försäkringsdotterföretag) agerar som en finansiell förmedlare (kundsidan) </w:t>
            </w:r>
          </w:p>
        </w:tc>
        <w:tc>
          <w:tcPr>
            <w:tcW w:w="2745" w:type="dxa"/>
            <w:tcBorders>
              <w:left w:val="nil"/>
              <w:right w:val="nil"/>
            </w:tcBorders>
            <w:noWrap/>
          </w:tcPr>
          <w:p w:rsidRPr="00636CF7" w:rsidR="00691BF0" w:rsidP="009A26DB" w:rsidRDefault="00691BF0" w14:paraId="331C59B2" w14:textId="77777777">
            <w:pPr>
              <w:jc w:val="right"/>
              <w:rPr>
                <w:rFonts w:ascii="Arial" w:hAnsi="Arial" w:eastAsia="Times New Roman" w:cs="Arial"/>
                <w:sz w:val="20"/>
                <w:szCs w:val="20"/>
                <w:lang w:eastAsia="en-GB"/>
              </w:rPr>
            </w:pPr>
          </w:p>
        </w:tc>
      </w:tr>
      <w:tr w:rsidRPr="00636CF7" w:rsidR="00691BF0" w:rsidTr="009A26DB" w14:paraId="28C3B18C" w14:textId="77777777">
        <w:trPr>
          <w:trHeight w:val="300"/>
        </w:trPr>
        <w:tc>
          <w:tcPr>
            <w:tcW w:w="6804" w:type="dxa"/>
            <w:gridSpan w:val="2"/>
            <w:tcBorders>
              <w:left w:val="nil"/>
              <w:right w:val="nil"/>
            </w:tcBorders>
            <w:noWrap/>
          </w:tcPr>
          <w:p w:rsidRPr="00636CF7" w:rsidR="00691BF0" w:rsidP="009A26DB" w:rsidRDefault="00691BF0" w14:paraId="4ACFC720" w14:textId="77777777">
            <w:pPr>
              <w:ind w:left="313"/>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 xml:space="preserve">Clearade genom en central motpart varvid koncernen (inklusive försäkringsdotterföretag) agerar som ett ombud </w:t>
            </w:r>
          </w:p>
        </w:tc>
        <w:tc>
          <w:tcPr>
            <w:tcW w:w="2745" w:type="dxa"/>
            <w:tcBorders>
              <w:left w:val="nil"/>
              <w:right w:val="nil"/>
            </w:tcBorders>
            <w:noWrap/>
          </w:tcPr>
          <w:p w:rsidRPr="00636CF7" w:rsidR="00691BF0" w:rsidP="009A26DB" w:rsidRDefault="00691BF0" w14:paraId="2016E108" w14:textId="77777777">
            <w:pPr>
              <w:jc w:val="right"/>
              <w:rPr>
                <w:rFonts w:ascii="Arial" w:hAnsi="Arial" w:eastAsia="Times New Roman" w:cs="Arial"/>
                <w:sz w:val="20"/>
                <w:szCs w:val="20"/>
                <w:lang w:eastAsia="en-GB"/>
              </w:rPr>
            </w:pPr>
          </w:p>
        </w:tc>
      </w:tr>
      <w:tr w:rsidRPr="00636CF7" w:rsidR="00691BF0" w:rsidTr="009A26DB" w14:paraId="2AC132FD" w14:textId="77777777">
        <w:trPr>
          <w:trHeight w:val="300"/>
        </w:trPr>
        <w:tc>
          <w:tcPr>
            <w:tcW w:w="6804" w:type="dxa"/>
            <w:gridSpan w:val="2"/>
            <w:tcBorders>
              <w:left w:val="nil"/>
              <w:right w:val="nil"/>
            </w:tcBorders>
            <w:noWrap/>
          </w:tcPr>
          <w:p w:rsidRPr="00636CF7" w:rsidR="00691BF0" w:rsidP="009A26DB" w:rsidRDefault="00691BF0" w14:paraId="767EFFD4" w14:textId="77777777">
            <w:pPr>
              <w:ind w:left="313" w:hanging="1"/>
              <w:rPr>
                <w:rFonts w:ascii="Arial" w:hAnsi="Arial" w:eastAsia="Times New Roman" w:cs="Arial"/>
                <w:sz w:val="20"/>
                <w:szCs w:val="20"/>
              </w:rPr>
            </w:pPr>
            <w:r w:rsidRPr="00636CF7">
              <w:rPr>
                <w:rFonts w:ascii="Arial" w:hAnsi="Arial"/>
                <w:sz w:val="20"/>
                <w:lang w:eastAsia="en-GB"/>
              </w:rPr>
              <w:t xml:space="preserve">(4) </w:t>
            </w:r>
            <w:r w:rsidRPr="00636CF7">
              <w:rPr>
                <w:rFonts w:ascii="Arial" w:hAnsi="Arial"/>
                <w:sz w:val="20"/>
              </w:rPr>
              <w:t>Clearade genom en central motpart varvid koncernen, inklusive försäkringsdotterföretag, agerar på egen räkning</w:t>
            </w:r>
          </w:p>
        </w:tc>
        <w:tc>
          <w:tcPr>
            <w:tcW w:w="2745" w:type="dxa"/>
            <w:tcBorders>
              <w:left w:val="nil"/>
              <w:right w:val="nil"/>
            </w:tcBorders>
            <w:noWrap/>
          </w:tcPr>
          <w:p w:rsidRPr="00636CF7" w:rsidR="00691BF0" w:rsidP="009A26DB" w:rsidRDefault="00691BF0" w14:paraId="01295C29" w14:textId="77777777">
            <w:pPr>
              <w:jc w:val="right"/>
              <w:rPr>
                <w:rFonts w:ascii="Arial" w:hAnsi="Arial" w:eastAsia="Times New Roman" w:cs="Arial"/>
                <w:sz w:val="20"/>
                <w:szCs w:val="20"/>
                <w:lang w:eastAsia="en-GB"/>
              </w:rPr>
            </w:pPr>
          </w:p>
        </w:tc>
      </w:tr>
      <w:tr w:rsidRPr="00636CF7" w:rsidR="00691BF0" w:rsidTr="009A26DB" w14:paraId="7C3B5699" w14:textId="77777777">
        <w:trPr>
          <w:trHeight w:val="300"/>
        </w:trPr>
        <w:tc>
          <w:tcPr>
            <w:tcW w:w="6804" w:type="dxa"/>
            <w:gridSpan w:val="2"/>
            <w:tcBorders>
              <w:left w:val="nil"/>
              <w:right w:val="nil"/>
            </w:tcBorders>
            <w:noWrap/>
          </w:tcPr>
          <w:p w:rsidRPr="00636CF7" w:rsidR="00691BF0" w:rsidP="009A26DB" w:rsidRDefault="00691BF0" w14:paraId="50CDE030" w14:textId="77777777">
            <w:pPr>
              <w:ind w:left="171" w:firstLine="28" w:firstLineChars="14"/>
              <w:rPr>
                <w:rFonts w:ascii="Arial" w:hAnsi="Arial" w:eastAsia="Times New Roman" w:cs="Arial"/>
                <w:sz w:val="20"/>
                <w:szCs w:val="20"/>
              </w:rPr>
            </w:pPr>
            <w:r w:rsidRPr="00636CF7">
              <w:rPr>
                <w:rFonts w:ascii="Arial" w:hAnsi="Arial"/>
                <w:sz w:val="20"/>
              </w:rPr>
              <w:t>c. OTC-derivat som clearats genom en central motpart (undantag från Libor-övergångsbestämmelserna)</w:t>
            </w:r>
          </w:p>
        </w:tc>
        <w:tc>
          <w:tcPr>
            <w:tcW w:w="2745" w:type="dxa"/>
            <w:tcBorders>
              <w:left w:val="nil"/>
              <w:right w:val="nil"/>
            </w:tcBorders>
            <w:noWrap/>
          </w:tcPr>
          <w:p w:rsidRPr="00636CF7" w:rsidR="00691BF0" w:rsidP="009A26DB" w:rsidRDefault="00691BF0" w14:paraId="051E7356" w14:textId="77777777">
            <w:pPr>
              <w:jc w:val="right"/>
              <w:rPr>
                <w:rFonts w:ascii="Arial" w:hAnsi="Arial" w:eastAsia="Times New Roman" w:cs="Arial"/>
                <w:sz w:val="20"/>
                <w:szCs w:val="20"/>
                <w:lang w:eastAsia="en-GB"/>
              </w:rPr>
            </w:pPr>
          </w:p>
        </w:tc>
      </w:tr>
      <w:tr w:rsidRPr="00636CF7" w:rsidR="00691BF0" w:rsidTr="009A26DB" w14:paraId="49E6ECCD" w14:textId="77777777">
        <w:trPr>
          <w:trHeight w:val="300"/>
        </w:trPr>
        <w:tc>
          <w:tcPr>
            <w:tcW w:w="6804" w:type="dxa"/>
            <w:gridSpan w:val="2"/>
            <w:tcBorders>
              <w:left w:val="nil"/>
              <w:right w:val="nil"/>
            </w:tcBorders>
            <w:noWrap/>
          </w:tcPr>
          <w:p w:rsidRPr="00636CF7" w:rsidR="00691BF0" w:rsidP="009A26DB" w:rsidRDefault="00691BF0" w14:paraId="0B7619CE" w14:textId="77777777">
            <w:pPr>
              <w:ind w:left="171" w:firstLine="28" w:firstLineChars="14"/>
              <w:rPr>
                <w:rFonts w:ascii="Arial" w:hAnsi="Arial" w:eastAsia="Times New Roman" w:cs="Arial"/>
                <w:sz w:val="20"/>
                <w:szCs w:val="20"/>
              </w:rPr>
            </w:pPr>
            <w:r w:rsidRPr="00636CF7">
              <w:rPr>
                <w:rFonts w:ascii="Arial" w:hAnsi="Arial"/>
                <w:sz w:val="20"/>
              </w:rPr>
              <w:t xml:space="preserve">d. Genomsnittligt värde av det teoretiska beloppet av OTC-derivat per kvartal </w:t>
            </w:r>
          </w:p>
        </w:tc>
        <w:tc>
          <w:tcPr>
            <w:tcW w:w="2745" w:type="dxa"/>
            <w:tcBorders>
              <w:left w:val="nil"/>
              <w:right w:val="nil"/>
            </w:tcBorders>
            <w:noWrap/>
          </w:tcPr>
          <w:p w:rsidRPr="00636CF7" w:rsidR="00691BF0" w:rsidP="009A26DB" w:rsidRDefault="00691BF0" w14:paraId="4CC8AECE" w14:textId="77777777">
            <w:pPr>
              <w:jc w:val="right"/>
              <w:rPr>
                <w:rFonts w:ascii="Arial" w:hAnsi="Arial" w:eastAsia="Times New Roman" w:cs="Arial"/>
                <w:sz w:val="20"/>
                <w:szCs w:val="20"/>
                <w:lang w:eastAsia="en-GB"/>
              </w:rPr>
            </w:pPr>
          </w:p>
        </w:tc>
      </w:tr>
      <w:tr w:rsidRPr="00636CF7" w:rsidR="00691BF0" w:rsidTr="009A26DB" w14:paraId="344A37E9" w14:textId="77777777">
        <w:trPr>
          <w:trHeight w:val="300"/>
        </w:trPr>
        <w:tc>
          <w:tcPr>
            <w:tcW w:w="6804" w:type="dxa"/>
            <w:gridSpan w:val="2"/>
            <w:tcBorders>
              <w:left w:val="nil"/>
              <w:right w:val="nil"/>
            </w:tcBorders>
            <w:noWrap/>
          </w:tcPr>
          <w:p w:rsidRPr="00636CF7" w:rsidR="00691BF0" w:rsidP="009A26DB" w:rsidRDefault="00691BF0" w14:paraId="3B1757C1" w14:textId="77777777">
            <w:pPr>
              <w:ind w:left="171" w:firstLine="28" w:firstLineChars="14"/>
              <w:rPr>
                <w:rFonts w:ascii="Arial" w:hAnsi="Arial" w:eastAsia="Times New Roman" w:cs="Arial"/>
                <w:sz w:val="20"/>
                <w:szCs w:val="20"/>
              </w:rPr>
            </w:pPr>
            <w:r w:rsidRPr="00636CF7">
              <w:rPr>
                <w:rFonts w:ascii="Arial" w:hAnsi="Arial"/>
                <w:sz w:val="20"/>
              </w:rPr>
              <w:t xml:space="preserve">e. Genomsnittligt värde av det teoretiska beloppet av OTC-derivat per månad </w:t>
            </w:r>
          </w:p>
        </w:tc>
        <w:tc>
          <w:tcPr>
            <w:tcW w:w="2745" w:type="dxa"/>
            <w:tcBorders>
              <w:left w:val="nil"/>
              <w:right w:val="nil"/>
            </w:tcBorders>
            <w:noWrap/>
          </w:tcPr>
          <w:p w:rsidRPr="00636CF7" w:rsidR="00691BF0" w:rsidP="009A26DB" w:rsidRDefault="00691BF0" w14:paraId="098E5471" w14:textId="77777777">
            <w:pPr>
              <w:jc w:val="right"/>
              <w:rPr>
                <w:rFonts w:ascii="Arial" w:hAnsi="Arial" w:eastAsia="Times New Roman" w:cs="Arial"/>
                <w:sz w:val="20"/>
                <w:szCs w:val="20"/>
                <w:lang w:eastAsia="en-GB"/>
              </w:rPr>
            </w:pPr>
          </w:p>
        </w:tc>
      </w:tr>
      <w:tr w:rsidRPr="00636CF7" w:rsidR="00691BF0" w:rsidTr="009A26DB" w14:paraId="5C272347" w14:textId="77777777">
        <w:trPr>
          <w:trHeight w:val="300"/>
        </w:trPr>
        <w:tc>
          <w:tcPr>
            <w:tcW w:w="6804" w:type="dxa"/>
            <w:gridSpan w:val="2"/>
            <w:tcBorders>
              <w:left w:val="nil"/>
              <w:right w:val="nil"/>
            </w:tcBorders>
            <w:noWrap/>
          </w:tcPr>
          <w:p w:rsidRPr="00636CF7" w:rsidR="00691BF0" w:rsidP="009A26DB" w:rsidRDefault="00691BF0" w14:paraId="1E4FBCB7" w14:textId="77777777">
            <w:pPr>
              <w:ind w:firstLine="200" w:firstLineChars="100"/>
              <w:rPr>
                <w:rFonts w:ascii="Arial" w:hAnsi="Arial" w:eastAsia="Times New Roman" w:cs="Arial"/>
                <w:sz w:val="20"/>
                <w:szCs w:val="20"/>
              </w:rPr>
            </w:pPr>
            <w:r w:rsidRPr="00636CF7">
              <w:rPr>
                <w:rFonts w:ascii="Arial" w:hAnsi="Arial"/>
                <w:sz w:val="20"/>
              </w:rPr>
              <w:t xml:space="preserve">f. Genomsnittligt värde per kvartal av värdepapper tillgängliga för handel och försäljning </w:t>
            </w:r>
          </w:p>
        </w:tc>
        <w:tc>
          <w:tcPr>
            <w:tcW w:w="2745" w:type="dxa"/>
            <w:tcBorders>
              <w:left w:val="nil"/>
              <w:right w:val="nil"/>
            </w:tcBorders>
            <w:noWrap/>
          </w:tcPr>
          <w:p w:rsidRPr="00636CF7" w:rsidR="00691BF0" w:rsidP="009A26DB" w:rsidRDefault="00691BF0" w14:paraId="74076E80" w14:textId="77777777">
            <w:pPr>
              <w:jc w:val="right"/>
              <w:rPr>
                <w:rFonts w:ascii="Arial" w:hAnsi="Arial" w:eastAsia="Times New Roman" w:cs="Arial"/>
                <w:sz w:val="20"/>
                <w:szCs w:val="20"/>
                <w:lang w:eastAsia="en-GB"/>
              </w:rPr>
            </w:pPr>
          </w:p>
        </w:tc>
      </w:tr>
      <w:tr w:rsidRPr="00636CF7" w:rsidR="00691BF0" w:rsidTr="009A26DB" w14:paraId="294F9F44" w14:textId="77777777">
        <w:trPr>
          <w:trHeight w:val="300"/>
        </w:trPr>
        <w:tc>
          <w:tcPr>
            <w:tcW w:w="6804" w:type="dxa"/>
            <w:gridSpan w:val="2"/>
            <w:tcBorders>
              <w:left w:val="nil"/>
              <w:right w:val="nil"/>
            </w:tcBorders>
            <w:noWrap/>
          </w:tcPr>
          <w:p w:rsidRPr="00636CF7" w:rsidR="00691BF0" w:rsidP="009A26DB" w:rsidRDefault="00691BF0" w14:paraId="64814185" w14:textId="77777777">
            <w:pPr>
              <w:ind w:firstLine="200" w:firstLineChars="100"/>
              <w:rPr>
                <w:rFonts w:ascii="Arial" w:hAnsi="Arial" w:eastAsia="Times New Roman" w:cs="Arial"/>
                <w:sz w:val="20"/>
                <w:szCs w:val="20"/>
              </w:rPr>
            </w:pPr>
            <w:r w:rsidRPr="00636CF7">
              <w:rPr>
                <w:rFonts w:ascii="Arial" w:hAnsi="Arial"/>
                <w:sz w:val="20"/>
              </w:rPr>
              <w:t xml:space="preserve">g. Genomsnittligt värde per månad av värdepapper tillgängliga för handel och försäljning </w:t>
            </w:r>
          </w:p>
        </w:tc>
        <w:tc>
          <w:tcPr>
            <w:tcW w:w="2745" w:type="dxa"/>
            <w:tcBorders>
              <w:left w:val="nil"/>
              <w:right w:val="nil"/>
            </w:tcBorders>
            <w:noWrap/>
          </w:tcPr>
          <w:p w:rsidRPr="00636CF7" w:rsidR="00691BF0" w:rsidP="009A26DB" w:rsidRDefault="00691BF0" w14:paraId="4DBB6647" w14:textId="77777777">
            <w:pPr>
              <w:jc w:val="right"/>
              <w:rPr>
                <w:rFonts w:ascii="Arial" w:hAnsi="Arial" w:eastAsia="Times New Roman" w:cs="Arial"/>
                <w:sz w:val="20"/>
                <w:szCs w:val="20"/>
                <w:lang w:eastAsia="en-GB"/>
              </w:rPr>
            </w:pPr>
          </w:p>
        </w:tc>
      </w:tr>
      <w:tr w:rsidRPr="00636CF7" w:rsidR="00691BF0" w:rsidTr="009A26DB" w14:paraId="58719AF6" w14:textId="77777777">
        <w:trPr>
          <w:trHeight w:val="300"/>
        </w:trPr>
        <w:tc>
          <w:tcPr>
            <w:tcW w:w="6804" w:type="dxa"/>
            <w:gridSpan w:val="2"/>
            <w:tcBorders>
              <w:left w:val="nil"/>
              <w:right w:val="nil"/>
            </w:tcBorders>
            <w:noWrap/>
          </w:tcPr>
          <w:p w:rsidRPr="00636CF7" w:rsidR="00691BF0" w:rsidP="009A26DB" w:rsidRDefault="00691BF0" w14:paraId="6E9DB5A3" w14:textId="77777777">
            <w:pPr>
              <w:ind w:firstLine="200" w:firstLineChars="100"/>
              <w:rPr>
                <w:rFonts w:ascii="Arial" w:hAnsi="Arial" w:eastAsia="Times New Roman" w:cs="Arial"/>
                <w:sz w:val="20"/>
                <w:szCs w:val="20"/>
              </w:rPr>
            </w:pPr>
            <w:r w:rsidRPr="00636CF7">
              <w:rPr>
                <w:rFonts w:ascii="Arial" w:hAnsi="Arial"/>
                <w:sz w:val="20"/>
              </w:rPr>
              <w:t>h. Indikator för nivå 3-tillgångar (gammal indikator)</w:t>
            </w:r>
          </w:p>
        </w:tc>
        <w:tc>
          <w:tcPr>
            <w:tcW w:w="2745" w:type="dxa"/>
            <w:tcBorders>
              <w:left w:val="nil"/>
              <w:right w:val="nil"/>
            </w:tcBorders>
            <w:noWrap/>
          </w:tcPr>
          <w:p w:rsidRPr="00636CF7" w:rsidR="00691BF0" w:rsidP="009A26DB" w:rsidRDefault="00691BF0" w14:paraId="334E286D" w14:textId="77777777">
            <w:pPr>
              <w:jc w:val="right"/>
              <w:rPr>
                <w:rFonts w:ascii="Arial" w:hAnsi="Arial" w:eastAsia="Times New Roman" w:cs="Arial"/>
                <w:sz w:val="20"/>
                <w:szCs w:val="20"/>
                <w:lang w:eastAsia="en-GB"/>
              </w:rPr>
            </w:pPr>
          </w:p>
        </w:tc>
      </w:tr>
      <w:tr w:rsidRPr="00636CF7" w:rsidR="00691BF0" w:rsidTr="009A26DB" w14:paraId="73BE43BC" w14:textId="77777777">
        <w:trPr>
          <w:trHeight w:val="300"/>
        </w:trPr>
        <w:tc>
          <w:tcPr>
            <w:tcW w:w="6804" w:type="dxa"/>
            <w:gridSpan w:val="2"/>
            <w:tcBorders>
              <w:left w:val="nil"/>
              <w:right w:val="nil"/>
            </w:tcBorders>
            <w:noWrap/>
          </w:tcPr>
          <w:p w:rsidRPr="00636CF7" w:rsidR="00691BF0" w:rsidP="009A26DB" w:rsidRDefault="00691BF0" w14:paraId="1952C681" w14:textId="77777777">
            <w:pPr>
              <w:ind w:firstLine="200" w:firstLineChars="100"/>
              <w:rPr>
                <w:rFonts w:ascii="Arial" w:hAnsi="Arial" w:eastAsia="Times New Roman" w:cs="Arial"/>
                <w:sz w:val="20"/>
                <w:szCs w:val="20"/>
              </w:rPr>
            </w:pPr>
            <w:r w:rsidRPr="00636CF7">
              <w:rPr>
                <w:rFonts w:ascii="Arial" w:hAnsi="Arial"/>
                <w:sz w:val="20"/>
              </w:rPr>
              <w:t xml:space="preserve">i. Genomsnittligt värde av nivå 3-tillgångar per kvartal </w:t>
            </w:r>
          </w:p>
        </w:tc>
        <w:tc>
          <w:tcPr>
            <w:tcW w:w="2745" w:type="dxa"/>
            <w:tcBorders>
              <w:left w:val="nil"/>
              <w:right w:val="nil"/>
            </w:tcBorders>
            <w:noWrap/>
          </w:tcPr>
          <w:p w:rsidRPr="00636CF7" w:rsidR="00691BF0" w:rsidP="009A26DB" w:rsidRDefault="00691BF0" w14:paraId="1796155D" w14:textId="77777777">
            <w:pPr>
              <w:jc w:val="right"/>
              <w:rPr>
                <w:rFonts w:ascii="Arial" w:hAnsi="Arial" w:eastAsia="Times New Roman" w:cs="Arial"/>
                <w:sz w:val="20"/>
                <w:szCs w:val="20"/>
                <w:lang w:eastAsia="en-GB"/>
              </w:rPr>
            </w:pPr>
          </w:p>
        </w:tc>
      </w:tr>
      <w:tr w:rsidRPr="00636CF7" w:rsidR="00691BF0" w:rsidTr="009A26DB" w14:paraId="0E5E975D" w14:textId="77777777">
        <w:trPr>
          <w:trHeight w:val="300"/>
        </w:trPr>
        <w:tc>
          <w:tcPr>
            <w:tcW w:w="6804" w:type="dxa"/>
            <w:gridSpan w:val="2"/>
            <w:tcBorders>
              <w:left w:val="nil"/>
              <w:right w:val="nil"/>
            </w:tcBorders>
            <w:noWrap/>
          </w:tcPr>
          <w:p w:rsidRPr="00636CF7" w:rsidR="00691BF0" w:rsidP="009A26DB" w:rsidRDefault="00691BF0" w14:paraId="653970EA" w14:textId="77777777">
            <w:pPr>
              <w:ind w:firstLine="200" w:firstLineChars="100"/>
              <w:rPr>
                <w:rFonts w:ascii="Arial" w:hAnsi="Arial" w:eastAsia="Times New Roman" w:cs="Arial"/>
                <w:sz w:val="20"/>
                <w:szCs w:val="20"/>
              </w:rPr>
            </w:pPr>
            <w:r w:rsidRPr="00636CF7">
              <w:rPr>
                <w:rFonts w:ascii="Arial" w:hAnsi="Arial"/>
                <w:sz w:val="20"/>
              </w:rPr>
              <w:t xml:space="preserve">j. Genomsnittligt värde av nivå 3-tillgångar per månad  </w:t>
            </w:r>
          </w:p>
        </w:tc>
        <w:tc>
          <w:tcPr>
            <w:tcW w:w="2745" w:type="dxa"/>
            <w:tcBorders>
              <w:left w:val="nil"/>
              <w:right w:val="nil"/>
            </w:tcBorders>
            <w:noWrap/>
          </w:tcPr>
          <w:p w:rsidRPr="00636CF7" w:rsidR="00691BF0" w:rsidP="009A26DB" w:rsidRDefault="00691BF0" w14:paraId="67ADB751" w14:textId="77777777">
            <w:pPr>
              <w:jc w:val="right"/>
              <w:rPr>
                <w:rFonts w:ascii="Arial" w:hAnsi="Arial" w:eastAsia="Times New Roman" w:cs="Arial"/>
                <w:sz w:val="20"/>
                <w:szCs w:val="20"/>
                <w:lang w:eastAsia="en-GB"/>
              </w:rPr>
            </w:pPr>
          </w:p>
        </w:tc>
      </w:tr>
      <w:tr w:rsidRPr="00636CF7" w:rsidR="00691BF0" w:rsidTr="009A26DB" w14:paraId="14BCB914" w14:textId="77777777">
        <w:trPr>
          <w:trHeight w:val="300"/>
        </w:trPr>
        <w:tc>
          <w:tcPr>
            <w:tcW w:w="6804" w:type="dxa"/>
            <w:gridSpan w:val="2"/>
            <w:tcBorders>
              <w:left w:val="nil"/>
              <w:right w:val="nil"/>
            </w:tcBorders>
            <w:noWrap/>
          </w:tcPr>
          <w:p w:rsidRPr="00636CF7" w:rsidR="00691BF0" w:rsidP="009A26DB" w:rsidRDefault="00691BF0" w14:paraId="5DE184B4" w14:textId="77777777">
            <w:pPr>
              <w:ind w:firstLine="200" w:firstLineChars="100"/>
              <w:rPr>
                <w:rFonts w:ascii="Arial" w:hAnsi="Arial" w:eastAsia="Times New Roman" w:cs="Arial"/>
                <w:sz w:val="20"/>
                <w:szCs w:val="20"/>
              </w:rPr>
            </w:pPr>
            <w:r w:rsidRPr="00636CF7">
              <w:rPr>
                <w:rFonts w:ascii="Arial" w:hAnsi="Arial"/>
                <w:sz w:val="20"/>
              </w:rPr>
              <w:t>k. Nivå 2-tillgångar, inklusive försäkringsdotterföretag</w:t>
            </w:r>
          </w:p>
        </w:tc>
        <w:tc>
          <w:tcPr>
            <w:tcW w:w="2745" w:type="dxa"/>
            <w:tcBorders>
              <w:left w:val="nil"/>
              <w:right w:val="nil"/>
            </w:tcBorders>
            <w:noWrap/>
          </w:tcPr>
          <w:p w:rsidRPr="00636CF7" w:rsidR="00691BF0" w:rsidP="009A26DB" w:rsidRDefault="00691BF0" w14:paraId="2FACD6E4" w14:textId="77777777">
            <w:pPr>
              <w:jc w:val="right"/>
              <w:rPr>
                <w:rFonts w:ascii="Arial" w:hAnsi="Arial" w:eastAsia="Times New Roman" w:cs="Arial"/>
                <w:sz w:val="20"/>
                <w:szCs w:val="20"/>
                <w:lang w:eastAsia="en-GB"/>
              </w:rPr>
            </w:pPr>
          </w:p>
        </w:tc>
      </w:tr>
      <w:tr w:rsidRPr="00636CF7" w:rsidR="00691BF0" w:rsidTr="009A26DB" w14:paraId="06BB86FD" w14:textId="77777777">
        <w:trPr>
          <w:trHeight w:val="300"/>
        </w:trPr>
        <w:tc>
          <w:tcPr>
            <w:tcW w:w="6804" w:type="dxa"/>
            <w:gridSpan w:val="2"/>
            <w:tcBorders>
              <w:left w:val="nil"/>
              <w:right w:val="nil"/>
            </w:tcBorders>
            <w:noWrap/>
          </w:tcPr>
          <w:p w:rsidRPr="00636CF7" w:rsidR="00691BF0" w:rsidP="009A26DB" w:rsidRDefault="00691BF0" w14:paraId="2714FC59" w14:textId="77777777">
            <w:pPr>
              <w:ind w:left="454" w:hanging="141"/>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Nivå 2-tillgångar inklusive försäkringsdotterföretag, som clearats genom en central motpart</w:t>
            </w:r>
          </w:p>
        </w:tc>
        <w:tc>
          <w:tcPr>
            <w:tcW w:w="2745" w:type="dxa"/>
            <w:tcBorders>
              <w:left w:val="nil"/>
              <w:right w:val="nil"/>
            </w:tcBorders>
            <w:noWrap/>
          </w:tcPr>
          <w:p w:rsidRPr="00636CF7" w:rsidR="00691BF0" w:rsidP="009A26DB" w:rsidRDefault="00691BF0" w14:paraId="6B21B221" w14:textId="77777777">
            <w:pPr>
              <w:jc w:val="right"/>
              <w:rPr>
                <w:rFonts w:ascii="Arial" w:hAnsi="Arial" w:eastAsia="Times New Roman" w:cs="Arial"/>
                <w:sz w:val="20"/>
                <w:szCs w:val="20"/>
                <w:lang w:eastAsia="en-GB"/>
              </w:rPr>
            </w:pPr>
          </w:p>
        </w:tc>
      </w:tr>
      <w:tr w:rsidRPr="00636CF7" w:rsidR="00691BF0" w:rsidTr="009A26DB" w14:paraId="6CE3E72C" w14:textId="77777777">
        <w:trPr>
          <w:trHeight w:val="300"/>
        </w:trPr>
        <w:tc>
          <w:tcPr>
            <w:tcW w:w="6804" w:type="dxa"/>
            <w:gridSpan w:val="2"/>
            <w:tcBorders>
              <w:left w:val="nil"/>
              <w:right w:val="nil"/>
            </w:tcBorders>
            <w:noWrap/>
          </w:tcPr>
          <w:p w:rsidRPr="00636CF7" w:rsidR="00691BF0" w:rsidP="009A26DB" w:rsidRDefault="00691BF0" w14:paraId="63365A12" w14:textId="77777777">
            <w:pPr>
              <w:ind w:left="454" w:hanging="141"/>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Nivå 2-tillgångar inklusive försäkringsdotterföretag, avräknade bilateralt</w:t>
            </w:r>
          </w:p>
        </w:tc>
        <w:tc>
          <w:tcPr>
            <w:tcW w:w="2745" w:type="dxa"/>
            <w:tcBorders>
              <w:left w:val="nil"/>
              <w:right w:val="nil"/>
            </w:tcBorders>
            <w:noWrap/>
          </w:tcPr>
          <w:p w:rsidRPr="00636CF7" w:rsidR="00691BF0" w:rsidP="009A26DB" w:rsidRDefault="00691BF0" w14:paraId="372A4D4A" w14:textId="77777777">
            <w:pPr>
              <w:jc w:val="right"/>
              <w:rPr>
                <w:rFonts w:ascii="Arial" w:hAnsi="Arial" w:eastAsia="Times New Roman" w:cs="Arial"/>
                <w:sz w:val="20"/>
                <w:szCs w:val="20"/>
                <w:lang w:eastAsia="en-GB"/>
              </w:rPr>
            </w:pPr>
          </w:p>
        </w:tc>
      </w:tr>
      <w:tr w:rsidRPr="00636CF7" w:rsidR="00691BF0" w:rsidTr="009A26DB" w14:paraId="6491AD64" w14:textId="77777777">
        <w:trPr>
          <w:trHeight w:val="300"/>
        </w:trPr>
        <w:tc>
          <w:tcPr>
            <w:tcW w:w="6804" w:type="dxa"/>
            <w:gridSpan w:val="2"/>
            <w:tcBorders>
              <w:left w:val="nil"/>
              <w:right w:val="nil"/>
            </w:tcBorders>
            <w:noWrap/>
          </w:tcPr>
          <w:p w:rsidRPr="00636CF7" w:rsidR="00691BF0" w:rsidP="009A26DB" w:rsidRDefault="00691BF0" w14:paraId="7E287446" w14:textId="77777777">
            <w:pPr>
              <w:ind w:firstLine="313"/>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Övriga nivå 2-tillgångar, inklusive försäkringsdotterföretag</w:t>
            </w:r>
          </w:p>
        </w:tc>
        <w:tc>
          <w:tcPr>
            <w:tcW w:w="2745" w:type="dxa"/>
            <w:tcBorders>
              <w:left w:val="nil"/>
              <w:right w:val="nil"/>
            </w:tcBorders>
            <w:noWrap/>
          </w:tcPr>
          <w:p w:rsidRPr="00636CF7" w:rsidR="00691BF0" w:rsidP="009A26DB" w:rsidRDefault="00691BF0" w14:paraId="710193D8" w14:textId="77777777">
            <w:pPr>
              <w:jc w:val="right"/>
              <w:rPr>
                <w:rFonts w:ascii="Arial" w:hAnsi="Arial" w:eastAsia="Times New Roman" w:cs="Arial"/>
                <w:sz w:val="20"/>
                <w:szCs w:val="20"/>
                <w:lang w:eastAsia="en-GB"/>
              </w:rPr>
            </w:pPr>
          </w:p>
        </w:tc>
      </w:tr>
      <w:tr w:rsidRPr="00636CF7" w:rsidR="00691BF0" w:rsidTr="009A26DB" w14:paraId="6DE9602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3B5D322" w14:textId="77777777">
            <w:pPr>
              <w:ind w:firstLine="200" w:firstLineChars="100"/>
              <w:rPr>
                <w:rFonts w:ascii="Arial" w:hAnsi="Arial" w:eastAsia="Times New Roman" w:cs="Arial"/>
                <w:sz w:val="20"/>
                <w:szCs w:val="20"/>
              </w:rPr>
            </w:pPr>
            <w:r w:rsidRPr="00636CF7">
              <w:rPr>
                <w:rFonts w:ascii="Arial" w:hAnsi="Arial"/>
                <w:sz w:val="20"/>
              </w:rPr>
              <w:lastRenderedPageBreak/>
              <w:t>l. Genomsnittligt värde av nivå 2-tillgångar, inklusive försäkringsdotterföretag</w:t>
            </w:r>
          </w:p>
        </w:tc>
        <w:tc>
          <w:tcPr>
            <w:tcW w:w="2745" w:type="dxa"/>
            <w:tcBorders>
              <w:left w:val="nil"/>
              <w:bottom w:val="single" w:color="auto" w:sz="4" w:space="0"/>
              <w:right w:val="nil"/>
            </w:tcBorders>
            <w:noWrap/>
          </w:tcPr>
          <w:p w:rsidRPr="00636CF7" w:rsidR="00691BF0" w:rsidP="009A26DB" w:rsidRDefault="00691BF0" w14:paraId="31719838" w14:textId="77777777">
            <w:pPr>
              <w:jc w:val="right"/>
              <w:rPr>
                <w:rFonts w:ascii="Arial" w:hAnsi="Arial" w:eastAsia="Times New Roman" w:cs="Arial"/>
                <w:sz w:val="20"/>
                <w:szCs w:val="20"/>
                <w:lang w:eastAsia="en-GB"/>
              </w:rPr>
            </w:pPr>
          </w:p>
        </w:tc>
      </w:tr>
      <w:tr w:rsidRPr="00636CF7" w:rsidR="00691BF0" w:rsidTr="009A26DB" w14:paraId="332A26E8" w14:textId="77777777">
        <w:trPr>
          <w:trHeight w:val="300"/>
        </w:trPr>
        <w:tc>
          <w:tcPr>
            <w:tcW w:w="6804" w:type="dxa"/>
            <w:gridSpan w:val="2"/>
            <w:tcBorders>
              <w:left w:val="nil"/>
              <w:bottom w:val="nil"/>
              <w:right w:val="nil"/>
            </w:tcBorders>
            <w:noWrap/>
          </w:tcPr>
          <w:p w:rsidRPr="00636CF7" w:rsidR="00691BF0" w:rsidP="009A26DB" w:rsidRDefault="00691BF0" w14:paraId="2D1AA0C5"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36CF7" w:rsidR="00691BF0" w:rsidP="009A26DB" w:rsidRDefault="00691BF0" w14:paraId="71966EEB" w14:textId="77777777">
            <w:pPr>
              <w:jc w:val="center"/>
              <w:rPr>
                <w:rFonts w:ascii="Arial" w:hAnsi="Arial" w:eastAsia="Times New Roman" w:cs="Arial"/>
                <w:b/>
                <w:bCs/>
                <w:sz w:val="20"/>
                <w:szCs w:val="20"/>
                <w:lang w:eastAsia="en-GB"/>
              </w:rPr>
            </w:pPr>
          </w:p>
        </w:tc>
      </w:tr>
      <w:tr w:rsidRPr="00636CF7" w:rsidR="00691BF0" w:rsidTr="009A26DB" w14:paraId="74C8E95A" w14:textId="77777777">
        <w:trPr>
          <w:trHeight w:val="300"/>
        </w:trPr>
        <w:tc>
          <w:tcPr>
            <w:tcW w:w="6804" w:type="dxa"/>
            <w:gridSpan w:val="2"/>
            <w:tcBorders>
              <w:top w:val="nil"/>
              <w:left w:val="nil"/>
              <w:right w:val="nil"/>
            </w:tcBorders>
            <w:noWrap/>
          </w:tcPr>
          <w:p w:rsidRPr="00636CF7" w:rsidR="00691BF0" w:rsidP="009A26DB" w:rsidRDefault="00691BF0" w14:paraId="73235DBB" w14:textId="77777777">
            <w:pPr>
              <w:rPr>
                <w:rFonts w:ascii="Arial" w:hAnsi="Arial" w:eastAsia="Times New Roman" w:cs="Arial"/>
                <w:sz w:val="20"/>
                <w:szCs w:val="20"/>
              </w:rPr>
            </w:pPr>
            <w:r w:rsidRPr="00636CF7">
              <w:rPr>
                <w:rFonts w:ascii="Arial" w:hAnsi="Arial"/>
                <w:b/>
                <w:sz w:val="20"/>
              </w:rPr>
              <w:t>Avsnitt 21 – Aktivitetsposter över jurisdiktionsgränser</w:t>
            </w:r>
          </w:p>
        </w:tc>
        <w:tc>
          <w:tcPr>
            <w:tcW w:w="2745" w:type="dxa"/>
            <w:tcBorders>
              <w:top w:val="nil"/>
              <w:left w:val="nil"/>
              <w:right w:val="nil"/>
            </w:tcBorders>
            <w:noWrap/>
          </w:tcPr>
          <w:p w:rsidRPr="00636CF7" w:rsidR="00691BF0" w:rsidP="009A26DB" w:rsidRDefault="00691BF0" w14:paraId="2ECFCBC4" w14:textId="77777777">
            <w:pPr>
              <w:jc w:val="center"/>
              <w:rPr>
                <w:rFonts w:ascii="Arial" w:hAnsi="Arial" w:eastAsia="Times New Roman" w:cs="Arial"/>
                <w:b/>
                <w:bCs/>
                <w:sz w:val="20"/>
                <w:szCs w:val="20"/>
              </w:rPr>
            </w:pPr>
            <w:r w:rsidRPr="00636CF7">
              <w:rPr>
                <w:rFonts w:ascii="Arial" w:hAnsi="Arial"/>
                <w:b/>
                <w:sz w:val="20"/>
              </w:rPr>
              <w:t>Belopp</w:t>
            </w:r>
          </w:p>
        </w:tc>
      </w:tr>
      <w:tr w:rsidRPr="00636CF7" w:rsidR="00691BF0" w:rsidTr="009A26DB" w14:paraId="0E8C03D1" w14:textId="77777777">
        <w:trPr>
          <w:trHeight w:val="300"/>
        </w:trPr>
        <w:tc>
          <w:tcPr>
            <w:tcW w:w="6804" w:type="dxa"/>
            <w:gridSpan w:val="2"/>
            <w:tcBorders>
              <w:left w:val="nil"/>
              <w:right w:val="nil"/>
            </w:tcBorders>
            <w:noWrap/>
          </w:tcPr>
          <w:p w:rsidRPr="00636CF7" w:rsidR="00691BF0" w:rsidP="009A26DB" w:rsidRDefault="00691BF0" w14:paraId="5AAD2904" w14:textId="77777777">
            <w:pPr>
              <w:rPr>
                <w:rFonts w:ascii="Arial" w:hAnsi="Arial" w:eastAsia="Times New Roman" w:cs="Arial"/>
                <w:sz w:val="20"/>
                <w:szCs w:val="20"/>
              </w:rPr>
            </w:pPr>
            <w:r w:rsidRPr="00636CF7">
              <w:rPr>
                <w:rFonts w:ascii="Arial" w:hAnsi="Arial"/>
                <w:sz w:val="20"/>
              </w:rPr>
              <w:t>a. Indikator för skulder över jurisdiktionsgränser (gammal indikator)</w:t>
            </w:r>
          </w:p>
        </w:tc>
        <w:tc>
          <w:tcPr>
            <w:tcW w:w="2745" w:type="dxa"/>
            <w:tcBorders>
              <w:left w:val="nil"/>
              <w:right w:val="nil"/>
            </w:tcBorders>
            <w:noWrap/>
          </w:tcPr>
          <w:p w:rsidRPr="00636CF7" w:rsidR="00691BF0" w:rsidP="009A26DB" w:rsidRDefault="00691BF0" w14:paraId="400B5A17" w14:textId="77777777">
            <w:pPr>
              <w:jc w:val="right"/>
              <w:rPr>
                <w:rFonts w:ascii="Arial" w:hAnsi="Arial" w:eastAsia="Times New Roman" w:cs="Arial"/>
                <w:sz w:val="20"/>
                <w:szCs w:val="20"/>
                <w:lang w:eastAsia="en-GB"/>
              </w:rPr>
            </w:pPr>
          </w:p>
        </w:tc>
      </w:tr>
      <w:tr w:rsidRPr="00636CF7" w:rsidR="00691BF0" w:rsidTr="009A26DB" w14:paraId="5011C1C9" w14:textId="77777777">
        <w:trPr>
          <w:trHeight w:val="300"/>
        </w:trPr>
        <w:tc>
          <w:tcPr>
            <w:tcW w:w="6804" w:type="dxa"/>
            <w:gridSpan w:val="2"/>
            <w:tcBorders>
              <w:left w:val="nil"/>
              <w:right w:val="nil"/>
            </w:tcBorders>
            <w:noWrap/>
          </w:tcPr>
          <w:p w:rsidRPr="00636CF7" w:rsidR="00691BF0" w:rsidP="009A26DB" w:rsidRDefault="00691BF0" w14:paraId="2C7B2C23" w14:textId="77777777">
            <w:pPr>
              <w:ind w:left="313"/>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Utländska skulder (exklusive derivat och lokala skulder i lokal valuta)</w:t>
            </w:r>
          </w:p>
        </w:tc>
        <w:tc>
          <w:tcPr>
            <w:tcW w:w="2745" w:type="dxa"/>
            <w:tcBorders>
              <w:left w:val="nil"/>
              <w:right w:val="nil"/>
            </w:tcBorders>
            <w:noWrap/>
          </w:tcPr>
          <w:p w:rsidRPr="00636CF7" w:rsidR="00691BF0" w:rsidP="009A26DB" w:rsidRDefault="00691BF0" w14:paraId="0C5911EF" w14:textId="77777777">
            <w:pPr>
              <w:jc w:val="right"/>
              <w:rPr>
                <w:rFonts w:ascii="Arial" w:hAnsi="Arial" w:eastAsia="Times New Roman" w:cs="Arial"/>
                <w:sz w:val="20"/>
                <w:szCs w:val="20"/>
                <w:lang w:eastAsia="en-GB"/>
              </w:rPr>
            </w:pPr>
          </w:p>
        </w:tc>
      </w:tr>
      <w:tr w:rsidRPr="00636CF7" w:rsidR="00691BF0" w:rsidTr="009A26DB" w14:paraId="4D15C6B6" w14:textId="77777777">
        <w:trPr>
          <w:trHeight w:val="300"/>
        </w:trPr>
        <w:tc>
          <w:tcPr>
            <w:tcW w:w="6804" w:type="dxa"/>
            <w:gridSpan w:val="2"/>
            <w:tcBorders>
              <w:left w:val="nil"/>
              <w:right w:val="nil"/>
            </w:tcBorders>
            <w:noWrap/>
          </w:tcPr>
          <w:p w:rsidRPr="00636CF7" w:rsidR="00691BF0" w:rsidP="009A26DB" w:rsidRDefault="00691BF0" w14:paraId="54440C31" w14:textId="77777777">
            <w:pPr>
              <w:ind w:left="-2" w:leftChars="-1" w:firstLine="312" w:firstLineChars="156"/>
              <w:rPr>
                <w:rFonts w:ascii="Arial" w:hAnsi="Arial" w:eastAsia="Times New Roman" w:cs="Arial"/>
                <w:sz w:val="20"/>
                <w:szCs w:val="20"/>
              </w:rPr>
            </w:pPr>
            <w:r w:rsidRPr="00636CF7">
              <w:rPr>
                <w:rFonts w:ascii="Arial" w:hAnsi="Arial"/>
                <w:sz w:val="20"/>
                <w:lang w:eastAsia="en-GB"/>
              </w:rPr>
              <w:t xml:space="preserve">(2) </w:t>
            </w:r>
            <w:r w:rsidRPr="00636CF7">
              <w:rPr>
                <w:rFonts w:ascii="Arial" w:hAnsi="Arial"/>
                <w:sz w:val="20"/>
              </w:rPr>
              <w:t>Eventuella utländska skulder till närstående kontor ingående i post 21 a(1)</w:t>
            </w:r>
          </w:p>
        </w:tc>
        <w:tc>
          <w:tcPr>
            <w:tcW w:w="2745" w:type="dxa"/>
            <w:tcBorders>
              <w:left w:val="nil"/>
              <w:right w:val="nil"/>
            </w:tcBorders>
            <w:noWrap/>
          </w:tcPr>
          <w:p w:rsidRPr="00636CF7" w:rsidR="00691BF0" w:rsidP="009A26DB" w:rsidRDefault="00691BF0" w14:paraId="51949B47" w14:textId="77777777">
            <w:pPr>
              <w:jc w:val="right"/>
              <w:rPr>
                <w:rFonts w:ascii="Arial" w:hAnsi="Arial" w:eastAsia="Times New Roman" w:cs="Arial"/>
                <w:sz w:val="20"/>
                <w:szCs w:val="20"/>
                <w:lang w:eastAsia="en-GB"/>
              </w:rPr>
            </w:pPr>
          </w:p>
        </w:tc>
      </w:tr>
      <w:tr w:rsidRPr="00636CF7" w:rsidR="00691BF0" w:rsidTr="009A26DB" w14:paraId="1C720AC0" w14:textId="77777777">
        <w:trPr>
          <w:trHeight w:val="300"/>
        </w:trPr>
        <w:tc>
          <w:tcPr>
            <w:tcW w:w="6804" w:type="dxa"/>
            <w:gridSpan w:val="2"/>
            <w:tcBorders>
              <w:left w:val="nil"/>
              <w:right w:val="nil"/>
            </w:tcBorders>
            <w:noWrap/>
          </w:tcPr>
          <w:p w:rsidRPr="00636CF7" w:rsidR="00691BF0" w:rsidP="009A26DB" w:rsidRDefault="00691BF0" w14:paraId="57751EBD" w14:textId="77777777">
            <w:pPr>
              <w:ind w:left="-2" w:leftChars="-1" w:firstLine="312" w:firstLineChars="156"/>
              <w:rPr>
                <w:rFonts w:ascii="Arial" w:hAnsi="Arial" w:eastAsia="Times New Roman" w:cs="Arial"/>
                <w:sz w:val="20"/>
                <w:szCs w:val="20"/>
              </w:rPr>
            </w:pPr>
            <w:r w:rsidRPr="00636CF7">
              <w:rPr>
                <w:rFonts w:ascii="Arial" w:hAnsi="Arial"/>
                <w:sz w:val="20"/>
                <w:lang w:eastAsia="en-GB"/>
              </w:rPr>
              <w:t xml:space="preserve">(3) </w:t>
            </w:r>
            <w:r w:rsidRPr="00636CF7">
              <w:rPr>
                <w:rFonts w:ascii="Arial" w:hAnsi="Arial"/>
                <w:sz w:val="20"/>
              </w:rPr>
              <w:t>Lokala skulder i lokal valuta (exklusive derivatverksamhet)</w:t>
            </w:r>
          </w:p>
        </w:tc>
        <w:tc>
          <w:tcPr>
            <w:tcW w:w="2745" w:type="dxa"/>
            <w:tcBorders>
              <w:left w:val="nil"/>
              <w:right w:val="nil"/>
            </w:tcBorders>
            <w:noWrap/>
          </w:tcPr>
          <w:p w:rsidRPr="00636CF7" w:rsidR="00691BF0" w:rsidP="009A26DB" w:rsidRDefault="00691BF0" w14:paraId="432924B5" w14:textId="77777777">
            <w:pPr>
              <w:jc w:val="right"/>
              <w:rPr>
                <w:rFonts w:ascii="Arial" w:hAnsi="Arial" w:eastAsia="Times New Roman" w:cs="Arial"/>
                <w:sz w:val="20"/>
                <w:szCs w:val="20"/>
                <w:lang w:eastAsia="en-GB"/>
              </w:rPr>
            </w:pPr>
          </w:p>
        </w:tc>
      </w:tr>
      <w:tr w:rsidRPr="00636CF7" w:rsidR="00691BF0" w:rsidTr="009A26DB" w14:paraId="55FA57DD" w14:textId="77777777">
        <w:trPr>
          <w:trHeight w:val="300"/>
        </w:trPr>
        <w:tc>
          <w:tcPr>
            <w:tcW w:w="6804" w:type="dxa"/>
            <w:gridSpan w:val="2"/>
            <w:tcBorders>
              <w:left w:val="nil"/>
              <w:right w:val="nil"/>
            </w:tcBorders>
            <w:noWrap/>
          </w:tcPr>
          <w:p w:rsidRPr="00636CF7" w:rsidR="00691BF0" w:rsidP="009A26DB" w:rsidRDefault="00691BF0" w14:paraId="5E1316CE" w14:textId="77777777">
            <w:pPr>
              <w:ind w:firstLine="200" w:firstLineChars="100"/>
              <w:rPr>
                <w:rFonts w:ascii="Arial" w:hAnsi="Arial" w:eastAsia="Times New Roman" w:cs="Arial"/>
                <w:sz w:val="20"/>
                <w:szCs w:val="20"/>
              </w:rPr>
            </w:pPr>
            <w:r w:rsidRPr="00636CF7">
              <w:rPr>
                <w:rFonts w:ascii="Arial" w:hAnsi="Arial"/>
                <w:sz w:val="20"/>
              </w:rPr>
              <w:t>b. Lokala skulder i lokal valuta (inklusive derivatverksamhet)</w:t>
            </w:r>
          </w:p>
        </w:tc>
        <w:tc>
          <w:tcPr>
            <w:tcW w:w="2745" w:type="dxa"/>
            <w:tcBorders>
              <w:left w:val="nil"/>
              <w:right w:val="nil"/>
            </w:tcBorders>
            <w:noWrap/>
          </w:tcPr>
          <w:p w:rsidRPr="00636CF7" w:rsidR="00691BF0" w:rsidP="009A26DB" w:rsidRDefault="00691BF0" w14:paraId="1D5EB960" w14:textId="77777777">
            <w:pPr>
              <w:jc w:val="right"/>
              <w:rPr>
                <w:rFonts w:ascii="Arial" w:hAnsi="Arial" w:eastAsia="Times New Roman" w:cs="Arial"/>
                <w:sz w:val="20"/>
                <w:szCs w:val="20"/>
                <w:lang w:eastAsia="en-GB"/>
              </w:rPr>
            </w:pPr>
          </w:p>
        </w:tc>
      </w:tr>
      <w:tr w:rsidRPr="00636CF7" w:rsidR="00691BF0" w:rsidTr="009A26DB" w14:paraId="08E5563A" w14:textId="77777777">
        <w:trPr>
          <w:trHeight w:val="300"/>
        </w:trPr>
        <w:tc>
          <w:tcPr>
            <w:tcW w:w="6804" w:type="dxa"/>
            <w:gridSpan w:val="2"/>
            <w:tcBorders>
              <w:left w:val="nil"/>
              <w:right w:val="nil"/>
            </w:tcBorders>
            <w:noWrap/>
          </w:tcPr>
          <w:p w:rsidRPr="00636CF7" w:rsidR="00691BF0" w:rsidP="009A26DB" w:rsidRDefault="00691BF0" w14:paraId="000997C6" w14:textId="77777777">
            <w:pPr>
              <w:ind w:left="171" w:firstLine="28" w:firstLineChars="14"/>
              <w:rPr>
                <w:rFonts w:ascii="Arial" w:hAnsi="Arial" w:eastAsia="Times New Roman" w:cs="Arial"/>
                <w:sz w:val="20"/>
                <w:szCs w:val="20"/>
              </w:rPr>
            </w:pPr>
            <w:r w:rsidRPr="00636CF7">
              <w:rPr>
                <w:rFonts w:ascii="Arial" w:hAnsi="Arial"/>
                <w:sz w:val="20"/>
              </w:rPr>
              <w:t>c. Lokala fordringar över jurisdiktionsgränser i lokal valuta (exklusive derivatverksamhet)</w:t>
            </w:r>
          </w:p>
        </w:tc>
        <w:tc>
          <w:tcPr>
            <w:tcW w:w="2745" w:type="dxa"/>
            <w:tcBorders>
              <w:left w:val="nil"/>
              <w:right w:val="nil"/>
            </w:tcBorders>
            <w:noWrap/>
          </w:tcPr>
          <w:p w:rsidRPr="00636CF7" w:rsidR="00691BF0" w:rsidP="009A26DB" w:rsidRDefault="00691BF0" w14:paraId="0B103C48" w14:textId="77777777">
            <w:pPr>
              <w:jc w:val="right"/>
              <w:rPr>
                <w:rFonts w:ascii="Arial" w:hAnsi="Arial" w:eastAsia="Times New Roman" w:cs="Arial"/>
                <w:sz w:val="20"/>
                <w:szCs w:val="20"/>
                <w:lang w:eastAsia="en-GB"/>
              </w:rPr>
            </w:pPr>
          </w:p>
        </w:tc>
      </w:tr>
      <w:tr w:rsidRPr="00636CF7" w:rsidR="00691BF0" w:rsidTr="009A26DB" w14:paraId="1869C063" w14:textId="77777777">
        <w:trPr>
          <w:trHeight w:val="300"/>
        </w:trPr>
        <w:tc>
          <w:tcPr>
            <w:tcW w:w="6804" w:type="dxa"/>
            <w:gridSpan w:val="2"/>
            <w:tcBorders>
              <w:left w:val="nil"/>
              <w:right w:val="nil"/>
            </w:tcBorders>
            <w:noWrap/>
          </w:tcPr>
          <w:p w:rsidRPr="00636CF7" w:rsidR="00691BF0" w:rsidP="009A26DB" w:rsidRDefault="00691BF0" w14:paraId="61299573" w14:textId="77777777">
            <w:pPr>
              <w:ind w:left="171" w:firstLine="28" w:firstLineChars="14"/>
              <w:rPr>
                <w:rFonts w:ascii="Arial" w:hAnsi="Arial" w:eastAsia="Times New Roman" w:cs="Arial"/>
                <w:sz w:val="20"/>
                <w:szCs w:val="20"/>
              </w:rPr>
            </w:pPr>
            <w:r w:rsidRPr="00636CF7">
              <w:rPr>
                <w:rFonts w:ascii="Arial" w:hAnsi="Arial"/>
                <w:sz w:val="20"/>
              </w:rPr>
              <w:t>d. Lokala fordringar över jurisdiktionsgränser i lokal valuta (inklusive derivatverksamhet)</w:t>
            </w:r>
          </w:p>
        </w:tc>
        <w:tc>
          <w:tcPr>
            <w:tcW w:w="2745" w:type="dxa"/>
            <w:tcBorders>
              <w:left w:val="nil"/>
              <w:right w:val="nil"/>
            </w:tcBorders>
            <w:noWrap/>
          </w:tcPr>
          <w:p w:rsidRPr="00636CF7" w:rsidR="00691BF0" w:rsidP="009A26DB" w:rsidRDefault="00691BF0" w14:paraId="13575522" w14:textId="77777777">
            <w:pPr>
              <w:jc w:val="right"/>
              <w:rPr>
                <w:rFonts w:ascii="Arial" w:hAnsi="Arial" w:eastAsia="Times New Roman" w:cs="Arial"/>
                <w:sz w:val="20"/>
                <w:szCs w:val="20"/>
                <w:lang w:eastAsia="en-GB"/>
              </w:rPr>
            </w:pPr>
          </w:p>
        </w:tc>
      </w:tr>
      <w:tr w:rsidRPr="00636CF7" w:rsidR="00691BF0" w:rsidTr="009A26DB" w14:paraId="1ECD00AA" w14:textId="77777777">
        <w:trPr>
          <w:trHeight w:val="300"/>
        </w:trPr>
        <w:tc>
          <w:tcPr>
            <w:tcW w:w="6804" w:type="dxa"/>
            <w:gridSpan w:val="2"/>
            <w:tcBorders>
              <w:left w:val="nil"/>
              <w:right w:val="nil"/>
            </w:tcBorders>
            <w:noWrap/>
          </w:tcPr>
          <w:p w:rsidRPr="00636CF7" w:rsidR="00691BF0" w:rsidP="009A26DB" w:rsidRDefault="00691BF0" w14:paraId="2C0650EF" w14:textId="77777777">
            <w:pPr>
              <w:ind w:left="171" w:firstLine="28" w:firstLineChars="14"/>
              <w:rPr>
                <w:rFonts w:ascii="Arial" w:hAnsi="Arial" w:eastAsia="Times New Roman" w:cs="Arial"/>
                <w:sz w:val="20"/>
                <w:szCs w:val="20"/>
              </w:rPr>
            </w:pPr>
            <w:r w:rsidRPr="00636CF7">
              <w:rPr>
                <w:rFonts w:ascii="Arial" w:hAnsi="Arial"/>
                <w:sz w:val="20"/>
              </w:rPr>
              <w:t>e. Summa utländska fordringar på en slutlig riskbasis (varvid gemensamma resolutionsmekanismen anses som en enda jurisdiktion)</w:t>
            </w:r>
          </w:p>
        </w:tc>
        <w:tc>
          <w:tcPr>
            <w:tcW w:w="2745" w:type="dxa"/>
            <w:tcBorders>
              <w:left w:val="nil"/>
              <w:right w:val="nil"/>
            </w:tcBorders>
            <w:noWrap/>
          </w:tcPr>
          <w:p w:rsidRPr="00636CF7" w:rsidR="00691BF0" w:rsidP="009A26DB" w:rsidRDefault="00691BF0" w14:paraId="095BB8CB" w14:textId="77777777">
            <w:pPr>
              <w:jc w:val="right"/>
              <w:rPr>
                <w:rFonts w:ascii="Arial" w:hAnsi="Arial" w:eastAsia="Times New Roman" w:cs="Arial"/>
                <w:sz w:val="20"/>
                <w:szCs w:val="20"/>
                <w:lang w:eastAsia="en-GB"/>
              </w:rPr>
            </w:pPr>
          </w:p>
        </w:tc>
      </w:tr>
      <w:tr w:rsidRPr="00636CF7" w:rsidR="00691BF0" w:rsidTr="009A26DB" w14:paraId="20DD1144" w14:textId="77777777">
        <w:trPr>
          <w:trHeight w:val="300"/>
        </w:trPr>
        <w:tc>
          <w:tcPr>
            <w:tcW w:w="6804" w:type="dxa"/>
            <w:gridSpan w:val="2"/>
            <w:tcBorders>
              <w:left w:val="nil"/>
              <w:right w:val="nil"/>
            </w:tcBorders>
            <w:noWrap/>
          </w:tcPr>
          <w:p w:rsidRPr="00636CF7" w:rsidR="00691BF0" w:rsidP="009A26DB" w:rsidRDefault="00691BF0" w14:paraId="399F4716" w14:textId="77777777">
            <w:pPr>
              <w:ind w:left="171" w:firstLine="28" w:firstLineChars="14"/>
              <w:rPr>
                <w:rFonts w:ascii="Arial" w:hAnsi="Arial" w:eastAsia="Times New Roman" w:cs="Arial"/>
                <w:sz w:val="20"/>
                <w:szCs w:val="20"/>
              </w:rPr>
            </w:pPr>
            <w:r w:rsidRPr="00636CF7">
              <w:rPr>
                <w:rFonts w:ascii="Arial" w:hAnsi="Arial"/>
                <w:sz w:val="20"/>
              </w:rPr>
              <w:t>f. Fordringar som bygger på utländska derivat på en slutlig riskbasis (varvid den gemensamma resolutionsmekanismen anses som en enda jurisdiktion)</w:t>
            </w:r>
          </w:p>
        </w:tc>
        <w:tc>
          <w:tcPr>
            <w:tcW w:w="2745" w:type="dxa"/>
            <w:tcBorders>
              <w:left w:val="nil"/>
              <w:right w:val="nil"/>
            </w:tcBorders>
            <w:noWrap/>
          </w:tcPr>
          <w:p w:rsidRPr="00636CF7" w:rsidR="00691BF0" w:rsidP="009A26DB" w:rsidRDefault="00691BF0" w14:paraId="2E76DBDA" w14:textId="77777777">
            <w:pPr>
              <w:jc w:val="right"/>
              <w:rPr>
                <w:rFonts w:ascii="Arial" w:hAnsi="Arial" w:eastAsia="Times New Roman" w:cs="Arial"/>
                <w:sz w:val="20"/>
                <w:szCs w:val="20"/>
                <w:lang w:eastAsia="en-GB"/>
              </w:rPr>
            </w:pPr>
          </w:p>
        </w:tc>
      </w:tr>
      <w:tr w:rsidRPr="00636CF7" w:rsidR="00691BF0" w:rsidTr="009A26DB" w14:paraId="27891046" w14:textId="77777777">
        <w:trPr>
          <w:trHeight w:val="300"/>
        </w:trPr>
        <w:tc>
          <w:tcPr>
            <w:tcW w:w="6804" w:type="dxa"/>
            <w:gridSpan w:val="2"/>
            <w:tcBorders>
              <w:left w:val="nil"/>
              <w:right w:val="nil"/>
            </w:tcBorders>
            <w:noWrap/>
          </w:tcPr>
          <w:p w:rsidRPr="00636CF7" w:rsidR="00691BF0" w:rsidP="009A26DB" w:rsidRDefault="00691BF0" w14:paraId="5BEC13BA" w14:textId="77777777">
            <w:pPr>
              <w:ind w:left="171" w:firstLine="28" w:firstLineChars="14"/>
              <w:rPr>
                <w:rFonts w:ascii="Arial" w:hAnsi="Arial" w:eastAsia="Times New Roman" w:cs="Arial"/>
                <w:sz w:val="20"/>
                <w:szCs w:val="20"/>
              </w:rPr>
            </w:pPr>
            <w:r w:rsidRPr="00636CF7">
              <w:rPr>
                <w:rFonts w:ascii="Arial" w:hAnsi="Arial"/>
                <w:sz w:val="20"/>
              </w:rPr>
              <w:t>g. Utländska skulder på en omedelbar riskbasis, inklusive derivat (varvid gemensamma resolutionsmekanismen anses som en enda jurisdiktion)</w:t>
            </w:r>
          </w:p>
        </w:tc>
        <w:tc>
          <w:tcPr>
            <w:tcW w:w="2745" w:type="dxa"/>
            <w:tcBorders>
              <w:left w:val="nil"/>
              <w:right w:val="nil"/>
            </w:tcBorders>
            <w:noWrap/>
          </w:tcPr>
          <w:p w:rsidRPr="00636CF7" w:rsidR="00691BF0" w:rsidP="009A26DB" w:rsidRDefault="00691BF0" w14:paraId="0ABD9EFD" w14:textId="77777777">
            <w:pPr>
              <w:jc w:val="right"/>
              <w:rPr>
                <w:rFonts w:ascii="Arial" w:hAnsi="Arial" w:eastAsia="Times New Roman" w:cs="Arial"/>
                <w:sz w:val="20"/>
                <w:szCs w:val="20"/>
                <w:lang w:eastAsia="en-GB"/>
              </w:rPr>
            </w:pPr>
          </w:p>
        </w:tc>
      </w:tr>
      <w:tr w:rsidRPr="00636CF7" w:rsidR="00691BF0" w:rsidTr="009A26DB" w14:paraId="4C5E8769" w14:textId="77777777">
        <w:trPr>
          <w:trHeight w:val="300"/>
        </w:trPr>
        <w:tc>
          <w:tcPr>
            <w:tcW w:w="6804" w:type="dxa"/>
            <w:gridSpan w:val="2"/>
            <w:tcBorders>
              <w:left w:val="nil"/>
              <w:right w:val="nil"/>
            </w:tcBorders>
            <w:noWrap/>
          </w:tcPr>
          <w:p w:rsidRPr="00636CF7" w:rsidR="00691BF0" w:rsidP="009A26DB" w:rsidRDefault="00691BF0" w14:paraId="50422864" w14:textId="77777777">
            <w:pPr>
              <w:ind w:left="171" w:firstLine="28" w:firstLineChars="14"/>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Utländska derivatskulder på en omedelbar riskbasis (varvid gemensamma resolutionsmekanismen anses som en enda jurisdiktion)</w:t>
            </w:r>
          </w:p>
        </w:tc>
        <w:tc>
          <w:tcPr>
            <w:tcW w:w="2745" w:type="dxa"/>
            <w:tcBorders>
              <w:left w:val="nil"/>
              <w:right w:val="nil"/>
            </w:tcBorders>
            <w:noWrap/>
          </w:tcPr>
          <w:p w:rsidRPr="00636CF7" w:rsidR="00691BF0" w:rsidP="009A26DB" w:rsidRDefault="00691BF0" w14:paraId="151471CD" w14:textId="77777777">
            <w:pPr>
              <w:jc w:val="right"/>
              <w:rPr>
                <w:rFonts w:ascii="Arial" w:hAnsi="Arial" w:eastAsia="Times New Roman" w:cs="Arial"/>
                <w:sz w:val="20"/>
                <w:szCs w:val="20"/>
                <w:lang w:eastAsia="en-GB"/>
              </w:rPr>
            </w:pPr>
          </w:p>
        </w:tc>
      </w:tr>
      <w:tr w:rsidRPr="00636CF7" w:rsidR="00691BF0" w:rsidTr="009A26DB" w14:paraId="3354E77B" w14:textId="77777777">
        <w:trPr>
          <w:trHeight w:val="300"/>
        </w:trPr>
        <w:tc>
          <w:tcPr>
            <w:tcW w:w="6804" w:type="dxa"/>
            <w:gridSpan w:val="2"/>
            <w:tcBorders>
              <w:left w:val="nil"/>
              <w:right w:val="nil"/>
            </w:tcBorders>
            <w:noWrap/>
          </w:tcPr>
          <w:p w:rsidRPr="00636CF7" w:rsidR="00691BF0" w:rsidP="009A26DB" w:rsidRDefault="00691BF0" w14:paraId="617D9AFD" w14:textId="77777777">
            <w:pPr>
              <w:ind w:firstLine="200" w:firstLineChars="100"/>
              <w:rPr>
                <w:rFonts w:ascii="Arial" w:hAnsi="Arial" w:eastAsia="Times New Roman" w:cs="Arial"/>
                <w:sz w:val="20"/>
                <w:szCs w:val="20"/>
              </w:rPr>
            </w:pPr>
            <w:r w:rsidRPr="00636CF7">
              <w:rPr>
                <w:rFonts w:ascii="Arial" w:hAnsi="Arial"/>
                <w:sz w:val="20"/>
              </w:rPr>
              <w:t>h. Lokala fordringar över jurisdiktionsgränser i lokal valuta, exklusive derivatverksamhet (varvid gemensamma resolutionsmekanismen anses som en enda jurisdiktion)</w:t>
            </w:r>
          </w:p>
        </w:tc>
        <w:tc>
          <w:tcPr>
            <w:tcW w:w="2745" w:type="dxa"/>
            <w:tcBorders>
              <w:left w:val="nil"/>
              <w:right w:val="nil"/>
            </w:tcBorders>
            <w:noWrap/>
          </w:tcPr>
          <w:p w:rsidRPr="00636CF7" w:rsidR="00691BF0" w:rsidP="009A26DB" w:rsidRDefault="00691BF0" w14:paraId="2AAFBF91" w14:textId="77777777">
            <w:pPr>
              <w:jc w:val="right"/>
              <w:rPr>
                <w:rFonts w:ascii="Arial" w:hAnsi="Arial" w:eastAsia="Times New Roman" w:cs="Arial"/>
                <w:sz w:val="20"/>
                <w:szCs w:val="20"/>
                <w:lang w:eastAsia="en-GB"/>
              </w:rPr>
            </w:pPr>
          </w:p>
        </w:tc>
      </w:tr>
      <w:tr w:rsidRPr="00636CF7" w:rsidR="00691BF0" w:rsidTr="009A26DB" w14:paraId="283625CA" w14:textId="77777777">
        <w:trPr>
          <w:trHeight w:val="300"/>
        </w:trPr>
        <w:tc>
          <w:tcPr>
            <w:tcW w:w="6804" w:type="dxa"/>
            <w:gridSpan w:val="2"/>
            <w:tcBorders>
              <w:left w:val="nil"/>
              <w:right w:val="nil"/>
            </w:tcBorders>
            <w:noWrap/>
          </w:tcPr>
          <w:p w:rsidRPr="00636CF7" w:rsidR="00691BF0" w:rsidP="009A26DB" w:rsidRDefault="00691BF0" w14:paraId="5B41304D" w14:textId="77777777">
            <w:pPr>
              <w:ind w:left="171" w:firstLine="28" w:firstLineChars="14"/>
              <w:rPr>
                <w:rFonts w:ascii="Arial" w:hAnsi="Arial" w:eastAsia="Times New Roman" w:cs="Arial"/>
                <w:sz w:val="20"/>
                <w:szCs w:val="20"/>
              </w:rPr>
            </w:pPr>
            <w:r w:rsidRPr="00636CF7">
              <w:rPr>
                <w:rFonts w:ascii="Arial" w:hAnsi="Arial"/>
                <w:sz w:val="20"/>
              </w:rPr>
              <w:t>i. Lokala fordringar över jurisdiktionsgränser i lokal valuta, inklusive derivatverksamhet (varvid gemensamma resolutionsmekanismen anses som en enda jurisdiktion)</w:t>
            </w:r>
          </w:p>
        </w:tc>
        <w:tc>
          <w:tcPr>
            <w:tcW w:w="2745" w:type="dxa"/>
            <w:tcBorders>
              <w:left w:val="nil"/>
              <w:right w:val="nil"/>
            </w:tcBorders>
            <w:noWrap/>
          </w:tcPr>
          <w:p w:rsidRPr="00636CF7" w:rsidR="00691BF0" w:rsidP="009A26DB" w:rsidRDefault="00691BF0" w14:paraId="6EE6D2E9" w14:textId="77777777">
            <w:pPr>
              <w:jc w:val="right"/>
              <w:rPr>
                <w:rFonts w:ascii="Arial" w:hAnsi="Arial" w:eastAsia="Times New Roman" w:cs="Arial"/>
                <w:sz w:val="20"/>
                <w:szCs w:val="20"/>
                <w:lang w:eastAsia="en-GB"/>
              </w:rPr>
            </w:pPr>
          </w:p>
        </w:tc>
      </w:tr>
      <w:tr w:rsidRPr="00636CF7" w:rsidR="00691BF0" w:rsidTr="009A26DB" w14:paraId="7902A6DC" w14:textId="77777777">
        <w:trPr>
          <w:trHeight w:val="300"/>
        </w:trPr>
        <w:tc>
          <w:tcPr>
            <w:tcW w:w="6804" w:type="dxa"/>
            <w:gridSpan w:val="2"/>
            <w:tcBorders>
              <w:left w:val="nil"/>
              <w:right w:val="nil"/>
            </w:tcBorders>
            <w:noWrap/>
          </w:tcPr>
          <w:p w:rsidRPr="00636CF7" w:rsidR="00691BF0" w:rsidP="009A26DB" w:rsidRDefault="00691BF0" w14:paraId="405474A6" w14:textId="77777777">
            <w:pPr>
              <w:ind w:left="171" w:firstLine="28" w:firstLineChars="14"/>
              <w:rPr>
                <w:rFonts w:ascii="Arial" w:hAnsi="Arial" w:eastAsia="Times New Roman" w:cs="Arial"/>
                <w:sz w:val="20"/>
                <w:szCs w:val="20"/>
              </w:rPr>
            </w:pPr>
            <w:r w:rsidRPr="00636CF7">
              <w:rPr>
                <w:rFonts w:ascii="Arial" w:hAnsi="Arial"/>
                <w:sz w:val="20"/>
              </w:rPr>
              <w:t>j. Utländska skulder, exklusive derivat och lokala skulder i lokal valuta (varvid gemensamma resolutionsmekanismen anses som en enda jurisdiktion)</w:t>
            </w:r>
          </w:p>
        </w:tc>
        <w:tc>
          <w:tcPr>
            <w:tcW w:w="2745" w:type="dxa"/>
            <w:tcBorders>
              <w:left w:val="nil"/>
              <w:right w:val="nil"/>
            </w:tcBorders>
            <w:noWrap/>
          </w:tcPr>
          <w:p w:rsidRPr="00636CF7" w:rsidR="00691BF0" w:rsidP="009A26DB" w:rsidRDefault="00691BF0" w14:paraId="030BDBFA" w14:textId="77777777">
            <w:pPr>
              <w:jc w:val="right"/>
              <w:rPr>
                <w:rFonts w:ascii="Arial" w:hAnsi="Arial" w:eastAsia="Times New Roman" w:cs="Arial"/>
                <w:sz w:val="20"/>
                <w:szCs w:val="20"/>
                <w:lang w:eastAsia="en-GB"/>
              </w:rPr>
            </w:pPr>
          </w:p>
        </w:tc>
      </w:tr>
      <w:tr w:rsidRPr="00636CF7" w:rsidR="00691BF0" w:rsidTr="009A26DB" w14:paraId="75C28072" w14:textId="77777777">
        <w:trPr>
          <w:trHeight w:val="300"/>
        </w:trPr>
        <w:tc>
          <w:tcPr>
            <w:tcW w:w="6804" w:type="dxa"/>
            <w:gridSpan w:val="2"/>
            <w:tcBorders>
              <w:left w:val="nil"/>
              <w:right w:val="nil"/>
            </w:tcBorders>
            <w:noWrap/>
          </w:tcPr>
          <w:p w:rsidRPr="00636CF7" w:rsidR="00691BF0" w:rsidP="009A26DB" w:rsidRDefault="00691BF0" w14:paraId="75C84A18" w14:textId="77777777">
            <w:pPr>
              <w:ind w:left="171" w:firstLine="28" w:firstLineChars="14"/>
              <w:rPr>
                <w:rFonts w:ascii="Arial" w:hAnsi="Arial" w:eastAsia="Times New Roman" w:cs="Arial"/>
                <w:sz w:val="20"/>
                <w:szCs w:val="20"/>
              </w:rPr>
            </w:pPr>
            <w:r w:rsidRPr="00636CF7">
              <w:rPr>
                <w:rFonts w:ascii="Arial" w:hAnsi="Arial"/>
                <w:sz w:val="20"/>
                <w:lang w:eastAsia="en-GB"/>
              </w:rPr>
              <w:t xml:space="preserve">(1) </w:t>
            </w:r>
            <w:r w:rsidRPr="00636CF7">
              <w:rPr>
                <w:rFonts w:ascii="Arial" w:hAnsi="Arial"/>
                <w:sz w:val="20"/>
              </w:rPr>
              <w:t>Eventuella utländska skulder till närstående kontor ingående i post 20 j (varvid gemensamma resolutionsmekanismen anses som en enda jurisdiktion)</w:t>
            </w:r>
          </w:p>
        </w:tc>
        <w:tc>
          <w:tcPr>
            <w:tcW w:w="2745" w:type="dxa"/>
            <w:tcBorders>
              <w:left w:val="nil"/>
              <w:right w:val="nil"/>
            </w:tcBorders>
            <w:noWrap/>
          </w:tcPr>
          <w:p w:rsidRPr="00636CF7" w:rsidR="00691BF0" w:rsidP="009A26DB" w:rsidRDefault="00691BF0" w14:paraId="1FCF7B86" w14:textId="77777777">
            <w:pPr>
              <w:jc w:val="right"/>
              <w:rPr>
                <w:rFonts w:ascii="Arial" w:hAnsi="Arial" w:eastAsia="Times New Roman" w:cs="Arial"/>
                <w:sz w:val="20"/>
                <w:szCs w:val="20"/>
                <w:lang w:eastAsia="en-GB"/>
              </w:rPr>
            </w:pPr>
          </w:p>
        </w:tc>
      </w:tr>
      <w:tr w:rsidRPr="00636CF7" w:rsidR="00691BF0" w:rsidTr="009A26DB" w14:paraId="3F056844" w14:textId="77777777">
        <w:trPr>
          <w:trHeight w:val="300"/>
        </w:trPr>
        <w:tc>
          <w:tcPr>
            <w:tcW w:w="6804" w:type="dxa"/>
            <w:gridSpan w:val="2"/>
            <w:tcBorders>
              <w:left w:val="nil"/>
              <w:right w:val="nil"/>
            </w:tcBorders>
            <w:noWrap/>
          </w:tcPr>
          <w:p w:rsidRPr="00636CF7" w:rsidR="00691BF0" w:rsidP="009A26DB" w:rsidRDefault="00691BF0" w14:paraId="41C67B2B" w14:textId="77777777">
            <w:pPr>
              <w:ind w:left="171" w:firstLine="28" w:firstLineChars="14"/>
              <w:rPr>
                <w:rFonts w:ascii="Arial" w:hAnsi="Arial" w:eastAsia="Times New Roman" w:cs="Arial"/>
                <w:sz w:val="20"/>
                <w:szCs w:val="20"/>
              </w:rPr>
            </w:pPr>
            <w:r w:rsidRPr="00636CF7">
              <w:rPr>
                <w:rFonts w:ascii="Arial" w:hAnsi="Arial"/>
                <w:sz w:val="20"/>
              </w:rPr>
              <w:t>k. Lokala skulder i lokal valuta exklusive derivat (varvid gemensamma resolutionsmekanismen anses som en enda jurisdiktion)</w:t>
            </w:r>
          </w:p>
        </w:tc>
        <w:tc>
          <w:tcPr>
            <w:tcW w:w="2745" w:type="dxa"/>
            <w:tcBorders>
              <w:left w:val="nil"/>
              <w:right w:val="nil"/>
            </w:tcBorders>
            <w:noWrap/>
          </w:tcPr>
          <w:p w:rsidRPr="00636CF7" w:rsidR="00691BF0" w:rsidP="009A26DB" w:rsidRDefault="00691BF0" w14:paraId="766FEDDF" w14:textId="77777777">
            <w:pPr>
              <w:jc w:val="right"/>
              <w:rPr>
                <w:rFonts w:ascii="Arial" w:hAnsi="Arial" w:eastAsia="Times New Roman" w:cs="Arial"/>
                <w:sz w:val="20"/>
                <w:szCs w:val="20"/>
                <w:lang w:eastAsia="en-GB"/>
              </w:rPr>
            </w:pPr>
          </w:p>
        </w:tc>
      </w:tr>
      <w:tr w:rsidRPr="00636CF7" w:rsidR="00691BF0" w:rsidTr="009A26DB" w14:paraId="7C44C0D2" w14:textId="77777777">
        <w:trPr>
          <w:trHeight w:val="300"/>
        </w:trPr>
        <w:tc>
          <w:tcPr>
            <w:tcW w:w="6804" w:type="dxa"/>
            <w:gridSpan w:val="2"/>
            <w:tcBorders>
              <w:left w:val="nil"/>
              <w:right w:val="nil"/>
            </w:tcBorders>
            <w:noWrap/>
          </w:tcPr>
          <w:p w:rsidRPr="00636CF7" w:rsidR="00691BF0" w:rsidP="009A26DB" w:rsidRDefault="00691BF0" w14:paraId="4D7DD40A" w14:textId="77777777">
            <w:pPr>
              <w:ind w:left="171" w:firstLine="28" w:firstLineChars="14"/>
              <w:rPr>
                <w:rFonts w:ascii="Arial" w:hAnsi="Arial" w:eastAsia="Times New Roman" w:cs="Arial"/>
                <w:sz w:val="20"/>
                <w:szCs w:val="20"/>
              </w:rPr>
            </w:pPr>
            <w:r w:rsidRPr="00636CF7">
              <w:rPr>
                <w:rFonts w:ascii="Arial" w:hAnsi="Arial"/>
                <w:sz w:val="20"/>
              </w:rPr>
              <w:t>l. Lokala skulder i lokal valuta, inklusive derivat (varvid gemensamma resolutionsmekanismen anses som en enda jurisdiktion)</w:t>
            </w:r>
          </w:p>
        </w:tc>
        <w:tc>
          <w:tcPr>
            <w:tcW w:w="2745" w:type="dxa"/>
            <w:tcBorders>
              <w:left w:val="nil"/>
              <w:right w:val="nil"/>
            </w:tcBorders>
            <w:noWrap/>
          </w:tcPr>
          <w:p w:rsidRPr="00636CF7" w:rsidR="00691BF0" w:rsidP="009A26DB" w:rsidRDefault="00691BF0" w14:paraId="6F3C6D94" w14:textId="77777777">
            <w:pPr>
              <w:jc w:val="right"/>
              <w:rPr>
                <w:rFonts w:ascii="Arial" w:hAnsi="Arial" w:eastAsia="Times New Roman" w:cs="Arial"/>
                <w:sz w:val="20"/>
                <w:szCs w:val="20"/>
                <w:lang w:eastAsia="en-GB"/>
              </w:rPr>
            </w:pPr>
          </w:p>
        </w:tc>
      </w:tr>
      <w:tr w:rsidRPr="00636CF7" w:rsidR="00691BF0" w:rsidTr="009A26DB" w14:paraId="7D3677A6" w14:textId="77777777">
        <w:trPr>
          <w:trHeight w:val="300"/>
        </w:trPr>
        <w:tc>
          <w:tcPr>
            <w:tcW w:w="6804" w:type="dxa"/>
            <w:gridSpan w:val="2"/>
            <w:tcBorders>
              <w:left w:val="nil"/>
              <w:right w:val="nil"/>
            </w:tcBorders>
            <w:noWrap/>
          </w:tcPr>
          <w:p w:rsidRPr="00636CF7" w:rsidR="00691BF0" w:rsidP="009A26DB" w:rsidRDefault="00691BF0" w14:paraId="74A63471" w14:textId="77777777">
            <w:pPr>
              <w:ind w:left="171" w:firstLine="28" w:firstLineChars="14"/>
              <w:rPr>
                <w:rFonts w:ascii="Arial" w:hAnsi="Arial" w:eastAsia="Times New Roman" w:cs="Arial"/>
                <w:sz w:val="20"/>
                <w:szCs w:val="20"/>
              </w:rPr>
            </w:pPr>
            <w:r w:rsidRPr="00636CF7">
              <w:rPr>
                <w:rFonts w:ascii="Arial" w:hAnsi="Arial"/>
                <w:sz w:val="20"/>
              </w:rPr>
              <w:t>m. Nettosumma lokala poster i lokal valuta, inklusive derivat, om nettovärdet är positivt</w:t>
            </w:r>
          </w:p>
        </w:tc>
        <w:tc>
          <w:tcPr>
            <w:tcW w:w="2745" w:type="dxa"/>
            <w:tcBorders>
              <w:left w:val="nil"/>
              <w:right w:val="nil"/>
            </w:tcBorders>
            <w:noWrap/>
          </w:tcPr>
          <w:p w:rsidRPr="00636CF7" w:rsidR="00691BF0" w:rsidP="009A26DB" w:rsidRDefault="00691BF0" w14:paraId="2736D281" w14:textId="77777777">
            <w:pPr>
              <w:jc w:val="right"/>
              <w:rPr>
                <w:rFonts w:ascii="Arial" w:hAnsi="Arial" w:eastAsia="Times New Roman" w:cs="Arial"/>
                <w:sz w:val="20"/>
                <w:szCs w:val="20"/>
                <w:lang w:eastAsia="en-GB"/>
              </w:rPr>
            </w:pPr>
          </w:p>
        </w:tc>
      </w:tr>
      <w:tr w:rsidRPr="00636CF7" w:rsidR="00691BF0" w:rsidTr="009A26DB" w14:paraId="14B9D448" w14:textId="77777777">
        <w:trPr>
          <w:trHeight w:val="300"/>
        </w:trPr>
        <w:tc>
          <w:tcPr>
            <w:tcW w:w="6804" w:type="dxa"/>
            <w:gridSpan w:val="2"/>
            <w:tcBorders>
              <w:left w:val="nil"/>
              <w:right w:val="nil"/>
            </w:tcBorders>
            <w:noWrap/>
          </w:tcPr>
          <w:p w:rsidRPr="00636CF7" w:rsidR="00691BF0" w:rsidP="009A26DB" w:rsidRDefault="00691BF0" w14:paraId="2D9924E0" w14:textId="77777777">
            <w:pPr>
              <w:ind w:left="171" w:firstLine="28" w:firstLineChars="14"/>
              <w:rPr>
                <w:rFonts w:ascii="Arial" w:hAnsi="Arial" w:eastAsia="Times New Roman" w:cs="Arial"/>
                <w:sz w:val="20"/>
                <w:szCs w:val="20"/>
              </w:rPr>
            </w:pPr>
            <w:r w:rsidRPr="00636CF7">
              <w:rPr>
                <w:rFonts w:ascii="Arial" w:hAnsi="Arial"/>
                <w:sz w:val="20"/>
              </w:rPr>
              <w:t>n. Nettosumma lokala poster i lokal valuta, inklusive derivat, om nettovärdet är negativt</w:t>
            </w:r>
          </w:p>
        </w:tc>
        <w:tc>
          <w:tcPr>
            <w:tcW w:w="2745" w:type="dxa"/>
            <w:tcBorders>
              <w:left w:val="nil"/>
              <w:right w:val="nil"/>
            </w:tcBorders>
            <w:noWrap/>
          </w:tcPr>
          <w:p w:rsidRPr="00636CF7" w:rsidR="00691BF0" w:rsidP="009A26DB" w:rsidRDefault="00691BF0" w14:paraId="67286BBB" w14:textId="77777777">
            <w:pPr>
              <w:jc w:val="right"/>
              <w:rPr>
                <w:rFonts w:ascii="Arial" w:hAnsi="Arial" w:eastAsia="Times New Roman" w:cs="Arial"/>
                <w:sz w:val="20"/>
                <w:szCs w:val="20"/>
                <w:lang w:eastAsia="en-GB"/>
              </w:rPr>
            </w:pPr>
          </w:p>
        </w:tc>
      </w:tr>
      <w:tr w:rsidRPr="00636CF7" w:rsidR="00691BF0" w:rsidTr="009A26DB" w14:paraId="12988FAA" w14:textId="77777777">
        <w:trPr>
          <w:trHeight w:val="300"/>
        </w:trPr>
        <w:tc>
          <w:tcPr>
            <w:tcW w:w="6804" w:type="dxa"/>
            <w:gridSpan w:val="2"/>
            <w:tcBorders>
              <w:left w:val="nil"/>
              <w:right w:val="nil"/>
            </w:tcBorders>
            <w:noWrap/>
          </w:tcPr>
          <w:p w:rsidRPr="00636CF7" w:rsidR="00691BF0" w:rsidP="009A26DB" w:rsidRDefault="00691BF0" w14:paraId="38117E7C" w14:textId="77777777">
            <w:pPr>
              <w:ind w:left="171" w:firstLine="28" w:firstLineChars="14"/>
              <w:rPr>
                <w:rFonts w:ascii="Arial" w:hAnsi="Arial" w:eastAsia="Times New Roman" w:cs="Arial"/>
                <w:sz w:val="20"/>
                <w:szCs w:val="20"/>
              </w:rPr>
            </w:pPr>
            <w:r w:rsidRPr="00636CF7">
              <w:rPr>
                <w:rFonts w:ascii="Arial" w:hAnsi="Arial"/>
                <w:sz w:val="20"/>
              </w:rPr>
              <w:t>o. Nettosumma lokala poster i lokal valuta i länder som inte omfattas av den gemensamma resolutionsmekanismen (SRM), inklusive derivat, om nettovärdet är positivt (varvid SRM anses som en enda jurisdiktion)</w:t>
            </w:r>
          </w:p>
        </w:tc>
        <w:tc>
          <w:tcPr>
            <w:tcW w:w="2745" w:type="dxa"/>
            <w:tcBorders>
              <w:left w:val="nil"/>
              <w:right w:val="nil"/>
            </w:tcBorders>
            <w:noWrap/>
          </w:tcPr>
          <w:p w:rsidRPr="00636CF7" w:rsidR="00691BF0" w:rsidP="009A26DB" w:rsidRDefault="00691BF0" w14:paraId="122E3AF5" w14:textId="77777777">
            <w:pPr>
              <w:jc w:val="right"/>
              <w:rPr>
                <w:rFonts w:ascii="Arial" w:hAnsi="Arial" w:eastAsia="Times New Roman" w:cs="Arial"/>
                <w:sz w:val="20"/>
                <w:szCs w:val="20"/>
                <w:lang w:eastAsia="en-GB"/>
              </w:rPr>
            </w:pPr>
          </w:p>
        </w:tc>
      </w:tr>
      <w:tr w:rsidRPr="00636CF7" w:rsidR="00691BF0" w:rsidTr="009A26DB" w14:paraId="7E18F5E9" w14:textId="77777777">
        <w:trPr>
          <w:trHeight w:val="300"/>
        </w:trPr>
        <w:tc>
          <w:tcPr>
            <w:tcW w:w="6804" w:type="dxa"/>
            <w:gridSpan w:val="2"/>
            <w:tcBorders>
              <w:left w:val="nil"/>
              <w:right w:val="nil"/>
            </w:tcBorders>
            <w:noWrap/>
          </w:tcPr>
          <w:p w:rsidRPr="00636CF7" w:rsidR="00691BF0" w:rsidP="009A26DB" w:rsidRDefault="00691BF0" w14:paraId="01CC2B41" w14:textId="77777777">
            <w:pPr>
              <w:ind w:left="171" w:firstLine="28" w:firstLineChars="14"/>
              <w:rPr>
                <w:rFonts w:ascii="Arial" w:hAnsi="Arial" w:eastAsia="Times New Roman" w:cs="Arial"/>
                <w:sz w:val="20"/>
                <w:szCs w:val="20"/>
              </w:rPr>
            </w:pPr>
            <w:r w:rsidRPr="00636CF7">
              <w:rPr>
                <w:rFonts w:ascii="Arial" w:hAnsi="Arial"/>
                <w:sz w:val="20"/>
              </w:rPr>
              <w:t>p. Nettosumma lokala poster i lokal valuta i länder som inte omfattas av den gemensamma resolutionsmekanismen, inklusive derivat, om nettovärdet är negativt (varvid SRM anses som en enda jurisdiktion)</w:t>
            </w:r>
          </w:p>
        </w:tc>
        <w:tc>
          <w:tcPr>
            <w:tcW w:w="2745" w:type="dxa"/>
            <w:tcBorders>
              <w:left w:val="nil"/>
              <w:right w:val="nil"/>
            </w:tcBorders>
            <w:noWrap/>
          </w:tcPr>
          <w:p w:rsidRPr="00636CF7" w:rsidR="00691BF0" w:rsidP="009A26DB" w:rsidRDefault="00691BF0" w14:paraId="10A3FC76" w14:textId="77777777">
            <w:pPr>
              <w:jc w:val="right"/>
              <w:rPr>
                <w:rFonts w:ascii="Arial" w:hAnsi="Arial" w:eastAsia="Times New Roman" w:cs="Arial"/>
                <w:sz w:val="20"/>
                <w:szCs w:val="20"/>
                <w:lang w:eastAsia="en-GB"/>
              </w:rPr>
            </w:pPr>
          </w:p>
        </w:tc>
      </w:tr>
      <w:tr w:rsidRPr="00636CF7" w:rsidR="00691BF0" w:rsidTr="009A26DB" w14:paraId="64F903F9" w14:textId="77777777">
        <w:trPr>
          <w:trHeight w:val="300"/>
        </w:trPr>
        <w:tc>
          <w:tcPr>
            <w:tcW w:w="6804" w:type="dxa"/>
            <w:gridSpan w:val="2"/>
            <w:tcBorders>
              <w:left w:val="nil"/>
              <w:right w:val="nil"/>
            </w:tcBorders>
            <w:noWrap/>
          </w:tcPr>
          <w:p w:rsidRPr="00636CF7" w:rsidR="00691BF0" w:rsidP="009A26DB" w:rsidRDefault="00691BF0" w14:paraId="1E9EE196" w14:textId="77777777">
            <w:pPr>
              <w:ind w:left="171" w:firstLine="28" w:firstLineChars="14"/>
              <w:rPr>
                <w:rFonts w:ascii="Arial" w:hAnsi="Arial" w:eastAsia="Times New Roman" w:cs="Arial"/>
                <w:sz w:val="20"/>
                <w:szCs w:val="20"/>
              </w:rPr>
            </w:pPr>
            <w:r w:rsidRPr="00636CF7">
              <w:rPr>
                <w:rFonts w:ascii="Arial" w:hAnsi="Arial"/>
                <w:sz w:val="20"/>
              </w:rPr>
              <w:t>q. Nettosumma lokala poster i lokal valuta i länder som omfattas av den gemensamma resolutionsmekanismen, inklusive derivat (varvid gemensamma resolutionsmekanismen anses som en enda jurisdiktion)</w:t>
            </w:r>
          </w:p>
        </w:tc>
        <w:tc>
          <w:tcPr>
            <w:tcW w:w="2745" w:type="dxa"/>
            <w:tcBorders>
              <w:left w:val="nil"/>
              <w:right w:val="nil"/>
            </w:tcBorders>
            <w:noWrap/>
          </w:tcPr>
          <w:p w:rsidRPr="00636CF7" w:rsidR="00691BF0" w:rsidP="009A26DB" w:rsidRDefault="00691BF0" w14:paraId="5040E75F" w14:textId="77777777">
            <w:pPr>
              <w:jc w:val="right"/>
              <w:rPr>
                <w:rFonts w:ascii="Arial" w:hAnsi="Arial" w:eastAsia="Times New Roman" w:cs="Arial"/>
                <w:sz w:val="20"/>
                <w:szCs w:val="20"/>
                <w:lang w:eastAsia="en-GB"/>
              </w:rPr>
            </w:pPr>
          </w:p>
        </w:tc>
      </w:tr>
      <w:tr w:rsidRPr="00636CF7" w:rsidR="00691BF0" w:rsidTr="009A26DB" w14:paraId="20B58975" w14:textId="77777777">
        <w:trPr>
          <w:trHeight w:val="300"/>
        </w:trPr>
        <w:tc>
          <w:tcPr>
            <w:tcW w:w="6804" w:type="dxa"/>
            <w:gridSpan w:val="2"/>
            <w:tcBorders>
              <w:left w:val="nil"/>
              <w:right w:val="nil"/>
            </w:tcBorders>
            <w:noWrap/>
          </w:tcPr>
          <w:p w:rsidRPr="00636CF7" w:rsidR="00691BF0" w:rsidP="009A26DB" w:rsidRDefault="00691BF0" w14:paraId="401A46D7" w14:textId="77777777">
            <w:pPr>
              <w:ind w:firstLine="200" w:firstLineChars="100"/>
              <w:rPr>
                <w:rFonts w:ascii="Arial" w:hAnsi="Arial" w:eastAsia="Times New Roman" w:cs="Arial"/>
                <w:sz w:val="20"/>
                <w:szCs w:val="20"/>
              </w:rPr>
            </w:pPr>
            <w:r w:rsidRPr="00636CF7">
              <w:rPr>
                <w:rFonts w:ascii="Arial" w:hAnsi="Arial"/>
                <w:sz w:val="20"/>
              </w:rPr>
              <w:t xml:space="preserve">r. Fordringar mellan kontor, bokade av utländska dotterbolag </w:t>
            </w:r>
          </w:p>
        </w:tc>
        <w:tc>
          <w:tcPr>
            <w:tcW w:w="2745" w:type="dxa"/>
            <w:tcBorders>
              <w:left w:val="nil"/>
              <w:right w:val="nil"/>
            </w:tcBorders>
            <w:noWrap/>
          </w:tcPr>
          <w:p w:rsidRPr="00636CF7" w:rsidR="00691BF0" w:rsidP="009A26DB" w:rsidRDefault="00691BF0" w14:paraId="4B1C88B6" w14:textId="77777777">
            <w:pPr>
              <w:jc w:val="right"/>
              <w:rPr>
                <w:rFonts w:ascii="Arial" w:hAnsi="Arial" w:eastAsia="Times New Roman" w:cs="Arial"/>
                <w:sz w:val="20"/>
                <w:szCs w:val="20"/>
                <w:lang w:eastAsia="en-GB"/>
              </w:rPr>
            </w:pPr>
          </w:p>
        </w:tc>
      </w:tr>
      <w:tr w:rsidRPr="00636CF7" w:rsidR="00691BF0" w:rsidTr="009A26DB" w14:paraId="18D58F85" w14:textId="77777777">
        <w:trPr>
          <w:trHeight w:val="300"/>
        </w:trPr>
        <w:tc>
          <w:tcPr>
            <w:tcW w:w="6804" w:type="dxa"/>
            <w:gridSpan w:val="2"/>
            <w:tcBorders>
              <w:left w:val="nil"/>
              <w:right w:val="nil"/>
            </w:tcBorders>
            <w:noWrap/>
          </w:tcPr>
          <w:p w:rsidRPr="00636CF7" w:rsidR="00691BF0" w:rsidP="009A26DB" w:rsidRDefault="00691BF0" w14:paraId="6F671116" w14:textId="77777777">
            <w:pPr>
              <w:ind w:firstLine="200" w:firstLineChars="100"/>
              <w:rPr>
                <w:rFonts w:ascii="Arial" w:hAnsi="Arial" w:eastAsia="Times New Roman" w:cs="Arial"/>
                <w:sz w:val="20"/>
                <w:szCs w:val="20"/>
              </w:rPr>
            </w:pPr>
            <w:r w:rsidRPr="00636CF7">
              <w:rPr>
                <w:rFonts w:ascii="Arial" w:hAnsi="Arial"/>
                <w:sz w:val="20"/>
              </w:rPr>
              <w:lastRenderedPageBreak/>
              <w:t xml:space="preserve">s. Fordringar mellan kontor, bokade av utländska filialer </w:t>
            </w:r>
          </w:p>
        </w:tc>
        <w:tc>
          <w:tcPr>
            <w:tcW w:w="2745" w:type="dxa"/>
            <w:tcBorders>
              <w:left w:val="nil"/>
              <w:right w:val="nil"/>
            </w:tcBorders>
            <w:noWrap/>
          </w:tcPr>
          <w:p w:rsidRPr="00636CF7" w:rsidR="00691BF0" w:rsidP="009A26DB" w:rsidRDefault="00691BF0" w14:paraId="6007730C" w14:textId="77777777">
            <w:pPr>
              <w:jc w:val="right"/>
              <w:rPr>
                <w:rFonts w:ascii="Arial" w:hAnsi="Arial" w:eastAsia="Times New Roman" w:cs="Arial"/>
                <w:sz w:val="20"/>
                <w:szCs w:val="20"/>
                <w:lang w:eastAsia="en-GB"/>
              </w:rPr>
            </w:pPr>
          </w:p>
        </w:tc>
      </w:tr>
      <w:tr w:rsidRPr="00636CF7" w:rsidR="00691BF0" w:rsidTr="009A26DB" w14:paraId="5B38B276" w14:textId="77777777">
        <w:trPr>
          <w:trHeight w:val="300"/>
        </w:trPr>
        <w:tc>
          <w:tcPr>
            <w:tcW w:w="6804" w:type="dxa"/>
            <w:gridSpan w:val="2"/>
            <w:tcBorders>
              <w:left w:val="nil"/>
              <w:right w:val="nil"/>
            </w:tcBorders>
            <w:noWrap/>
          </w:tcPr>
          <w:p w:rsidRPr="00636CF7" w:rsidR="00691BF0" w:rsidP="009A26DB" w:rsidRDefault="00691BF0" w14:paraId="53EF93F8" w14:textId="77777777">
            <w:pPr>
              <w:ind w:firstLine="200" w:firstLineChars="100"/>
              <w:rPr>
                <w:rFonts w:ascii="Arial" w:hAnsi="Arial" w:eastAsia="Times New Roman" w:cs="Arial"/>
                <w:sz w:val="20"/>
                <w:szCs w:val="20"/>
              </w:rPr>
            </w:pPr>
            <w:r w:rsidRPr="00636CF7">
              <w:rPr>
                <w:rFonts w:ascii="Arial" w:hAnsi="Arial"/>
                <w:sz w:val="20"/>
              </w:rPr>
              <w:t>t. Skulder mellan kontor, bokade av utländska dotterbolag</w:t>
            </w:r>
          </w:p>
        </w:tc>
        <w:tc>
          <w:tcPr>
            <w:tcW w:w="2745" w:type="dxa"/>
            <w:tcBorders>
              <w:left w:val="nil"/>
              <w:right w:val="nil"/>
            </w:tcBorders>
            <w:noWrap/>
          </w:tcPr>
          <w:p w:rsidRPr="00636CF7" w:rsidR="00691BF0" w:rsidP="009A26DB" w:rsidRDefault="00691BF0" w14:paraId="290C62D8" w14:textId="77777777">
            <w:pPr>
              <w:jc w:val="right"/>
              <w:rPr>
                <w:rFonts w:ascii="Arial" w:hAnsi="Arial" w:eastAsia="Times New Roman" w:cs="Arial"/>
                <w:sz w:val="20"/>
                <w:szCs w:val="20"/>
                <w:lang w:eastAsia="en-GB"/>
              </w:rPr>
            </w:pPr>
          </w:p>
        </w:tc>
      </w:tr>
      <w:tr w:rsidRPr="00636CF7" w:rsidR="00691BF0" w:rsidTr="009A26DB" w14:paraId="1402E8F8" w14:textId="77777777">
        <w:trPr>
          <w:trHeight w:val="300"/>
        </w:trPr>
        <w:tc>
          <w:tcPr>
            <w:tcW w:w="6804" w:type="dxa"/>
            <w:gridSpan w:val="2"/>
            <w:tcBorders>
              <w:left w:val="nil"/>
              <w:right w:val="nil"/>
            </w:tcBorders>
            <w:noWrap/>
          </w:tcPr>
          <w:p w:rsidRPr="00636CF7" w:rsidR="00691BF0" w:rsidP="009A26DB" w:rsidRDefault="00691BF0" w14:paraId="29234956" w14:textId="77777777">
            <w:pPr>
              <w:ind w:firstLine="200" w:firstLineChars="100"/>
              <w:rPr>
                <w:rFonts w:ascii="Arial" w:hAnsi="Arial" w:eastAsia="Times New Roman" w:cs="Arial"/>
                <w:sz w:val="20"/>
                <w:szCs w:val="20"/>
              </w:rPr>
            </w:pPr>
            <w:r w:rsidRPr="00636CF7">
              <w:rPr>
                <w:rFonts w:ascii="Arial" w:hAnsi="Arial"/>
                <w:sz w:val="20"/>
              </w:rPr>
              <w:t xml:space="preserve">u. Skulder mellan kontor, bokade av utländska filialer </w:t>
            </w:r>
          </w:p>
        </w:tc>
        <w:tc>
          <w:tcPr>
            <w:tcW w:w="2745" w:type="dxa"/>
            <w:tcBorders>
              <w:left w:val="nil"/>
              <w:right w:val="nil"/>
            </w:tcBorders>
            <w:noWrap/>
          </w:tcPr>
          <w:p w:rsidRPr="00636CF7" w:rsidR="00691BF0" w:rsidP="009A26DB" w:rsidRDefault="00691BF0" w14:paraId="49C1345E" w14:textId="77777777">
            <w:pPr>
              <w:jc w:val="right"/>
              <w:rPr>
                <w:rFonts w:ascii="Arial" w:hAnsi="Arial" w:eastAsia="Times New Roman" w:cs="Arial"/>
                <w:sz w:val="20"/>
                <w:szCs w:val="20"/>
                <w:lang w:eastAsia="en-GB"/>
              </w:rPr>
            </w:pPr>
          </w:p>
        </w:tc>
      </w:tr>
      <w:tr w:rsidRPr="00636CF7" w:rsidR="00691BF0" w:rsidTr="009A26DB" w14:paraId="20D7C052" w14:textId="77777777">
        <w:trPr>
          <w:trHeight w:val="300"/>
        </w:trPr>
        <w:tc>
          <w:tcPr>
            <w:tcW w:w="6804" w:type="dxa"/>
            <w:gridSpan w:val="2"/>
            <w:tcBorders>
              <w:left w:val="nil"/>
              <w:right w:val="nil"/>
            </w:tcBorders>
            <w:noWrap/>
          </w:tcPr>
          <w:p w:rsidRPr="00636CF7" w:rsidR="00691BF0" w:rsidP="009A26DB" w:rsidRDefault="00691BF0" w14:paraId="4EB03E5F" w14:textId="77777777">
            <w:pPr>
              <w:ind w:firstLine="200" w:firstLineChars="100"/>
              <w:rPr>
                <w:rFonts w:ascii="Arial" w:hAnsi="Arial" w:eastAsia="Times New Roman" w:cs="Arial"/>
                <w:sz w:val="20"/>
                <w:szCs w:val="20"/>
              </w:rPr>
            </w:pPr>
            <w:r w:rsidRPr="00636CF7">
              <w:rPr>
                <w:rFonts w:ascii="Arial" w:hAnsi="Arial"/>
                <w:sz w:val="20"/>
              </w:rPr>
              <w:t xml:space="preserve">v. Genomsnittligt värde per kvartal av fordringar över jurisdiktionsgränser </w:t>
            </w:r>
          </w:p>
        </w:tc>
        <w:tc>
          <w:tcPr>
            <w:tcW w:w="2745" w:type="dxa"/>
            <w:tcBorders>
              <w:left w:val="nil"/>
              <w:right w:val="nil"/>
            </w:tcBorders>
            <w:noWrap/>
          </w:tcPr>
          <w:p w:rsidRPr="00636CF7" w:rsidR="00691BF0" w:rsidP="009A26DB" w:rsidRDefault="00691BF0" w14:paraId="5A5598E7" w14:textId="77777777">
            <w:pPr>
              <w:jc w:val="right"/>
              <w:rPr>
                <w:rFonts w:ascii="Arial" w:hAnsi="Arial" w:eastAsia="Times New Roman" w:cs="Arial"/>
                <w:sz w:val="20"/>
                <w:szCs w:val="20"/>
                <w:lang w:eastAsia="en-GB"/>
              </w:rPr>
            </w:pPr>
          </w:p>
        </w:tc>
      </w:tr>
      <w:tr w:rsidRPr="00636CF7" w:rsidR="00691BF0" w:rsidTr="009A26DB" w14:paraId="497A7733" w14:textId="77777777">
        <w:trPr>
          <w:trHeight w:val="300"/>
        </w:trPr>
        <w:tc>
          <w:tcPr>
            <w:tcW w:w="6804" w:type="dxa"/>
            <w:gridSpan w:val="2"/>
            <w:tcBorders>
              <w:left w:val="nil"/>
              <w:right w:val="nil"/>
            </w:tcBorders>
            <w:noWrap/>
          </w:tcPr>
          <w:p w:rsidRPr="00636CF7" w:rsidR="00691BF0" w:rsidP="009A26DB" w:rsidRDefault="00691BF0" w14:paraId="0FF9BA92" w14:textId="77777777">
            <w:pPr>
              <w:ind w:firstLine="200" w:firstLineChars="100"/>
              <w:rPr>
                <w:rFonts w:ascii="Arial" w:hAnsi="Arial" w:eastAsia="Times New Roman" w:cs="Arial"/>
                <w:sz w:val="20"/>
                <w:szCs w:val="20"/>
              </w:rPr>
            </w:pPr>
            <w:r w:rsidRPr="00636CF7">
              <w:rPr>
                <w:rFonts w:ascii="Arial" w:hAnsi="Arial"/>
                <w:sz w:val="20"/>
              </w:rPr>
              <w:t xml:space="preserve">w. Genomsnittligt värde per månad av fordringar över jurisdiktionsgränserna </w:t>
            </w:r>
          </w:p>
        </w:tc>
        <w:tc>
          <w:tcPr>
            <w:tcW w:w="2745" w:type="dxa"/>
            <w:tcBorders>
              <w:left w:val="nil"/>
              <w:right w:val="nil"/>
            </w:tcBorders>
            <w:noWrap/>
          </w:tcPr>
          <w:p w:rsidRPr="00636CF7" w:rsidR="00691BF0" w:rsidP="009A26DB" w:rsidRDefault="00691BF0" w14:paraId="7A773007" w14:textId="77777777">
            <w:pPr>
              <w:jc w:val="right"/>
              <w:rPr>
                <w:rFonts w:ascii="Arial" w:hAnsi="Arial" w:eastAsia="Times New Roman" w:cs="Arial"/>
                <w:sz w:val="20"/>
                <w:szCs w:val="20"/>
                <w:lang w:eastAsia="en-GB"/>
              </w:rPr>
            </w:pPr>
          </w:p>
        </w:tc>
      </w:tr>
      <w:tr w:rsidRPr="00636CF7" w:rsidR="00691BF0" w:rsidTr="009A26DB" w14:paraId="36AB1E38" w14:textId="77777777">
        <w:trPr>
          <w:trHeight w:val="300"/>
        </w:trPr>
        <w:tc>
          <w:tcPr>
            <w:tcW w:w="6804" w:type="dxa"/>
            <w:gridSpan w:val="2"/>
            <w:tcBorders>
              <w:left w:val="nil"/>
              <w:right w:val="nil"/>
            </w:tcBorders>
            <w:noWrap/>
          </w:tcPr>
          <w:p w:rsidRPr="00636CF7" w:rsidR="00691BF0" w:rsidP="009A26DB" w:rsidRDefault="00691BF0" w14:paraId="7A3BC6B3" w14:textId="77777777">
            <w:pPr>
              <w:ind w:firstLine="200" w:firstLineChars="100"/>
              <w:rPr>
                <w:rFonts w:ascii="Arial" w:hAnsi="Arial" w:eastAsia="Times New Roman" w:cs="Arial"/>
                <w:sz w:val="20"/>
                <w:szCs w:val="20"/>
              </w:rPr>
            </w:pPr>
            <w:r w:rsidRPr="00636CF7">
              <w:rPr>
                <w:rFonts w:ascii="Arial" w:hAnsi="Arial"/>
                <w:sz w:val="20"/>
              </w:rPr>
              <w:t xml:space="preserve">x. Genomsnittligt värde per kvartal av skulder över jurisdiktionsgränser </w:t>
            </w:r>
          </w:p>
        </w:tc>
        <w:tc>
          <w:tcPr>
            <w:tcW w:w="2745" w:type="dxa"/>
            <w:tcBorders>
              <w:left w:val="nil"/>
              <w:right w:val="nil"/>
            </w:tcBorders>
            <w:noWrap/>
          </w:tcPr>
          <w:p w:rsidRPr="00636CF7" w:rsidR="00691BF0" w:rsidP="009A26DB" w:rsidRDefault="00691BF0" w14:paraId="6242C5CC" w14:textId="77777777">
            <w:pPr>
              <w:jc w:val="right"/>
              <w:rPr>
                <w:rFonts w:ascii="Arial" w:hAnsi="Arial" w:eastAsia="Times New Roman" w:cs="Arial"/>
                <w:sz w:val="20"/>
                <w:szCs w:val="20"/>
                <w:lang w:eastAsia="en-GB"/>
              </w:rPr>
            </w:pPr>
          </w:p>
        </w:tc>
      </w:tr>
      <w:tr w:rsidRPr="00636CF7" w:rsidR="00691BF0" w:rsidTr="009A26DB" w14:paraId="15C61E6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DB30E87" w14:textId="77777777">
            <w:pPr>
              <w:ind w:firstLine="200" w:firstLineChars="100"/>
              <w:rPr>
                <w:rFonts w:ascii="Arial" w:hAnsi="Arial" w:eastAsia="Times New Roman" w:cs="Arial"/>
                <w:sz w:val="20"/>
                <w:szCs w:val="20"/>
              </w:rPr>
            </w:pPr>
            <w:r w:rsidRPr="00636CF7">
              <w:rPr>
                <w:rFonts w:ascii="Arial" w:hAnsi="Arial"/>
                <w:sz w:val="20"/>
              </w:rPr>
              <w:t xml:space="preserve">y. Genomsnittligt värde per månad av skulder över jurisdiktionsgränser </w:t>
            </w:r>
          </w:p>
        </w:tc>
        <w:tc>
          <w:tcPr>
            <w:tcW w:w="2745" w:type="dxa"/>
            <w:tcBorders>
              <w:left w:val="nil"/>
              <w:bottom w:val="single" w:color="auto" w:sz="4" w:space="0"/>
              <w:right w:val="nil"/>
            </w:tcBorders>
            <w:noWrap/>
          </w:tcPr>
          <w:p w:rsidRPr="00636CF7" w:rsidR="00691BF0" w:rsidP="009A26DB" w:rsidRDefault="00691BF0" w14:paraId="3941361F" w14:textId="77777777">
            <w:pPr>
              <w:jc w:val="right"/>
              <w:rPr>
                <w:rFonts w:ascii="Arial" w:hAnsi="Arial" w:eastAsia="Times New Roman" w:cs="Arial"/>
                <w:sz w:val="20"/>
                <w:szCs w:val="20"/>
                <w:lang w:eastAsia="en-GB"/>
              </w:rPr>
            </w:pPr>
          </w:p>
        </w:tc>
      </w:tr>
      <w:tr w:rsidRPr="00636CF7" w:rsidR="00691BF0" w:rsidTr="009A26DB" w14:paraId="764770B4" w14:textId="77777777">
        <w:trPr>
          <w:trHeight w:val="300"/>
        </w:trPr>
        <w:tc>
          <w:tcPr>
            <w:tcW w:w="6804" w:type="dxa"/>
            <w:gridSpan w:val="2"/>
            <w:tcBorders>
              <w:left w:val="nil"/>
              <w:bottom w:val="nil"/>
              <w:right w:val="nil"/>
            </w:tcBorders>
            <w:noWrap/>
          </w:tcPr>
          <w:p w:rsidRPr="00636CF7" w:rsidR="00691BF0" w:rsidP="009A26DB" w:rsidRDefault="00691BF0" w14:paraId="6C881DEB"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636CF7" w:rsidR="00691BF0" w:rsidP="009A26DB" w:rsidRDefault="00691BF0" w14:paraId="3CF0A06E" w14:textId="77777777">
            <w:pPr>
              <w:jc w:val="right"/>
              <w:rPr>
                <w:rFonts w:ascii="Arial" w:hAnsi="Arial" w:eastAsia="Times New Roman" w:cs="Arial"/>
                <w:sz w:val="20"/>
                <w:szCs w:val="20"/>
                <w:lang w:eastAsia="en-GB"/>
              </w:rPr>
            </w:pPr>
          </w:p>
        </w:tc>
      </w:tr>
      <w:tr w:rsidRPr="00636CF7" w:rsidR="00691BF0" w:rsidTr="009A26DB" w14:paraId="4D52228F" w14:textId="77777777">
        <w:trPr>
          <w:trHeight w:val="300"/>
        </w:trPr>
        <w:tc>
          <w:tcPr>
            <w:tcW w:w="6804" w:type="dxa"/>
            <w:gridSpan w:val="2"/>
            <w:tcBorders>
              <w:top w:val="nil"/>
              <w:left w:val="nil"/>
              <w:right w:val="nil"/>
            </w:tcBorders>
            <w:noWrap/>
          </w:tcPr>
          <w:p w:rsidRPr="00636CF7" w:rsidR="00691BF0" w:rsidP="009A26DB" w:rsidRDefault="00691BF0" w14:paraId="2DBB93F1" w14:textId="77777777">
            <w:pPr>
              <w:rPr>
                <w:rFonts w:ascii="Arial" w:hAnsi="Arial" w:eastAsia="Times New Roman" w:cs="Arial"/>
                <w:sz w:val="20"/>
                <w:szCs w:val="20"/>
              </w:rPr>
            </w:pPr>
            <w:r w:rsidRPr="00636CF7">
              <w:rPr>
                <w:rFonts w:ascii="Arial" w:hAnsi="Arial"/>
                <w:b/>
                <w:sz w:val="20"/>
              </w:rPr>
              <w:t>Avsnitt 22 – Kompletterande indikatorer</w:t>
            </w:r>
          </w:p>
        </w:tc>
        <w:tc>
          <w:tcPr>
            <w:tcW w:w="2745" w:type="dxa"/>
            <w:tcBorders>
              <w:top w:val="nil"/>
              <w:left w:val="nil"/>
              <w:right w:val="nil"/>
            </w:tcBorders>
            <w:noWrap/>
          </w:tcPr>
          <w:p w:rsidRPr="00636CF7" w:rsidR="00691BF0" w:rsidP="009A26DB" w:rsidRDefault="00691BF0" w14:paraId="1027436B" w14:textId="77777777">
            <w:pPr>
              <w:jc w:val="right"/>
              <w:rPr>
                <w:rFonts w:ascii="Arial" w:hAnsi="Arial" w:eastAsia="Times New Roman" w:cs="Arial"/>
                <w:sz w:val="20"/>
                <w:szCs w:val="20"/>
                <w:lang w:eastAsia="en-GB"/>
              </w:rPr>
            </w:pPr>
          </w:p>
        </w:tc>
      </w:tr>
      <w:tr w:rsidRPr="00636CF7" w:rsidR="00691BF0" w:rsidTr="009A26DB" w14:paraId="33C3BD80" w14:textId="77777777">
        <w:trPr>
          <w:trHeight w:val="300"/>
        </w:trPr>
        <w:tc>
          <w:tcPr>
            <w:tcW w:w="6804" w:type="dxa"/>
            <w:gridSpan w:val="2"/>
            <w:tcBorders>
              <w:left w:val="nil"/>
              <w:right w:val="nil"/>
            </w:tcBorders>
            <w:noWrap/>
          </w:tcPr>
          <w:p w:rsidRPr="00636CF7" w:rsidR="00691BF0" w:rsidP="009A26DB" w:rsidRDefault="00691BF0" w14:paraId="630494C0" w14:textId="77777777">
            <w:pPr>
              <w:ind w:firstLine="200" w:firstLineChars="100"/>
              <w:rPr>
                <w:rFonts w:ascii="Arial" w:hAnsi="Arial" w:eastAsia="Times New Roman" w:cs="Arial"/>
                <w:sz w:val="20"/>
                <w:szCs w:val="20"/>
              </w:rPr>
            </w:pPr>
            <w:r w:rsidRPr="00636CF7">
              <w:rPr>
                <w:rFonts w:ascii="Arial" w:hAnsi="Arial"/>
                <w:sz w:val="20"/>
              </w:rPr>
              <w:t>a. Utländska nettointäkter (varvid gemensamma resolutionsmekanismen anses som en enda jurisdiktion)</w:t>
            </w:r>
          </w:p>
        </w:tc>
        <w:tc>
          <w:tcPr>
            <w:tcW w:w="2745" w:type="dxa"/>
            <w:tcBorders>
              <w:left w:val="nil"/>
              <w:right w:val="nil"/>
            </w:tcBorders>
            <w:noWrap/>
          </w:tcPr>
          <w:p w:rsidRPr="00636CF7" w:rsidR="00691BF0" w:rsidP="009A26DB" w:rsidRDefault="00691BF0" w14:paraId="41CB6A8F" w14:textId="77777777">
            <w:pPr>
              <w:jc w:val="right"/>
              <w:rPr>
                <w:rFonts w:ascii="Arial" w:hAnsi="Arial" w:eastAsia="Times New Roman" w:cs="Arial"/>
                <w:sz w:val="20"/>
                <w:szCs w:val="20"/>
                <w:lang w:eastAsia="en-GB"/>
              </w:rPr>
            </w:pPr>
          </w:p>
        </w:tc>
      </w:tr>
      <w:tr w:rsidRPr="00636CF7" w:rsidR="00691BF0" w:rsidTr="009A26DB" w14:paraId="7B409B5D"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749B143" w14:textId="77777777">
            <w:pPr>
              <w:ind w:firstLine="200" w:firstLineChars="100"/>
              <w:rPr>
                <w:rFonts w:ascii="Arial" w:hAnsi="Arial" w:eastAsia="Times New Roman" w:cs="Arial"/>
                <w:sz w:val="20"/>
                <w:szCs w:val="20"/>
              </w:rPr>
            </w:pPr>
            <w:r w:rsidRPr="00636CF7">
              <w:rPr>
                <w:rFonts w:ascii="Arial" w:hAnsi="Arial"/>
                <w:sz w:val="20"/>
              </w:rPr>
              <w:t>b. Antal jurisdiktioner (varvid gemensamma resolutionsmekanismen anses som en enda jurisdiktion)</w:t>
            </w:r>
          </w:p>
        </w:tc>
        <w:tc>
          <w:tcPr>
            <w:tcW w:w="2745" w:type="dxa"/>
            <w:tcBorders>
              <w:left w:val="nil"/>
              <w:right w:val="nil"/>
            </w:tcBorders>
            <w:noWrap/>
          </w:tcPr>
          <w:p w:rsidRPr="00636CF7" w:rsidR="00691BF0" w:rsidP="009A26DB" w:rsidRDefault="00691BF0" w14:paraId="61224868" w14:textId="77777777">
            <w:pPr>
              <w:jc w:val="right"/>
              <w:rPr>
                <w:rFonts w:ascii="Arial" w:hAnsi="Arial" w:eastAsia="Times New Roman" w:cs="Arial"/>
                <w:sz w:val="20"/>
                <w:szCs w:val="20"/>
                <w:lang w:eastAsia="en-GB"/>
              </w:rPr>
            </w:pPr>
          </w:p>
        </w:tc>
      </w:tr>
      <w:tr w:rsidRPr="00636CF7" w:rsidR="00691BF0" w:rsidTr="009A26DB" w14:paraId="45D913EB" w14:textId="77777777">
        <w:trPr>
          <w:trHeight w:val="300"/>
        </w:trPr>
        <w:tc>
          <w:tcPr>
            <w:tcW w:w="6804" w:type="dxa"/>
            <w:gridSpan w:val="2"/>
            <w:tcBorders>
              <w:left w:val="nil"/>
              <w:bottom w:val="nil"/>
              <w:right w:val="nil"/>
            </w:tcBorders>
            <w:noWrap/>
          </w:tcPr>
          <w:p w:rsidRPr="00636CF7" w:rsidR="00691BF0" w:rsidP="009A26DB" w:rsidRDefault="00691BF0" w14:paraId="789539F7"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636CF7" w:rsidR="00691BF0" w:rsidP="009A26DB" w:rsidRDefault="00691BF0" w14:paraId="0FDDAA40" w14:textId="77777777">
            <w:pPr>
              <w:jc w:val="right"/>
              <w:rPr>
                <w:rFonts w:ascii="Arial" w:hAnsi="Arial" w:eastAsia="Times New Roman" w:cs="Arial"/>
                <w:sz w:val="20"/>
                <w:szCs w:val="20"/>
                <w:lang w:eastAsia="en-GB"/>
              </w:rPr>
            </w:pPr>
          </w:p>
        </w:tc>
      </w:tr>
      <w:tr w:rsidRPr="00636CF7" w:rsidR="00691BF0" w:rsidTr="009A26DB" w14:paraId="3747DEB3" w14:textId="77777777">
        <w:trPr>
          <w:trHeight w:val="300"/>
        </w:trPr>
        <w:tc>
          <w:tcPr>
            <w:tcW w:w="6804" w:type="dxa"/>
            <w:gridSpan w:val="2"/>
            <w:tcBorders>
              <w:top w:val="nil"/>
              <w:left w:val="nil"/>
              <w:bottom w:val="nil"/>
              <w:right w:val="nil"/>
            </w:tcBorders>
            <w:noWrap/>
          </w:tcPr>
          <w:p w:rsidRPr="00636CF7" w:rsidR="00691BF0" w:rsidP="009A26DB" w:rsidRDefault="00691BF0" w14:paraId="33DE00D4" w14:textId="77777777">
            <w:pPr>
              <w:ind w:firstLine="221" w:firstLineChars="100"/>
              <w:rPr>
                <w:rFonts w:ascii="Arial" w:hAnsi="Arial" w:eastAsia="Times New Roman" w:cs="Arial"/>
                <w:sz w:val="20"/>
                <w:szCs w:val="20"/>
              </w:rPr>
            </w:pPr>
            <w:r w:rsidRPr="00636CF7">
              <w:rPr>
                <w:rFonts w:asciiTheme="majorHAnsi" w:hAnsiTheme="majorHAnsi"/>
                <w:b/>
                <w:i/>
                <w:caps/>
              </w:rPr>
              <w:t xml:space="preserve">Totalsumma </w:t>
            </w:r>
            <w:r w:rsidRPr="00691BF0">
              <w:rPr>
                <w:rFonts w:asciiTheme="majorHAnsi" w:hAnsiTheme="majorHAnsi"/>
                <w:b/>
                <w:i/>
                <w:caps/>
              </w:rPr>
              <w:t>kontroller</w:t>
            </w:r>
          </w:p>
        </w:tc>
        <w:tc>
          <w:tcPr>
            <w:tcW w:w="2745" w:type="dxa"/>
            <w:tcBorders>
              <w:top w:val="nil"/>
              <w:left w:val="nil"/>
              <w:bottom w:val="nil"/>
              <w:right w:val="nil"/>
            </w:tcBorders>
            <w:noWrap/>
          </w:tcPr>
          <w:p w:rsidRPr="00636CF7" w:rsidR="00691BF0" w:rsidP="009A26DB" w:rsidRDefault="00691BF0" w14:paraId="66D2926A" w14:textId="77777777">
            <w:pPr>
              <w:jc w:val="right"/>
              <w:rPr>
                <w:rFonts w:ascii="Arial" w:hAnsi="Arial" w:eastAsia="Times New Roman" w:cs="Arial"/>
                <w:sz w:val="20"/>
                <w:szCs w:val="20"/>
                <w:lang w:eastAsia="en-GB"/>
              </w:rPr>
            </w:pPr>
          </w:p>
        </w:tc>
      </w:tr>
      <w:tr w:rsidRPr="00636CF7" w:rsidR="00691BF0" w:rsidTr="009A26DB" w14:paraId="54C6753D" w14:textId="77777777">
        <w:trPr>
          <w:trHeight w:val="300"/>
        </w:trPr>
        <w:tc>
          <w:tcPr>
            <w:tcW w:w="6804" w:type="dxa"/>
            <w:gridSpan w:val="2"/>
            <w:tcBorders>
              <w:top w:val="nil"/>
              <w:left w:val="nil"/>
              <w:bottom w:val="single" w:color="auto" w:sz="4" w:space="0"/>
              <w:right w:val="nil"/>
            </w:tcBorders>
            <w:noWrap/>
          </w:tcPr>
          <w:p w:rsidRPr="00636CF7" w:rsidR="00691BF0" w:rsidP="009A26DB" w:rsidRDefault="00691BF0" w14:paraId="5B374BF9"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636CF7" w:rsidR="00691BF0" w:rsidP="009A26DB" w:rsidRDefault="00691BF0" w14:paraId="736A6C37" w14:textId="77777777">
            <w:pPr>
              <w:jc w:val="right"/>
              <w:rPr>
                <w:rFonts w:ascii="Arial" w:hAnsi="Arial" w:eastAsia="Times New Roman" w:cs="Arial"/>
                <w:sz w:val="20"/>
                <w:szCs w:val="20"/>
                <w:lang w:eastAsia="en-GB"/>
              </w:rPr>
            </w:pPr>
          </w:p>
        </w:tc>
      </w:tr>
      <w:tr w:rsidRPr="00636CF7" w:rsidR="00691BF0" w:rsidTr="009A26DB" w14:paraId="0AD9130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C8C775B" w14:textId="77777777">
            <w:pPr>
              <w:rPr>
                <w:rFonts w:ascii="Arial" w:hAnsi="Arial" w:eastAsia="Times New Roman" w:cs="Arial"/>
                <w:sz w:val="20"/>
                <w:szCs w:val="20"/>
              </w:rPr>
            </w:pPr>
            <w:r w:rsidRPr="00636CF7">
              <w:rPr>
                <w:b/>
              </w:rPr>
              <w:t>Avsnitt 23 – Indikatorvärden (reviderad metod)</w:t>
            </w:r>
          </w:p>
        </w:tc>
        <w:tc>
          <w:tcPr>
            <w:tcW w:w="2745" w:type="dxa"/>
            <w:tcBorders>
              <w:left w:val="nil"/>
              <w:right w:val="nil"/>
            </w:tcBorders>
            <w:noWrap/>
          </w:tcPr>
          <w:p w:rsidRPr="00636CF7" w:rsidR="00691BF0" w:rsidP="009A26DB" w:rsidRDefault="00691BF0" w14:paraId="13CBC1DE" w14:textId="77777777">
            <w:pPr>
              <w:jc w:val="center"/>
              <w:rPr>
                <w:rFonts w:ascii="Arial" w:hAnsi="Arial" w:eastAsia="Times New Roman" w:cs="Arial"/>
                <w:sz w:val="20"/>
                <w:szCs w:val="20"/>
              </w:rPr>
            </w:pPr>
            <w:r w:rsidRPr="00636CF7">
              <w:rPr>
                <w:b/>
              </w:rPr>
              <w:t>Indikatorvärde i rapporteringsvaluta</w:t>
            </w:r>
          </w:p>
        </w:tc>
      </w:tr>
      <w:tr w:rsidRPr="00636CF7" w:rsidR="00691BF0" w:rsidTr="009A26DB" w14:paraId="31F2DF8D"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4BBC1EB" w14:textId="77777777">
            <w:pPr>
              <w:ind w:left="171" w:firstLine="48" w:firstLineChars="22"/>
              <w:rPr>
                <w:rFonts w:ascii="Arial" w:hAnsi="Arial" w:eastAsia="Times New Roman" w:cs="Arial"/>
                <w:sz w:val="20"/>
                <w:szCs w:val="20"/>
              </w:rPr>
            </w:pPr>
            <w:r w:rsidRPr="00636CF7">
              <w:t>a. Avsnitt 2 – Indikator för total exponering, inklusive försäkringsdotterföretag</w:t>
            </w:r>
          </w:p>
        </w:tc>
        <w:tc>
          <w:tcPr>
            <w:tcW w:w="2745" w:type="dxa"/>
            <w:tcBorders>
              <w:left w:val="nil"/>
              <w:right w:val="nil"/>
            </w:tcBorders>
            <w:noWrap/>
          </w:tcPr>
          <w:p w:rsidRPr="00636CF7" w:rsidR="00691BF0" w:rsidP="009A26DB" w:rsidRDefault="00691BF0" w14:paraId="720B2E0F" w14:textId="77777777">
            <w:pPr>
              <w:jc w:val="right"/>
              <w:rPr>
                <w:rFonts w:ascii="Arial" w:hAnsi="Arial" w:eastAsia="Times New Roman" w:cs="Arial"/>
                <w:sz w:val="20"/>
                <w:szCs w:val="20"/>
                <w:lang w:eastAsia="en-GB"/>
              </w:rPr>
            </w:pPr>
          </w:p>
        </w:tc>
      </w:tr>
      <w:tr w:rsidRPr="00636CF7" w:rsidR="00691BF0" w:rsidTr="009A26DB" w14:paraId="1F8B140C"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D76DF7E" w14:textId="77777777">
            <w:pPr>
              <w:ind w:left="171" w:firstLine="48" w:firstLineChars="22"/>
              <w:rPr>
                <w:rFonts w:ascii="Arial" w:hAnsi="Arial" w:eastAsia="Times New Roman" w:cs="Arial"/>
                <w:sz w:val="20"/>
                <w:szCs w:val="20"/>
              </w:rPr>
            </w:pPr>
            <w:r w:rsidRPr="00636CF7">
              <w:t>b. Avsnitt 3 – Indikator för tillgångar hos andra finansinstitut, inklusive försäkringsdotterföretag</w:t>
            </w:r>
          </w:p>
        </w:tc>
        <w:tc>
          <w:tcPr>
            <w:tcW w:w="2745" w:type="dxa"/>
            <w:tcBorders>
              <w:left w:val="nil"/>
              <w:right w:val="nil"/>
            </w:tcBorders>
            <w:noWrap/>
          </w:tcPr>
          <w:p w:rsidRPr="00636CF7" w:rsidR="00691BF0" w:rsidP="009A26DB" w:rsidRDefault="00691BF0" w14:paraId="6468B23F" w14:textId="77777777">
            <w:pPr>
              <w:jc w:val="right"/>
              <w:rPr>
                <w:rFonts w:ascii="Arial" w:hAnsi="Arial" w:eastAsia="Times New Roman" w:cs="Arial"/>
                <w:sz w:val="20"/>
                <w:szCs w:val="20"/>
                <w:lang w:eastAsia="en-GB"/>
              </w:rPr>
            </w:pPr>
          </w:p>
        </w:tc>
      </w:tr>
      <w:tr w:rsidRPr="00636CF7" w:rsidR="00691BF0" w:rsidTr="009A26DB" w14:paraId="52FE47FD"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58CDF2F" w14:textId="77777777">
            <w:pPr>
              <w:ind w:left="171" w:firstLine="48" w:firstLineChars="22"/>
              <w:rPr>
                <w:rFonts w:ascii="Arial" w:hAnsi="Arial" w:eastAsia="Times New Roman" w:cs="Arial"/>
                <w:sz w:val="20"/>
                <w:szCs w:val="20"/>
              </w:rPr>
            </w:pPr>
            <w:r w:rsidRPr="00636CF7">
              <w:t>c. Avsnitt 4 – Indikator för skulder till andra finansinstitut, inklusive försäkringsdotterföretag</w:t>
            </w:r>
          </w:p>
        </w:tc>
        <w:tc>
          <w:tcPr>
            <w:tcW w:w="2745" w:type="dxa"/>
            <w:tcBorders>
              <w:left w:val="nil"/>
              <w:right w:val="nil"/>
            </w:tcBorders>
            <w:noWrap/>
          </w:tcPr>
          <w:p w:rsidRPr="00636CF7" w:rsidR="00691BF0" w:rsidP="009A26DB" w:rsidRDefault="00691BF0" w14:paraId="785AEB35" w14:textId="77777777">
            <w:pPr>
              <w:jc w:val="right"/>
              <w:rPr>
                <w:rFonts w:ascii="Arial" w:hAnsi="Arial" w:eastAsia="Times New Roman" w:cs="Arial"/>
                <w:sz w:val="20"/>
                <w:szCs w:val="20"/>
                <w:lang w:eastAsia="en-GB"/>
              </w:rPr>
            </w:pPr>
          </w:p>
        </w:tc>
      </w:tr>
      <w:tr w:rsidRPr="00636CF7" w:rsidR="00691BF0" w:rsidTr="009A26DB" w14:paraId="584CA2C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01C98F2" w14:textId="77777777">
            <w:pPr>
              <w:ind w:left="171" w:firstLine="48" w:firstLineChars="22"/>
              <w:rPr>
                <w:rFonts w:ascii="Arial" w:hAnsi="Arial" w:eastAsia="Times New Roman" w:cs="Arial"/>
                <w:sz w:val="20"/>
                <w:szCs w:val="20"/>
              </w:rPr>
            </w:pPr>
            <w:r w:rsidRPr="00636CF7">
              <w:t>d. Avsnitt 5 – Indikator för utestående värdepapper, inklusive försäkringsdotterföretag</w:t>
            </w:r>
          </w:p>
        </w:tc>
        <w:tc>
          <w:tcPr>
            <w:tcW w:w="2745" w:type="dxa"/>
            <w:tcBorders>
              <w:left w:val="nil"/>
              <w:right w:val="nil"/>
            </w:tcBorders>
            <w:noWrap/>
          </w:tcPr>
          <w:p w:rsidRPr="00636CF7" w:rsidR="00691BF0" w:rsidP="009A26DB" w:rsidRDefault="00691BF0" w14:paraId="64241BD5" w14:textId="77777777">
            <w:pPr>
              <w:jc w:val="right"/>
              <w:rPr>
                <w:rFonts w:ascii="Arial" w:hAnsi="Arial" w:eastAsia="Times New Roman" w:cs="Arial"/>
                <w:sz w:val="20"/>
                <w:szCs w:val="20"/>
                <w:lang w:eastAsia="en-GB"/>
              </w:rPr>
            </w:pPr>
          </w:p>
        </w:tc>
      </w:tr>
      <w:tr w:rsidRPr="00636CF7" w:rsidR="00691BF0" w:rsidTr="009A26DB" w14:paraId="62441309"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F0CAF51" w14:textId="77777777">
            <w:pPr>
              <w:ind w:firstLine="220" w:firstLineChars="100"/>
              <w:rPr>
                <w:rFonts w:ascii="Arial" w:hAnsi="Arial" w:eastAsia="Times New Roman" w:cs="Arial"/>
                <w:sz w:val="20"/>
                <w:szCs w:val="20"/>
              </w:rPr>
            </w:pPr>
            <w:r w:rsidRPr="00636CF7">
              <w:t>e. Avsnitt 6 – Indikator för betalningsaktivitet</w:t>
            </w:r>
          </w:p>
        </w:tc>
        <w:tc>
          <w:tcPr>
            <w:tcW w:w="2745" w:type="dxa"/>
            <w:tcBorders>
              <w:left w:val="nil"/>
              <w:right w:val="nil"/>
            </w:tcBorders>
            <w:noWrap/>
          </w:tcPr>
          <w:p w:rsidRPr="00636CF7" w:rsidR="00691BF0" w:rsidP="009A26DB" w:rsidRDefault="00691BF0" w14:paraId="74AE6ACC" w14:textId="77777777">
            <w:pPr>
              <w:jc w:val="right"/>
              <w:rPr>
                <w:rFonts w:ascii="Arial" w:hAnsi="Arial" w:eastAsia="Times New Roman" w:cs="Arial"/>
                <w:sz w:val="20"/>
                <w:szCs w:val="20"/>
                <w:lang w:eastAsia="en-GB"/>
              </w:rPr>
            </w:pPr>
          </w:p>
        </w:tc>
      </w:tr>
      <w:tr w:rsidRPr="00636CF7" w:rsidR="00691BF0" w:rsidTr="009A26DB" w14:paraId="13CBA180"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89B3515" w14:textId="77777777">
            <w:pPr>
              <w:ind w:firstLine="220" w:firstLineChars="100"/>
              <w:rPr>
                <w:rFonts w:ascii="Arial" w:hAnsi="Arial" w:eastAsia="Times New Roman" w:cs="Arial"/>
                <w:sz w:val="20"/>
                <w:szCs w:val="20"/>
              </w:rPr>
            </w:pPr>
            <w:r w:rsidRPr="00636CF7">
              <w:t>f. Avsnitt 7 – Indikator för tillgångar under förvaring</w:t>
            </w:r>
          </w:p>
        </w:tc>
        <w:tc>
          <w:tcPr>
            <w:tcW w:w="2745" w:type="dxa"/>
            <w:tcBorders>
              <w:left w:val="nil"/>
              <w:right w:val="nil"/>
            </w:tcBorders>
            <w:noWrap/>
          </w:tcPr>
          <w:p w:rsidRPr="00636CF7" w:rsidR="00691BF0" w:rsidP="009A26DB" w:rsidRDefault="00691BF0" w14:paraId="2550474A" w14:textId="77777777">
            <w:pPr>
              <w:jc w:val="right"/>
              <w:rPr>
                <w:rFonts w:ascii="Arial" w:hAnsi="Arial" w:eastAsia="Times New Roman" w:cs="Arial"/>
                <w:sz w:val="20"/>
                <w:szCs w:val="20"/>
                <w:lang w:eastAsia="en-GB"/>
              </w:rPr>
            </w:pPr>
          </w:p>
        </w:tc>
      </w:tr>
      <w:tr w:rsidRPr="00636CF7" w:rsidR="00691BF0" w:rsidTr="009A26DB" w14:paraId="46F5C73F"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5FF6726" w14:textId="77777777">
            <w:pPr>
              <w:ind w:firstLine="220" w:firstLineChars="100"/>
              <w:rPr>
                <w:rFonts w:ascii="Arial" w:hAnsi="Arial" w:eastAsia="Times New Roman" w:cs="Arial"/>
                <w:sz w:val="20"/>
                <w:szCs w:val="20"/>
              </w:rPr>
            </w:pPr>
            <w:r w:rsidRPr="00636CF7">
              <w:t>g. Avsnitt 8 – Indikator för garantiverksamhet</w:t>
            </w:r>
          </w:p>
        </w:tc>
        <w:tc>
          <w:tcPr>
            <w:tcW w:w="2745" w:type="dxa"/>
            <w:tcBorders>
              <w:left w:val="nil"/>
              <w:right w:val="nil"/>
            </w:tcBorders>
            <w:noWrap/>
          </w:tcPr>
          <w:p w:rsidRPr="00636CF7" w:rsidR="00691BF0" w:rsidP="009A26DB" w:rsidRDefault="00691BF0" w14:paraId="3224C066" w14:textId="77777777">
            <w:pPr>
              <w:jc w:val="right"/>
              <w:rPr>
                <w:rFonts w:ascii="Arial" w:hAnsi="Arial" w:eastAsia="Times New Roman" w:cs="Arial"/>
                <w:sz w:val="20"/>
                <w:szCs w:val="20"/>
                <w:lang w:eastAsia="en-GB"/>
              </w:rPr>
            </w:pPr>
          </w:p>
        </w:tc>
      </w:tr>
      <w:tr w:rsidRPr="00636CF7" w:rsidR="00691BF0" w:rsidTr="009A26DB" w14:paraId="4FFCF740"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DE98C95" w14:textId="77777777">
            <w:pPr>
              <w:ind w:firstLine="220" w:firstLineChars="100"/>
              <w:rPr>
                <w:rFonts w:ascii="Arial" w:hAnsi="Arial" w:eastAsia="Times New Roman" w:cs="Arial"/>
                <w:sz w:val="20"/>
                <w:szCs w:val="20"/>
              </w:rPr>
            </w:pPr>
            <w:r w:rsidRPr="00636CF7">
              <w:t>h. Avsnitt 9 c – Delindikator, handelsvolym för fastförräntade värdepapper</w:t>
            </w:r>
          </w:p>
        </w:tc>
        <w:tc>
          <w:tcPr>
            <w:tcW w:w="2745" w:type="dxa"/>
            <w:tcBorders>
              <w:left w:val="nil"/>
              <w:right w:val="nil"/>
            </w:tcBorders>
            <w:noWrap/>
          </w:tcPr>
          <w:p w:rsidRPr="00636CF7" w:rsidR="00691BF0" w:rsidP="009A26DB" w:rsidRDefault="00691BF0" w14:paraId="63C32205" w14:textId="77777777">
            <w:pPr>
              <w:jc w:val="right"/>
              <w:rPr>
                <w:rFonts w:ascii="Arial" w:hAnsi="Arial" w:eastAsia="Times New Roman" w:cs="Arial"/>
                <w:sz w:val="20"/>
                <w:szCs w:val="20"/>
                <w:lang w:eastAsia="en-GB"/>
              </w:rPr>
            </w:pPr>
          </w:p>
        </w:tc>
      </w:tr>
      <w:tr w:rsidRPr="00636CF7" w:rsidR="00691BF0" w:rsidTr="009A26DB" w14:paraId="5640479D"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6A63F7F" w14:textId="77777777">
            <w:pPr>
              <w:ind w:left="171" w:firstLine="77" w:firstLineChars="35"/>
              <w:rPr>
                <w:rFonts w:ascii="Arial" w:hAnsi="Arial" w:eastAsia="Times New Roman" w:cs="Arial"/>
                <w:sz w:val="20"/>
                <w:szCs w:val="20"/>
              </w:rPr>
            </w:pPr>
            <w:r w:rsidRPr="00636CF7">
              <w:t>I. Avsnitt 9 f – Delindikator för handelsvolym för aktier och andra värdepapper</w:t>
            </w:r>
          </w:p>
        </w:tc>
        <w:tc>
          <w:tcPr>
            <w:tcW w:w="2745" w:type="dxa"/>
            <w:tcBorders>
              <w:left w:val="nil"/>
              <w:right w:val="nil"/>
            </w:tcBorders>
            <w:noWrap/>
          </w:tcPr>
          <w:p w:rsidRPr="00636CF7" w:rsidR="00691BF0" w:rsidP="009A26DB" w:rsidRDefault="00691BF0" w14:paraId="22DEBE89" w14:textId="77777777">
            <w:pPr>
              <w:jc w:val="right"/>
              <w:rPr>
                <w:rFonts w:ascii="Arial" w:hAnsi="Arial" w:eastAsia="Times New Roman" w:cs="Arial"/>
                <w:sz w:val="20"/>
                <w:szCs w:val="20"/>
                <w:lang w:eastAsia="en-GB"/>
              </w:rPr>
            </w:pPr>
          </w:p>
        </w:tc>
      </w:tr>
      <w:tr w:rsidRPr="00636CF7" w:rsidR="00691BF0" w:rsidTr="009A26DB" w14:paraId="0BAB5B3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B083490" w14:textId="77777777">
            <w:pPr>
              <w:ind w:left="171" w:firstLine="77" w:firstLineChars="35"/>
              <w:rPr>
                <w:rFonts w:ascii="Arial" w:hAnsi="Arial" w:eastAsia="Times New Roman" w:cs="Arial"/>
                <w:sz w:val="20"/>
                <w:szCs w:val="20"/>
              </w:rPr>
            </w:pPr>
            <w:r w:rsidRPr="00636CF7">
              <w:t>j. Avsnitt 10 – Indikator för OTC-derivat, inklusive försäkringsdotterföretag</w:t>
            </w:r>
          </w:p>
        </w:tc>
        <w:tc>
          <w:tcPr>
            <w:tcW w:w="2745" w:type="dxa"/>
            <w:tcBorders>
              <w:left w:val="nil"/>
              <w:right w:val="nil"/>
            </w:tcBorders>
            <w:noWrap/>
          </w:tcPr>
          <w:p w:rsidRPr="00636CF7" w:rsidR="00691BF0" w:rsidP="009A26DB" w:rsidRDefault="00691BF0" w14:paraId="04D5730D" w14:textId="77777777">
            <w:pPr>
              <w:jc w:val="right"/>
              <w:rPr>
                <w:rFonts w:ascii="Arial" w:hAnsi="Arial" w:eastAsia="Times New Roman" w:cs="Arial"/>
                <w:sz w:val="20"/>
                <w:szCs w:val="20"/>
                <w:lang w:eastAsia="en-GB"/>
              </w:rPr>
            </w:pPr>
          </w:p>
        </w:tc>
      </w:tr>
      <w:tr w:rsidRPr="00636CF7" w:rsidR="00691BF0" w:rsidTr="009A26DB" w14:paraId="4B5404EF"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7D72E3D" w14:textId="77777777">
            <w:pPr>
              <w:ind w:firstLine="220" w:firstLineChars="100"/>
              <w:rPr>
                <w:rFonts w:ascii="Arial" w:hAnsi="Arial" w:eastAsia="Times New Roman" w:cs="Arial"/>
                <w:sz w:val="20"/>
                <w:szCs w:val="20"/>
              </w:rPr>
            </w:pPr>
            <w:r w:rsidRPr="00636CF7">
              <w:t>k. Avsnitt 11 – Indikator för värdepapper tillgängliga för handel och försäljning</w:t>
            </w:r>
          </w:p>
        </w:tc>
        <w:tc>
          <w:tcPr>
            <w:tcW w:w="2745" w:type="dxa"/>
            <w:tcBorders>
              <w:left w:val="nil"/>
              <w:right w:val="nil"/>
            </w:tcBorders>
            <w:noWrap/>
          </w:tcPr>
          <w:p w:rsidRPr="00636CF7" w:rsidR="00691BF0" w:rsidP="009A26DB" w:rsidRDefault="00691BF0" w14:paraId="2515AB29" w14:textId="77777777">
            <w:pPr>
              <w:jc w:val="right"/>
              <w:rPr>
                <w:rFonts w:ascii="Arial" w:hAnsi="Arial" w:eastAsia="Times New Roman" w:cs="Arial"/>
                <w:sz w:val="20"/>
                <w:szCs w:val="20"/>
                <w:lang w:eastAsia="en-GB"/>
              </w:rPr>
            </w:pPr>
          </w:p>
        </w:tc>
      </w:tr>
      <w:tr w:rsidRPr="00636CF7" w:rsidR="00691BF0" w:rsidTr="009A26DB" w14:paraId="1454FD4F"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14E11C6" w14:textId="77777777">
            <w:pPr>
              <w:ind w:firstLine="220" w:firstLineChars="100"/>
              <w:rPr>
                <w:rFonts w:ascii="Arial" w:hAnsi="Arial" w:eastAsia="Times New Roman" w:cs="Arial"/>
                <w:sz w:val="20"/>
                <w:szCs w:val="20"/>
              </w:rPr>
            </w:pPr>
            <w:r w:rsidRPr="00636CF7">
              <w:t>l. Avsnitt 12 – Indikator för nivå 3-tillgångar, inklusive försäkringsdotterföretag</w:t>
            </w:r>
          </w:p>
        </w:tc>
        <w:tc>
          <w:tcPr>
            <w:tcW w:w="2745" w:type="dxa"/>
            <w:tcBorders>
              <w:left w:val="nil"/>
              <w:right w:val="nil"/>
            </w:tcBorders>
            <w:noWrap/>
          </w:tcPr>
          <w:p w:rsidRPr="00636CF7" w:rsidR="00691BF0" w:rsidP="009A26DB" w:rsidRDefault="00691BF0" w14:paraId="5B0CC7AC" w14:textId="77777777">
            <w:pPr>
              <w:jc w:val="right"/>
              <w:rPr>
                <w:rFonts w:ascii="Arial" w:hAnsi="Arial" w:eastAsia="Times New Roman" w:cs="Arial"/>
                <w:sz w:val="20"/>
                <w:szCs w:val="20"/>
                <w:lang w:eastAsia="en-GB"/>
              </w:rPr>
            </w:pPr>
          </w:p>
        </w:tc>
      </w:tr>
      <w:tr w:rsidRPr="00636CF7" w:rsidR="00691BF0" w:rsidTr="009A26DB" w14:paraId="04A2DCE4"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1B8681CA" w14:textId="77777777">
            <w:pPr>
              <w:ind w:firstLine="220" w:firstLineChars="100"/>
              <w:rPr>
                <w:rFonts w:ascii="Arial" w:hAnsi="Arial" w:eastAsia="Times New Roman" w:cs="Arial"/>
                <w:sz w:val="20"/>
                <w:szCs w:val="20"/>
              </w:rPr>
            </w:pPr>
            <w:r w:rsidRPr="00636CF7">
              <w:t>m. Avsnitt 13 – Indikator för fordringar över jurisdiktionsgränser</w:t>
            </w:r>
          </w:p>
        </w:tc>
        <w:tc>
          <w:tcPr>
            <w:tcW w:w="2745" w:type="dxa"/>
            <w:tcBorders>
              <w:left w:val="nil"/>
              <w:right w:val="nil"/>
            </w:tcBorders>
            <w:noWrap/>
          </w:tcPr>
          <w:p w:rsidRPr="00636CF7" w:rsidR="00691BF0" w:rsidP="009A26DB" w:rsidRDefault="00691BF0" w14:paraId="122DDDCE" w14:textId="77777777">
            <w:pPr>
              <w:jc w:val="right"/>
              <w:rPr>
                <w:rFonts w:ascii="Arial" w:hAnsi="Arial" w:eastAsia="Times New Roman" w:cs="Arial"/>
                <w:sz w:val="20"/>
                <w:szCs w:val="20"/>
                <w:lang w:eastAsia="en-GB"/>
              </w:rPr>
            </w:pPr>
          </w:p>
        </w:tc>
      </w:tr>
      <w:tr w:rsidRPr="00636CF7" w:rsidR="00691BF0" w:rsidTr="009A26DB" w14:paraId="70E4989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700BB04" w14:textId="77777777">
            <w:pPr>
              <w:ind w:firstLine="220" w:firstLineChars="100"/>
              <w:rPr>
                <w:rFonts w:ascii="Arial" w:hAnsi="Arial" w:eastAsia="Times New Roman" w:cs="Arial"/>
                <w:sz w:val="20"/>
                <w:szCs w:val="20"/>
              </w:rPr>
            </w:pPr>
            <w:r w:rsidRPr="00636CF7">
              <w:t>n. Avsnitt 14 – Indikator för skulder över jurisdiktionsgränser</w:t>
            </w:r>
          </w:p>
        </w:tc>
        <w:tc>
          <w:tcPr>
            <w:tcW w:w="2745" w:type="dxa"/>
            <w:tcBorders>
              <w:left w:val="nil"/>
              <w:right w:val="nil"/>
            </w:tcBorders>
            <w:noWrap/>
          </w:tcPr>
          <w:p w:rsidRPr="00636CF7" w:rsidR="00691BF0" w:rsidP="009A26DB" w:rsidRDefault="00691BF0" w14:paraId="72137E63" w14:textId="77777777">
            <w:pPr>
              <w:jc w:val="right"/>
              <w:rPr>
                <w:rFonts w:ascii="Arial" w:hAnsi="Arial" w:eastAsia="Times New Roman" w:cs="Arial"/>
                <w:sz w:val="20"/>
                <w:szCs w:val="20"/>
                <w:lang w:eastAsia="en-GB"/>
              </w:rPr>
            </w:pPr>
          </w:p>
        </w:tc>
      </w:tr>
      <w:tr w:rsidRPr="00636CF7" w:rsidR="00691BF0" w:rsidTr="009A26DB" w14:paraId="3011207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CBDF594" w14:textId="77777777">
            <w:pPr>
              <w:ind w:firstLine="220" w:firstLineChars="100"/>
              <w:rPr>
                <w:rFonts w:ascii="Arial" w:hAnsi="Arial" w:eastAsia="Times New Roman" w:cs="Arial"/>
                <w:sz w:val="20"/>
                <w:szCs w:val="20"/>
              </w:rPr>
            </w:pPr>
            <w:r w:rsidRPr="00636CF7">
              <w:t>o. Övriga avsnitt</w:t>
            </w:r>
          </w:p>
        </w:tc>
        <w:tc>
          <w:tcPr>
            <w:tcW w:w="2745" w:type="dxa"/>
            <w:tcBorders>
              <w:left w:val="nil"/>
              <w:right w:val="nil"/>
            </w:tcBorders>
            <w:noWrap/>
          </w:tcPr>
          <w:p w:rsidRPr="00636CF7" w:rsidR="00691BF0" w:rsidP="009A26DB" w:rsidRDefault="00691BF0" w14:paraId="6E82EED4" w14:textId="77777777">
            <w:pPr>
              <w:jc w:val="right"/>
              <w:rPr>
                <w:rFonts w:ascii="Arial" w:hAnsi="Arial" w:eastAsia="Times New Roman" w:cs="Arial"/>
                <w:sz w:val="20"/>
                <w:szCs w:val="20"/>
                <w:lang w:eastAsia="en-GB"/>
              </w:rPr>
            </w:pPr>
          </w:p>
        </w:tc>
      </w:tr>
      <w:tr w:rsidRPr="00636CF7" w:rsidR="00691BF0" w:rsidTr="009A26DB" w14:paraId="6F101F16"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1C177356" w14:textId="77777777">
            <w:pPr>
              <w:ind w:firstLine="220" w:firstLineChars="100"/>
              <w:rPr>
                <w:rFonts w:ascii="Arial" w:hAnsi="Arial" w:eastAsia="Times New Roman" w:cs="Arial"/>
                <w:sz w:val="20"/>
                <w:szCs w:val="20"/>
              </w:rPr>
            </w:pPr>
            <w:r w:rsidRPr="00636CF7">
              <w:t>(1) Post 1 a – Allmän information tillhandahållen av tillsynsmyndigheten</w:t>
            </w:r>
          </w:p>
        </w:tc>
        <w:tc>
          <w:tcPr>
            <w:tcW w:w="2745" w:type="dxa"/>
            <w:tcBorders>
              <w:left w:val="nil"/>
              <w:right w:val="nil"/>
            </w:tcBorders>
            <w:noWrap/>
          </w:tcPr>
          <w:p w:rsidRPr="00636CF7" w:rsidR="00691BF0" w:rsidP="009A26DB" w:rsidRDefault="00691BF0" w14:paraId="4AB0789E" w14:textId="77777777">
            <w:pPr>
              <w:jc w:val="right"/>
              <w:rPr>
                <w:rFonts w:ascii="Arial" w:hAnsi="Arial" w:eastAsia="Times New Roman" w:cs="Arial"/>
                <w:sz w:val="20"/>
                <w:szCs w:val="20"/>
                <w:lang w:eastAsia="en-GB"/>
              </w:rPr>
            </w:pPr>
          </w:p>
        </w:tc>
      </w:tr>
      <w:tr w:rsidRPr="00636CF7" w:rsidR="00691BF0" w:rsidTr="009A26DB" w14:paraId="2E93DF63"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8857917" w14:textId="77777777">
            <w:pPr>
              <w:ind w:firstLine="220" w:firstLineChars="100"/>
              <w:rPr>
                <w:rFonts w:ascii="Arial" w:hAnsi="Arial" w:eastAsia="Times New Roman" w:cs="Arial"/>
                <w:sz w:val="20"/>
                <w:szCs w:val="20"/>
              </w:rPr>
            </w:pPr>
            <w:r w:rsidRPr="00636CF7">
              <w:t>(2) Post 1 b – Allmän information tillhandahållen av uppgiftslämnaren</w:t>
            </w:r>
          </w:p>
        </w:tc>
        <w:tc>
          <w:tcPr>
            <w:tcW w:w="2745" w:type="dxa"/>
            <w:tcBorders>
              <w:left w:val="nil"/>
              <w:right w:val="nil"/>
            </w:tcBorders>
            <w:noWrap/>
          </w:tcPr>
          <w:p w:rsidRPr="00636CF7" w:rsidR="00691BF0" w:rsidP="009A26DB" w:rsidRDefault="00691BF0" w14:paraId="138348FD" w14:textId="77777777">
            <w:pPr>
              <w:jc w:val="right"/>
              <w:rPr>
                <w:rFonts w:ascii="Arial" w:hAnsi="Arial" w:eastAsia="Times New Roman" w:cs="Arial"/>
                <w:sz w:val="20"/>
                <w:szCs w:val="20"/>
                <w:lang w:eastAsia="en-GB"/>
              </w:rPr>
            </w:pPr>
          </w:p>
        </w:tc>
      </w:tr>
      <w:tr w:rsidRPr="00636CF7" w:rsidR="00691BF0" w:rsidTr="009A26DB" w14:paraId="7E4F24E4"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9EDABC2" w14:textId="77777777">
            <w:pPr>
              <w:ind w:firstLine="220" w:firstLineChars="100"/>
              <w:rPr>
                <w:rFonts w:ascii="Arial" w:hAnsi="Arial" w:eastAsia="Times New Roman" w:cs="Arial"/>
                <w:sz w:val="20"/>
                <w:szCs w:val="20"/>
              </w:rPr>
            </w:pPr>
            <w:r w:rsidRPr="00636CF7">
              <w:lastRenderedPageBreak/>
              <w:t>(3) Avsnitt 15 – Kompletterande indikatorer</w:t>
            </w:r>
          </w:p>
        </w:tc>
        <w:tc>
          <w:tcPr>
            <w:tcW w:w="2745" w:type="dxa"/>
            <w:tcBorders>
              <w:left w:val="nil"/>
              <w:right w:val="nil"/>
            </w:tcBorders>
            <w:noWrap/>
          </w:tcPr>
          <w:p w:rsidRPr="00636CF7" w:rsidR="00691BF0" w:rsidP="009A26DB" w:rsidRDefault="00691BF0" w14:paraId="2DE326AA" w14:textId="77777777">
            <w:pPr>
              <w:jc w:val="right"/>
              <w:rPr>
                <w:rFonts w:ascii="Arial" w:hAnsi="Arial" w:eastAsia="Times New Roman" w:cs="Arial"/>
                <w:sz w:val="20"/>
                <w:szCs w:val="20"/>
                <w:lang w:eastAsia="en-GB"/>
              </w:rPr>
            </w:pPr>
          </w:p>
        </w:tc>
      </w:tr>
      <w:tr w:rsidRPr="00636CF7" w:rsidR="00691BF0" w:rsidTr="009A26DB" w14:paraId="0E36F44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D473690" w14:textId="77777777">
            <w:pPr>
              <w:ind w:firstLine="220" w:firstLineChars="100"/>
              <w:rPr>
                <w:rFonts w:ascii="Arial" w:hAnsi="Arial" w:eastAsia="Times New Roman" w:cs="Arial"/>
                <w:sz w:val="20"/>
                <w:szCs w:val="20"/>
              </w:rPr>
            </w:pPr>
            <w:r w:rsidRPr="00636CF7">
              <w:t>(4) Avsnitt 16 – Kompletterande poster</w:t>
            </w:r>
          </w:p>
        </w:tc>
        <w:tc>
          <w:tcPr>
            <w:tcW w:w="2745" w:type="dxa"/>
            <w:tcBorders>
              <w:left w:val="nil"/>
              <w:right w:val="nil"/>
            </w:tcBorders>
            <w:noWrap/>
          </w:tcPr>
          <w:p w:rsidRPr="00636CF7" w:rsidR="00691BF0" w:rsidP="009A26DB" w:rsidRDefault="00691BF0" w14:paraId="70051657" w14:textId="77777777">
            <w:pPr>
              <w:jc w:val="right"/>
              <w:rPr>
                <w:rFonts w:ascii="Arial" w:hAnsi="Arial" w:eastAsia="Times New Roman" w:cs="Arial"/>
                <w:sz w:val="20"/>
                <w:szCs w:val="20"/>
                <w:lang w:eastAsia="en-GB"/>
              </w:rPr>
            </w:pPr>
          </w:p>
        </w:tc>
      </w:tr>
      <w:tr w:rsidRPr="00636CF7" w:rsidR="00691BF0" w:rsidTr="009A26DB" w14:paraId="3EB629A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D4523C6" w14:textId="77777777">
            <w:pPr>
              <w:ind w:firstLine="220" w:firstLineChars="100"/>
              <w:rPr>
                <w:rFonts w:ascii="Arial" w:hAnsi="Arial" w:eastAsia="Times New Roman" w:cs="Arial"/>
                <w:sz w:val="20"/>
                <w:szCs w:val="20"/>
              </w:rPr>
            </w:pPr>
            <w:r w:rsidRPr="00636CF7">
              <w:t>(5) Avsnitt 17 – Storleksartiklar</w:t>
            </w:r>
          </w:p>
        </w:tc>
        <w:tc>
          <w:tcPr>
            <w:tcW w:w="2745" w:type="dxa"/>
            <w:tcBorders>
              <w:left w:val="nil"/>
              <w:right w:val="nil"/>
            </w:tcBorders>
            <w:noWrap/>
          </w:tcPr>
          <w:p w:rsidRPr="00636CF7" w:rsidR="00691BF0" w:rsidP="009A26DB" w:rsidRDefault="00691BF0" w14:paraId="107A4BAF" w14:textId="77777777">
            <w:pPr>
              <w:jc w:val="right"/>
              <w:rPr>
                <w:rFonts w:ascii="Arial" w:hAnsi="Arial" w:eastAsia="Times New Roman" w:cs="Arial"/>
                <w:sz w:val="20"/>
                <w:szCs w:val="20"/>
                <w:lang w:eastAsia="en-GB"/>
              </w:rPr>
            </w:pPr>
          </w:p>
        </w:tc>
      </w:tr>
      <w:tr w:rsidRPr="00636CF7" w:rsidR="00691BF0" w:rsidTr="009A26DB" w14:paraId="63533970"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D68C488" w14:textId="77777777">
            <w:pPr>
              <w:ind w:firstLine="220" w:firstLineChars="100"/>
              <w:rPr>
                <w:rFonts w:ascii="Arial" w:hAnsi="Arial" w:eastAsia="Times New Roman" w:cs="Arial"/>
                <w:sz w:val="20"/>
                <w:szCs w:val="20"/>
              </w:rPr>
            </w:pPr>
            <w:r w:rsidRPr="00636CF7">
              <w:t>(6) Avsnitt 18 – Sammanlänkningsposter</w:t>
            </w:r>
          </w:p>
        </w:tc>
        <w:tc>
          <w:tcPr>
            <w:tcW w:w="2745" w:type="dxa"/>
            <w:tcBorders>
              <w:left w:val="nil"/>
              <w:right w:val="nil"/>
            </w:tcBorders>
            <w:noWrap/>
          </w:tcPr>
          <w:p w:rsidRPr="00636CF7" w:rsidR="00691BF0" w:rsidP="009A26DB" w:rsidRDefault="00691BF0" w14:paraId="67487F94" w14:textId="77777777">
            <w:pPr>
              <w:jc w:val="right"/>
              <w:rPr>
                <w:rFonts w:ascii="Arial" w:hAnsi="Arial" w:eastAsia="Times New Roman" w:cs="Arial"/>
                <w:sz w:val="20"/>
                <w:szCs w:val="20"/>
                <w:lang w:eastAsia="en-GB"/>
              </w:rPr>
            </w:pPr>
          </w:p>
        </w:tc>
      </w:tr>
      <w:tr w:rsidRPr="00636CF7" w:rsidR="00691BF0" w:rsidTr="009A26DB" w14:paraId="2EDD30C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ACF7461" w14:textId="77777777">
            <w:pPr>
              <w:ind w:firstLine="220" w:firstLineChars="100"/>
              <w:rPr>
                <w:rFonts w:ascii="Arial" w:hAnsi="Arial" w:eastAsia="Times New Roman" w:cs="Arial"/>
                <w:sz w:val="20"/>
                <w:szCs w:val="20"/>
              </w:rPr>
            </w:pPr>
            <w:r w:rsidRPr="00636CF7">
              <w:t xml:space="preserve">(7) Avsnitt 19 – Poster avs. substituerbarhet/finansiell infrastruktur  </w:t>
            </w:r>
          </w:p>
        </w:tc>
        <w:tc>
          <w:tcPr>
            <w:tcW w:w="2745" w:type="dxa"/>
            <w:tcBorders>
              <w:left w:val="nil"/>
              <w:right w:val="nil"/>
            </w:tcBorders>
            <w:noWrap/>
          </w:tcPr>
          <w:p w:rsidRPr="00636CF7" w:rsidR="00691BF0" w:rsidP="009A26DB" w:rsidRDefault="00691BF0" w14:paraId="53B055EC" w14:textId="77777777">
            <w:pPr>
              <w:jc w:val="right"/>
              <w:rPr>
                <w:rFonts w:ascii="Arial" w:hAnsi="Arial" w:eastAsia="Times New Roman" w:cs="Arial"/>
                <w:sz w:val="20"/>
                <w:szCs w:val="20"/>
                <w:lang w:eastAsia="en-GB"/>
              </w:rPr>
            </w:pPr>
          </w:p>
        </w:tc>
      </w:tr>
      <w:tr w:rsidRPr="00636CF7" w:rsidR="00691BF0" w:rsidTr="009A26DB" w14:paraId="4A23BFF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6A5074D" w14:textId="77777777">
            <w:pPr>
              <w:ind w:firstLine="220" w:firstLineChars="100"/>
              <w:rPr>
                <w:rFonts w:ascii="Arial" w:hAnsi="Arial" w:eastAsia="Times New Roman" w:cs="Arial"/>
                <w:sz w:val="20"/>
                <w:szCs w:val="20"/>
              </w:rPr>
            </w:pPr>
            <w:r w:rsidRPr="00636CF7">
              <w:t>(8) Avsnitt 20 – Komplexitetsposter</w:t>
            </w:r>
          </w:p>
        </w:tc>
        <w:tc>
          <w:tcPr>
            <w:tcW w:w="2745" w:type="dxa"/>
            <w:tcBorders>
              <w:left w:val="nil"/>
              <w:right w:val="nil"/>
            </w:tcBorders>
            <w:noWrap/>
          </w:tcPr>
          <w:p w:rsidRPr="00636CF7" w:rsidR="00691BF0" w:rsidP="009A26DB" w:rsidRDefault="00691BF0" w14:paraId="3415F9FA" w14:textId="77777777">
            <w:pPr>
              <w:jc w:val="right"/>
              <w:rPr>
                <w:rFonts w:ascii="Arial" w:hAnsi="Arial" w:eastAsia="Times New Roman" w:cs="Arial"/>
                <w:sz w:val="20"/>
                <w:szCs w:val="20"/>
                <w:lang w:eastAsia="en-GB"/>
              </w:rPr>
            </w:pPr>
          </w:p>
        </w:tc>
      </w:tr>
      <w:tr w:rsidRPr="00636CF7" w:rsidR="00691BF0" w:rsidTr="009A26DB" w14:paraId="16EF507E"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58883FE5" w14:textId="77777777">
            <w:pPr>
              <w:ind w:firstLine="220" w:firstLineChars="100"/>
              <w:rPr>
                <w:rFonts w:ascii="Arial" w:hAnsi="Arial" w:eastAsia="Times New Roman" w:cs="Arial"/>
                <w:sz w:val="20"/>
                <w:szCs w:val="20"/>
              </w:rPr>
            </w:pPr>
            <w:r w:rsidRPr="00636CF7">
              <w:t>(9) Avsnitt 21 – Poster för gränsöverskridande verksamhet</w:t>
            </w:r>
          </w:p>
        </w:tc>
        <w:tc>
          <w:tcPr>
            <w:tcW w:w="2745" w:type="dxa"/>
            <w:tcBorders>
              <w:left w:val="nil"/>
              <w:right w:val="nil"/>
            </w:tcBorders>
            <w:noWrap/>
          </w:tcPr>
          <w:p w:rsidRPr="00636CF7" w:rsidR="00691BF0" w:rsidP="009A26DB" w:rsidRDefault="00691BF0" w14:paraId="7E0813DF" w14:textId="77777777">
            <w:pPr>
              <w:jc w:val="right"/>
              <w:rPr>
                <w:rFonts w:ascii="Arial" w:hAnsi="Arial" w:eastAsia="Times New Roman" w:cs="Arial"/>
                <w:sz w:val="20"/>
                <w:szCs w:val="20"/>
                <w:lang w:eastAsia="en-GB"/>
              </w:rPr>
            </w:pPr>
          </w:p>
        </w:tc>
      </w:tr>
      <w:tr w:rsidRPr="00636CF7" w:rsidR="00691BF0" w:rsidTr="009A26DB" w14:paraId="4C8E9A29"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5EFBCA0" w14:textId="77777777">
            <w:pPr>
              <w:ind w:firstLine="220" w:firstLineChars="100"/>
              <w:rPr>
                <w:rFonts w:ascii="Arial" w:hAnsi="Arial" w:eastAsia="Times New Roman" w:cs="Arial"/>
                <w:sz w:val="20"/>
                <w:szCs w:val="20"/>
              </w:rPr>
            </w:pPr>
            <w:r w:rsidRPr="00636CF7">
              <w:t>(10) Avsnitt 22 – Kompletterande indikatorer</w:t>
            </w:r>
          </w:p>
        </w:tc>
        <w:tc>
          <w:tcPr>
            <w:tcW w:w="2745" w:type="dxa"/>
            <w:tcBorders>
              <w:left w:val="nil"/>
              <w:right w:val="nil"/>
            </w:tcBorders>
            <w:noWrap/>
          </w:tcPr>
          <w:p w:rsidRPr="00636CF7" w:rsidR="00691BF0" w:rsidP="009A26DB" w:rsidRDefault="00691BF0" w14:paraId="09243193" w14:textId="77777777">
            <w:pPr>
              <w:jc w:val="right"/>
              <w:rPr>
                <w:rFonts w:ascii="Arial" w:hAnsi="Arial" w:eastAsia="Times New Roman" w:cs="Arial"/>
                <w:sz w:val="20"/>
                <w:szCs w:val="20"/>
                <w:lang w:eastAsia="en-GB"/>
              </w:rPr>
            </w:pPr>
          </w:p>
        </w:tc>
      </w:tr>
      <w:tr w:rsidRPr="00636CF7" w:rsidR="00691BF0" w:rsidTr="009A26DB" w14:paraId="5E4D1C7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15BCF4DC" w14:textId="77777777">
            <w:pPr>
              <w:rPr>
                <w:b/>
                <w:bCs/>
              </w:rPr>
            </w:pPr>
          </w:p>
        </w:tc>
        <w:tc>
          <w:tcPr>
            <w:tcW w:w="2745" w:type="dxa"/>
            <w:tcBorders>
              <w:left w:val="nil"/>
              <w:right w:val="nil"/>
            </w:tcBorders>
            <w:noWrap/>
          </w:tcPr>
          <w:p w:rsidRPr="00636CF7" w:rsidR="00691BF0" w:rsidP="009A26DB" w:rsidRDefault="00691BF0" w14:paraId="0D0A46DC" w14:textId="77777777">
            <w:pPr>
              <w:jc w:val="center"/>
              <w:rPr>
                <w:b/>
                <w:bCs/>
              </w:rPr>
            </w:pPr>
          </w:p>
        </w:tc>
      </w:tr>
      <w:tr w:rsidRPr="00636CF7" w:rsidR="00691BF0" w:rsidTr="009A26DB" w14:paraId="27D142E8"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F4A0A6C" w14:textId="77777777">
            <w:pPr>
              <w:rPr>
                <w:rFonts w:ascii="Arial" w:hAnsi="Arial" w:eastAsia="Times New Roman" w:cs="Arial"/>
                <w:sz w:val="20"/>
                <w:szCs w:val="20"/>
              </w:rPr>
            </w:pPr>
            <w:r w:rsidRPr="00636CF7">
              <w:rPr>
                <w:b/>
              </w:rPr>
              <w:t>Avsnitt 24 – Indikatorvärden (gammal metod)</w:t>
            </w:r>
          </w:p>
        </w:tc>
        <w:tc>
          <w:tcPr>
            <w:tcW w:w="2745" w:type="dxa"/>
            <w:tcBorders>
              <w:left w:val="nil"/>
              <w:right w:val="nil"/>
            </w:tcBorders>
            <w:noWrap/>
          </w:tcPr>
          <w:p w:rsidRPr="00636CF7" w:rsidR="00691BF0" w:rsidP="009A26DB" w:rsidRDefault="00691BF0" w14:paraId="667EC17A" w14:textId="77777777">
            <w:pPr>
              <w:jc w:val="center"/>
              <w:rPr>
                <w:rFonts w:ascii="Arial" w:hAnsi="Arial" w:eastAsia="Times New Roman" w:cs="Arial"/>
                <w:sz w:val="20"/>
                <w:szCs w:val="20"/>
              </w:rPr>
            </w:pPr>
            <w:r w:rsidRPr="00636CF7">
              <w:rPr>
                <w:b/>
              </w:rPr>
              <w:t>Indikatorvärde i rapporteringsvaluta</w:t>
            </w:r>
          </w:p>
        </w:tc>
      </w:tr>
      <w:tr w:rsidRPr="00636CF7" w:rsidR="00691BF0" w:rsidTr="009A26DB" w14:paraId="364E298A"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2200931A" w14:textId="77777777">
            <w:pPr>
              <w:ind w:firstLine="220" w:firstLineChars="100"/>
              <w:rPr>
                <w:rFonts w:ascii="Arial" w:hAnsi="Arial" w:eastAsia="Times New Roman" w:cs="Arial"/>
                <w:sz w:val="20"/>
                <w:szCs w:val="20"/>
              </w:rPr>
            </w:pPr>
            <w:r w:rsidRPr="00636CF7">
              <w:t>a. Avsnitt 2 – Indikator för totala exponeringar</w:t>
            </w:r>
          </w:p>
        </w:tc>
        <w:tc>
          <w:tcPr>
            <w:tcW w:w="2745" w:type="dxa"/>
            <w:tcBorders>
              <w:left w:val="nil"/>
              <w:right w:val="nil"/>
            </w:tcBorders>
            <w:noWrap/>
          </w:tcPr>
          <w:p w:rsidRPr="00636CF7" w:rsidR="00691BF0" w:rsidP="009A26DB" w:rsidRDefault="00691BF0" w14:paraId="0B18179A" w14:textId="77777777">
            <w:pPr>
              <w:jc w:val="right"/>
              <w:rPr>
                <w:rFonts w:ascii="Arial" w:hAnsi="Arial" w:eastAsia="Times New Roman" w:cs="Arial"/>
                <w:sz w:val="20"/>
                <w:szCs w:val="20"/>
                <w:lang w:eastAsia="en-GB"/>
              </w:rPr>
            </w:pPr>
          </w:p>
        </w:tc>
      </w:tr>
      <w:tr w:rsidRPr="00636CF7" w:rsidR="00691BF0" w:rsidTr="009A26DB" w14:paraId="18EE0AFA"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F9C6E9E" w14:textId="77777777">
            <w:pPr>
              <w:ind w:firstLine="220" w:firstLineChars="100"/>
              <w:rPr>
                <w:rFonts w:ascii="Arial" w:hAnsi="Arial" w:eastAsia="Times New Roman" w:cs="Arial"/>
                <w:sz w:val="20"/>
                <w:szCs w:val="20"/>
              </w:rPr>
            </w:pPr>
            <w:r w:rsidRPr="00636CF7">
              <w:t>b. Avsnitt 18 – Indikator för tillgångar hos andra finansinstitut</w:t>
            </w:r>
          </w:p>
        </w:tc>
        <w:tc>
          <w:tcPr>
            <w:tcW w:w="2745" w:type="dxa"/>
            <w:tcBorders>
              <w:left w:val="nil"/>
              <w:right w:val="nil"/>
            </w:tcBorders>
            <w:noWrap/>
          </w:tcPr>
          <w:p w:rsidRPr="00636CF7" w:rsidR="00691BF0" w:rsidP="009A26DB" w:rsidRDefault="00691BF0" w14:paraId="5F4C9B48" w14:textId="77777777">
            <w:pPr>
              <w:jc w:val="right"/>
              <w:rPr>
                <w:rFonts w:ascii="Arial" w:hAnsi="Arial" w:eastAsia="Times New Roman" w:cs="Arial"/>
                <w:sz w:val="20"/>
                <w:szCs w:val="20"/>
                <w:lang w:eastAsia="en-GB"/>
              </w:rPr>
            </w:pPr>
          </w:p>
        </w:tc>
      </w:tr>
      <w:tr w:rsidRPr="00636CF7" w:rsidR="00691BF0" w:rsidTr="009A26DB" w14:paraId="143B738B"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7F27C8EC" w14:textId="77777777">
            <w:pPr>
              <w:ind w:firstLine="220" w:firstLineChars="100"/>
              <w:rPr>
                <w:rFonts w:ascii="Arial" w:hAnsi="Arial" w:eastAsia="Times New Roman" w:cs="Arial"/>
                <w:sz w:val="20"/>
                <w:szCs w:val="20"/>
              </w:rPr>
            </w:pPr>
            <w:r w:rsidRPr="00636CF7">
              <w:t>c. Avsnitt 18 – Indikator för skulder till andra finansinstitut</w:t>
            </w:r>
          </w:p>
        </w:tc>
        <w:tc>
          <w:tcPr>
            <w:tcW w:w="2745" w:type="dxa"/>
            <w:tcBorders>
              <w:left w:val="nil"/>
              <w:right w:val="nil"/>
            </w:tcBorders>
            <w:noWrap/>
          </w:tcPr>
          <w:p w:rsidRPr="00636CF7" w:rsidR="00691BF0" w:rsidP="009A26DB" w:rsidRDefault="00691BF0" w14:paraId="3453F71A" w14:textId="77777777">
            <w:pPr>
              <w:jc w:val="right"/>
              <w:rPr>
                <w:rFonts w:ascii="Arial" w:hAnsi="Arial" w:eastAsia="Times New Roman" w:cs="Arial"/>
                <w:sz w:val="20"/>
                <w:szCs w:val="20"/>
                <w:lang w:eastAsia="en-GB"/>
              </w:rPr>
            </w:pPr>
          </w:p>
        </w:tc>
      </w:tr>
      <w:tr w:rsidRPr="00636CF7" w:rsidR="00691BF0" w:rsidTr="009A26DB" w14:paraId="403674C7"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7CC5FD5" w14:textId="77777777">
            <w:pPr>
              <w:ind w:firstLine="220" w:firstLineChars="100"/>
              <w:rPr>
                <w:rFonts w:ascii="Arial" w:hAnsi="Arial" w:eastAsia="Times New Roman" w:cs="Arial"/>
                <w:sz w:val="20"/>
                <w:szCs w:val="20"/>
              </w:rPr>
            </w:pPr>
            <w:r w:rsidRPr="00636CF7">
              <w:t>d. Avsnitt 18 – Indikator för utestående värdepapper</w:t>
            </w:r>
          </w:p>
        </w:tc>
        <w:tc>
          <w:tcPr>
            <w:tcW w:w="2745" w:type="dxa"/>
            <w:tcBorders>
              <w:left w:val="nil"/>
              <w:right w:val="nil"/>
            </w:tcBorders>
            <w:noWrap/>
          </w:tcPr>
          <w:p w:rsidRPr="00636CF7" w:rsidR="00691BF0" w:rsidP="009A26DB" w:rsidRDefault="00691BF0" w14:paraId="06853B09" w14:textId="77777777">
            <w:pPr>
              <w:jc w:val="right"/>
              <w:rPr>
                <w:rFonts w:ascii="Arial" w:hAnsi="Arial" w:eastAsia="Times New Roman" w:cs="Arial"/>
                <w:sz w:val="20"/>
                <w:szCs w:val="20"/>
                <w:lang w:eastAsia="en-GB"/>
              </w:rPr>
            </w:pPr>
          </w:p>
        </w:tc>
      </w:tr>
      <w:tr w:rsidRPr="00636CF7" w:rsidR="00691BF0" w:rsidTr="009A26DB" w14:paraId="679EBB79"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042ACC17" w14:textId="77777777">
            <w:pPr>
              <w:ind w:firstLine="220" w:firstLineChars="100"/>
              <w:rPr>
                <w:rFonts w:ascii="Arial" w:hAnsi="Arial" w:eastAsia="Times New Roman" w:cs="Arial"/>
                <w:sz w:val="20"/>
                <w:szCs w:val="20"/>
              </w:rPr>
            </w:pPr>
            <w:r w:rsidRPr="00636CF7">
              <w:t>e. Avsnitt 6 – Indikator för betalningsaktivitet</w:t>
            </w:r>
          </w:p>
        </w:tc>
        <w:tc>
          <w:tcPr>
            <w:tcW w:w="2745" w:type="dxa"/>
            <w:tcBorders>
              <w:left w:val="nil"/>
              <w:right w:val="nil"/>
            </w:tcBorders>
            <w:noWrap/>
          </w:tcPr>
          <w:p w:rsidRPr="00636CF7" w:rsidR="00691BF0" w:rsidP="009A26DB" w:rsidRDefault="00691BF0" w14:paraId="78E44101" w14:textId="77777777">
            <w:pPr>
              <w:jc w:val="right"/>
              <w:rPr>
                <w:rFonts w:ascii="Arial" w:hAnsi="Arial" w:eastAsia="Times New Roman" w:cs="Arial"/>
                <w:sz w:val="20"/>
                <w:szCs w:val="20"/>
                <w:lang w:eastAsia="en-GB"/>
              </w:rPr>
            </w:pPr>
          </w:p>
        </w:tc>
      </w:tr>
      <w:tr w:rsidRPr="00636CF7" w:rsidR="00691BF0" w:rsidTr="009A26DB" w14:paraId="6BA7E96C"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4F8AF164" w14:textId="77777777">
            <w:pPr>
              <w:ind w:firstLine="220" w:firstLineChars="100"/>
              <w:rPr>
                <w:rFonts w:ascii="Arial" w:hAnsi="Arial" w:eastAsia="Times New Roman" w:cs="Arial"/>
                <w:sz w:val="20"/>
                <w:szCs w:val="20"/>
              </w:rPr>
            </w:pPr>
            <w:r w:rsidRPr="00636CF7">
              <w:t>f. Avsnitt 7 – Indikator för tillgångar under förvaring</w:t>
            </w:r>
          </w:p>
        </w:tc>
        <w:tc>
          <w:tcPr>
            <w:tcW w:w="2745" w:type="dxa"/>
            <w:tcBorders>
              <w:left w:val="nil"/>
              <w:right w:val="nil"/>
            </w:tcBorders>
            <w:noWrap/>
          </w:tcPr>
          <w:p w:rsidRPr="00636CF7" w:rsidR="00691BF0" w:rsidP="009A26DB" w:rsidRDefault="00691BF0" w14:paraId="205B5A67" w14:textId="77777777">
            <w:pPr>
              <w:jc w:val="right"/>
              <w:rPr>
                <w:rFonts w:ascii="Arial" w:hAnsi="Arial" w:eastAsia="Times New Roman" w:cs="Arial"/>
                <w:sz w:val="20"/>
                <w:szCs w:val="20"/>
                <w:lang w:eastAsia="en-GB"/>
              </w:rPr>
            </w:pPr>
          </w:p>
        </w:tc>
      </w:tr>
      <w:tr w:rsidRPr="00636CF7" w:rsidR="00691BF0" w:rsidTr="009A26DB" w14:paraId="4B3423A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23B2C36E" w14:textId="77777777">
            <w:pPr>
              <w:ind w:firstLine="220" w:firstLineChars="100"/>
              <w:rPr>
                <w:rFonts w:ascii="Arial" w:hAnsi="Arial" w:eastAsia="Times New Roman" w:cs="Arial"/>
                <w:sz w:val="20"/>
                <w:szCs w:val="20"/>
              </w:rPr>
            </w:pPr>
            <w:r w:rsidRPr="00636CF7">
              <w:t>g. Avsnitt 8 – Indikator för garantiverksamhet</w:t>
            </w:r>
          </w:p>
        </w:tc>
        <w:tc>
          <w:tcPr>
            <w:tcW w:w="2745" w:type="dxa"/>
            <w:tcBorders>
              <w:left w:val="nil"/>
              <w:right w:val="nil"/>
            </w:tcBorders>
            <w:noWrap/>
          </w:tcPr>
          <w:p w:rsidRPr="00636CF7" w:rsidR="00691BF0" w:rsidP="009A26DB" w:rsidRDefault="00691BF0" w14:paraId="1C001BB8" w14:textId="77777777">
            <w:pPr>
              <w:jc w:val="right"/>
              <w:rPr>
                <w:rFonts w:ascii="Arial" w:hAnsi="Arial" w:eastAsia="Times New Roman" w:cs="Arial"/>
                <w:sz w:val="20"/>
                <w:szCs w:val="20"/>
                <w:lang w:eastAsia="en-GB"/>
              </w:rPr>
            </w:pPr>
          </w:p>
        </w:tc>
      </w:tr>
      <w:tr w:rsidRPr="00636CF7" w:rsidR="00691BF0" w:rsidTr="009A26DB" w14:paraId="5F5F8CEE"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2A47C3C3" w14:textId="77777777">
            <w:pPr>
              <w:ind w:firstLine="220" w:firstLineChars="100"/>
              <w:rPr>
                <w:rFonts w:ascii="Arial" w:hAnsi="Arial" w:eastAsia="Times New Roman" w:cs="Arial"/>
                <w:sz w:val="20"/>
                <w:szCs w:val="20"/>
              </w:rPr>
            </w:pPr>
            <w:r w:rsidRPr="00636CF7">
              <w:t>h. Avsnitt 20 – Indikator för OTC-derivat</w:t>
            </w:r>
          </w:p>
        </w:tc>
        <w:tc>
          <w:tcPr>
            <w:tcW w:w="2745" w:type="dxa"/>
            <w:tcBorders>
              <w:left w:val="nil"/>
              <w:right w:val="nil"/>
            </w:tcBorders>
            <w:noWrap/>
          </w:tcPr>
          <w:p w:rsidRPr="00636CF7" w:rsidR="00691BF0" w:rsidP="009A26DB" w:rsidRDefault="00691BF0" w14:paraId="1E2DD560" w14:textId="77777777">
            <w:pPr>
              <w:jc w:val="right"/>
              <w:rPr>
                <w:rFonts w:ascii="Arial" w:hAnsi="Arial" w:eastAsia="Times New Roman" w:cs="Arial"/>
                <w:sz w:val="20"/>
                <w:szCs w:val="20"/>
                <w:lang w:eastAsia="en-GB"/>
              </w:rPr>
            </w:pPr>
          </w:p>
        </w:tc>
      </w:tr>
      <w:tr w:rsidRPr="00636CF7" w:rsidR="00691BF0" w:rsidTr="009A26DB" w14:paraId="15511AD5"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FAE641E" w14:textId="77777777">
            <w:pPr>
              <w:ind w:firstLine="220" w:firstLineChars="100"/>
              <w:rPr>
                <w:rFonts w:ascii="Arial" w:hAnsi="Arial" w:eastAsia="Times New Roman" w:cs="Arial"/>
                <w:sz w:val="20"/>
                <w:szCs w:val="20"/>
              </w:rPr>
            </w:pPr>
            <w:r w:rsidRPr="00636CF7">
              <w:t>i. Avsnitt 11 – Indikator för värdepapper tillgängliga för handel och försäljning</w:t>
            </w:r>
          </w:p>
        </w:tc>
        <w:tc>
          <w:tcPr>
            <w:tcW w:w="2745" w:type="dxa"/>
            <w:tcBorders>
              <w:left w:val="nil"/>
              <w:right w:val="nil"/>
            </w:tcBorders>
            <w:noWrap/>
          </w:tcPr>
          <w:p w:rsidRPr="00636CF7" w:rsidR="00691BF0" w:rsidP="009A26DB" w:rsidRDefault="00691BF0" w14:paraId="1043D50D" w14:textId="77777777">
            <w:pPr>
              <w:jc w:val="right"/>
              <w:rPr>
                <w:rFonts w:ascii="Arial" w:hAnsi="Arial" w:eastAsia="Times New Roman" w:cs="Arial"/>
                <w:sz w:val="20"/>
                <w:szCs w:val="20"/>
                <w:lang w:eastAsia="en-GB"/>
              </w:rPr>
            </w:pPr>
          </w:p>
        </w:tc>
      </w:tr>
      <w:tr w:rsidRPr="00636CF7" w:rsidR="00691BF0" w:rsidTr="009A26DB" w14:paraId="41854CB9"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637F1F50" w14:textId="77777777">
            <w:pPr>
              <w:ind w:firstLine="220" w:firstLineChars="100"/>
              <w:rPr>
                <w:rFonts w:ascii="Arial" w:hAnsi="Arial" w:eastAsia="Times New Roman" w:cs="Arial"/>
                <w:sz w:val="20"/>
                <w:szCs w:val="20"/>
              </w:rPr>
            </w:pPr>
            <w:r w:rsidRPr="00636CF7">
              <w:t>j. Avsnitt 20 – Indikator för nivå 3-tillgångar</w:t>
            </w:r>
          </w:p>
        </w:tc>
        <w:tc>
          <w:tcPr>
            <w:tcW w:w="2745" w:type="dxa"/>
            <w:tcBorders>
              <w:left w:val="nil"/>
              <w:right w:val="nil"/>
            </w:tcBorders>
            <w:noWrap/>
          </w:tcPr>
          <w:p w:rsidRPr="00636CF7" w:rsidR="00691BF0" w:rsidP="009A26DB" w:rsidRDefault="00691BF0" w14:paraId="1EE13A46" w14:textId="77777777">
            <w:pPr>
              <w:jc w:val="right"/>
              <w:rPr>
                <w:rFonts w:ascii="Arial" w:hAnsi="Arial" w:eastAsia="Times New Roman" w:cs="Arial"/>
                <w:sz w:val="20"/>
                <w:szCs w:val="20"/>
                <w:lang w:eastAsia="en-GB"/>
              </w:rPr>
            </w:pPr>
          </w:p>
        </w:tc>
      </w:tr>
      <w:tr w:rsidRPr="00636CF7" w:rsidR="00691BF0" w:rsidTr="009A26DB" w14:paraId="6F51D4B1"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1DD1F03" w14:textId="77777777">
            <w:pPr>
              <w:ind w:firstLine="220" w:firstLineChars="100"/>
              <w:rPr>
                <w:rFonts w:ascii="Arial" w:hAnsi="Arial" w:eastAsia="Times New Roman" w:cs="Arial"/>
                <w:sz w:val="20"/>
                <w:szCs w:val="20"/>
              </w:rPr>
            </w:pPr>
            <w:r w:rsidRPr="00636CF7">
              <w:t>k. Avsnitt 13 – Indikator för fordringar över jurisdiktionsgränser</w:t>
            </w:r>
          </w:p>
        </w:tc>
        <w:tc>
          <w:tcPr>
            <w:tcW w:w="2745" w:type="dxa"/>
            <w:tcBorders>
              <w:left w:val="nil"/>
              <w:right w:val="nil"/>
            </w:tcBorders>
            <w:noWrap/>
          </w:tcPr>
          <w:p w:rsidRPr="00636CF7" w:rsidR="00691BF0" w:rsidP="009A26DB" w:rsidRDefault="00691BF0" w14:paraId="0AFB8CB6" w14:textId="77777777">
            <w:pPr>
              <w:jc w:val="right"/>
              <w:rPr>
                <w:rFonts w:ascii="Arial" w:hAnsi="Arial" w:eastAsia="Times New Roman" w:cs="Arial"/>
                <w:sz w:val="20"/>
                <w:szCs w:val="20"/>
                <w:lang w:eastAsia="en-GB"/>
              </w:rPr>
            </w:pPr>
          </w:p>
        </w:tc>
      </w:tr>
      <w:tr w:rsidRPr="00636CF7" w:rsidR="00691BF0" w:rsidTr="009A26DB" w14:paraId="765F24E0" w14:textId="77777777">
        <w:trPr>
          <w:trHeight w:val="300"/>
        </w:trPr>
        <w:tc>
          <w:tcPr>
            <w:tcW w:w="6804" w:type="dxa"/>
            <w:gridSpan w:val="2"/>
            <w:tcBorders>
              <w:left w:val="nil"/>
              <w:bottom w:val="single" w:color="auto" w:sz="4" w:space="0"/>
              <w:right w:val="nil"/>
            </w:tcBorders>
            <w:noWrap/>
          </w:tcPr>
          <w:p w:rsidRPr="00636CF7" w:rsidR="00691BF0" w:rsidP="009A26DB" w:rsidRDefault="00691BF0" w14:paraId="31597B72" w14:textId="77777777">
            <w:pPr>
              <w:ind w:firstLine="220" w:firstLineChars="100"/>
              <w:rPr>
                <w:rFonts w:ascii="Arial" w:hAnsi="Arial" w:eastAsia="Times New Roman" w:cs="Arial"/>
                <w:sz w:val="20"/>
                <w:szCs w:val="20"/>
              </w:rPr>
            </w:pPr>
            <w:r w:rsidRPr="00636CF7">
              <w:t>l. Avsnitt 21 – Indikator för skulder över jurisdiktionsgränser</w:t>
            </w:r>
          </w:p>
        </w:tc>
        <w:tc>
          <w:tcPr>
            <w:tcW w:w="2745" w:type="dxa"/>
            <w:tcBorders>
              <w:left w:val="nil"/>
              <w:right w:val="nil"/>
            </w:tcBorders>
            <w:noWrap/>
          </w:tcPr>
          <w:p w:rsidRPr="00636CF7" w:rsidR="00691BF0" w:rsidP="009A26DB" w:rsidRDefault="00691BF0" w14:paraId="50E182AE" w14:textId="77777777">
            <w:pPr>
              <w:jc w:val="right"/>
              <w:rPr>
                <w:rFonts w:ascii="Arial" w:hAnsi="Arial" w:eastAsia="Times New Roman" w:cs="Arial"/>
                <w:sz w:val="20"/>
                <w:szCs w:val="20"/>
                <w:lang w:eastAsia="en-GB"/>
              </w:rPr>
            </w:pPr>
          </w:p>
        </w:tc>
      </w:tr>
      <w:bookmarkEnd w:id="9"/>
      <w:bookmarkEnd w:id="8"/>
      <w:bookmarkEnd w:id="7"/>
      <w:bookmarkEnd w:id="6"/>
      <w:bookmarkEnd w:id="5"/>
      <w:bookmarkEnd w:id="4"/>
      <w:bookmarkEnd w:id="3"/>
      <w:bookmarkEnd w:id="2"/>
      <w:bookmarkEnd w:id="1"/>
      <w:bookmarkEnd w:id="0"/>
    </w:tbl>
    <w:p w:rsidRPr="008B5A58" w:rsidR="00B43E07" w:rsidP="00F9329F" w:rsidRDefault="00B43E07" w14:paraId="609D9107" w14:textId="34CF2015">
      <w:pPr>
        <w:pStyle w:val="TableParagraph"/>
        <w:spacing w:before="11"/>
      </w:pPr>
    </w:p>
    <w:sectPr w:rsidRPr="008B5A58" w:rsidR="00B43E07" w:rsidSect="008A320C">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4697" w14:textId="77777777" w:rsidR="00795865" w:rsidRDefault="00795865" w:rsidP="00A00E34">
      <w:r>
        <w:separator/>
      </w:r>
    </w:p>
    <w:p w14:paraId="5B94DCDB" w14:textId="77777777" w:rsidR="00795865" w:rsidRDefault="00795865"/>
  </w:endnote>
  <w:endnote w:type="continuationSeparator" w:id="0">
    <w:p w14:paraId="34E34FE8" w14:textId="77777777" w:rsidR="00795865" w:rsidRDefault="00795865" w:rsidP="00A00E34">
      <w:r>
        <w:continuationSeparator/>
      </w:r>
    </w:p>
    <w:p w14:paraId="0F7D571E" w14:textId="77777777" w:rsidR="00795865" w:rsidRDefault="00795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9B5" w:rsidP="0017667F" w:rsidRDefault="00B749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B749B5" w:rsidP="00610305" w:rsidRDefault="00B749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5A58" w:rsidR="00B749B5" w:rsidP="008A320C" w:rsidRDefault="00B749B5" w14:paraId="7C3A9832" w14:textId="23126F6B">
    <w:pPr>
      <w:pStyle w:val="Footer"/>
      <w:jc w:val="right"/>
      <w:rPr>
        <w:rStyle w:val="PageNumber"/>
        <w:noProof/>
      </w:rPr>
    </w:pPr>
    <w:r w:rsidRPr="008B5A58">
      <w:rPr>
        <w:rStyle w:val="PageNumber"/>
      </w:rPr>
      <w:fldChar w:fldCharType="begin"/>
    </w:r>
    <w:r w:rsidRPr="008B5A58">
      <w:rPr>
        <w:rStyle w:val="PageNumber"/>
      </w:rPr>
      <w:instrText xml:space="preserve">PAGE  </w:instrText>
    </w:r>
    <w:r w:rsidRPr="008B5A58">
      <w:rPr>
        <w:rStyle w:val="PageNumber"/>
      </w:rPr>
      <w:fldChar w:fldCharType="separate"/>
    </w:r>
    <w:r w:rsidR="00656CA7">
      <w:rPr>
        <w:rStyle w:val="PageNumber"/>
        <w:noProof/>
      </w:rPr>
      <w:t>1</w:t>
    </w:r>
    <w:r w:rsidRPr="008B5A58">
      <w:rPr>
        <w:rStyle w:val="PageNumber"/>
      </w:rPr>
      <w:fldChar w:fldCharType="end"/>
    </w:r>
  </w:p>
  <w:p w:rsidRPr="008B5A58" w:rsidR="00B749B5" w:rsidP="00610305" w:rsidRDefault="00B749B5" w14:paraId="6EEDA3DB" w14:textId="77777777">
    <w:pPr>
      <w:pStyle w:val="Footer"/>
      <w:ind w:right="360"/>
      <w:rPr>
        <w:noProof/>
      </w:rPr>
    </w:pPr>
    <w:r w:rsidRPr="008B5A58">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20C" w:rsidRDefault="008A320C" w14:paraId="70DE85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B70E" w14:textId="77777777" w:rsidR="00795865" w:rsidRPr="00DB5E8F" w:rsidRDefault="00795865">
      <w:pPr>
        <w:rPr>
          <w:sz w:val="12"/>
          <w:szCs w:val="12"/>
        </w:rPr>
      </w:pPr>
      <w:r w:rsidRPr="00DB5E8F">
        <w:rPr>
          <w:sz w:val="12"/>
          <w:szCs w:val="12"/>
        </w:rPr>
        <w:separator/>
      </w:r>
    </w:p>
  </w:footnote>
  <w:footnote w:type="continuationSeparator" w:id="0">
    <w:p w14:paraId="37DD24BD" w14:textId="77777777" w:rsidR="00795865" w:rsidRDefault="00795865" w:rsidP="00A00E34">
      <w:r>
        <w:continuationSeparator/>
      </w:r>
    </w:p>
    <w:p w14:paraId="39D7436C" w14:textId="77777777" w:rsidR="00795865" w:rsidRDefault="00795865"/>
  </w:footnote>
  <w:footnote w:type="continuationNotice" w:id="1">
    <w:p w14:paraId="16AED31D" w14:textId="77777777" w:rsidR="00795865" w:rsidRDefault="00795865"/>
  </w:footnote>
  <w:footnote w:id="2">
    <w:p w14:paraId="2B9C6101" w14:textId="2B4968B2" w:rsidR="00B749B5" w:rsidRPr="008B5A58" w:rsidRDefault="00B749B5" w:rsidP="00C92B4B">
      <w:pPr>
        <w:pStyle w:val="FootnoteText"/>
        <w:rPr>
          <w:rFonts w:asciiTheme="minorHAnsi" w:hAnsiTheme="minorHAnsi" w:cstheme="minorHAnsi"/>
        </w:rPr>
      </w:pPr>
      <w:r w:rsidRPr="008B5A58">
        <w:rPr>
          <w:rStyle w:val="FootnoteReference"/>
          <w:rFonts w:cstheme="minorHAnsi"/>
          <w:sz w:val="18"/>
        </w:rPr>
        <w:footnoteRef/>
      </w:r>
      <w:r w:rsidRPr="008B5A58">
        <w:rPr>
          <w:rFonts w:asciiTheme="minorHAnsi" w:hAnsiTheme="minorHAnsi" w:cstheme="minorHAnsi"/>
        </w:rPr>
        <w:t>Europaparlamentets och rådets förordning (EU) nr 1093/2010 av den 24 november 2010 om inrättande av en europeisk tillsynsmyndighet (Europeiska bankmyndigheten), om ändring av beslut nr 716/2009/EG och om upphävande av kommissionens beslut 2009/78/EG, (EUT L 331, 15.12.2010, s. 12).</w:t>
      </w:r>
    </w:p>
  </w:footnote>
  <w:footnote w:id="3">
    <w:p w14:paraId="6D8022C9" w14:textId="77777777" w:rsidR="00DE7302" w:rsidRPr="00636CF7" w:rsidRDefault="00DE7302" w:rsidP="00DE7302">
      <w:pPr>
        <w:pStyle w:val="FootnoteText"/>
      </w:pPr>
      <w:r w:rsidRPr="00636CF7">
        <w:rPr>
          <w:rStyle w:val="FootnoteReference"/>
          <w:lang w:val="en-GB"/>
        </w:rPr>
        <w:footnoteRef/>
      </w:r>
      <w:r w:rsidRPr="00636CF7">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9B5" w:rsidRDefault="00B749B5" w14:paraId="41B1516F" w14:textId="12C57839">
    <w:pPr>
      <w:rPr>
        <w:noProof/>
      </w:rPr>
    </w:pPr>
    <w:r>
      <w:ptab w:alignment="center" w:relativeTo="margin" w:leader="none"/>
    </w:r>
    <w:r>
      <w:ptab w:alignment="right" w:relativeTo="margin" w:leader="none"/>
    </w:r>
  </w:p>
  <w:p w:rsidR="00B749B5" w:rsidRDefault="00B749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5A58" w:rsidR="00B749B5" w:rsidP="002215B5" w:rsidRDefault="00B749B5" w14:paraId="233A6472" w14:textId="42F4713B">
    <w:pPr>
      <w:pStyle w:val="Runningtitle"/>
      <w:rPr>
        <w:noProof/>
      </w:rPr>
    </w:pPr>
    <w:r w:rsidRPr="008B5A58">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8B5A58">
      <w:t>SLUTRAPPORT om EBA:s riktlinjer för angivande och offentliggörande</w:t>
    </w:r>
  </w:p>
  <w:p w:rsidRPr="008B5A58" w:rsidR="00B749B5" w:rsidP="002215B5" w:rsidRDefault="00B749B5" w14:paraId="122C2463" w14:textId="77777777">
    <w:pPr>
      <w:pStyle w:val="Runningtitle"/>
      <w:rPr>
        <w:noProof/>
      </w:rPr>
    </w:pPr>
    <w:r w:rsidRPr="008B5A58">
      <w:t>av systemviktiga indikatorer</w:t>
    </w:r>
  </w:p>
  <w:p w:rsidRPr="008B5A58" w:rsidR="00B749B5" w:rsidP="002215B5" w:rsidRDefault="00B749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49B5" w:rsidP="00E677EF" w:rsidRDefault="00B749B5" w14:paraId="6E4DF7C2" w14:textId="77777777">
    <w:pPr>
      <w:pStyle w:val="Runningtitle"/>
      <w:rPr>
        <w:noProof/>
      </w:rPr>
    </w:pPr>
    <w:r>
      <w:t>här anges titel med löpande titelstil</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173A0"/>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6268E"/>
    <w:rsid w:val="00172007"/>
    <w:rsid w:val="0017446F"/>
    <w:rsid w:val="0017667F"/>
    <w:rsid w:val="00177CB9"/>
    <w:rsid w:val="001834D4"/>
    <w:rsid w:val="00192287"/>
    <w:rsid w:val="001926C2"/>
    <w:rsid w:val="00197E14"/>
    <w:rsid w:val="001A016C"/>
    <w:rsid w:val="001A2A81"/>
    <w:rsid w:val="001A32D5"/>
    <w:rsid w:val="001A47D0"/>
    <w:rsid w:val="001A4A8F"/>
    <w:rsid w:val="001A5BD4"/>
    <w:rsid w:val="001A70A8"/>
    <w:rsid w:val="001B2C0D"/>
    <w:rsid w:val="001B3341"/>
    <w:rsid w:val="001B6017"/>
    <w:rsid w:val="001B7A0B"/>
    <w:rsid w:val="001B7EB3"/>
    <w:rsid w:val="001C1FD9"/>
    <w:rsid w:val="001C5A56"/>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360FE"/>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0810"/>
    <w:rsid w:val="003F3AA3"/>
    <w:rsid w:val="00412567"/>
    <w:rsid w:val="004172D1"/>
    <w:rsid w:val="00424530"/>
    <w:rsid w:val="0042584A"/>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3120"/>
    <w:rsid w:val="004F63DB"/>
    <w:rsid w:val="005037F2"/>
    <w:rsid w:val="00505C64"/>
    <w:rsid w:val="005105EF"/>
    <w:rsid w:val="0051571A"/>
    <w:rsid w:val="00522627"/>
    <w:rsid w:val="00523895"/>
    <w:rsid w:val="00526B39"/>
    <w:rsid w:val="00532EBE"/>
    <w:rsid w:val="005410AB"/>
    <w:rsid w:val="00543A44"/>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36C"/>
    <w:rsid w:val="00612C7B"/>
    <w:rsid w:val="00617AE9"/>
    <w:rsid w:val="006209BD"/>
    <w:rsid w:val="006224C1"/>
    <w:rsid w:val="006241B4"/>
    <w:rsid w:val="006269B7"/>
    <w:rsid w:val="006307A5"/>
    <w:rsid w:val="006336C8"/>
    <w:rsid w:val="00633DC7"/>
    <w:rsid w:val="00636E1D"/>
    <w:rsid w:val="00641A7A"/>
    <w:rsid w:val="00645495"/>
    <w:rsid w:val="00655112"/>
    <w:rsid w:val="00656CA7"/>
    <w:rsid w:val="00663B0A"/>
    <w:rsid w:val="006641F8"/>
    <w:rsid w:val="0066422C"/>
    <w:rsid w:val="00670254"/>
    <w:rsid w:val="00675E42"/>
    <w:rsid w:val="00683BFB"/>
    <w:rsid w:val="006915A4"/>
    <w:rsid w:val="00691BF0"/>
    <w:rsid w:val="00692AB7"/>
    <w:rsid w:val="00692AD8"/>
    <w:rsid w:val="006973AC"/>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1E1"/>
    <w:rsid w:val="00742839"/>
    <w:rsid w:val="00755505"/>
    <w:rsid w:val="0076316D"/>
    <w:rsid w:val="00771BCE"/>
    <w:rsid w:val="00772993"/>
    <w:rsid w:val="007815FB"/>
    <w:rsid w:val="00781A37"/>
    <w:rsid w:val="00781D80"/>
    <w:rsid w:val="007850AB"/>
    <w:rsid w:val="00791EAE"/>
    <w:rsid w:val="00795865"/>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69D4"/>
    <w:rsid w:val="00817C42"/>
    <w:rsid w:val="00821B9D"/>
    <w:rsid w:val="0084468C"/>
    <w:rsid w:val="008552A0"/>
    <w:rsid w:val="008651AA"/>
    <w:rsid w:val="00865492"/>
    <w:rsid w:val="00865A3C"/>
    <w:rsid w:val="00867CB4"/>
    <w:rsid w:val="008708AB"/>
    <w:rsid w:val="00870A33"/>
    <w:rsid w:val="00871962"/>
    <w:rsid w:val="008725EC"/>
    <w:rsid w:val="00874ED5"/>
    <w:rsid w:val="008A320C"/>
    <w:rsid w:val="008A4100"/>
    <w:rsid w:val="008A60BD"/>
    <w:rsid w:val="008A7288"/>
    <w:rsid w:val="008B5A5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05132"/>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49B5"/>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4DC2"/>
    <w:rsid w:val="00DB5E8F"/>
    <w:rsid w:val="00DC3E99"/>
    <w:rsid w:val="00DC5214"/>
    <w:rsid w:val="00DC7C3E"/>
    <w:rsid w:val="00DD247B"/>
    <w:rsid w:val="00DE0FE1"/>
    <w:rsid w:val="00DE30E0"/>
    <w:rsid w:val="00DE46D0"/>
    <w:rsid w:val="00DE7302"/>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0814"/>
    <w:rsid w:val="00F311CD"/>
    <w:rsid w:val="00F3669D"/>
    <w:rsid w:val="00F42F3F"/>
    <w:rsid w:val="00F4748D"/>
    <w:rsid w:val="00F56DC4"/>
    <w:rsid w:val="00F612B3"/>
    <w:rsid w:val="00F647A3"/>
    <w:rsid w:val="00F64D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334A"/>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sv-SE"/>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sv-SE"/>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sv-SE"/>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691BF0"/>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26C2"/>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1926C2"/>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552493540">
      <w:bodyDiv w:val="1"/>
      <w:marLeft w:val="0"/>
      <w:marRight w:val="0"/>
      <w:marTop w:val="0"/>
      <w:marBottom w:val="0"/>
      <w:divBdr>
        <w:top w:val="none" w:sz="0" w:space="0" w:color="auto"/>
        <w:left w:val="none" w:sz="0" w:space="0" w:color="auto"/>
        <w:bottom w:val="none" w:sz="0" w:space="0" w:color="auto"/>
        <w:right w:val="none" w:sz="0" w:space="0" w:color="auto"/>
      </w:divBdr>
    </w:div>
    <w:div w:id="1773091107">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9F37-82FA-4F43-AECF-50A29B10E4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16</ap:Pages>
  <ap:Words>3330</ap:Words>
  <ap:Characters>22938</ap:Characters>
  <ap:Application>Microsoft Office Word</ap:Application>
  <ap:DocSecurity>0</ap:DocSecurity>
  <ap:Lines>191</ap:Lines>
  <ap:Paragraphs>52</ap:Paragraphs>
  <ap:ScaleCrop>false</ap:ScaleCrop>
  <ap:HeadingPairs>
    <vt:vector baseType="variant" size="4">
      <vt:variant>
        <vt:lpstr>Title</vt:lpstr>
      </vt:variant>
      <vt:variant>
        <vt:i4>1</vt:i4>
      </vt:variant>
      <vt:variant>
        <vt:lpstr>Rubrik</vt:lpstr>
      </vt:variant>
      <vt:variant>
        <vt:i4>1</vt:i4>
      </vt:variant>
    </vt:vector>
  </ap:HeadingPairs>
  <ap:TitlesOfParts>
    <vt:vector baseType="lpstr" size="2">
      <vt:lpstr/>
      <vt:lpstr/>
    </vt:vector>
  </ap:TitlesOfParts>
  <ap:Company>CDT</ap:Company>
  <ap:LinksUpToDate>false</ap:LinksUpToDate>
  <ap:CharactersWithSpaces>26216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5</revision>
  <lastPrinted>2020-11-04T10:23:00.0000000Z</lastPrinted>
  <dcterms:created xsi:type="dcterms:W3CDTF">2024-04-11T10:36:00.0000000Z</dcterms:created>
  <dcterms:modified xsi:type="dcterms:W3CDTF">2024-04-22T07:21:00.0000000Z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840efca0-22af-4872-bd54-ac6900effe0a</vt:lpwstr>
  </property>
</Properties>
</file>