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298787969" w:displacedByCustomXml="next" w:id="0"/>
    <w:bookmarkStart w:name="_Toc298788158" w:displacedByCustomXml="next" w:id="1"/>
    <w:bookmarkStart w:name="_Toc298788641" w:displacedByCustomXml="next" w:id="2"/>
    <w:bookmarkStart w:name="_Toc305686691" w:displacedByCustomXml="next" w:id="3"/>
    <w:bookmarkStart w:name="_Toc306350093" w:displacedByCustomXml="next" w:id="4"/>
    <w:bookmarkStart w:name="_Toc306350113" w:displacedByCustomXml="next" w:id="5"/>
    <w:bookmarkStart w:name="_Toc331517265" w:displacedByCustomXml="next" w:id="6"/>
    <w:bookmarkStart w:name="_Toc245891774" w:displacedByCustomXml="next" w:id="7"/>
    <w:bookmarkStart w:name="_Toc238803087" w:displacedByCustomXml="next" w:id="8"/>
    <w:bookmarkStart w:name="_Toc238803888" w:displacedByCustomXml="next" w:id="9"/>
    <w:sdt>
      <w:sdtPr>
        <w:id w:val="1024973533"/>
        <w:docPartObj>
          <w:docPartGallery w:val="Cover Pages"/>
          <w:docPartUnique/>
        </w:docPartObj>
      </w:sdtPr>
      <w:sdtEndPr/>
      <w:sdtContent>
        <w:p w:rsidRPr="005D4C29" w:rsidR="00B43E07" w:rsidP="00B43E07" w:rsidRDefault="00B43E07" w14:paraId="4A058E49" w14:textId="77777777">
          <w:pPr>
            <w:rPr>
              <w:lang w:val="en-GB"/>
            </w:rPr>
          </w:pPr>
        </w:p>
        <w:tbl>
          <w:tblPr>
            <w:tblW w:w="0" w:type="auto"/>
            <w:tblCellMar>
              <w:top w:w="85" w:type="dxa"/>
              <w:bottom w:w="85" w:type="dxa"/>
            </w:tblCellMar>
            <w:tblLook w:val="04A0" w:firstRow="1" w:lastRow="0" w:firstColumn="1" w:lastColumn="0" w:noHBand="0" w:noVBand="1"/>
          </w:tblPr>
          <w:tblGrid>
            <w:gridCol w:w="3936"/>
          </w:tblGrid>
          <w:tr w:rsidRPr="005D4C29" w:rsidR="005B3658" w:rsidTr="000933F3" w14:paraId="26FB836E" w14:textId="77777777">
            <w:tc>
              <w:tcPr>
                <w:tcW w:w="3936" w:type="dxa"/>
                <w:tcBorders>
                  <w:bottom w:val="single" w:color="A6A6A6" w:themeColor="background1" w:themeShade="A6" w:sz="4" w:space="0"/>
                </w:tcBorders>
                <w:shd w:val="clear" w:color="auto" w:fill="auto"/>
              </w:tcPr>
              <w:p w:rsidRPr="005D4C29" w:rsidR="005B3658" w:rsidP="005B3658" w:rsidRDefault="005B3658" w14:paraId="52306E12" w14:textId="57563CC6">
                <w:r w:rsidRPr="005D4C29">
                  <w:t>EBA/GL/2020/14</w:t>
                </w:r>
                <w:r w:rsidRPr="000933F3" w:rsidR="000933F3">
                  <w:t xml:space="preserve"> (konsoliduota redakcija)</w:t>
                </w:r>
              </w:p>
            </w:tc>
          </w:tr>
          <w:tr w:rsidRPr="005D4C29" w:rsidR="005B3658" w:rsidTr="000933F3" w14:paraId="53C85281" w14:textId="77777777">
            <w:tc>
              <w:tcPr>
                <w:tcW w:w="3936" w:type="dxa"/>
                <w:tcBorders>
                  <w:top w:val="single" w:color="A6A6A6" w:themeColor="background1" w:themeShade="A6" w:sz="4" w:space="0"/>
                  <w:bottom w:val="single" w:color="A6A6A6" w:themeColor="background1" w:themeShade="A6" w:sz="4" w:space="0"/>
                </w:tcBorders>
                <w:shd w:val="clear" w:color="auto" w:fill="auto"/>
              </w:tcPr>
              <w:p w:rsidRPr="005D4C29" w:rsidR="005B3658" w:rsidP="005B3658" w:rsidRDefault="005B3658" w14:paraId="19EDD31A" w14:textId="77777777">
                <w:r w:rsidRPr="005D4C29">
                  <w:rPr>
                    <w:color w:val="000000"/>
                  </w:rPr>
                  <w:t>2020 m. lapkričio 4 d.</w:t>
                </w:r>
              </w:p>
            </w:tc>
          </w:tr>
        </w:tbl>
        <w:p w:rsidRPr="005D4C29" w:rsidR="00B43E07" w:rsidP="00B43E07" w:rsidRDefault="00B43E07" w14:paraId="4711F255" w14:textId="77777777">
          <w:pPr>
            <w:rPr>
              <w:lang w:val="en-GB"/>
            </w:rPr>
          </w:pPr>
        </w:p>
        <w:tbl>
          <w:tblPr>
            <w:tblStyle w:val="TableGrid"/>
            <w:tblW w:w="0" w:type="auto"/>
            <w:tblBorders>
              <w:bottom w:val="none" w:color="auto" w:sz="0" w:space="0"/>
              <w:insideH w:val="none" w:color="auto" w:sz="0" w:space="0"/>
            </w:tblBorders>
            <w:tblLook w:val="04A0" w:firstRow="1" w:lastRow="0" w:firstColumn="1" w:lastColumn="0" w:noHBand="0" w:noVBand="1"/>
          </w:tblPr>
          <w:tblGrid>
            <w:gridCol w:w="8781"/>
          </w:tblGrid>
          <w:tr w:rsidRPr="005D4C29" w:rsidR="00B43E07" w:rsidTr="00993B1E" w14:paraId="5C788D7F" w14:textId="77777777">
            <w:trPr>
              <w:cnfStyle w:val="100000000000" w:firstRow="1" w:lastRow="0" w:firstColumn="0" w:lastColumn="0" w:oddVBand="0" w:evenVBand="0" w:oddHBand="0" w:evenHBand="0" w:firstRowFirstColumn="0" w:firstRowLastColumn="0" w:lastRowFirstColumn="0" w:lastRowLastColumn="0"/>
              <w:trHeight w:val="4073"/>
            </w:trPr>
            <w:tc>
              <w:tcPr>
                <w:tcW w:w="8781"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0" w:type="dxa"/>
                  <w:right w:w="0" w:type="dxa"/>
                </w:tcMar>
                <w:vAlign w:val="bottom"/>
              </w:tcPr>
              <w:p w:rsidRPr="00DC3BF4" w:rsidR="000815E2" w:rsidP="000815E2" w:rsidRDefault="000815E2" w14:paraId="50305C88" w14:textId="77777777">
                <w:pPr>
                  <w:pStyle w:val="BodyText"/>
                  <w:tabs>
                    <w:tab w:val="left" w:pos="1802"/>
                  </w:tabs>
                  <w:spacing w:before="100" w:after="60" w:line="276" w:lineRule="auto"/>
                  <w:ind w:left="425" w:right="232"/>
                  <w:jc w:val="both"/>
                  <w:rPr>
                    <w:color w:val="E98E31" w:themeColor="background2"/>
                    <w:spacing w:val="-1"/>
                  </w:rPr>
                </w:pPr>
                <w:r w:rsidRPr="007B541C">
                  <w:rPr>
                    <w:rFonts w:ascii="Wingdings" w:hAnsi="Wingdings" w:eastAsia="Wingdings" w:cs="Wingdings"/>
                    <w:color w:val="E98E31"/>
                    <w:highlight w:val="yellow"/>
                    <w:lang w:val="en-GB"/>
                  </w:rPr>
                  <w:t>Ø</w:t>
                </w:r>
                <w:r w:rsidRPr="007B541C">
                  <w:rPr>
                    <w:rFonts w:eastAsia="MS PGothic" w:cs="Times New Roman"/>
                    <w:color w:val="E98E31"/>
                    <w:highlight w:val="yellow"/>
                    <w:lang w:val="en-GB"/>
                  </w:rPr>
                  <w:t>O</w:t>
                </w:r>
                <w:r w:rsidRPr="00DC3BF4">
                  <w:rPr>
                    <w:color w:val="E98E31" w:themeColor="background2"/>
                    <w:spacing w:val="-1"/>
                  </w:rPr>
                  <w:t xml:space="preserve"> </w:t>
                </w:r>
              </w:p>
              <w:p w:rsidRPr="005D4C29" w:rsidR="00B43E07" w:rsidP="00721D07" w:rsidRDefault="00A81586" w14:paraId="168A8E0F" w14:textId="77777777">
                <w:pPr>
                  <w:pStyle w:val="Contenttitle"/>
                </w:pPr>
                <w:r w:rsidRPr="005D4C29">
                  <w:t xml:space="preserve">Gairės </w:t>
                </w:r>
              </w:p>
            </w:tc>
          </w:tr>
          <w:tr w:rsidRPr="005D4C29" w:rsidR="00B43E07" w:rsidTr="00993B1E" w14:paraId="7E294348" w14:textId="77777777">
            <w:tc>
              <w:tcPr>
                <w:tcW w:w="8781" w:type="dxa"/>
                <w:tcMar>
                  <w:left w:w="0" w:type="dxa"/>
                  <w:right w:w="0" w:type="dxa"/>
                </w:tcMar>
                <w:vAlign w:val="top"/>
              </w:tcPr>
              <w:p w:rsidRPr="00411573" w:rsidR="00B43E07" w:rsidP="00E410F0" w:rsidRDefault="00B43E07" w14:paraId="17D915E2" w14:textId="77777777">
                <w:pPr>
                  <w:pStyle w:val="Titlelevel4"/>
                  <w:rPr>
                    <w:lang w:val="lt-LT"/>
                  </w:rPr>
                </w:pPr>
                <w:r w:rsidRPr="00411573">
                  <w:rPr>
                    <w:rFonts w:asciiTheme="majorHAnsi" w:hAnsiTheme="majorHAnsi"/>
                    <w:bCs/>
                    <w:color w:val="2F5773" w:themeColor="text2"/>
                    <w:sz w:val="52"/>
                    <w:szCs w:val="52"/>
                    <w:lang w:val="lt-LT"/>
                  </w:rPr>
                  <w:t>dėl sisteminės svarbos rodiklių nurodymo ir atskleidimo</w:t>
                </w:r>
              </w:p>
            </w:tc>
          </w:tr>
        </w:tbl>
        <w:p w:rsidRPr="000933F3" w:rsidR="00B43E07" w:rsidP="00B43E07" w:rsidRDefault="00B43E07" w14:paraId="10072C9A" w14:textId="77777777">
          <w:pPr>
            <w:rPr>
              <w:sz w:val="52"/>
              <w:szCs w:val="52"/>
              <w:lang w:val="es-ES"/>
            </w:rPr>
          </w:pPr>
        </w:p>
        <w:p w:rsidRPr="000933F3" w:rsidR="00B43E07" w:rsidP="00B43E07" w:rsidRDefault="00B43E07" w14:paraId="7E46C4C4" w14:textId="0CEB6D71">
          <w:pPr>
            <w:rPr>
              <w:sz w:val="52"/>
              <w:szCs w:val="52"/>
              <w:lang w:val="es-ES"/>
            </w:rPr>
          </w:pPr>
        </w:p>
        <w:p w:rsidRPr="000933F3" w:rsidR="000933F3" w:rsidP="00B43E07" w:rsidRDefault="000933F3" w14:paraId="3ED241E5" w14:textId="2336D0B9">
          <w:pPr>
            <w:rPr>
              <w:sz w:val="52"/>
              <w:szCs w:val="52"/>
              <w:lang w:val="es-ES"/>
            </w:rPr>
          </w:pPr>
        </w:p>
        <w:p w:rsidRPr="000933F3" w:rsidR="000933F3" w:rsidP="00B43E07" w:rsidRDefault="000933F3" w14:paraId="08F21D94" w14:textId="4B657E79">
          <w:pPr>
            <w:rPr>
              <w:sz w:val="52"/>
              <w:szCs w:val="52"/>
              <w:lang w:val="es-ES"/>
            </w:rPr>
          </w:pPr>
        </w:p>
        <w:p w:rsidR="000933F3" w:rsidP="00B43E07" w:rsidRDefault="000933F3" w14:paraId="0FB1BB48" w14:textId="306A6C09">
          <w:pPr>
            <w:rPr>
              <w:lang w:val="es-ES"/>
            </w:rPr>
          </w:pPr>
        </w:p>
        <w:tbl>
          <w:tblPr>
            <w:tblStyle w:val="EBAtable"/>
            <w:tblW w:w="9125" w:type="dxa"/>
            <w:tblLook w:val="04A0" w:firstRow="1" w:lastRow="0" w:firstColumn="1" w:lastColumn="0" w:noHBand="0" w:noVBand="1"/>
          </w:tblPr>
          <w:tblGrid>
            <w:gridCol w:w="824"/>
            <w:gridCol w:w="2190"/>
            <w:gridCol w:w="6111"/>
          </w:tblGrid>
          <w:tr w:rsidRPr="00D13DB3" w:rsidR="000933F3" w:rsidTr="005D18C0" w14:paraId="6695C907" w14:textId="77777777">
            <w:trPr>
              <w:cnfStyle w:val="100000000000" w:firstRow="1" w:lastRow="0" w:firstColumn="0" w:lastColumn="0" w:oddVBand="0" w:evenVBand="0" w:oddHBand="0" w:evenHBand="0" w:firstRowFirstColumn="0" w:firstRowLastColumn="0" w:lastRowFirstColumn="0" w:lastRowLastColumn="0"/>
              <w:trHeight w:val="300"/>
            </w:trPr>
            <w:tc>
              <w:tcPr>
                <w:tcW w:w="3014" w:type="dxa"/>
                <w:gridSpan w:val="2"/>
                <w:tcBorders>
                  <w:top w:val="single" w:color="auto" w:sz="12" w:space="0"/>
                  <w:left w:val="single" w:color="auto" w:sz="12" w:space="0"/>
                </w:tcBorders>
              </w:tcPr>
              <w:p w:rsidRPr="00D13DB3" w:rsidR="000933F3" w:rsidP="005D18C0" w:rsidRDefault="000933F3" w14:paraId="684B3685" w14:textId="77777777">
                <w:pPr>
                  <w:spacing w:before="240" w:after="120" w:line="276" w:lineRule="auto"/>
                  <w:jc w:val="both"/>
                  <w:rPr>
                    <w:rFonts w:eastAsia="MS PGothic" w:cs="Times New Roman"/>
                    <w:lang w:eastAsia="en-GB"/>
                  </w:rPr>
                </w:pPr>
              </w:p>
              <w:p w:rsidRPr="00D13DB3" w:rsidR="000933F3" w:rsidP="005D18C0" w:rsidRDefault="000933F3" w14:paraId="2877810E" w14:textId="77777777">
                <w:pPr>
                  <w:rPr>
                    <w:rFonts w:eastAsia="MS PGothic" w:cs="Times New Roman"/>
                    <w:lang w:val="en-GB" w:eastAsia="en-GB"/>
                  </w:rPr>
                </w:pPr>
              </w:p>
            </w:tc>
            <w:tc>
              <w:tcPr>
                <w:tcW w:w="6111" w:type="dxa"/>
                <w:tcBorders>
                  <w:top w:val="single" w:color="auto" w:sz="12" w:space="0"/>
                  <w:right w:val="single" w:color="auto" w:sz="12" w:space="0"/>
                </w:tcBorders>
              </w:tcPr>
              <w:p w:rsidRPr="000933F3" w:rsidR="000933F3" w:rsidP="000933F3" w:rsidRDefault="000933F3" w14:paraId="0B9ECFC7" w14:textId="27009C71">
                <w:pPr>
                  <w:rPr>
                    <w:rFonts w:ascii="Calibri" w:hAnsi="Calibri" w:cs="Calibri"/>
                    <w:color w:val="000000"/>
                    <w:szCs w:val="22"/>
                  </w:rPr>
                </w:pPr>
                <w:r>
                  <w:rPr>
                    <w:rFonts w:ascii="Calibri" w:hAnsi="Calibri" w:cs="Calibri"/>
                    <w:color w:val="000000"/>
                    <w:szCs w:val="22"/>
                  </w:rPr>
                  <w:t>Taikymo data</w:t>
                </w:r>
              </w:p>
            </w:tc>
          </w:tr>
          <w:tr w:rsidRPr="00D13DB3" w:rsidR="000933F3" w:rsidTr="005D18C0" w14:paraId="2182BB73" w14:textId="77777777">
            <w:trPr>
              <w:trHeight w:val="300"/>
            </w:trPr>
            <w:tc>
              <w:tcPr>
                <w:tcW w:w="3014" w:type="dxa"/>
                <w:gridSpan w:val="2"/>
                <w:tcBorders>
                  <w:left w:val="single" w:color="auto" w:sz="12" w:space="0"/>
                </w:tcBorders>
              </w:tcPr>
              <w:p w:rsidRPr="00D13DB3" w:rsidR="000933F3" w:rsidP="005D18C0" w:rsidRDefault="000933F3" w14:paraId="1B4DF32D" w14:textId="77777777">
                <w:pPr>
                  <w:rPr>
                    <w:rFonts w:eastAsia="MS PGothic" w:cs="Times New Roman"/>
                    <w:lang w:val="en-GB" w:eastAsia="en-GB"/>
                  </w:rPr>
                </w:pPr>
                <w:r w:rsidRPr="007B541C">
                  <w:rPr>
                    <w:rFonts w:ascii="Wingdings" w:hAnsi="Wingdings" w:eastAsia="Wingdings" w:cs="Wingdings"/>
                    <w:color w:val="E98E31"/>
                    <w:highlight w:val="yellow"/>
                    <w:lang w:val="en-GB" w:eastAsia="en-GB"/>
                  </w:rPr>
                  <w:t>Ø</w:t>
                </w:r>
                <w:r w:rsidRPr="007B541C">
                  <w:rPr>
                    <w:rFonts w:eastAsia="MS PGothic" w:cs="Times New Roman"/>
                    <w:color w:val="E98E31"/>
                    <w:highlight w:val="yellow"/>
                    <w:lang w:val="en-GB" w:eastAsia="en-GB"/>
                  </w:rPr>
                  <w:t>O</w:t>
                </w:r>
              </w:p>
            </w:tc>
            <w:tc>
              <w:tcPr>
                <w:tcW w:w="6111" w:type="dxa"/>
                <w:tcBorders>
                  <w:right w:val="single" w:color="auto" w:sz="12" w:space="0"/>
                </w:tcBorders>
              </w:tcPr>
              <w:p w:rsidRPr="00D13DB3" w:rsidR="000933F3" w:rsidP="005D18C0" w:rsidRDefault="00792341" w14:paraId="1876D2D4" w14:textId="2853ECB9">
                <w:pPr>
                  <w:rPr>
                    <w:rFonts w:eastAsia="MS PGothic" w:cs="Times New Roman"/>
                    <w:lang w:val="en-GB" w:eastAsia="en-GB"/>
                  </w:rPr>
                </w:pPr>
                <w:r>
                  <w:rPr>
                    <w:rFonts w:eastAsia="MS PGothic" w:cs="Times New Roman"/>
                    <w:lang w:val="en-GB" w:eastAsia="en-GB"/>
                  </w:rPr>
                  <w:t>2020 11 04</w:t>
                </w:r>
              </w:p>
            </w:tc>
          </w:tr>
          <w:tr w:rsidRPr="00D13DB3" w:rsidR="000933F3" w:rsidTr="005D18C0" w14:paraId="25820501" w14:textId="77777777">
            <w:trPr>
              <w:trHeight w:val="300"/>
            </w:trPr>
            <w:tc>
              <w:tcPr>
                <w:tcW w:w="3014" w:type="dxa"/>
                <w:gridSpan w:val="2"/>
                <w:tcBorders>
                  <w:left w:val="single" w:color="auto" w:sz="12" w:space="0"/>
                </w:tcBorders>
              </w:tcPr>
              <w:p w:rsidRPr="000933F3" w:rsidR="000933F3" w:rsidP="000933F3" w:rsidRDefault="000933F3" w14:paraId="2F5DF99A" w14:textId="1DB26845">
                <w:pPr>
                  <w:rPr>
                    <w:rFonts w:ascii="Calibri" w:hAnsi="Calibri" w:cs="Calibri"/>
                    <w:color w:val="000000"/>
                    <w:szCs w:val="22"/>
                  </w:rPr>
                </w:pPr>
                <w:r>
                  <w:rPr>
                    <w:rFonts w:ascii="Calibri" w:hAnsi="Calibri" w:cs="Calibri"/>
                    <w:color w:val="000000"/>
                    <w:szCs w:val="22"/>
                  </w:rPr>
                  <w:t>Su pakeitimais, padarytais:</w:t>
                </w:r>
              </w:p>
            </w:tc>
            <w:tc>
              <w:tcPr>
                <w:tcW w:w="6111" w:type="dxa"/>
                <w:tcBorders>
                  <w:right w:val="single" w:color="auto" w:sz="12" w:space="0"/>
                </w:tcBorders>
              </w:tcPr>
              <w:p w:rsidRPr="00D13DB3" w:rsidR="000933F3" w:rsidP="005D18C0" w:rsidRDefault="000933F3" w14:paraId="433D6615" w14:textId="77777777">
                <w:pPr>
                  <w:rPr>
                    <w:rFonts w:eastAsia="MS PGothic" w:cs="Times New Roman"/>
                    <w:lang w:val="en-GB" w:eastAsia="en-GB"/>
                  </w:rPr>
                </w:pPr>
              </w:p>
            </w:tc>
          </w:tr>
          <w:tr w:rsidRPr="00D13DB3" w:rsidR="000933F3" w:rsidTr="005D18C0" w14:paraId="50ED84F8" w14:textId="77777777">
            <w:trPr>
              <w:trHeight w:val="58"/>
            </w:trPr>
            <w:tc>
              <w:tcPr>
                <w:tcW w:w="824" w:type="dxa"/>
                <w:tcBorders>
                  <w:left w:val="single" w:color="auto" w:sz="12" w:space="0"/>
                  <w:bottom w:val="single" w:color="auto" w:sz="12" w:space="0"/>
                </w:tcBorders>
              </w:tcPr>
              <w:p w:rsidRPr="00D13DB3" w:rsidR="000933F3" w:rsidP="005D18C0" w:rsidRDefault="000933F3" w14:paraId="0806B4E2" w14:textId="77777777">
                <w:pPr>
                  <w:rPr>
                    <w:rFonts w:eastAsia="MS PGothic" w:cs="Times New Roman"/>
                    <w:color w:val="E98E31"/>
                    <w:lang w:val="en-GB" w:eastAsia="en-GB"/>
                  </w:rPr>
                </w:pPr>
                <w:r w:rsidRPr="007B541C">
                  <w:rPr>
                    <w:rFonts w:ascii="Wingdings" w:hAnsi="Wingdings" w:eastAsia="Wingdings" w:cs="Wingdings"/>
                    <w:color w:val="E98E31"/>
                    <w:highlight w:val="green"/>
                    <w:lang w:val="en-GB" w:eastAsia="en-GB"/>
                  </w:rPr>
                  <w:t>Ø</w:t>
                </w:r>
                <w:r w:rsidRPr="007B541C">
                  <w:rPr>
                    <w:rFonts w:eastAsia="Wingdings" w:cs="Wingdings"/>
                    <w:color w:val="E98E31"/>
                    <w:highlight w:val="green"/>
                    <w:lang w:val="en-GB" w:eastAsia="en-GB"/>
                  </w:rPr>
                  <w:t>A1</w:t>
                </w:r>
              </w:p>
            </w:tc>
            <w:tc>
              <w:tcPr>
                <w:tcW w:w="2190" w:type="dxa"/>
                <w:tcBorders>
                  <w:bottom w:val="single" w:color="auto" w:sz="12" w:space="0"/>
                </w:tcBorders>
              </w:tcPr>
              <w:p w:rsidRPr="00D13DB3" w:rsidR="000933F3" w:rsidP="005D18C0" w:rsidRDefault="000933F3" w14:paraId="0455FA74" w14:textId="77777777">
                <w:pPr>
                  <w:rPr>
                    <w:rFonts w:eastAsia="MS PGothic" w:cs="Times New Roman"/>
                  </w:rPr>
                </w:pPr>
                <w:r w:rsidRPr="00D13DB3">
                  <w:rPr>
                    <w:rFonts w:eastAsia="MS PGothic" w:cs="Times New Roman"/>
                  </w:rPr>
                  <w:t>EBA/GL</w:t>
                </w:r>
                <w:r w:rsidRPr="005261FC">
                  <w:t>/2023/10</w:t>
                </w:r>
              </w:p>
            </w:tc>
            <w:tc>
              <w:tcPr>
                <w:tcW w:w="6111" w:type="dxa"/>
                <w:tcBorders>
                  <w:bottom w:val="single" w:color="auto" w:sz="12" w:space="0"/>
                  <w:right w:val="single" w:color="auto" w:sz="12" w:space="0"/>
                </w:tcBorders>
              </w:tcPr>
              <w:p w:rsidRPr="00D13DB3" w:rsidR="000933F3" w:rsidP="005D18C0" w:rsidRDefault="000933F3" w14:paraId="7175D807" w14:textId="77777777">
                <w:pPr>
                  <w:rPr>
                    <w:rFonts w:eastAsia="MS PGothic" w:cs="Times New Roman"/>
                    <w:lang w:val="en-GB" w:eastAsia="en-GB"/>
                  </w:rPr>
                </w:pPr>
              </w:p>
            </w:tc>
          </w:tr>
        </w:tbl>
        <w:p w:rsidRPr="005D4C29" w:rsidR="00B43E07" w:rsidP="00B43E07" w:rsidRDefault="00B43E07" w14:paraId="7BF79593" w14:textId="77777777">
          <w:r w:rsidRPr="005D4C29">
            <w:br w:type="page"/>
          </w:r>
        </w:p>
      </w:sdtContent>
    </w:sdt>
    <w:p w:rsidRPr="005D4C29" w:rsidR="00B43E07" w:rsidP="00CE3517" w:rsidRDefault="00B43E07" w14:paraId="64322AB3" w14:textId="77777777">
      <w:pPr>
        <w:pStyle w:val="Numberedtilelevel1"/>
        <w:numPr>
          <w:ilvl w:val="0"/>
          <w:numId w:val="34"/>
        </w:numPr>
      </w:pPr>
      <w:r w:rsidRPr="005D4C29">
        <w:lastRenderedPageBreak/>
        <w:t>Atitikties ir pranešimo pareigos</w:t>
      </w:r>
    </w:p>
    <w:p w:rsidRPr="005D4C29" w:rsidR="00B43E07" w:rsidP="00B43E07" w:rsidRDefault="00B43E07" w14:paraId="739D106E" w14:textId="77777777">
      <w:pPr>
        <w:pStyle w:val="Titlelevel2"/>
      </w:pPr>
      <w:r w:rsidRPr="005D4C29">
        <w:t>Šių gairių statusas</w:t>
      </w:r>
    </w:p>
    <w:p w:rsidRPr="005D4C29" w:rsidR="00B43E07" w:rsidP="00B43E07" w:rsidRDefault="00B43E07" w14:paraId="6B8C5261" w14:textId="77777777">
      <w:pPr>
        <w:pStyle w:val="body"/>
        <w:numPr>
          <w:ilvl w:val="0"/>
          <w:numId w:val="28"/>
        </w:numPr>
      </w:pPr>
      <w:r w:rsidRPr="005D4C29">
        <w:t>Šiame dokumente pateiktos pagal Reglamento (ES) Nr. 1093/2010</w:t>
      </w:r>
      <w:r w:rsidRPr="005D4C29">
        <w:rPr>
          <w:rStyle w:val="FootnoteReference"/>
          <w:lang w:val="en-GB"/>
        </w:rPr>
        <w:footnoteReference w:id="2"/>
      </w:r>
      <w:r w:rsidRPr="005D4C29">
        <w:t xml:space="preserve"> 16 straipsnį parengtos gairės. Pagal Reglamento (ES) Nr. 1093/2010 16 straipsnio 3 dalį kompetentingos institucijos ir finansų įstaigos turi dėti visas pastangas siekdamos laikytis šių gairių.</w:t>
      </w:r>
    </w:p>
    <w:p w:rsidRPr="005D4C29" w:rsidR="00B43E07" w:rsidP="00B43E07" w:rsidRDefault="00B43E07" w14:paraId="01414E5A" w14:textId="77777777">
      <w:pPr>
        <w:pStyle w:val="body"/>
        <w:numPr>
          <w:ilvl w:val="0"/>
          <w:numId w:val="28"/>
        </w:numPr>
      </w:pPr>
      <w:r w:rsidRPr="005D4C29">
        <w:t>Gairėse išdėstoma EBI nuomonė dėl tinkamos priežiūros praktikos Europos finansų priežiūros institucijų sistemoje arba dėl to, kaip Sąjungos teisė turėtų būti taikoma tam tikroje srityje. Reglamento (ES) Nr. 1093/2010 4 straipsnio 2 dalyje apibrėžtos kompetentingos institucijos, kurioms taikomos šios gairės, turėtų jų laikytis ir atitinkamai jas įtraukti į savo praktiką (pvz., iš dalies pakeisti savo teisinę sistemą arba priežiūros procesus), įskaitant tuos atvejus, kai gairės visų pirma skiriamos įstaigoms.</w:t>
      </w:r>
    </w:p>
    <w:p w:rsidRPr="005D4C29" w:rsidR="00B43E07" w:rsidP="00B43E07" w:rsidRDefault="00B43E07" w14:paraId="41677098" w14:textId="77777777">
      <w:pPr>
        <w:pStyle w:val="Titlelevel2"/>
      </w:pPr>
      <w:r w:rsidRPr="005D4C29">
        <w:t>Pranešimo reikalavimai</w:t>
      </w:r>
    </w:p>
    <w:p w:rsidRPr="005D4C29" w:rsidR="00B43E07" w:rsidP="00B43E07" w:rsidRDefault="00236329" w14:paraId="38573CE7" w14:textId="0E17127D">
      <w:pPr>
        <w:pStyle w:val="body"/>
        <w:numPr>
          <w:ilvl w:val="0"/>
          <w:numId w:val="28"/>
        </w:numPr>
      </w:pPr>
      <w:r w:rsidRPr="005D4C29">
        <w:t>Pagal Reglamento (ES) Nr. 1093/2010 16 straipsnio 3 dalį kompetentingos institucijos ne vėliau kaip</w:t>
      </w:r>
      <w:r w:rsidR="00862D62">
        <w:t xml:space="preserve"> 2021.02.16</w:t>
      </w:r>
      <w:r w:rsidRPr="005D4C29">
        <w:t xml:space="preserve"> privalo EBI pranešti, ar laikosi arba ketina laikytis šių gairių, arba nurodyti nesilaikymo priežastis. Jeigu kompetentingos institucijos iki šio termino nepateiks jokio pranešimo, EBI laikys, kad jos gairių nesilaiko. Pranešimus reikia siųsti užpildžius EBI interneto svetainėje pateiktą formą ir įrašius nuorodą „EBA/GL/2020/14“. Pranešimus turėtų teikti asmenys, turintys reikiamus įgaliojimus pranešti apie gairių laikymąsi savo kompetentingų institucijų vardu. EBI taip pat būtina pranešti apie visus pasikeitimus, susijusius su gairių laikymusi.</w:t>
      </w:r>
    </w:p>
    <w:p w:rsidRPr="005D4C29" w:rsidR="00B43E07" w:rsidP="00B43E07" w:rsidRDefault="00B43E07" w14:paraId="05C84C61" w14:textId="77777777">
      <w:pPr>
        <w:pStyle w:val="body"/>
        <w:numPr>
          <w:ilvl w:val="0"/>
          <w:numId w:val="28"/>
        </w:numPr>
      </w:pPr>
      <w:r w:rsidRPr="005D4C29">
        <w:t>Pranešimai bus skelbiami EBI interneto svetainėje pagal 16 straipsnio 3 dalį.</w:t>
      </w:r>
    </w:p>
    <w:p w:rsidRPr="005D4C29" w:rsidR="00B43E07" w:rsidP="00B43E07" w:rsidRDefault="00B43E07" w14:paraId="7026CC46" w14:textId="77777777">
      <w:pPr>
        <w:pStyle w:val="Titlelevel2"/>
      </w:pPr>
      <w:r w:rsidRPr="005D4C29">
        <w:br w:type="page"/>
      </w:r>
    </w:p>
    <w:p w:rsidRPr="005D4C29" w:rsidR="00B43E07" w:rsidP="00CE3517" w:rsidRDefault="00B43E07" w14:paraId="1B778B9F" w14:textId="77777777">
      <w:pPr>
        <w:pStyle w:val="Numberedtilelevel1"/>
      </w:pPr>
      <w:r w:rsidRPr="005D4C29">
        <w:lastRenderedPageBreak/>
        <w:t>Dalykas, taikymo sritis ir sąvokų apibrėžtys</w:t>
      </w:r>
    </w:p>
    <w:p w:rsidRPr="005D4C29" w:rsidR="00B43E07" w:rsidP="00B43E07" w:rsidRDefault="00B43E07" w14:paraId="543425B5" w14:textId="77777777">
      <w:pPr>
        <w:pStyle w:val="Titlelevel2"/>
      </w:pPr>
      <w:r w:rsidRPr="005D4C29">
        <w:t>Dalykas</w:t>
      </w:r>
    </w:p>
    <w:p w:rsidRPr="005D4C29" w:rsidR="00DE0FE1" w:rsidP="00DE0FE1" w:rsidRDefault="00DE0FE1" w14:paraId="6F976D83" w14:textId="77777777">
      <w:pPr>
        <w:pStyle w:val="body"/>
        <w:numPr>
          <w:ilvl w:val="0"/>
          <w:numId w:val="28"/>
        </w:numPr>
      </w:pPr>
      <w:r w:rsidRPr="005D4C29">
        <w:t>Šios gairės yra susijusios su:</w:t>
      </w:r>
    </w:p>
    <w:p w:rsidRPr="005D4C29" w:rsidR="00DE0FE1" w:rsidP="00DE0FE1" w:rsidRDefault="00DE0FE1" w14:paraId="1F5135D9" w14:textId="77777777">
      <w:pPr>
        <w:pStyle w:val="body"/>
        <w:numPr>
          <w:ilvl w:val="1"/>
          <w:numId w:val="35"/>
        </w:numPr>
      </w:pPr>
      <w:r w:rsidRPr="005D4C29">
        <w:t>rodiklių, naudojamų pasaulinės sisteminės svarbos įstaigoms (G-SII) nustatyti, kaip nustatyta Reglamente (ES) Nr. 1222/2014 (toliau – rodikliai), nurodymu ir</w:t>
      </w:r>
    </w:p>
    <w:p w:rsidRPr="005D4C29" w:rsidR="00B43E07" w:rsidP="00DE0FE1" w:rsidRDefault="00DE0FE1" w14:paraId="098B9808" w14:textId="752F26A1">
      <w:pPr>
        <w:pStyle w:val="body"/>
        <w:numPr>
          <w:ilvl w:val="1"/>
          <w:numId w:val="35"/>
        </w:numPr>
      </w:pPr>
      <w:r w:rsidRPr="005D4C29">
        <w:t xml:space="preserve">pagrindinių duomenų (rodiklių, papildomų duomenų ir memorandumo punktų) </w:t>
      </w:r>
      <w:r w:rsidR="001539A2">
        <w:t>pateikim</w:t>
      </w:r>
      <w:r w:rsidRPr="005D4C29">
        <w:t>u, taip pat metinių gautų rodiklių verčių, naudojamų G-SII nustatyti, atskleidimu.</w:t>
      </w:r>
    </w:p>
    <w:p w:rsidRPr="005D4C29" w:rsidR="00B43E07" w:rsidP="00B43E07" w:rsidRDefault="00B43E07" w14:paraId="4B542859" w14:textId="77777777">
      <w:pPr>
        <w:pStyle w:val="Titlelevel2"/>
      </w:pPr>
      <w:r w:rsidRPr="005D4C29">
        <w:t>Taikymo sritis</w:t>
      </w:r>
    </w:p>
    <w:p w:rsidRPr="005D4C29" w:rsidR="00DE0FE1" w:rsidP="00B43E07" w:rsidRDefault="00B43E07" w14:paraId="769CB612" w14:textId="77777777">
      <w:pPr>
        <w:pStyle w:val="body"/>
        <w:numPr>
          <w:ilvl w:val="0"/>
          <w:numId w:val="28"/>
        </w:numPr>
      </w:pPr>
      <w:r w:rsidRPr="005D4C29">
        <w:t>Šios gairės taikomos:</w:t>
      </w:r>
    </w:p>
    <w:p w:rsidRPr="005D4C29" w:rsidR="00DE0FE1" w:rsidP="00DE0FE1" w:rsidRDefault="000F3C24" w14:paraId="7501C546" w14:textId="77777777">
      <w:pPr>
        <w:pStyle w:val="body"/>
        <w:numPr>
          <w:ilvl w:val="0"/>
          <w:numId w:val="36"/>
        </w:numPr>
      </w:pPr>
      <w:r w:rsidRPr="005D4C29">
        <w:t>grupėms, kurioms vadovauja ES patronuojančioji įstaiga, ES patronuojančioji finansų kontroliuojančioji bendrovė arba ES patronuojančioji mišrią veiklą vykdanti finansų kontroliuojančioji bendrovė, ir</w:t>
      </w:r>
    </w:p>
    <w:p w:rsidRPr="005D4C29" w:rsidR="00B43E07" w:rsidP="00DE0FE1" w:rsidRDefault="00DE0FE1" w14:paraId="5FFA0EA1" w14:textId="77777777">
      <w:pPr>
        <w:pStyle w:val="body"/>
        <w:numPr>
          <w:ilvl w:val="0"/>
          <w:numId w:val="36"/>
        </w:numPr>
      </w:pPr>
      <w:r w:rsidRPr="005D4C29">
        <w:t>įstaigoms, kurios nėra ES patronuojančiosios įstaigos, ES patronuojančiosios finansų kontroliuojančiosios bendrovės arba ES patronuojančiosios mišrią veiklą vykdančios finansų kontroliuojančiosios bendrovės patronuojamosios įmonės,</w:t>
      </w:r>
    </w:p>
    <w:p w:rsidRPr="005D4C29" w:rsidR="00B43E07" w:rsidP="00DE0FE1" w:rsidRDefault="003A2221" w14:paraId="17102E9A" w14:textId="77777777">
      <w:pPr>
        <w:pStyle w:val="body"/>
      </w:pPr>
      <w:r w:rsidRPr="005D4C29">
        <w:t>kurių finansinio sverto rodikliui apskaičiuoti naudojama pozicijos vertė yra didesnė negu 200 mlrd. EUR atitinkamai (ir įskaitant draudimo patronuojamąsias įmones) individualiu arba konsoliduotu lygmeniu pagal atitinkamą valiutos kursą, kurį nustatant atsižvelgiama į Europos Centrinio Banko paskelbtą ir finansinių metų pabaigoje galiojantį orientacinį valiutos kursą ir tarptautinius standartus (toliau – atitinkami subjektai).</w:t>
      </w:r>
    </w:p>
    <w:p w:rsidRPr="005D4C29" w:rsidR="00B43E07" w:rsidP="00B43E07" w:rsidRDefault="00B43E07" w14:paraId="62D883F0" w14:textId="77777777">
      <w:pPr>
        <w:pStyle w:val="Titlelevel2"/>
      </w:pPr>
      <w:r w:rsidRPr="005D4C29">
        <w:t>Kam skirtos šios gairės?</w:t>
      </w:r>
    </w:p>
    <w:p w:rsidRPr="005D4C29" w:rsidR="00B43E07" w:rsidP="00DE0FE1" w:rsidRDefault="00DE0FE1" w14:paraId="274A7EA8" w14:textId="77777777">
      <w:pPr>
        <w:pStyle w:val="body"/>
        <w:numPr>
          <w:ilvl w:val="0"/>
          <w:numId w:val="28"/>
        </w:numPr>
      </w:pPr>
      <w:r w:rsidRPr="005D4C29">
        <w:t>Šios gairės skirtos kompetentingoms institucijoms, kaip apibrėžta Reglamento (ES) Nr. 1093/2010 4 straipsnio 2 dalies i punkte, ir finansų įstaigoms, kurioms šios gairės taikomos. Direktyvos 2013/36/ES 131 straipsnio 1 dalyje nurodytos paskirtosios institucijos, kurios nėra kompetentingos institucijos, raginamos taikyti šias gaires. Tiek kompetentingos, tiek paskirtosios institucijos šiose gairėse vadinamos „atitinkamomis institucijomis“.</w:t>
      </w:r>
    </w:p>
    <w:p w:rsidRPr="005D4C29" w:rsidR="00DE0FE1" w:rsidP="00DE0FE1" w:rsidRDefault="00DE0FE1" w14:paraId="6FE9BF28" w14:textId="77777777">
      <w:pPr>
        <w:pStyle w:val="ListParagraph"/>
        <w:numPr>
          <w:ilvl w:val="0"/>
          <w:numId w:val="28"/>
        </w:numPr>
      </w:pPr>
      <w:r w:rsidRPr="005D4C29">
        <w:br w:type="page"/>
      </w:r>
    </w:p>
    <w:p w:rsidRPr="005D4C29" w:rsidR="00B43E07" w:rsidP="00CE3517" w:rsidRDefault="00B43E07" w14:paraId="75575059" w14:textId="77777777">
      <w:pPr>
        <w:pStyle w:val="Numberedtilelevel1"/>
      </w:pPr>
      <w:r w:rsidRPr="005D4C29">
        <w:lastRenderedPageBreak/>
        <w:t>Įgyvendinimas</w:t>
      </w:r>
    </w:p>
    <w:p w:rsidRPr="005D4C29" w:rsidR="00B43E07" w:rsidP="00B43E07" w:rsidRDefault="00B43E07" w14:paraId="31B2590C" w14:textId="77777777">
      <w:pPr>
        <w:pStyle w:val="Titlelevel2"/>
      </w:pPr>
      <w:r w:rsidRPr="005D4C29">
        <w:t>Taikymo data</w:t>
      </w:r>
    </w:p>
    <w:p w:rsidRPr="005D4C29" w:rsidR="00B43E07" w:rsidP="00DE0FE1" w:rsidRDefault="00DE0FE1" w14:paraId="220EFECC" w14:textId="641B4009">
      <w:pPr>
        <w:pStyle w:val="body"/>
        <w:numPr>
          <w:ilvl w:val="0"/>
          <w:numId w:val="38"/>
        </w:numPr>
      </w:pPr>
      <w:r w:rsidRPr="005D4C29">
        <w:t xml:space="preserve">Šios gairės taikomos nuo </w:t>
      </w:r>
      <w:r w:rsidR="00862D62">
        <w:t>2020.12.16.</w:t>
      </w:r>
    </w:p>
    <w:p w:rsidRPr="005D4C29" w:rsidR="00B43E07" w:rsidP="00B43E07" w:rsidRDefault="00B43E07" w14:paraId="34519EFE" w14:textId="77777777">
      <w:pPr>
        <w:pStyle w:val="Titlelevel2"/>
      </w:pPr>
      <w:r w:rsidRPr="005D4C29">
        <w:t>Panaikinimas</w:t>
      </w:r>
    </w:p>
    <w:p w:rsidRPr="005D4C29" w:rsidR="00B43E07" w:rsidP="00A41338" w:rsidRDefault="00BD1538" w14:paraId="3A4D49AB" w14:textId="77777777">
      <w:r w:rsidRPr="005D4C29">
        <w:t>Šiuo dokumentu panaikinamos 2016 m. vasario 29 d. peržiūrėtos gairės dėl išsamesnio pasaulinės sisteminės svarbos rodiklių apibūdinimo ir atskleidimo (EBA/GL/2016/01).</w:t>
      </w:r>
    </w:p>
    <w:p w:rsidRPr="005D4C29" w:rsidR="00BD1538" w:rsidP="00B43E07" w:rsidRDefault="00BD1538" w14:paraId="42100554" w14:textId="77777777">
      <w:pPr>
        <w:pStyle w:val="body"/>
        <w:sectPr w:rsidRPr="005D4C29" w:rsidR="00BD1538" w:rsidSect="000F33D3">
          <w:headerReference w:type="even" r:id="rId8"/>
          <w:headerReference w:type="default" r:id="rId9"/>
          <w:footerReference w:type="even" r:id="rId10"/>
          <w:footerReference w:type="default" r:id="rId11"/>
          <w:headerReference w:type="first" r:id="rId12"/>
          <w:footerReference w:type="first" r:id="rId13"/>
          <w:pgSz w:w="11900" w:h="16840"/>
          <w:pgMar w:top="2268" w:right="1418" w:bottom="1134" w:left="1701" w:header="709" w:footer="709" w:gutter="0"/>
          <w:cols w:space="708"/>
          <w:docGrid w:linePitch="299"/>
        </w:sectPr>
      </w:pPr>
    </w:p>
    <w:p w:rsidRPr="005D4C29" w:rsidR="00B43E07" w:rsidP="00BD1538" w:rsidRDefault="00BD1538" w14:paraId="7BA94A0B" w14:textId="77777777">
      <w:pPr>
        <w:pStyle w:val="Numberedtilelevel1"/>
        <w:jc w:val="both"/>
      </w:pPr>
      <w:r w:rsidRPr="005D4C29">
        <w:lastRenderedPageBreak/>
        <w:t>Pagrindinių duomenų ir rodiklių, naudojamų G-SII nustatyti, nurodymas</w:t>
      </w:r>
    </w:p>
    <w:p w:rsidR="000815E2" w:rsidP="000815E2" w:rsidRDefault="000815E2" w14:paraId="45A3B9E2" w14:textId="351EE06E">
      <w:pPr>
        <w:pStyle w:val="body"/>
        <w:rPr>
          <w:iCs/>
        </w:rPr>
      </w:pPr>
      <w:r w:rsidRPr="007B541C">
        <w:rPr>
          <w:spacing w:val="-1"/>
          <w:highlight w:val="green"/>
        </w:rPr>
        <w:sym w:font="Wingdings" w:char="F0DA"/>
      </w:r>
      <w:r w:rsidRPr="007B541C">
        <w:rPr>
          <w:spacing w:val="-1"/>
          <w:highlight w:val="green"/>
        </w:rPr>
        <w:t>A1</w:t>
      </w:r>
    </w:p>
    <w:p w:rsidRPr="00411573" w:rsidR="00411573" w:rsidP="00BD1538" w:rsidRDefault="00411573" w14:paraId="4046BE34" w14:textId="04F85363">
      <w:pPr>
        <w:pStyle w:val="body"/>
        <w:numPr>
          <w:ilvl w:val="0"/>
          <w:numId w:val="38"/>
        </w:numPr>
        <w:rPr>
          <w:iCs/>
        </w:rPr>
      </w:pPr>
      <w:r w:rsidRPr="00411573">
        <w:rPr>
          <w:iCs/>
        </w:rPr>
        <w:t>Atitinkamos institucijos ir atitinkami subjektai turėtų laikytis priede išvardytų duomenų straipsnių nurodymų ir specifikacijų, kaip nustatyta EBI interneto svetainės tinklalapio „Pasaulinės sisteminės svarbos įstaigos“ (G-SII) skiltyje „Informacijos teikimo nurodymai“</w:t>
      </w:r>
      <w:r w:rsidRPr="00411573">
        <w:rPr>
          <w:rStyle w:val="FootnoteReference"/>
          <w:iCs/>
        </w:rPr>
        <w:footnoteReference w:id="3"/>
      </w:r>
      <w:r w:rsidRPr="00411573">
        <w:rPr>
          <w:iCs/>
        </w:rPr>
        <w:t>.</w:t>
      </w:r>
    </w:p>
    <w:p w:rsidR="00B43E07" w:rsidP="00BD1538" w:rsidRDefault="00411573" w14:paraId="64C607CA" w14:textId="127CF562">
      <w:pPr>
        <w:pStyle w:val="body"/>
        <w:numPr>
          <w:ilvl w:val="0"/>
          <w:numId w:val="38"/>
        </w:numPr>
        <w:rPr>
          <w:iCs/>
        </w:rPr>
      </w:pPr>
      <w:r w:rsidRPr="00411573">
        <w:rPr>
          <w:iCs/>
        </w:rPr>
        <w:t>Atitinkamos institucijos turėtų naudoti papildomus duomenis (šių gairių priedo 15 ir 16 skirsniai) savo kaip priežiūros institucijos sprendimui pagrįsti pagal Direktyvos 2013/36/ES 131 straipsnio 10 dalį, ir turėtų taikyti memorandumo punktus (priedo 17–22 skirsniai) duomenų kokybei pagerinti ir kaip pagalbą nustatymo metodikai ateityje tobulinti. Memorandumo punktai prireikus turėtų būti papildyti išsamiomis atitinkamų subjektų pastabomis dėl duomenų kokybės ir prieinamumo</w:t>
      </w:r>
      <w:r>
        <w:rPr>
          <w:iCs/>
        </w:rPr>
        <w:t>.</w:t>
      </w:r>
    </w:p>
    <w:p w:rsidR="00411573" w:rsidP="00411573" w:rsidRDefault="00411573" w14:paraId="5EDE5E28" w14:textId="022BF7DC">
      <w:pPr>
        <w:pStyle w:val="body"/>
        <w:ind w:left="284" w:hanging="284"/>
        <w:rPr>
          <w:iCs/>
        </w:rPr>
      </w:pPr>
      <w:r w:rsidRPr="00411573">
        <w:rPr>
          <w:iCs/>
        </w:rPr>
        <w:t>10a. Pagal Direktyvos 2013/36/ES 131 straipsnio 2a dalį, kurioje reikalaujama taikyti papildomą nustatymo metodiką, kuria remiantis į bendrą pertvarkymo mechanizmą (BPeM) neįtraukiama tarpvalstybinė veikla, ir pagal 2022 m. gegužės 31 d. Bazelio komiteto tarptautinį susitarimą, kuriuo pripažįstama pažanga, padaryta kuriant Europos bankų sąjungą, duomenys, svarbūs apskaičiuojant BPeM pakoreguotus tarpjurisdikcinius rodiklius, susijusius su įstaigomis, kurių pagrindinė būstinė yra prie BPeM prisijungusiose valstybėse narėse, turėtų būti laikomi tarpjurisdikcinės veiklos rodiklių dalimi ir atskleidžiami remiantis 12 dalimi, o ne laikomi papildomais duomenimis arba memorandumo punktais, skirtais G-SII nustatyti ir subkategorijų paskirstymo metodikai taikyti</w:t>
      </w:r>
      <w:r>
        <w:rPr>
          <w:iCs/>
        </w:rPr>
        <w:t>.</w:t>
      </w:r>
    </w:p>
    <w:p w:rsidRPr="00411573" w:rsidR="00411573" w:rsidP="00411573" w:rsidRDefault="00411573" w14:paraId="6BD0741B" w14:textId="77777777">
      <w:pPr>
        <w:pStyle w:val="body"/>
        <w:rPr>
          <w:iCs/>
        </w:rPr>
      </w:pPr>
    </w:p>
    <w:p w:rsidRPr="00411573" w:rsidR="00411573" w:rsidP="00411573" w:rsidRDefault="00411573" w14:paraId="367D8E30" w14:textId="77777777">
      <w:pPr>
        <w:pStyle w:val="body"/>
        <w:rPr>
          <w:iCs/>
        </w:rPr>
      </w:pPr>
    </w:p>
    <w:p w:rsidRPr="005D4C29" w:rsidR="00BD1538" w:rsidP="00BD1538" w:rsidRDefault="00BD1538" w14:paraId="1C25B1A4" w14:textId="77777777">
      <w:pPr>
        <w:pStyle w:val="body"/>
        <w:rPr>
          <w:highlight w:val="yellow"/>
        </w:rPr>
      </w:pPr>
    </w:p>
    <w:p w:rsidRPr="005D4C29" w:rsidR="00BD1538" w:rsidP="00505C64" w:rsidRDefault="00BD1538" w14:paraId="6D1CB193" w14:textId="77777777">
      <w:pPr>
        <w:pStyle w:val="Titlelevel2"/>
        <w:sectPr w:rsidRPr="005D4C29" w:rsidR="00BD1538" w:rsidSect="000F33D3">
          <w:pgSz w:w="11900" w:h="16840"/>
          <w:pgMar w:top="2268" w:right="1418" w:bottom="1134" w:left="1701" w:header="709" w:footer="709" w:gutter="0"/>
          <w:cols w:space="708"/>
          <w:docGrid w:linePitch="299"/>
        </w:sectPr>
      </w:pPr>
    </w:p>
    <w:p w:rsidRPr="005D4C29" w:rsidR="00B43E07" w:rsidP="00BD1538" w:rsidRDefault="00BD1538" w14:paraId="00D53BCF" w14:textId="0C3CECA2">
      <w:pPr>
        <w:pStyle w:val="Numberedtilelevel1"/>
        <w:jc w:val="both"/>
      </w:pPr>
      <w:r w:rsidRPr="005D4C29">
        <w:lastRenderedPageBreak/>
        <w:t>Atitinkam</w:t>
      </w:r>
      <w:r w:rsidR="003576B7">
        <w:t>ie</w:t>
      </w:r>
      <w:r w:rsidRPr="005D4C29">
        <w:t xml:space="preserve">ms </w:t>
      </w:r>
      <w:r w:rsidR="003576B7">
        <w:t xml:space="preserve">subjektams </w:t>
      </w:r>
      <w:r w:rsidRPr="005D4C29">
        <w:t xml:space="preserve">taikomi </w:t>
      </w:r>
      <w:r w:rsidR="00400925">
        <w:t>duomenų teik</w:t>
      </w:r>
      <w:r w:rsidRPr="005D4C29">
        <w:t>imo ir atskleidimo reikalavimai</w:t>
      </w:r>
    </w:p>
    <w:p w:rsidRPr="00411573" w:rsidR="00411573" w:rsidP="0007574B" w:rsidRDefault="00411573" w14:paraId="1B9C2256" w14:textId="4FDDF284">
      <w:pPr>
        <w:pStyle w:val="body"/>
        <w:numPr>
          <w:ilvl w:val="0"/>
          <w:numId w:val="38"/>
        </w:numPr>
        <w:rPr>
          <w:iCs/>
        </w:rPr>
      </w:pPr>
      <w:r w:rsidRPr="00411573">
        <w:rPr>
          <w:iCs/>
        </w:rPr>
        <w:t>Atitinkamos institucijos turėtų užtikrinti, kad kiekvienais metais iki gruodžio 31 d. jos iš atitinkamų subjektų, atitinkančių šių gairių 6 dalyje nurodytus kriterijus, surinktų visus šių gairių priede nurodytus duomenis.</w:t>
      </w:r>
    </w:p>
    <w:p w:rsidR="00411573" w:rsidP="0007574B" w:rsidRDefault="00411573" w14:paraId="54E47DDC" w14:textId="4BE98C27">
      <w:pPr>
        <w:pStyle w:val="body"/>
        <w:numPr>
          <w:ilvl w:val="0"/>
          <w:numId w:val="38"/>
        </w:numPr>
        <w:rPr>
          <w:iCs/>
        </w:rPr>
      </w:pPr>
      <w:r w:rsidRPr="00411573">
        <w:rPr>
          <w:iCs/>
        </w:rPr>
        <w:t>Atitinkamos institucijos turėtų užtikrinti, kad atitinkami subjektai savo interneto svetainėse kasmet viešai atskleistų šių gairių priedo 1–14 skirsniuose nurodytas rodiklių vertes ir, jei reikia taikyti papildomą BPeM nustatymo metodiką, 21 skirsnio e., f. ir g. punktus, taip pat visus kitus 21 skirsnio punktus, susijusius su BPeM tarpjurisdikcine veikla, kuri gali būti laikoma svarbia atitinkamai institucijai apskaičiuojant tokią metodiką.</w:t>
      </w:r>
    </w:p>
    <w:p w:rsidRPr="00411573" w:rsidR="000815E2" w:rsidP="000815E2" w:rsidRDefault="000815E2" w14:paraId="59B296D9" w14:textId="1A4E06B6">
      <w:pPr>
        <w:pStyle w:val="BodyText"/>
        <w:tabs>
          <w:tab w:val="left" w:pos="1802"/>
        </w:tabs>
        <w:spacing w:before="100" w:after="60" w:line="276" w:lineRule="auto"/>
        <w:ind w:right="232"/>
        <w:jc w:val="both"/>
        <w:rPr>
          <w:iCs/>
        </w:rPr>
      </w:pPr>
      <w:r w:rsidRPr="007B541C">
        <w:rPr>
          <w:spacing w:val="-1"/>
          <w:highlight w:val="yellow"/>
        </w:rPr>
        <w:sym w:font="Wingdings" w:char="F0DA"/>
      </w:r>
      <w:r w:rsidRPr="007B541C">
        <w:rPr>
          <w:spacing w:val="-1"/>
          <w:highlight w:val="yellow"/>
        </w:rPr>
        <w:t>O</w:t>
      </w:r>
    </w:p>
    <w:p w:rsidR="0007574B" w:rsidP="0007574B" w:rsidRDefault="006C499D" w14:paraId="40865303" w14:textId="65A3994B">
      <w:pPr>
        <w:pStyle w:val="body"/>
        <w:numPr>
          <w:ilvl w:val="0"/>
          <w:numId w:val="38"/>
        </w:numPr>
      </w:pPr>
      <w:r>
        <w:t xml:space="preserve">Teikdami </w:t>
      </w:r>
      <w:r w:rsidRPr="005D4C29" w:rsidR="0007574B">
        <w:t>ir atskleisdami 11 ir 12 dalyse nurodytą informaciją, atitinkami subjektai turėtų naudoti elektroninį šabloną ir laikytis šiuo tikslu EBI interneto svetainėje skelbiamų metinių instrukcijų.</w:t>
      </w:r>
    </w:p>
    <w:p w:rsidRPr="005D4C29" w:rsidR="000815E2" w:rsidP="000815E2" w:rsidRDefault="000815E2" w14:paraId="503CC902" w14:textId="46F827BF">
      <w:pPr>
        <w:pStyle w:val="body"/>
      </w:pPr>
      <w:r w:rsidRPr="007B541C">
        <w:rPr>
          <w:spacing w:val="-1"/>
          <w:highlight w:val="green"/>
        </w:rPr>
        <w:sym w:font="Wingdings" w:char="F0DA"/>
      </w:r>
      <w:r w:rsidRPr="007B541C">
        <w:rPr>
          <w:spacing w:val="-1"/>
          <w:highlight w:val="green"/>
        </w:rPr>
        <w:t>A1</w:t>
      </w:r>
    </w:p>
    <w:p w:rsidR="00411573" w:rsidP="0007574B" w:rsidRDefault="00411573" w14:paraId="736906DD" w14:textId="66A7D19A">
      <w:pPr>
        <w:pStyle w:val="body"/>
        <w:numPr>
          <w:ilvl w:val="0"/>
          <w:numId w:val="38"/>
        </w:numPr>
        <w:rPr>
          <w:iCs/>
        </w:rPr>
      </w:pPr>
      <w:r w:rsidRPr="00411573">
        <w:rPr>
          <w:iCs/>
        </w:rPr>
        <w:t>Atitinkami subjektai turėtų kasmet ne vėliau kaip per keturis mėnesius nuo kiekvienų finansinių metų pabaigos, pradedant nuo antrųjų iš eilės einančių finansinių metų pabaigos datos, kai buvo viršyta šių gairių 6 dalyje nurodyta ribinė vertė, atitinkamoms institucijoms pateikti 11 dalyje nurodytą informaciją ir viešai atskleisti 12 dalyje nurodytą informaciją. Tai darydami atitinkami subjektai turėtų save identifikuoti naudodami savo juridinio asmens identifikatorius (LEI).</w:t>
      </w:r>
    </w:p>
    <w:p w:rsidRPr="00411573" w:rsidR="000815E2" w:rsidP="000815E2" w:rsidRDefault="000815E2" w14:paraId="4F20EC18" w14:textId="7A7176A0">
      <w:pPr>
        <w:pStyle w:val="BodyText"/>
        <w:tabs>
          <w:tab w:val="left" w:pos="1802"/>
        </w:tabs>
        <w:spacing w:before="100" w:after="60" w:line="276" w:lineRule="auto"/>
        <w:ind w:right="232"/>
        <w:jc w:val="both"/>
        <w:rPr>
          <w:iCs/>
        </w:rPr>
      </w:pPr>
      <w:r w:rsidRPr="007B541C">
        <w:rPr>
          <w:spacing w:val="-1"/>
          <w:highlight w:val="yellow"/>
        </w:rPr>
        <w:sym w:font="Wingdings" w:char="F0DA"/>
      </w:r>
      <w:r w:rsidRPr="007B541C">
        <w:rPr>
          <w:spacing w:val="-1"/>
          <w:highlight w:val="yellow"/>
        </w:rPr>
        <w:t>O</w:t>
      </w:r>
    </w:p>
    <w:p w:rsidRPr="005D4C29" w:rsidR="0007574B" w:rsidP="0007574B" w:rsidRDefault="003A2221" w14:paraId="2C5718A6" w14:textId="22781276">
      <w:pPr>
        <w:pStyle w:val="body"/>
        <w:numPr>
          <w:ilvl w:val="0"/>
          <w:numId w:val="38"/>
        </w:numPr>
      </w:pPr>
      <w:r w:rsidRPr="005D4C29">
        <w:t>Atitinkamos institucijos gali leisti atitinkamiems subjektams, kurių finansiniai metai baigiasi ne gruodžio 31 d., p</w:t>
      </w:r>
      <w:r w:rsidR="002C5415">
        <w:t xml:space="preserve">ateikti </w:t>
      </w:r>
      <w:r w:rsidRPr="005D4C29">
        <w:t>ir atskleisti tą informaciją, remiantis p</w:t>
      </w:r>
      <w:r w:rsidR="00F57DE0">
        <w:t>adėtimi</w:t>
      </w:r>
      <w:r w:rsidRPr="005D4C29">
        <w:t>, kuri yra artimiausia gruodžio 31 d. Bet kuriuo atveju informacija turi būti atskleista ne vėliau kaip liepos 31 d.</w:t>
      </w:r>
    </w:p>
    <w:p w:rsidRPr="005D4C29" w:rsidR="00B43E07" w:rsidP="00B43E07" w:rsidRDefault="003A2221" w14:paraId="24596F73" w14:textId="77757FE5">
      <w:pPr>
        <w:pStyle w:val="body"/>
        <w:numPr>
          <w:ilvl w:val="0"/>
          <w:numId w:val="38"/>
        </w:numPr>
      </w:pPr>
      <w:r w:rsidRPr="005D4C29">
        <w:t>Kai taikytina, atitinkamos institucijos turėtų užtikrinti, kad p</w:t>
      </w:r>
      <w:r w:rsidR="002C5415">
        <w:t xml:space="preserve">ateikti </w:t>
      </w:r>
      <w:r w:rsidRPr="005D4C29">
        <w:t>ir atskleisti duomenys būtų identiški pateiktiems Bazelio bankų priežiūros komitetui.</w:t>
      </w:r>
    </w:p>
    <w:p w:rsidRPr="005D4C29" w:rsidR="006C6D8E" w:rsidP="006C6D8E" w:rsidRDefault="006C6D8E" w14:paraId="16154BC6" w14:textId="77777777">
      <w:pPr>
        <w:pStyle w:val="body"/>
      </w:pPr>
    </w:p>
    <w:p w:rsidRPr="005D4C29" w:rsidR="006C6D8E" w:rsidP="006C6D8E" w:rsidRDefault="006C6D8E" w14:paraId="4A0898DC" w14:textId="77777777">
      <w:pPr>
        <w:pStyle w:val="body"/>
        <w:sectPr w:rsidRPr="005D4C29" w:rsidR="006C6D8E" w:rsidSect="000F33D3">
          <w:pgSz w:w="11900" w:h="16840"/>
          <w:pgMar w:top="2268" w:right="1418" w:bottom="1134" w:left="1701" w:header="709" w:footer="709" w:gutter="0"/>
          <w:cols w:space="708"/>
          <w:docGrid w:linePitch="299"/>
        </w:sectPr>
      </w:pPr>
    </w:p>
    <w:p w:rsidRPr="005D4C29" w:rsidR="00B43E07" w:rsidP="006C6D8E" w:rsidRDefault="006C6D8E" w14:paraId="46DD1706" w14:textId="77777777">
      <w:pPr>
        <w:pStyle w:val="Numberedtilelevel1"/>
        <w:jc w:val="both"/>
      </w:pPr>
      <w:r w:rsidRPr="005D4C29">
        <w:lastRenderedPageBreak/>
        <w:t>EBI teikiama informacija</w:t>
      </w:r>
    </w:p>
    <w:p w:rsidRPr="005D4C29" w:rsidR="006C6D8E" w:rsidP="006C6D8E" w:rsidRDefault="003A2221" w14:paraId="2AC9189F" w14:textId="77777777">
      <w:pPr>
        <w:pStyle w:val="body"/>
        <w:numPr>
          <w:ilvl w:val="0"/>
          <w:numId w:val="38"/>
        </w:numPr>
      </w:pPr>
      <w:r w:rsidRPr="005D4C29">
        <w:t>Atitinkamos institucijos turėtų pateikti EBI visus duomenis, įskaitant papildomus duomenis ir memorandumo punktus, surinktus pagal šias gaires, kad juos būtų galima apibendrinti EBI interneto svetainėje. Atitinkami subjektai turėtų save identifikuoti naudodami savo LEI. EBI papildomų duomenų ir memorandumo punktų neatskleis.</w:t>
      </w:r>
    </w:p>
    <w:p w:rsidRPr="005D4C29" w:rsidR="006C6D8E" w:rsidP="00B43E07" w:rsidRDefault="006C6D8E" w14:paraId="7FC264A0" w14:textId="77777777">
      <w:pPr>
        <w:pStyle w:val="body"/>
        <w:rPr>
          <w:lang w:eastAsia="en-GB"/>
        </w:rPr>
        <w:sectPr w:rsidRPr="005D4C29" w:rsidR="006C6D8E" w:rsidSect="000F33D3">
          <w:pgSz w:w="11900" w:h="16840"/>
          <w:pgMar w:top="2268" w:right="1418" w:bottom="1134" w:left="1701" w:header="709" w:footer="709" w:gutter="0"/>
          <w:cols w:space="708"/>
          <w:docGrid w:linePitch="299"/>
        </w:sectPr>
      </w:pPr>
    </w:p>
    <w:p w:rsidRPr="005D4C29" w:rsidR="006C6D8E" w:rsidP="006C6D8E" w:rsidRDefault="006C6D8E" w14:paraId="5F9B384C" w14:textId="6062774E">
      <w:pPr>
        <w:pStyle w:val="Contenttitle"/>
      </w:pPr>
      <w:r w:rsidRPr="005D4C29">
        <w:lastRenderedPageBreak/>
        <w:t>Priedas</w:t>
      </w:r>
    </w:p>
    <w:tbl>
      <w:tblPr>
        <w:tblStyle w:val="TableGrid1"/>
        <w:tblW w:w="9549" w:type="dxa"/>
        <w:tblLook w:val="04A0" w:firstRow="1" w:lastRow="0" w:firstColumn="1" w:lastColumn="0" w:noHBand="0" w:noVBand="1"/>
      </w:tblPr>
      <w:tblGrid>
        <w:gridCol w:w="2350"/>
        <w:gridCol w:w="4454"/>
        <w:gridCol w:w="2745"/>
      </w:tblGrid>
      <w:tr w:rsidRPr="00910723" w:rsidR="00411573" w:rsidTr="00435435" w14:paraId="33BCAB6B" w14:textId="77777777">
        <w:trPr>
          <w:trHeight w:val="420"/>
        </w:trPr>
        <w:tc>
          <w:tcPr>
            <w:tcW w:w="2350" w:type="dxa"/>
            <w:tcBorders>
              <w:top w:val="nil"/>
              <w:left w:val="nil"/>
              <w:bottom w:val="nil"/>
              <w:right w:val="nil"/>
            </w:tcBorders>
            <w:noWrap/>
            <w:hideMark/>
          </w:tcPr>
          <w:bookmarkEnd w:id="9"/>
          <w:bookmarkEnd w:id="8"/>
          <w:bookmarkEnd w:id="7"/>
          <w:bookmarkEnd w:id="6"/>
          <w:bookmarkEnd w:id="5"/>
          <w:bookmarkEnd w:id="4"/>
          <w:bookmarkEnd w:id="3"/>
          <w:bookmarkEnd w:id="2"/>
          <w:bookmarkEnd w:id="1"/>
          <w:bookmarkEnd w:id="0"/>
          <w:p w:rsidR="000815E2" w:rsidP="00435435" w:rsidRDefault="000815E2" w14:paraId="2E675663" w14:textId="4D69E796">
            <w:pPr>
              <w:keepNext/>
              <w:keepLines/>
              <w:spacing w:before="47"/>
              <w:outlineLvl w:val="5"/>
              <w:rPr>
                <w:rFonts w:ascii="Arial" w:hAnsi="Arial"/>
                <w:b/>
                <w:i/>
                <w:caps/>
                <w:color w:val="172B39" w:themeColor="accent1" w:themeShade="80"/>
                <w:sz w:val="24"/>
              </w:rPr>
            </w:pPr>
            <w:r w:rsidRPr="007B541C">
              <w:rPr>
                <w:spacing w:val="-1"/>
                <w:highlight w:val="green"/>
              </w:rPr>
              <w:sym w:font="Wingdings" w:char="F0DA"/>
            </w:r>
            <w:r w:rsidRPr="007B541C">
              <w:rPr>
                <w:spacing w:val="-1"/>
                <w:highlight w:val="green"/>
              </w:rPr>
              <w:t>A1</w:t>
            </w:r>
          </w:p>
          <w:p w:rsidRPr="00910723" w:rsidR="00411573" w:rsidP="00435435" w:rsidRDefault="00411573" w14:paraId="0E428BE0" w14:textId="106C8642">
            <w:pPr>
              <w:keepNext/>
              <w:keepLines/>
              <w:spacing w:before="47"/>
              <w:outlineLvl w:val="5"/>
              <w:rPr>
                <w:rFonts w:asciiTheme="majorHAnsi" w:hAnsiTheme="majorHAnsi" w:eastAsiaTheme="majorEastAsia" w:cstheme="majorBidi"/>
                <w:b/>
                <w:bCs/>
                <w:i/>
                <w:iCs/>
                <w:caps/>
                <w:color w:val="172B39" w:themeColor="accent1" w:themeShade="80"/>
              </w:rPr>
            </w:pPr>
            <w:r w:rsidRPr="00910723">
              <w:rPr>
                <w:rFonts w:ascii="Arial" w:hAnsi="Arial"/>
                <w:b/>
                <w:i/>
                <w:caps/>
                <w:color w:val="172B39" w:themeColor="accent1" w:themeShade="80"/>
                <w:sz w:val="24"/>
              </w:rPr>
              <w:t> </w:t>
            </w:r>
            <w:r w:rsidRPr="00910723">
              <w:rPr>
                <w:rFonts w:asciiTheme="majorHAnsi" w:hAnsiTheme="majorHAnsi"/>
                <w:b/>
                <w:i/>
                <w:caps/>
              </w:rPr>
              <w:t>Bendrieji banko duomenys</w:t>
            </w:r>
            <w:r w:rsidRPr="00910723">
              <w:rPr>
                <w:rFonts w:ascii="Arial" w:hAnsi="Arial"/>
                <w:i/>
                <w:caps/>
                <w:color w:val="172B39" w:themeColor="accent1" w:themeShade="80"/>
                <w:sz w:val="20"/>
              </w:rPr>
              <w:t> </w:t>
            </w:r>
          </w:p>
        </w:tc>
        <w:tc>
          <w:tcPr>
            <w:tcW w:w="7199" w:type="dxa"/>
            <w:gridSpan w:val="2"/>
            <w:tcBorders>
              <w:top w:val="nil"/>
              <w:left w:val="nil"/>
              <w:bottom w:val="nil"/>
              <w:right w:val="nil"/>
            </w:tcBorders>
          </w:tcPr>
          <w:p w:rsidRPr="00910723" w:rsidR="00411573" w:rsidP="00435435" w:rsidRDefault="00411573" w14:paraId="29FCCA72" w14:textId="77777777">
            <w:pPr>
              <w:rPr>
                <w:rFonts w:ascii="Arial" w:hAnsi="Arial" w:eastAsia="Times New Roman" w:cs="Arial"/>
                <w:b/>
                <w:bCs/>
                <w:sz w:val="24"/>
                <w:szCs w:val="24"/>
                <w:lang w:eastAsia="en-GB"/>
              </w:rPr>
            </w:pPr>
          </w:p>
          <w:p w:rsidRPr="00910723" w:rsidR="00411573" w:rsidP="00435435" w:rsidRDefault="00411573" w14:paraId="61EF487C" w14:textId="77777777">
            <w:pPr>
              <w:rPr>
                <w:rFonts w:ascii="Arial" w:hAnsi="Arial" w:eastAsia="Times New Roman" w:cs="Arial"/>
                <w:b/>
                <w:bCs/>
                <w:sz w:val="24"/>
                <w:szCs w:val="24"/>
              </w:rPr>
            </w:pPr>
            <w:r w:rsidRPr="00910723">
              <w:rPr>
                <w:rFonts w:ascii="Arial" w:hAnsi="Arial"/>
                <w:sz w:val="20"/>
              </w:rPr>
              <w:t> </w:t>
            </w:r>
          </w:p>
        </w:tc>
      </w:tr>
      <w:tr w:rsidRPr="00910723" w:rsidR="00411573" w:rsidTr="00435435" w14:paraId="37845D98" w14:textId="77777777">
        <w:trPr>
          <w:trHeight w:val="300"/>
        </w:trPr>
        <w:tc>
          <w:tcPr>
            <w:tcW w:w="6804" w:type="dxa"/>
            <w:gridSpan w:val="2"/>
            <w:tcBorders>
              <w:top w:val="nil"/>
              <w:left w:val="nil"/>
              <w:bottom w:val="single" w:color="auto" w:sz="4" w:space="0"/>
              <w:right w:val="nil"/>
            </w:tcBorders>
            <w:noWrap/>
          </w:tcPr>
          <w:p w:rsidRPr="00910723" w:rsidR="00411573" w:rsidP="00435435" w:rsidRDefault="00411573" w14:paraId="6808F0B3" w14:textId="77777777">
            <w:pPr>
              <w:rPr>
                <w:rFonts w:ascii="Arial" w:hAnsi="Arial" w:eastAsia="Times New Roman" w:cs="Arial"/>
                <w:b/>
                <w:bCs/>
                <w:sz w:val="20"/>
                <w:szCs w:val="20"/>
                <w:lang w:eastAsia="en-GB"/>
              </w:rPr>
            </w:pPr>
          </w:p>
        </w:tc>
        <w:tc>
          <w:tcPr>
            <w:tcW w:w="2745" w:type="dxa"/>
            <w:tcBorders>
              <w:top w:val="nil"/>
              <w:left w:val="nil"/>
              <w:bottom w:val="single" w:color="auto" w:sz="4" w:space="0"/>
              <w:right w:val="nil"/>
            </w:tcBorders>
            <w:noWrap/>
          </w:tcPr>
          <w:p w:rsidRPr="00910723" w:rsidR="00411573" w:rsidP="00435435" w:rsidRDefault="00411573" w14:paraId="3A06F226" w14:textId="77777777">
            <w:pPr>
              <w:jc w:val="center"/>
              <w:rPr>
                <w:rFonts w:ascii="Arial" w:hAnsi="Arial" w:eastAsia="Times New Roman" w:cs="Arial"/>
                <w:b/>
                <w:bCs/>
                <w:sz w:val="20"/>
                <w:szCs w:val="20"/>
                <w:lang w:eastAsia="en-GB"/>
              </w:rPr>
            </w:pPr>
          </w:p>
        </w:tc>
      </w:tr>
      <w:tr w:rsidRPr="00910723" w:rsidR="00411573" w:rsidTr="00435435" w14:paraId="77FADEBB" w14:textId="77777777">
        <w:trPr>
          <w:trHeight w:val="300"/>
        </w:trPr>
        <w:tc>
          <w:tcPr>
            <w:tcW w:w="6804" w:type="dxa"/>
            <w:gridSpan w:val="2"/>
            <w:tcBorders>
              <w:top w:val="single" w:color="auto" w:sz="4" w:space="0"/>
              <w:left w:val="nil"/>
              <w:bottom w:val="single" w:color="auto" w:sz="4" w:space="0"/>
              <w:right w:val="nil"/>
            </w:tcBorders>
            <w:noWrap/>
            <w:hideMark/>
          </w:tcPr>
          <w:p w:rsidRPr="00910723" w:rsidR="00411573" w:rsidP="00435435" w:rsidRDefault="00411573" w14:paraId="6C075620" w14:textId="77777777">
            <w:pPr>
              <w:rPr>
                <w:rFonts w:ascii="Arial" w:hAnsi="Arial" w:eastAsia="Times New Roman" w:cs="Arial"/>
                <w:b/>
                <w:bCs/>
                <w:sz w:val="20"/>
                <w:szCs w:val="20"/>
              </w:rPr>
            </w:pPr>
            <w:r w:rsidRPr="00910723">
              <w:rPr>
                <w:rFonts w:ascii="Arial" w:hAnsi="Arial"/>
                <w:b/>
                <w:sz w:val="20"/>
              </w:rPr>
              <w:t>1 skirsnis. Bendroji informacija</w:t>
            </w:r>
          </w:p>
        </w:tc>
        <w:tc>
          <w:tcPr>
            <w:tcW w:w="2745" w:type="dxa"/>
            <w:tcBorders>
              <w:top w:val="single" w:color="auto" w:sz="4" w:space="0"/>
              <w:left w:val="nil"/>
              <w:right w:val="nil"/>
            </w:tcBorders>
            <w:noWrap/>
            <w:hideMark/>
          </w:tcPr>
          <w:p w:rsidRPr="00910723" w:rsidR="00411573" w:rsidP="00435435" w:rsidRDefault="00411573" w14:paraId="707FF585" w14:textId="77777777">
            <w:pPr>
              <w:jc w:val="center"/>
              <w:rPr>
                <w:rFonts w:ascii="Arial" w:hAnsi="Arial" w:eastAsia="Times New Roman" w:cs="Arial"/>
                <w:b/>
                <w:bCs/>
                <w:sz w:val="20"/>
                <w:szCs w:val="20"/>
              </w:rPr>
            </w:pPr>
            <w:r w:rsidRPr="00910723">
              <w:rPr>
                <w:rFonts w:ascii="Arial" w:hAnsi="Arial"/>
                <w:b/>
                <w:sz w:val="20"/>
              </w:rPr>
              <w:t>Atsakymas</w:t>
            </w:r>
          </w:p>
        </w:tc>
      </w:tr>
      <w:tr w:rsidRPr="00910723" w:rsidR="00411573" w:rsidTr="00435435" w14:paraId="1C5105BD" w14:textId="77777777">
        <w:trPr>
          <w:gridAfter w:val="1"/>
          <w:wAfter w:w="2745" w:type="dxa"/>
          <w:trHeight w:val="300"/>
        </w:trPr>
        <w:tc>
          <w:tcPr>
            <w:tcW w:w="6804" w:type="dxa"/>
            <w:gridSpan w:val="2"/>
            <w:tcBorders>
              <w:top w:val="single" w:color="auto" w:sz="4" w:space="0"/>
              <w:left w:val="nil"/>
              <w:bottom w:val="single" w:color="auto" w:sz="4" w:space="0"/>
              <w:right w:val="nil"/>
            </w:tcBorders>
            <w:noWrap/>
            <w:hideMark/>
          </w:tcPr>
          <w:p w:rsidRPr="00910723" w:rsidR="00411573" w:rsidP="00435435" w:rsidRDefault="00411573" w14:paraId="6E3FB008" w14:textId="77777777">
            <w:pPr>
              <w:ind w:firstLine="200" w:firstLineChars="100"/>
              <w:rPr>
                <w:rFonts w:ascii="Arial" w:hAnsi="Arial" w:eastAsia="Times New Roman" w:cs="Arial"/>
                <w:sz w:val="20"/>
                <w:szCs w:val="20"/>
              </w:rPr>
            </w:pPr>
            <w:r w:rsidRPr="00910723">
              <w:rPr>
                <w:rFonts w:ascii="Arial" w:hAnsi="Arial"/>
                <w:sz w:val="20"/>
              </w:rPr>
              <w:t>a. Atitinkamos priežiūros institucijos pateikta bendroji informacija</w:t>
            </w:r>
          </w:p>
        </w:tc>
      </w:tr>
      <w:tr w:rsidRPr="00910723" w:rsidR="00411573" w:rsidTr="00435435" w14:paraId="68B065B3" w14:textId="77777777">
        <w:trPr>
          <w:trHeight w:val="300"/>
        </w:trPr>
        <w:tc>
          <w:tcPr>
            <w:tcW w:w="6804" w:type="dxa"/>
            <w:gridSpan w:val="2"/>
            <w:tcBorders>
              <w:left w:val="nil"/>
              <w:right w:val="nil"/>
            </w:tcBorders>
            <w:noWrap/>
            <w:hideMark/>
          </w:tcPr>
          <w:p w:rsidRPr="00910723" w:rsidR="00411573" w:rsidP="00435435" w:rsidRDefault="00411573" w14:paraId="6B55ED9D" w14:textId="77777777">
            <w:pPr>
              <w:ind w:firstLine="400" w:firstLineChars="200"/>
              <w:rPr>
                <w:rFonts w:ascii="Arial" w:hAnsi="Arial" w:eastAsia="Times New Roman" w:cs="Arial"/>
                <w:sz w:val="20"/>
                <w:szCs w:val="20"/>
              </w:rPr>
            </w:pPr>
            <w:r w:rsidRPr="00910723">
              <w:rPr>
                <w:rFonts w:ascii="Arial" w:hAnsi="Arial"/>
                <w:sz w:val="20"/>
                <w:lang w:eastAsia="en-GB"/>
              </w:rPr>
              <w:t xml:space="preserve">(1) </w:t>
            </w:r>
            <w:r w:rsidRPr="00910723">
              <w:rPr>
                <w:rFonts w:ascii="Arial" w:hAnsi="Arial"/>
                <w:sz w:val="20"/>
              </w:rPr>
              <w:t>Šalies kodas</w:t>
            </w:r>
          </w:p>
        </w:tc>
        <w:tc>
          <w:tcPr>
            <w:tcW w:w="2745" w:type="dxa"/>
            <w:tcBorders>
              <w:left w:val="nil"/>
              <w:bottom w:val="single" w:color="auto" w:sz="4" w:space="0"/>
              <w:right w:val="nil"/>
            </w:tcBorders>
            <w:noWrap/>
            <w:hideMark/>
          </w:tcPr>
          <w:p w:rsidRPr="00910723" w:rsidR="00411573" w:rsidP="00435435" w:rsidRDefault="00411573" w14:paraId="5A898496" w14:textId="77777777">
            <w:pPr>
              <w:jc w:val="center"/>
              <w:rPr>
                <w:rFonts w:ascii="Arial" w:hAnsi="Arial" w:eastAsia="Times New Roman" w:cs="Arial"/>
                <w:sz w:val="20"/>
                <w:szCs w:val="20"/>
              </w:rPr>
            </w:pPr>
            <w:r w:rsidRPr="00910723">
              <w:rPr>
                <w:rFonts w:ascii="Arial" w:hAnsi="Arial"/>
                <w:sz w:val="20"/>
              </w:rPr>
              <w:t> </w:t>
            </w:r>
          </w:p>
        </w:tc>
      </w:tr>
      <w:tr w:rsidRPr="00910723" w:rsidR="00411573" w:rsidTr="00435435" w14:paraId="410ADCBF" w14:textId="77777777">
        <w:trPr>
          <w:trHeight w:val="300"/>
        </w:trPr>
        <w:tc>
          <w:tcPr>
            <w:tcW w:w="6804" w:type="dxa"/>
            <w:gridSpan w:val="2"/>
            <w:tcBorders>
              <w:left w:val="nil"/>
              <w:right w:val="nil"/>
            </w:tcBorders>
            <w:noWrap/>
            <w:hideMark/>
          </w:tcPr>
          <w:p w:rsidRPr="00910723" w:rsidR="00411573" w:rsidP="00435435" w:rsidRDefault="00411573" w14:paraId="523A83DB" w14:textId="77777777">
            <w:pPr>
              <w:ind w:firstLine="400" w:firstLineChars="200"/>
              <w:rPr>
                <w:rFonts w:ascii="Arial" w:hAnsi="Arial" w:eastAsia="Times New Roman" w:cs="Arial"/>
                <w:sz w:val="20"/>
                <w:szCs w:val="20"/>
              </w:rPr>
            </w:pPr>
            <w:r w:rsidRPr="00910723">
              <w:rPr>
                <w:rFonts w:ascii="Arial" w:hAnsi="Arial"/>
                <w:sz w:val="20"/>
                <w:lang w:eastAsia="en-GB"/>
              </w:rPr>
              <w:t xml:space="preserve">(2) </w:t>
            </w:r>
            <w:r w:rsidRPr="00910723">
              <w:rPr>
                <w:rFonts w:ascii="Arial" w:hAnsi="Arial"/>
                <w:sz w:val="20"/>
              </w:rPr>
              <w:t>Banko pavadinimas</w:t>
            </w:r>
          </w:p>
        </w:tc>
        <w:tc>
          <w:tcPr>
            <w:tcW w:w="2745" w:type="dxa"/>
            <w:tcBorders>
              <w:left w:val="nil"/>
              <w:bottom w:val="single" w:color="auto" w:sz="4" w:space="0"/>
              <w:right w:val="nil"/>
            </w:tcBorders>
            <w:hideMark/>
          </w:tcPr>
          <w:p w:rsidRPr="00910723" w:rsidR="00411573" w:rsidP="00435435" w:rsidRDefault="00411573" w14:paraId="29E13DC1" w14:textId="77777777">
            <w:pPr>
              <w:jc w:val="center"/>
              <w:rPr>
                <w:rFonts w:ascii="Arial" w:hAnsi="Arial" w:eastAsia="Times New Roman" w:cs="Arial"/>
                <w:sz w:val="20"/>
                <w:szCs w:val="20"/>
              </w:rPr>
            </w:pPr>
            <w:r w:rsidRPr="00910723">
              <w:rPr>
                <w:rFonts w:ascii="Arial" w:hAnsi="Arial"/>
                <w:sz w:val="20"/>
              </w:rPr>
              <w:t> </w:t>
            </w:r>
          </w:p>
        </w:tc>
      </w:tr>
      <w:tr w:rsidRPr="00910723" w:rsidR="00411573" w:rsidTr="00435435" w14:paraId="67BE6517" w14:textId="77777777">
        <w:trPr>
          <w:trHeight w:val="300"/>
        </w:trPr>
        <w:tc>
          <w:tcPr>
            <w:tcW w:w="6804" w:type="dxa"/>
            <w:gridSpan w:val="2"/>
            <w:tcBorders>
              <w:left w:val="nil"/>
              <w:right w:val="nil"/>
            </w:tcBorders>
            <w:noWrap/>
            <w:hideMark/>
          </w:tcPr>
          <w:p w:rsidRPr="00910723" w:rsidR="00411573" w:rsidP="00435435" w:rsidRDefault="00411573" w14:paraId="58C357BD" w14:textId="77777777">
            <w:pPr>
              <w:ind w:firstLine="400" w:firstLineChars="200"/>
              <w:rPr>
                <w:rFonts w:ascii="Arial" w:hAnsi="Arial" w:eastAsia="Times New Roman" w:cs="Arial"/>
                <w:sz w:val="20"/>
                <w:szCs w:val="20"/>
              </w:rPr>
            </w:pPr>
            <w:r w:rsidRPr="00910723">
              <w:rPr>
                <w:rFonts w:ascii="Arial" w:hAnsi="Arial"/>
                <w:sz w:val="20"/>
                <w:lang w:eastAsia="en-GB"/>
              </w:rPr>
              <w:t xml:space="preserve">(3) </w:t>
            </w:r>
            <w:r w:rsidRPr="00910723">
              <w:rPr>
                <w:rFonts w:ascii="Arial" w:hAnsi="Arial"/>
                <w:sz w:val="20"/>
              </w:rPr>
              <w:t>Ataskaitos pateikimo data (MMMM-mm-dd)</w:t>
            </w:r>
          </w:p>
        </w:tc>
        <w:tc>
          <w:tcPr>
            <w:tcW w:w="2745" w:type="dxa"/>
            <w:tcBorders>
              <w:left w:val="nil"/>
              <w:bottom w:val="single" w:color="auto" w:sz="4" w:space="0"/>
              <w:right w:val="nil"/>
            </w:tcBorders>
            <w:noWrap/>
            <w:hideMark/>
          </w:tcPr>
          <w:p w:rsidRPr="00910723" w:rsidR="00411573" w:rsidP="00435435" w:rsidRDefault="00411573" w14:paraId="5909CB05" w14:textId="77777777">
            <w:pPr>
              <w:jc w:val="center"/>
              <w:rPr>
                <w:rFonts w:ascii="Arial" w:hAnsi="Arial" w:eastAsia="Times New Roman" w:cs="Arial"/>
                <w:sz w:val="20"/>
                <w:szCs w:val="20"/>
                <w:lang w:eastAsia="en-GB"/>
              </w:rPr>
            </w:pPr>
          </w:p>
        </w:tc>
      </w:tr>
      <w:tr w:rsidRPr="00910723" w:rsidR="00411573" w:rsidTr="00435435" w14:paraId="281C388B" w14:textId="77777777">
        <w:trPr>
          <w:trHeight w:val="300"/>
        </w:trPr>
        <w:tc>
          <w:tcPr>
            <w:tcW w:w="6804" w:type="dxa"/>
            <w:gridSpan w:val="2"/>
            <w:tcBorders>
              <w:left w:val="nil"/>
              <w:right w:val="nil"/>
            </w:tcBorders>
            <w:noWrap/>
            <w:hideMark/>
          </w:tcPr>
          <w:p w:rsidRPr="00910723" w:rsidR="00411573" w:rsidP="00435435" w:rsidRDefault="00411573" w14:paraId="0E39213D" w14:textId="77777777">
            <w:pPr>
              <w:ind w:firstLine="400" w:firstLineChars="200"/>
              <w:rPr>
                <w:rFonts w:ascii="Arial" w:hAnsi="Arial" w:eastAsia="Times New Roman" w:cs="Arial"/>
                <w:sz w:val="20"/>
                <w:szCs w:val="20"/>
              </w:rPr>
            </w:pPr>
            <w:r w:rsidRPr="00910723">
              <w:rPr>
                <w:rFonts w:ascii="Arial" w:hAnsi="Arial"/>
                <w:sz w:val="20"/>
                <w:lang w:eastAsia="en-GB"/>
              </w:rPr>
              <w:t xml:space="preserve">(4) </w:t>
            </w:r>
            <w:r w:rsidRPr="00910723">
              <w:rPr>
                <w:rFonts w:ascii="Arial" w:hAnsi="Arial"/>
                <w:sz w:val="20"/>
              </w:rPr>
              <w:t>Pranešamos informacijos valiuta</w:t>
            </w:r>
          </w:p>
        </w:tc>
        <w:tc>
          <w:tcPr>
            <w:tcW w:w="2745" w:type="dxa"/>
            <w:tcBorders>
              <w:left w:val="nil"/>
              <w:bottom w:val="single" w:color="auto" w:sz="4" w:space="0"/>
              <w:right w:val="nil"/>
            </w:tcBorders>
            <w:noWrap/>
            <w:hideMark/>
          </w:tcPr>
          <w:p w:rsidRPr="00910723" w:rsidR="00411573" w:rsidP="00435435" w:rsidRDefault="00411573" w14:paraId="40BCDAA1" w14:textId="77777777">
            <w:pPr>
              <w:jc w:val="center"/>
              <w:rPr>
                <w:rFonts w:ascii="Arial" w:hAnsi="Arial" w:eastAsia="Times New Roman" w:cs="Arial"/>
                <w:sz w:val="20"/>
                <w:szCs w:val="20"/>
                <w:lang w:eastAsia="en-GB"/>
              </w:rPr>
            </w:pPr>
          </w:p>
        </w:tc>
      </w:tr>
      <w:tr w:rsidRPr="00910723" w:rsidR="00411573" w:rsidTr="00435435" w14:paraId="342ECA4B" w14:textId="77777777">
        <w:trPr>
          <w:trHeight w:val="300"/>
        </w:trPr>
        <w:tc>
          <w:tcPr>
            <w:tcW w:w="6804" w:type="dxa"/>
            <w:gridSpan w:val="2"/>
            <w:tcBorders>
              <w:left w:val="nil"/>
              <w:right w:val="nil"/>
            </w:tcBorders>
            <w:noWrap/>
            <w:hideMark/>
          </w:tcPr>
          <w:p w:rsidRPr="00910723" w:rsidR="00411573" w:rsidP="00435435" w:rsidRDefault="00411573" w14:paraId="5DB1EF1B" w14:textId="77777777">
            <w:pPr>
              <w:ind w:firstLine="400" w:firstLineChars="200"/>
              <w:rPr>
                <w:rFonts w:ascii="Arial" w:hAnsi="Arial" w:eastAsia="Times New Roman" w:cs="Arial"/>
                <w:sz w:val="20"/>
                <w:szCs w:val="20"/>
              </w:rPr>
            </w:pPr>
            <w:r w:rsidRPr="00910723">
              <w:rPr>
                <w:rFonts w:ascii="Arial" w:hAnsi="Arial"/>
                <w:sz w:val="20"/>
                <w:lang w:eastAsia="en-GB"/>
              </w:rPr>
              <w:t xml:space="preserve">(5) </w:t>
            </w:r>
            <w:r w:rsidRPr="00910723">
              <w:rPr>
                <w:rFonts w:ascii="Arial" w:hAnsi="Arial"/>
                <w:sz w:val="20"/>
              </w:rPr>
              <w:t>Euro konvertavimo kursas</w:t>
            </w:r>
          </w:p>
        </w:tc>
        <w:tc>
          <w:tcPr>
            <w:tcW w:w="2745" w:type="dxa"/>
            <w:tcBorders>
              <w:left w:val="nil"/>
              <w:bottom w:val="single" w:color="auto" w:sz="4" w:space="0"/>
              <w:right w:val="nil"/>
            </w:tcBorders>
            <w:noWrap/>
            <w:hideMark/>
          </w:tcPr>
          <w:p w:rsidRPr="00910723" w:rsidR="00411573" w:rsidP="00435435" w:rsidRDefault="00411573" w14:paraId="0E2ECB02" w14:textId="77777777">
            <w:pPr>
              <w:rPr>
                <w:rFonts w:ascii="Arial" w:hAnsi="Arial" w:eastAsia="Times New Roman" w:cs="Arial"/>
                <w:sz w:val="20"/>
                <w:szCs w:val="20"/>
              </w:rPr>
            </w:pPr>
            <w:r w:rsidRPr="00910723">
              <w:rPr>
                <w:rFonts w:ascii="Arial" w:hAnsi="Arial"/>
                <w:sz w:val="20"/>
              </w:rPr>
              <w:t> </w:t>
            </w:r>
          </w:p>
        </w:tc>
      </w:tr>
      <w:tr w:rsidRPr="00910723" w:rsidR="00411573" w:rsidTr="00435435" w14:paraId="5071F5A0" w14:textId="77777777">
        <w:trPr>
          <w:trHeight w:val="300"/>
        </w:trPr>
        <w:tc>
          <w:tcPr>
            <w:tcW w:w="6804" w:type="dxa"/>
            <w:gridSpan w:val="2"/>
            <w:tcBorders>
              <w:left w:val="nil"/>
              <w:right w:val="nil"/>
            </w:tcBorders>
            <w:noWrap/>
            <w:hideMark/>
          </w:tcPr>
          <w:p w:rsidRPr="00910723" w:rsidR="00411573" w:rsidP="00435435" w:rsidRDefault="00411573" w14:paraId="02136C6D" w14:textId="77777777">
            <w:pPr>
              <w:ind w:firstLine="400" w:firstLineChars="200"/>
              <w:rPr>
                <w:rFonts w:ascii="Arial" w:hAnsi="Arial" w:eastAsia="Times New Roman" w:cs="Arial"/>
                <w:sz w:val="20"/>
                <w:szCs w:val="20"/>
              </w:rPr>
            </w:pPr>
            <w:r w:rsidRPr="00910723">
              <w:rPr>
                <w:rFonts w:ascii="Arial" w:hAnsi="Arial"/>
                <w:sz w:val="20"/>
                <w:lang w:eastAsia="en-GB"/>
              </w:rPr>
              <w:t xml:space="preserve">(6) </w:t>
            </w:r>
            <w:r w:rsidRPr="00910723">
              <w:rPr>
                <w:rFonts w:ascii="Arial" w:hAnsi="Arial"/>
                <w:sz w:val="20"/>
              </w:rPr>
              <w:t>Pateikimo data (MMMM-mm-dd)</w:t>
            </w:r>
          </w:p>
        </w:tc>
        <w:tc>
          <w:tcPr>
            <w:tcW w:w="2745" w:type="dxa"/>
            <w:tcBorders>
              <w:left w:val="nil"/>
              <w:bottom w:val="single" w:color="auto" w:sz="4" w:space="0"/>
              <w:right w:val="nil"/>
            </w:tcBorders>
            <w:noWrap/>
            <w:hideMark/>
          </w:tcPr>
          <w:p w:rsidRPr="00910723" w:rsidR="00411573" w:rsidP="00435435" w:rsidRDefault="00411573" w14:paraId="3E334885" w14:textId="77777777">
            <w:pPr>
              <w:jc w:val="center"/>
              <w:rPr>
                <w:rFonts w:ascii="Arial" w:hAnsi="Arial" w:eastAsia="Times New Roman" w:cs="Arial"/>
                <w:sz w:val="20"/>
                <w:szCs w:val="20"/>
              </w:rPr>
            </w:pPr>
            <w:r w:rsidRPr="00910723">
              <w:rPr>
                <w:rFonts w:ascii="Arial" w:hAnsi="Arial"/>
                <w:sz w:val="20"/>
              </w:rPr>
              <w:t> </w:t>
            </w:r>
          </w:p>
        </w:tc>
      </w:tr>
      <w:tr w:rsidRPr="00910723" w:rsidR="00411573" w:rsidTr="00435435" w14:paraId="6C32079D" w14:textId="77777777">
        <w:trPr>
          <w:trHeight w:val="300"/>
        </w:trPr>
        <w:tc>
          <w:tcPr>
            <w:tcW w:w="6804" w:type="dxa"/>
            <w:gridSpan w:val="2"/>
            <w:tcBorders>
              <w:left w:val="nil"/>
              <w:right w:val="nil"/>
            </w:tcBorders>
            <w:noWrap/>
            <w:hideMark/>
          </w:tcPr>
          <w:p w:rsidRPr="00910723" w:rsidR="00411573" w:rsidP="00435435" w:rsidRDefault="00411573" w14:paraId="3EE8EDC4" w14:textId="77777777">
            <w:pPr>
              <w:ind w:firstLine="200" w:firstLineChars="100"/>
              <w:rPr>
                <w:rFonts w:ascii="Arial" w:hAnsi="Arial" w:eastAsia="Times New Roman" w:cs="Arial"/>
                <w:sz w:val="20"/>
                <w:szCs w:val="20"/>
              </w:rPr>
            </w:pPr>
            <w:r w:rsidRPr="00910723">
              <w:rPr>
                <w:rFonts w:ascii="Arial" w:hAnsi="Arial"/>
                <w:sz w:val="20"/>
              </w:rPr>
              <w:t>b. Atskaitingosios institucijos pateikta bendroji informacija</w:t>
            </w:r>
          </w:p>
        </w:tc>
        <w:tc>
          <w:tcPr>
            <w:tcW w:w="2745" w:type="dxa"/>
            <w:tcBorders>
              <w:left w:val="nil"/>
              <w:bottom w:val="single" w:color="auto" w:sz="4" w:space="0"/>
              <w:right w:val="nil"/>
            </w:tcBorders>
            <w:noWrap/>
            <w:hideMark/>
          </w:tcPr>
          <w:p w:rsidRPr="00910723" w:rsidR="00411573" w:rsidP="00435435" w:rsidRDefault="00411573" w14:paraId="08F64E99" w14:textId="77777777">
            <w:pPr>
              <w:ind w:firstLine="200" w:firstLineChars="100"/>
              <w:rPr>
                <w:rFonts w:ascii="Arial" w:hAnsi="Arial" w:eastAsia="Times New Roman" w:cs="Arial"/>
                <w:sz w:val="20"/>
                <w:szCs w:val="20"/>
              </w:rPr>
            </w:pPr>
            <w:r w:rsidRPr="00910723">
              <w:rPr>
                <w:rFonts w:ascii="Arial" w:hAnsi="Arial"/>
                <w:sz w:val="20"/>
              </w:rPr>
              <w:t> </w:t>
            </w:r>
          </w:p>
        </w:tc>
      </w:tr>
      <w:tr w:rsidRPr="00910723" w:rsidR="00411573" w:rsidTr="00435435" w14:paraId="2A6BE394" w14:textId="77777777">
        <w:trPr>
          <w:trHeight w:val="300"/>
        </w:trPr>
        <w:tc>
          <w:tcPr>
            <w:tcW w:w="6804" w:type="dxa"/>
            <w:gridSpan w:val="2"/>
            <w:tcBorders>
              <w:left w:val="nil"/>
              <w:right w:val="nil"/>
            </w:tcBorders>
            <w:noWrap/>
            <w:hideMark/>
          </w:tcPr>
          <w:p w:rsidRPr="00910723" w:rsidR="00411573" w:rsidP="00435435" w:rsidRDefault="00411573" w14:paraId="565B0F8A" w14:textId="77777777">
            <w:pPr>
              <w:ind w:firstLine="400" w:firstLineChars="200"/>
              <w:rPr>
                <w:rFonts w:ascii="Arial" w:hAnsi="Arial" w:eastAsia="Times New Roman" w:cs="Arial"/>
                <w:sz w:val="20"/>
                <w:szCs w:val="20"/>
              </w:rPr>
            </w:pPr>
            <w:r w:rsidRPr="00910723">
              <w:rPr>
                <w:rFonts w:ascii="Arial" w:hAnsi="Arial"/>
                <w:sz w:val="20"/>
                <w:lang w:eastAsia="en-GB"/>
              </w:rPr>
              <w:t xml:space="preserve">(1) </w:t>
            </w:r>
            <w:r w:rsidRPr="00910723">
              <w:rPr>
                <w:rFonts w:ascii="Arial" w:hAnsi="Arial"/>
                <w:sz w:val="20"/>
              </w:rPr>
              <w:t>Ataskaitinis vienetas</w:t>
            </w:r>
          </w:p>
        </w:tc>
        <w:tc>
          <w:tcPr>
            <w:tcW w:w="2745" w:type="dxa"/>
            <w:tcBorders>
              <w:left w:val="nil"/>
              <w:bottom w:val="single" w:color="auto" w:sz="4" w:space="0"/>
              <w:right w:val="nil"/>
            </w:tcBorders>
            <w:noWrap/>
            <w:hideMark/>
          </w:tcPr>
          <w:p w:rsidRPr="00910723" w:rsidR="00411573" w:rsidP="00435435" w:rsidRDefault="00411573" w14:paraId="7E70048F" w14:textId="77777777">
            <w:pPr>
              <w:jc w:val="center"/>
              <w:rPr>
                <w:rFonts w:ascii="Arial" w:hAnsi="Arial" w:eastAsia="Times New Roman" w:cs="Arial"/>
                <w:sz w:val="20"/>
                <w:szCs w:val="20"/>
              </w:rPr>
            </w:pPr>
            <w:r w:rsidRPr="00910723">
              <w:rPr>
                <w:rFonts w:ascii="Arial" w:hAnsi="Arial"/>
                <w:sz w:val="20"/>
              </w:rPr>
              <w:t> </w:t>
            </w:r>
          </w:p>
        </w:tc>
      </w:tr>
      <w:tr w:rsidRPr="00910723" w:rsidR="00411573" w:rsidTr="00435435" w14:paraId="4852E5FF" w14:textId="77777777">
        <w:trPr>
          <w:trHeight w:val="300"/>
        </w:trPr>
        <w:tc>
          <w:tcPr>
            <w:tcW w:w="6804" w:type="dxa"/>
            <w:gridSpan w:val="2"/>
            <w:tcBorders>
              <w:left w:val="nil"/>
              <w:right w:val="nil"/>
            </w:tcBorders>
            <w:noWrap/>
            <w:hideMark/>
          </w:tcPr>
          <w:p w:rsidRPr="00910723" w:rsidR="00411573" w:rsidP="00435435" w:rsidRDefault="00411573" w14:paraId="08066189" w14:textId="77777777">
            <w:pPr>
              <w:ind w:firstLine="400" w:firstLineChars="200"/>
              <w:rPr>
                <w:rFonts w:ascii="Arial" w:hAnsi="Arial" w:eastAsia="Times New Roman" w:cs="Arial"/>
                <w:sz w:val="20"/>
                <w:szCs w:val="20"/>
              </w:rPr>
            </w:pPr>
            <w:r w:rsidRPr="00910723">
              <w:rPr>
                <w:rFonts w:ascii="Arial" w:hAnsi="Arial"/>
                <w:sz w:val="20"/>
                <w:lang w:eastAsia="en-GB"/>
              </w:rPr>
              <w:t xml:space="preserve">(2) </w:t>
            </w:r>
            <w:r w:rsidRPr="00910723">
              <w:rPr>
                <w:rFonts w:ascii="Arial" w:hAnsi="Arial"/>
                <w:sz w:val="20"/>
              </w:rPr>
              <w:t>Apskaitos standartas</w:t>
            </w:r>
          </w:p>
        </w:tc>
        <w:tc>
          <w:tcPr>
            <w:tcW w:w="2745" w:type="dxa"/>
            <w:tcBorders>
              <w:left w:val="nil"/>
              <w:bottom w:val="single" w:color="auto" w:sz="4" w:space="0"/>
              <w:right w:val="nil"/>
            </w:tcBorders>
            <w:hideMark/>
          </w:tcPr>
          <w:p w:rsidRPr="00910723" w:rsidR="00411573" w:rsidP="00435435" w:rsidRDefault="00411573" w14:paraId="77D88428" w14:textId="77777777">
            <w:pPr>
              <w:jc w:val="center"/>
              <w:rPr>
                <w:rFonts w:ascii="Arial" w:hAnsi="Arial" w:eastAsia="Times New Roman" w:cs="Arial"/>
                <w:sz w:val="20"/>
                <w:szCs w:val="20"/>
              </w:rPr>
            </w:pPr>
            <w:r w:rsidRPr="00910723">
              <w:rPr>
                <w:rFonts w:ascii="Arial" w:hAnsi="Arial"/>
                <w:sz w:val="20"/>
              </w:rPr>
              <w:t> </w:t>
            </w:r>
          </w:p>
        </w:tc>
      </w:tr>
      <w:tr w:rsidRPr="00910723" w:rsidR="00411573" w:rsidTr="00435435" w14:paraId="2BFC00B2" w14:textId="77777777">
        <w:trPr>
          <w:trHeight w:val="300"/>
        </w:trPr>
        <w:tc>
          <w:tcPr>
            <w:tcW w:w="6804" w:type="dxa"/>
            <w:gridSpan w:val="2"/>
            <w:tcBorders>
              <w:left w:val="nil"/>
              <w:right w:val="nil"/>
            </w:tcBorders>
            <w:noWrap/>
            <w:hideMark/>
          </w:tcPr>
          <w:p w:rsidRPr="00910723" w:rsidR="00411573" w:rsidP="00435435" w:rsidRDefault="00411573" w14:paraId="2F4E3E08" w14:textId="77777777">
            <w:pPr>
              <w:ind w:firstLine="400" w:firstLineChars="200"/>
              <w:rPr>
                <w:rFonts w:ascii="Arial" w:hAnsi="Arial" w:eastAsia="Times New Roman" w:cs="Arial"/>
                <w:sz w:val="20"/>
                <w:szCs w:val="20"/>
              </w:rPr>
            </w:pPr>
            <w:r w:rsidRPr="00910723">
              <w:rPr>
                <w:rFonts w:ascii="Arial" w:hAnsi="Arial"/>
                <w:sz w:val="20"/>
                <w:lang w:eastAsia="en-GB"/>
              </w:rPr>
              <w:t xml:space="preserve">(3) </w:t>
            </w:r>
            <w:r w:rsidRPr="00910723">
              <w:rPr>
                <w:rFonts w:ascii="Arial" w:hAnsi="Arial"/>
                <w:sz w:val="20"/>
              </w:rPr>
              <w:t>Viešo atskleidimo data (MMMM-mm-dd)</w:t>
            </w:r>
          </w:p>
        </w:tc>
        <w:tc>
          <w:tcPr>
            <w:tcW w:w="2745" w:type="dxa"/>
            <w:tcBorders>
              <w:left w:val="nil"/>
              <w:bottom w:val="single" w:color="auto" w:sz="4" w:space="0"/>
              <w:right w:val="nil"/>
            </w:tcBorders>
            <w:noWrap/>
            <w:hideMark/>
          </w:tcPr>
          <w:p w:rsidRPr="00910723" w:rsidR="00411573" w:rsidP="00435435" w:rsidRDefault="00411573" w14:paraId="67AE7CF0" w14:textId="77777777">
            <w:pPr>
              <w:jc w:val="center"/>
              <w:rPr>
                <w:rFonts w:ascii="Arial" w:hAnsi="Arial" w:eastAsia="Times New Roman" w:cs="Arial"/>
                <w:sz w:val="20"/>
                <w:szCs w:val="20"/>
              </w:rPr>
            </w:pPr>
            <w:r w:rsidRPr="00910723">
              <w:rPr>
                <w:rFonts w:ascii="Arial" w:hAnsi="Arial"/>
                <w:sz w:val="20"/>
              </w:rPr>
              <w:t> </w:t>
            </w:r>
          </w:p>
        </w:tc>
      </w:tr>
      <w:tr w:rsidRPr="00910723" w:rsidR="00411573" w:rsidTr="00435435" w14:paraId="19702555" w14:textId="77777777">
        <w:trPr>
          <w:trHeight w:val="300"/>
        </w:trPr>
        <w:tc>
          <w:tcPr>
            <w:tcW w:w="6804" w:type="dxa"/>
            <w:gridSpan w:val="2"/>
            <w:tcBorders>
              <w:left w:val="nil"/>
              <w:right w:val="nil"/>
            </w:tcBorders>
            <w:noWrap/>
            <w:hideMark/>
          </w:tcPr>
          <w:p w:rsidRPr="00910723" w:rsidR="00411573" w:rsidP="00435435" w:rsidRDefault="00411573" w14:paraId="7DB369A7" w14:textId="77777777">
            <w:pPr>
              <w:ind w:firstLine="400" w:firstLineChars="200"/>
              <w:rPr>
                <w:rFonts w:ascii="Arial" w:hAnsi="Arial" w:eastAsia="Times New Roman" w:cs="Arial"/>
                <w:sz w:val="20"/>
                <w:szCs w:val="20"/>
              </w:rPr>
            </w:pPr>
            <w:r w:rsidRPr="00910723">
              <w:rPr>
                <w:rFonts w:ascii="Arial" w:hAnsi="Arial"/>
                <w:sz w:val="20"/>
                <w:lang w:eastAsia="en-GB"/>
              </w:rPr>
              <w:t xml:space="preserve">(4) </w:t>
            </w:r>
            <w:r w:rsidRPr="00910723">
              <w:rPr>
                <w:rFonts w:ascii="Arial" w:hAnsi="Arial"/>
                <w:sz w:val="20"/>
              </w:rPr>
              <w:t>Viešo atskleidimo kalba</w:t>
            </w:r>
          </w:p>
        </w:tc>
        <w:tc>
          <w:tcPr>
            <w:tcW w:w="2745" w:type="dxa"/>
            <w:tcBorders>
              <w:left w:val="nil"/>
              <w:bottom w:val="single" w:color="auto" w:sz="4" w:space="0"/>
              <w:right w:val="nil"/>
            </w:tcBorders>
            <w:hideMark/>
          </w:tcPr>
          <w:p w:rsidRPr="00910723" w:rsidR="00411573" w:rsidP="00435435" w:rsidRDefault="00411573" w14:paraId="66E92653" w14:textId="77777777">
            <w:pPr>
              <w:jc w:val="center"/>
              <w:rPr>
                <w:rFonts w:ascii="Arial" w:hAnsi="Arial" w:eastAsia="Times New Roman" w:cs="Arial"/>
                <w:sz w:val="20"/>
                <w:szCs w:val="20"/>
              </w:rPr>
            </w:pPr>
            <w:r w:rsidRPr="00910723">
              <w:rPr>
                <w:rFonts w:ascii="Arial" w:hAnsi="Arial"/>
                <w:sz w:val="20"/>
              </w:rPr>
              <w:t> </w:t>
            </w:r>
          </w:p>
        </w:tc>
      </w:tr>
      <w:tr w:rsidRPr="00910723" w:rsidR="00411573" w:rsidTr="00435435" w14:paraId="6185E7BA" w14:textId="77777777">
        <w:trPr>
          <w:trHeight w:val="300"/>
        </w:trPr>
        <w:tc>
          <w:tcPr>
            <w:tcW w:w="6804" w:type="dxa"/>
            <w:gridSpan w:val="2"/>
            <w:tcBorders>
              <w:left w:val="nil"/>
              <w:bottom w:val="single" w:color="auto" w:sz="4" w:space="0"/>
              <w:right w:val="nil"/>
            </w:tcBorders>
            <w:noWrap/>
            <w:hideMark/>
          </w:tcPr>
          <w:p w:rsidRPr="00910723" w:rsidR="00411573" w:rsidP="00435435" w:rsidRDefault="00411573" w14:paraId="7E54E5EC" w14:textId="77777777">
            <w:pPr>
              <w:ind w:firstLine="400" w:firstLineChars="200"/>
              <w:rPr>
                <w:rFonts w:ascii="Arial" w:hAnsi="Arial" w:eastAsia="Times New Roman" w:cs="Arial"/>
                <w:sz w:val="20"/>
                <w:szCs w:val="20"/>
              </w:rPr>
            </w:pPr>
            <w:r w:rsidRPr="00910723">
              <w:rPr>
                <w:rFonts w:ascii="Arial" w:hAnsi="Arial"/>
                <w:sz w:val="20"/>
                <w:lang w:eastAsia="en-GB"/>
              </w:rPr>
              <w:t xml:space="preserve">(5) </w:t>
            </w:r>
            <w:r w:rsidRPr="00910723">
              <w:rPr>
                <w:rFonts w:ascii="Arial" w:hAnsi="Arial"/>
                <w:sz w:val="20"/>
              </w:rPr>
              <w:t>Interneto svetainės adresas, kuriuo viešai atskleidžiama informacija</w:t>
            </w:r>
          </w:p>
        </w:tc>
        <w:tc>
          <w:tcPr>
            <w:tcW w:w="2745" w:type="dxa"/>
            <w:tcBorders>
              <w:left w:val="nil"/>
              <w:bottom w:val="single" w:color="auto" w:sz="4" w:space="0"/>
              <w:right w:val="nil"/>
            </w:tcBorders>
            <w:noWrap/>
            <w:hideMark/>
          </w:tcPr>
          <w:p w:rsidRPr="00910723" w:rsidR="00411573" w:rsidP="00435435" w:rsidRDefault="00411573" w14:paraId="1A0589D8" w14:textId="77777777">
            <w:pPr>
              <w:jc w:val="center"/>
              <w:rPr>
                <w:rFonts w:ascii="Arial" w:hAnsi="Arial" w:eastAsia="Times New Roman" w:cs="Arial"/>
                <w:color w:val="0000FF"/>
                <w:sz w:val="20"/>
                <w:szCs w:val="20"/>
                <w:u w:val="single"/>
                <w:lang w:eastAsia="en-GB"/>
              </w:rPr>
            </w:pPr>
          </w:p>
        </w:tc>
      </w:tr>
      <w:tr w:rsidRPr="00910723" w:rsidR="00411573" w:rsidTr="00435435" w14:paraId="31F3ABBF" w14:textId="77777777">
        <w:trPr>
          <w:trHeight w:val="300"/>
        </w:trPr>
        <w:tc>
          <w:tcPr>
            <w:tcW w:w="6804" w:type="dxa"/>
            <w:gridSpan w:val="2"/>
            <w:tcBorders>
              <w:left w:val="nil"/>
              <w:bottom w:val="single" w:color="auto" w:sz="4" w:space="0"/>
              <w:right w:val="nil"/>
            </w:tcBorders>
            <w:noWrap/>
            <w:hideMark/>
          </w:tcPr>
          <w:p w:rsidRPr="00910723" w:rsidR="00411573" w:rsidP="00435435" w:rsidRDefault="00411573" w14:paraId="6917B69D" w14:textId="77777777">
            <w:pPr>
              <w:ind w:firstLine="400" w:firstLineChars="200"/>
              <w:rPr>
                <w:rFonts w:ascii="Arial" w:hAnsi="Arial" w:eastAsia="Times New Roman" w:cs="Arial"/>
                <w:sz w:val="20"/>
                <w:szCs w:val="20"/>
              </w:rPr>
            </w:pPr>
            <w:r w:rsidRPr="00910723">
              <w:rPr>
                <w:rFonts w:ascii="Arial" w:hAnsi="Arial"/>
                <w:sz w:val="20"/>
                <w:lang w:eastAsia="en-GB"/>
              </w:rPr>
              <w:t xml:space="preserve">(6) </w:t>
            </w:r>
            <w:r w:rsidRPr="00910723">
              <w:rPr>
                <w:rFonts w:ascii="Arial" w:hAnsi="Arial"/>
                <w:sz w:val="20"/>
              </w:rPr>
              <w:t>LEI kodas</w:t>
            </w:r>
          </w:p>
        </w:tc>
        <w:tc>
          <w:tcPr>
            <w:tcW w:w="2745" w:type="dxa"/>
            <w:tcBorders>
              <w:left w:val="nil"/>
              <w:bottom w:val="single" w:color="auto" w:sz="4" w:space="0"/>
              <w:right w:val="nil"/>
            </w:tcBorders>
            <w:hideMark/>
          </w:tcPr>
          <w:p w:rsidRPr="00910723" w:rsidR="00411573" w:rsidP="00435435" w:rsidRDefault="00411573" w14:paraId="4DC5A264" w14:textId="77777777">
            <w:pPr>
              <w:jc w:val="center"/>
              <w:rPr>
                <w:rFonts w:ascii="Arial" w:hAnsi="Arial" w:eastAsia="Times New Roman" w:cs="Arial"/>
                <w:sz w:val="20"/>
                <w:szCs w:val="20"/>
              </w:rPr>
            </w:pPr>
            <w:r w:rsidRPr="00910723">
              <w:rPr>
                <w:rFonts w:ascii="Arial" w:hAnsi="Arial"/>
                <w:sz w:val="20"/>
              </w:rPr>
              <w:t> </w:t>
            </w:r>
          </w:p>
        </w:tc>
      </w:tr>
      <w:tr w:rsidRPr="00910723" w:rsidR="00411573" w:rsidTr="00435435" w14:paraId="266BC8A1" w14:textId="77777777">
        <w:trPr>
          <w:trHeight w:val="300"/>
        </w:trPr>
        <w:tc>
          <w:tcPr>
            <w:tcW w:w="6804" w:type="dxa"/>
            <w:gridSpan w:val="2"/>
            <w:tcBorders>
              <w:left w:val="nil"/>
              <w:bottom w:val="nil"/>
              <w:right w:val="nil"/>
            </w:tcBorders>
            <w:noWrap/>
          </w:tcPr>
          <w:p w:rsidRPr="00910723" w:rsidR="00411573" w:rsidP="00435435" w:rsidRDefault="00411573" w14:paraId="6C109AEC" w14:textId="77777777">
            <w:pPr>
              <w:ind w:firstLine="400" w:firstLineChars="200"/>
              <w:rPr>
                <w:rFonts w:ascii="Arial" w:hAnsi="Arial" w:eastAsia="Times New Roman" w:cs="Arial"/>
                <w:sz w:val="20"/>
                <w:szCs w:val="20"/>
                <w:lang w:eastAsia="en-GB"/>
              </w:rPr>
            </w:pPr>
          </w:p>
        </w:tc>
        <w:tc>
          <w:tcPr>
            <w:tcW w:w="2745" w:type="dxa"/>
            <w:tcBorders>
              <w:left w:val="nil"/>
              <w:bottom w:val="nil"/>
              <w:right w:val="nil"/>
            </w:tcBorders>
          </w:tcPr>
          <w:p w:rsidRPr="00910723" w:rsidR="00411573" w:rsidP="00435435" w:rsidRDefault="00411573" w14:paraId="54143616" w14:textId="77777777">
            <w:pPr>
              <w:jc w:val="center"/>
              <w:rPr>
                <w:rFonts w:ascii="Arial" w:hAnsi="Arial" w:eastAsia="Times New Roman" w:cs="Arial"/>
                <w:sz w:val="20"/>
                <w:szCs w:val="20"/>
                <w:lang w:eastAsia="en-GB"/>
              </w:rPr>
            </w:pPr>
          </w:p>
        </w:tc>
      </w:tr>
      <w:tr w:rsidRPr="00910723" w:rsidR="00411573" w:rsidTr="00435435" w14:paraId="7EE983BC" w14:textId="77777777">
        <w:trPr>
          <w:trHeight w:val="300"/>
        </w:trPr>
        <w:tc>
          <w:tcPr>
            <w:tcW w:w="6804" w:type="dxa"/>
            <w:gridSpan w:val="2"/>
            <w:tcBorders>
              <w:top w:val="nil"/>
              <w:left w:val="nil"/>
              <w:bottom w:val="nil"/>
              <w:right w:val="nil"/>
            </w:tcBorders>
            <w:noWrap/>
          </w:tcPr>
          <w:p w:rsidRPr="00910723" w:rsidR="00411573" w:rsidP="00435435" w:rsidRDefault="00411573" w14:paraId="0FFC8BC7" w14:textId="77777777">
            <w:pPr>
              <w:keepNext/>
              <w:keepLines/>
              <w:spacing w:before="47"/>
              <w:outlineLvl w:val="5"/>
              <w:rPr>
                <w:rFonts w:ascii="Arial" w:hAnsi="Arial" w:eastAsia="Times New Roman" w:cs="Arial"/>
                <w:i/>
                <w:iCs/>
                <w:caps/>
                <w:color w:val="172B39" w:themeColor="accent1" w:themeShade="80"/>
                <w:sz w:val="20"/>
                <w:szCs w:val="20"/>
              </w:rPr>
            </w:pPr>
            <w:r w:rsidRPr="00910723">
              <w:rPr>
                <w:rFonts w:asciiTheme="majorHAnsi" w:hAnsiTheme="majorHAnsi"/>
                <w:b/>
                <w:i/>
                <w:caps/>
              </w:rPr>
              <w:t>Dydžio rodikliai</w:t>
            </w:r>
          </w:p>
        </w:tc>
        <w:tc>
          <w:tcPr>
            <w:tcW w:w="2745" w:type="dxa"/>
            <w:tcBorders>
              <w:top w:val="nil"/>
              <w:left w:val="nil"/>
              <w:bottom w:val="nil"/>
              <w:right w:val="nil"/>
            </w:tcBorders>
          </w:tcPr>
          <w:p w:rsidRPr="00910723" w:rsidR="00411573" w:rsidP="00435435" w:rsidRDefault="00411573" w14:paraId="668B091D" w14:textId="77777777">
            <w:pPr>
              <w:jc w:val="center"/>
              <w:rPr>
                <w:rFonts w:ascii="Arial" w:hAnsi="Arial" w:eastAsia="Times New Roman" w:cs="Arial"/>
                <w:sz w:val="20"/>
                <w:szCs w:val="20"/>
                <w:lang w:eastAsia="en-GB"/>
              </w:rPr>
            </w:pPr>
          </w:p>
        </w:tc>
      </w:tr>
      <w:tr w:rsidRPr="00910723" w:rsidR="00411573" w:rsidTr="00435435" w14:paraId="3A5221CE" w14:textId="77777777">
        <w:trPr>
          <w:trHeight w:val="300"/>
        </w:trPr>
        <w:tc>
          <w:tcPr>
            <w:tcW w:w="6804" w:type="dxa"/>
            <w:gridSpan w:val="2"/>
            <w:tcBorders>
              <w:top w:val="nil"/>
              <w:left w:val="nil"/>
              <w:bottom w:val="single" w:color="auto" w:sz="4" w:space="0"/>
              <w:right w:val="nil"/>
            </w:tcBorders>
            <w:noWrap/>
          </w:tcPr>
          <w:p w:rsidRPr="00910723" w:rsidR="00411573" w:rsidP="00435435" w:rsidRDefault="00411573" w14:paraId="5F6FBA35" w14:textId="77777777">
            <w:pPr>
              <w:ind w:firstLine="400" w:firstLineChars="200"/>
              <w:rPr>
                <w:rFonts w:ascii="Arial" w:hAnsi="Arial" w:eastAsia="Times New Roman" w:cs="Arial"/>
                <w:sz w:val="20"/>
                <w:szCs w:val="20"/>
                <w:lang w:eastAsia="en-GB"/>
              </w:rPr>
            </w:pPr>
          </w:p>
        </w:tc>
        <w:tc>
          <w:tcPr>
            <w:tcW w:w="2745" w:type="dxa"/>
            <w:tcBorders>
              <w:top w:val="nil"/>
              <w:left w:val="nil"/>
              <w:bottom w:val="single" w:color="auto" w:sz="4" w:space="0"/>
              <w:right w:val="nil"/>
            </w:tcBorders>
          </w:tcPr>
          <w:p w:rsidRPr="00910723" w:rsidR="00411573" w:rsidP="00435435" w:rsidRDefault="00411573" w14:paraId="5C476748" w14:textId="77777777">
            <w:pPr>
              <w:jc w:val="center"/>
              <w:rPr>
                <w:rFonts w:ascii="Arial" w:hAnsi="Arial" w:eastAsia="Times New Roman" w:cs="Arial"/>
                <w:sz w:val="20"/>
                <w:szCs w:val="20"/>
                <w:lang w:eastAsia="en-GB"/>
              </w:rPr>
            </w:pPr>
          </w:p>
        </w:tc>
      </w:tr>
      <w:tr w:rsidRPr="00910723" w:rsidR="00411573" w:rsidTr="00435435" w14:paraId="217E617A" w14:textId="77777777">
        <w:trPr>
          <w:trHeight w:val="300"/>
        </w:trPr>
        <w:tc>
          <w:tcPr>
            <w:tcW w:w="6804" w:type="dxa"/>
            <w:gridSpan w:val="2"/>
            <w:tcBorders>
              <w:left w:val="nil"/>
              <w:right w:val="nil"/>
            </w:tcBorders>
            <w:noWrap/>
          </w:tcPr>
          <w:p w:rsidRPr="00910723" w:rsidR="00411573" w:rsidP="00435435" w:rsidRDefault="00411573" w14:paraId="7BE79DD8" w14:textId="77777777">
            <w:pPr>
              <w:rPr>
                <w:rFonts w:ascii="Arial" w:hAnsi="Arial" w:eastAsia="Times New Roman" w:cs="Arial"/>
                <w:sz w:val="20"/>
                <w:szCs w:val="20"/>
              </w:rPr>
            </w:pPr>
            <w:r w:rsidRPr="00910723">
              <w:rPr>
                <w:rFonts w:ascii="Arial" w:hAnsi="Arial"/>
                <w:b/>
                <w:sz w:val="20"/>
              </w:rPr>
              <w:t>2 skirsnis. Bendra pozicijų suma</w:t>
            </w:r>
          </w:p>
        </w:tc>
        <w:tc>
          <w:tcPr>
            <w:tcW w:w="2745" w:type="dxa"/>
            <w:tcBorders>
              <w:left w:val="nil"/>
              <w:right w:val="nil"/>
            </w:tcBorders>
            <w:noWrap/>
          </w:tcPr>
          <w:p w:rsidRPr="00910723" w:rsidR="00411573" w:rsidP="00435435" w:rsidRDefault="00411573" w14:paraId="7F9F68A4" w14:textId="77777777">
            <w:pPr>
              <w:ind w:firstLine="201" w:firstLineChars="100"/>
              <w:jc w:val="center"/>
              <w:rPr>
                <w:rFonts w:ascii="Arial" w:hAnsi="Arial" w:eastAsia="Times New Roman" w:cs="Arial"/>
                <w:sz w:val="20"/>
                <w:szCs w:val="20"/>
              </w:rPr>
            </w:pPr>
            <w:r w:rsidRPr="00910723">
              <w:rPr>
                <w:rFonts w:ascii="Arial" w:hAnsi="Arial"/>
                <w:b/>
                <w:sz w:val="20"/>
              </w:rPr>
              <w:t>Suma</w:t>
            </w:r>
          </w:p>
        </w:tc>
      </w:tr>
      <w:tr w:rsidRPr="00910723" w:rsidR="00411573" w:rsidTr="00435435" w14:paraId="241F7FCF" w14:textId="77777777">
        <w:trPr>
          <w:trHeight w:val="300"/>
        </w:trPr>
        <w:tc>
          <w:tcPr>
            <w:tcW w:w="6804" w:type="dxa"/>
            <w:gridSpan w:val="2"/>
            <w:tcBorders>
              <w:left w:val="nil"/>
              <w:right w:val="nil"/>
            </w:tcBorders>
            <w:noWrap/>
            <w:hideMark/>
          </w:tcPr>
          <w:p w:rsidRPr="00910723" w:rsidR="00411573" w:rsidP="00435435" w:rsidRDefault="00411573" w14:paraId="086E4F94" w14:textId="77777777">
            <w:pPr>
              <w:ind w:firstLine="200" w:firstLineChars="100"/>
              <w:rPr>
                <w:rFonts w:ascii="Arial" w:hAnsi="Arial" w:eastAsia="Times New Roman" w:cs="Arial"/>
                <w:sz w:val="20"/>
                <w:szCs w:val="20"/>
              </w:rPr>
            </w:pPr>
            <w:r w:rsidRPr="00910723">
              <w:rPr>
                <w:rFonts w:ascii="Arial" w:hAnsi="Arial"/>
                <w:sz w:val="20"/>
              </w:rPr>
              <w:t>a. Išvestinės finansinės priemonės</w:t>
            </w:r>
          </w:p>
        </w:tc>
        <w:tc>
          <w:tcPr>
            <w:tcW w:w="2745" w:type="dxa"/>
            <w:tcBorders>
              <w:left w:val="nil"/>
              <w:right w:val="nil"/>
            </w:tcBorders>
            <w:noWrap/>
            <w:hideMark/>
          </w:tcPr>
          <w:p w:rsidRPr="00910723" w:rsidR="00411573" w:rsidP="00435435" w:rsidRDefault="00411573" w14:paraId="0AEF9478" w14:textId="77777777">
            <w:pPr>
              <w:ind w:firstLine="200" w:firstLineChars="100"/>
              <w:rPr>
                <w:rFonts w:ascii="Arial" w:hAnsi="Arial" w:eastAsia="Times New Roman" w:cs="Arial"/>
                <w:sz w:val="20"/>
                <w:szCs w:val="20"/>
              </w:rPr>
            </w:pPr>
            <w:r w:rsidRPr="00910723">
              <w:rPr>
                <w:rFonts w:ascii="Arial" w:hAnsi="Arial"/>
                <w:sz w:val="20"/>
              </w:rPr>
              <w:t> </w:t>
            </w:r>
          </w:p>
        </w:tc>
      </w:tr>
      <w:tr w:rsidRPr="00910723" w:rsidR="00411573" w:rsidTr="00435435" w14:paraId="7D33CD6B" w14:textId="77777777">
        <w:trPr>
          <w:trHeight w:val="300"/>
        </w:trPr>
        <w:tc>
          <w:tcPr>
            <w:tcW w:w="6804" w:type="dxa"/>
            <w:gridSpan w:val="2"/>
            <w:tcBorders>
              <w:left w:val="nil"/>
              <w:right w:val="nil"/>
            </w:tcBorders>
            <w:noWrap/>
            <w:hideMark/>
          </w:tcPr>
          <w:p w:rsidRPr="00910723" w:rsidR="00411573" w:rsidP="00435435" w:rsidRDefault="00411573" w14:paraId="6776F539" w14:textId="77777777">
            <w:pPr>
              <w:ind w:firstLine="400" w:firstLineChars="200"/>
              <w:rPr>
                <w:rFonts w:ascii="Arial" w:hAnsi="Arial" w:eastAsia="Times New Roman" w:cs="Arial"/>
                <w:sz w:val="20"/>
                <w:szCs w:val="20"/>
              </w:rPr>
            </w:pPr>
            <w:r w:rsidRPr="00910723">
              <w:rPr>
                <w:rFonts w:ascii="Arial" w:hAnsi="Arial"/>
                <w:sz w:val="20"/>
                <w:lang w:eastAsia="en-GB"/>
              </w:rPr>
              <w:t xml:space="preserve">(1) </w:t>
            </w:r>
            <w:r w:rsidRPr="00910723">
              <w:rPr>
                <w:rFonts w:ascii="Arial" w:hAnsi="Arial"/>
                <w:sz w:val="20"/>
              </w:rPr>
              <w:t>Išvestinių finansinių priemonių sandorių sandorio šalies pozicija</w:t>
            </w:r>
          </w:p>
        </w:tc>
        <w:tc>
          <w:tcPr>
            <w:tcW w:w="2745" w:type="dxa"/>
            <w:tcBorders>
              <w:left w:val="nil"/>
              <w:right w:val="nil"/>
            </w:tcBorders>
            <w:noWrap/>
            <w:hideMark/>
          </w:tcPr>
          <w:p w:rsidRPr="00910723" w:rsidR="00411573" w:rsidP="00435435" w:rsidRDefault="00411573" w14:paraId="59AA816B" w14:textId="77777777">
            <w:pPr>
              <w:jc w:val="right"/>
              <w:rPr>
                <w:rFonts w:ascii="Arial" w:hAnsi="Arial" w:eastAsia="Times New Roman" w:cs="Arial"/>
                <w:sz w:val="20"/>
                <w:szCs w:val="20"/>
              </w:rPr>
            </w:pPr>
            <w:r w:rsidRPr="00910723">
              <w:rPr>
                <w:rFonts w:ascii="Arial" w:hAnsi="Arial"/>
                <w:sz w:val="20"/>
              </w:rPr>
              <w:t> </w:t>
            </w:r>
          </w:p>
        </w:tc>
      </w:tr>
      <w:tr w:rsidRPr="00910723" w:rsidR="00411573" w:rsidTr="00435435" w14:paraId="1C885F22" w14:textId="77777777">
        <w:trPr>
          <w:trHeight w:val="300"/>
        </w:trPr>
        <w:tc>
          <w:tcPr>
            <w:tcW w:w="6804" w:type="dxa"/>
            <w:gridSpan w:val="2"/>
            <w:tcBorders>
              <w:left w:val="nil"/>
              <w:right w:val="nil"/>
            </w:tcBorders>
            <w:noWrap/>
            <w:hideMark/>
          </w:tcPr>
          <w:p w:rsidRPr="00910723" w:rsidR="00411573" w:rsidP="00435435" w:rsidRDefault="00411573" w14:paraId="475C831F" w14:textId="77777777">
            <w:pPr>
              <w:ind w:firstLine="400" w:firstLineChars="200"/>
              <w:rPr>
                <w:rFonts w:ascii="Arial" w:hAnsi="Arial" w:eastAsia="Times New Roman" w:cs="Arial"/>
                <w:sz w:val="20"/>
                <w:szCs w:val="20"/>
              </w:rPr>
            </w:pPr>
            <w:r w:rsidRPr="00910723">
              <w:rPr>
                <w:rFonts w:ascii="Arial" w:hAnsi="Arial"/>
                <w:sz w:val="20"/>
                <w:lang w:eastAsia="en-GB"/>
              </w:rPr>
              <w:t xml:space="preserve">(2) </w:t>
            </w:r>
            <w:r w:rsidRPr="00910723">
              <w:rPr>
                <w:rFonts w:ascii="Arial" w:hAnsi="Arial"/>
                <w:sz w:val="20"/>
              </w:rPr>
              <w:t>Apribota kredito išvestinių finansinių priemonių tariamoji suma</w:t>
            </w:r>
          </w:p>
        </w:tc>
        <w:tc>
          <w:tcPr>
            <w:tcW w:w="2745" w:type="dxa"/>
            <w:tcBorders>
              <w:left w:val="nil"/>
              <w:right w:val="nil"/>
            </w:tcBorders>
            <w:noWrap/>
            <w:hideMark/>
          </w:tcPr>
          <w:p w:rsidRPr="00910723" w:rsidR="00411573" w:rsidP="00435435" w:rsidRDefault="00411573" w14:paraId="431F22D7" w14:textId="77777777">
            <w:pPr>
              <w:jc w:val="right"/>
              <w:rPr>
                <w:rFonts w:ascii="Arial" w:hAnsi="Arial" w:eastAsia="Times New Roman" w:cs="Arial"/>
                <w:sz w:val="20"/>
                <w:szCs w:val="20"/>
              </w:rPr>
            </w:pPr>
            <w:r w:rsidRPr="00910723">
              <w:rPr>
                <w:rFonts w:ascii="Arial" w:hAnsi="Arial"/>
                <w:sz w:val="20"/>
              </w:rPr>
              <w:t> </w:t>
            </w:r>
          </w:p>
        </w:tc>
      </w:tr>
      <w:tr w:rsidRPr="00910723" w:rsidR="00411573" w:rsidTr="00435435" w14:paraId="15A8D4A8" w14:textId="77777777">
        <w:trPr>
          <w:trHeight w:val="300"/>
        </w:trPr>
        <w:tc>
          <w:tcPr>
            <w:tcW w:w="6804" w:type="dxa"/>
            <w:gridSpan w:val="2"/>
            <w:tcBorders>
              <w:left w:val="nil"/>
              <w:right w:val="nil"/>
            </w:tcBorders>
            <w:noWrap/>
            <w:hideMark/>
          </w:tcPr>
          <w:p w:rsidRPr="00910723" w:rsidR="00411573" w:rsidP="00435435" w:rsidRDefault="00411573" w14:paraId="36B66AB4" w14:textId="77777777">
            <w:pPr>
              <w:ind w:firstLine="400" w:firstLineChars="200"/>
              <w:rPr>
                <w:rFonts w:ascii="Arial" w:hAnsi="Arial" w:eastAsia="Times New Roman" w:cs="Arial"/>
                <w:sz w:val="20"/>
                <w:szCs w:val="20"/>
              </w:rPr>
            </w:pPr>
            <w:r w:rsidRPr="00910723">
              <w:rPr>
                <w:rFonts w:ascii="Arial" w:hAnsi="Arial"/>
                <w:sz w:val="20"/>
                <w:lang w:eastAsia="en-GB"/>
              </w:rPr>
              <w:t xml:space="preserve">(3) </w:t>
            </w:r>
            <w:r w:rsidRPr="00910723">
              <w:rPr>
                <w:rFonts w:ascii="Arial" w:hAnsi="Arial"/>
                <w:sz w:val="20"/>
              </w:rPr>
              <w:t>Išvestinių finansinių priemonių sandorių galima būsima pozicija</w:t>
            </w:r>
          </w:p>
        </w:tc>
        <w:tc>
          <w:tcPr>
            <w:tcW w:w="2745" w:type="dxa"/>
            <w:tcBorders>
              <w:left w:val="nil"/>
              <w:right w:val="nil"/>
            </w:tcBorders>
            <w:noWrap/>
            <w:hideMark/>
          </w:tcPr>
          <w:p w:rsidRPr="00910723" w:rsidR="00411573" w:rsidP="00435435" w:rsidRDefault="00411573" w14:paraId="0F283C95" w14:textId="77777777">
            <w:pPr>
              <w:jc w:val="right"/>
              <w:rPr>
                <w:rFonts w:ascii="Arial" w:hAnsi="Arial" w:eastAsia="Times New Roman" w:cs="Arial"/>
                <w:sz w:val="20"/>
                <w:szCs w:val="20"/>
              </w:rPr>
            </w:pPr>
            <w:r w:rsidRPr="00910723">
              <w:rPr>
                <w:rFonts w:ascii="Arial" w:hAnsi="Arial"/>
                <w:sz w:val="20"/>
              </w:rPr>
              <w:t> </w:t>
            </w:r>
          </w:p>
        </w:tc>
      </w:tr>
      <w:tr w:rsidRPr="00910723" w:rsidR="00411573" w:rsidTr="00435435" w14:paraId="02B7D878" w14:textId="77777777">
        <w:trPr>
          <w:trHeight w:val="300"/>
        </w:trPr>
        <w:tc>
          <w:tcPr>
            <w:tcW w:w="6804" w:type="dxa"/>
            <w:gridSpan w:val="2"/>
            <w:tcBorders>
              <w:left w:val="nil"/>
              <w:right w:val="nil"/>
            </w:tcBorders>
            <w:noWrap/>
            <w:hideMark/>
          </w:tcPr>
          <w:p w:rsidRPr="00910723" w:rsidR="00411573" w:rsidP="00435435" w:rsidRDefault="00411573" w14:paraId="08F2F12C" w14:textId="77777777">
            <w:pPr>
              <w:ind w:firstLine="200" w:firstLineChars="100"/>
              <w:rPr>
                <w:rFonts w:ascii="Arial" w:hAnsi="Arial" w:eastAsia="Times New Roman" w:cs="Arial"/>
                <w:sz w:val="20"/>
                <w:szCs w:val="20"/>
              </w:rPr>
            </w:pPr>
            <w:r w:rsidRPr="00910723">
              <w:rPr>
                <w:rFonts w:ascii="Arial" w:hAnsi="Arial"/>
                <w:sz w:val="20"/>
              </w:rPr>
              <w:t>b. Vertybinių popierių įsigijimo finansavimo sandoriai (VPĮFS)</w:t>
            </w:r>
          </w:p>
        </w:tc>
        <w:tc>
          <w:tcPr>
            <w:tcW w:w="2745" w:type="dxa"/>
            <w:tcBorders>
              <w:left w:val="nil"/>
              <w:right w:val="nil"/>
            </w:tcBorders>
            <w:noWrap/>
            <w:hideMark/>
          </w:tcPr>
          <w:p w:rsidRPr="00910723" w:rsidR="00411573" w:rsidP="00435435" w:rsidRDefault="00411573" w14:paraId="6B1AEB0A" w14:textId="77777777">
            <w:pPr>
              <w:ind w:firstLine="200" w:firstLineChars="100"/>
              <w:rPr>
                <w:rFonts w:ascii="Arial" w:hAnsi="Arial" w:eastAsia="Times New Roman" w:cs="Arial"/>
                <w:sz w:val="20"/>
                <w:szCs w:val="20"/>
              </w:rPr>
            </w:pPr>
            <w:r w:rsidRPr="00910723">
              <w:rPr>
                <w:rFonts w:ascii="Arial" w:hAnsi="Arial"/>
                <w:sz w:val="20"/>
              </w:rPr>
              <w:t> </w:t>
            </w:r>
          </w:p>
        </w:tc>
      </w:tr>
      <w:tr w:rsidRPr="00910723" w:rsidR="00411573" w:rsidTr="00435435" w14:paraId="00740F55" w14:textId="77777777">
        <w:trPr>
          <w:trHeight w:val="300"/>
        </w:trPr>
        <w:tc>
          <w:tcPr>
            <w:tcW w:w="6804" w:type="dxa"/>
            <w:gridSpan w:val="2"/>
            <w:tcBorders>
              <w:left w:val="nil"/>
              <w:right w:val="nil"/>
            </w:tcBorders>
            <w:noWrap/>
            <w:hideMark/>
          </w:tcPr>
          <w:p w:rsidRPr="00910723" w:rsidR="00411573" w:rsidP="00435435" w:rsidRDefault="00411573" w14:paraId="61F8348E" w14:textId="77777777">
            <w:pPr>
              <w:ind w:firstLine="400" w:firstLineChars="200"/>
              <w:rPr>
                <w:rFonts w:ascii="Arial" w:hAnsi="Arial" w:eastAsia="Times New Roman" w:cs="Arial"/>
                <w:sz w:val="20"/>
                <w:szCs w:val="20"/>
              </w:rPr>
            </w:pPr>
            <w:r w:rsidRPr="00910723">
              <w:rPr>
                <w:rFonts w:ascii="Arial" w:hAnsi="Arial"/>
                <w:sz w:val="20"/>
                <w:lang w:eastAsia="en-GB"/>
              </w:rPr>
              <w:t xml:space="preserve">(1) </w:t>
            </w:r>
            <w:r w:rsidRPr="00910723">
              <w:rPr>
                <w:rFonts w:ascii="Arial" w:hAnsi="Arial"/>
                <w:sz w:val="20"/>
              </w:rPr>
              <w:t>Pakoreguota bendroji VPĮFS vertė</w:t>
            </w:r>
          </w:p>
        </w:tc>
        <w:tc>
          <w:tcPr>
            <w:tcW w:w="2745" w:type="dxa"/>
            <w:tcBorders>
              <w:left w:val="nil"/>
              <w:right w:val="nil"/>
            </w:tcBorders>
            <w:noWrap/>
            <w:hideMark/>
          </w:tcPr>
          <w:p w:rsidRPr="00910723" w:rsidR="00411573" w:rsidP="00435435" w:rsidRDefault="00411573" w14:paraId="0A0517F0" w14:textId="77777777">
            <w:pPr>
              <w:jc w:val="right"/>
              <w:rPr>
                <w:rFonts w:ascii="Arial" w:hAnsi="Arial" w:eastAsia="Times New Roman" w:cs="Arial"/>
                <w:sz w:val="20"/>
                <w:szCs w:val="20"/>
              </w:rPr>
            </w:pPr>
            <w:r w:rsidRPr="00910723">
              <w:rPr>
                <w:rFonts w:ascii="Arial" w:hAnsi="Arial"/>
                <w:sz w:val="20"/>
              </w:rPr>
              <w:t> </w:t>
            </w:r>
          </w:p>
        </w:tc>
      </w:tr>
      <w:tr w:rsidRPr="00910723" w:rsidR="00411573" w:rsidTr="00435435" w14:paraId="49709D9E" w14:textId="77777777">
        <w:trPr>
          <w:trHeight w:val="300"/>
        </w:trPr>
        <w:tc>
          <w:tcPr>
            <w:tcW w:w="6804" w:type="dxa"/>
            <w:gridSpan w:val="2"/>
            <w:tcBorders>
              <w:left w:val="nil"/>
              <w:right w:val="nil"/>
            </w:tcBorders>
            <w:noWrap/>
            <w:hideMark/>
          </w:tcPr>
          <w:p w:rsidRPr="00910723" w:rsidR="00411573" w:rsidP="00435435" w:rsidRDefault="00411573" w14:paraId="7F7CEBBE" w14:textId="77777777">
            <w:pPr>
              <w:ind w:firstLine="400" w:firstLineChars="200"/>
              <w:rPr>
                <w:rFonts w:ascii="Arial" w:hAnsi="Arial" w:eastAsia="Times New Roman" w:cs="Arial"/>
                <w:sz w:val="20"/>
                <w:szCs w:val="20"/>
              </w:rPr>
            </w:pPr>
            <w:r w:rsidRPr="00910723">
              <w:rPr>
                <w:rFonts w:ascii="Arial" w:hAnsi="Arial"/>
                <w:sz w:val="20"/>
                <w:lang w:eastAsia="en-GB"/>
              </w:rPr>
              <w:t xml:space="preserve">(2) </w:t>
            </w:r>
            <w:r w:rsidRPr="00910723">
              <w:rPr>
                <w:rFonts w:ascii="Arial" w:hAnsi="Arial"/>
                <w:sz w:val="20"/>
              </w:rPr>
              <w:t>VPĮFS sandorio šalies pozicija</w:t>
            </w:r>
          </w:p>
        </w:tc>
        <w:tc>
          <w:tcPr>
            <w:tcW w:w="2745" w:type="dxa"/>
            <w:tcBorders>
              <w:left w:val="nil"/>
              <w:right w:val="nil"/>
            </w:tcBorders>
            <w:noWrap/>
            <w:hideMark/>
          </w:tcPr>
          <w:p w:rsidRPr="00910723" w:rsidR="00411573" w:rsidP="00435435" w:rsidRDefault="00411573" w14:paraId="766CDD3E" w14:textId="77777777">
            <w:pPr>
              <w:jc w:val="right"/>
              <w:rPr>
                <w:rFonts w:ascii="Arial" w:hAnsi="Arial" w:eastAsia="Times New Roman" w:cs="Arial"/>
                <w:sz w:val="20"/>
                <w:szCs w:val="20"/>
              </w:rPr>
            </w:pPr>
            <w:r w:rsidRPr="00910723">
              <w:rPr>
                <w:rFonts w:ascii="Arial" w:hAnsi="Arial"/>
                <w:sz w:val="20"/>
              </w:rPr>
              <w:t> </w:t>
            </w:r>
          </w:p>
        </w:tc>
      </w:tr>
      <w:tr w:rsidRPr="00910723" w:rsidR="00411573" w:rsidTr="00435435" w14:paraId="54B732E4" w14:textId="77777777">
        <w:trPr>
          <w:trHeight w:val="300"/>
        </w:trPr>
        <w:tc>
          <w:tcPr>
            <w:tcW w:w="6804" w:type="dxa"/>
            <w:gridSpan w:val="2"/>
            <w:tcBorders>
              <w:left w:val="nil"/>
              <w:right w:val="nil"/>
            </w:tcBorders>
            <w:noWrap/>
            <w:hideMark/>
          </w:tcPr>
          <w:p w:rsidRPr="00910723" w:rsidR="00411573" w:rsidP="00435435" w:rsidRDefault="00411573" w14:paraId="005B8740" w14:textId="77777777">
            <w:pPr>
              <w:ind w:firstLine="200" w:firstLineChars="100"/>
              <w:rPr>
                <w:rFonts w:ascii="Arial" w:hAnsi="Arial" w:eastAsia="Times New Roman" w:cs="Arial"/>
                <w:sz w:val="20"/>
                <w:szCs w:val="20"/>
              </w:rPr>
            </w:pPr>
            <w:r w:rsidRPr="00910723">
              <w:rPr>
                <w:rFonts w:ascii="Arial" w:hAnsi="Arial"/>
                <w:sz w:val="20"/>
              </w:rPr>
              <w:t>c. Kitas turtas</w:t>
            </w:r>
          </w:p>
        </w:tc>
        <w:tc>
          <w:tcPr>
            <w:tcW w:w="2745" w:type="dxa"/>
            <w:tcBorders>
              <w:left w:val="nil"/>
              <w:right w:val="nil"/>
            </w:tcBorders>
            <w:noWrap/>
            <w:hideMark/>
          </w:tcPr>
          <w:p w:rsidRPr="00910723" w:rsidR="00411573" w:rsidP="00435435" w:rsidRDefault="00411573" w14:paraId="5260555A" w14:textId="77777777">
            <w:pPr>
              <w:jc w:val="right"/>
              <w:rPr>
                <w:rFonts w:ascii="Arial" w:hAnsi="Arial" w:eastAsia="Times New Roman" w:cs="Arial"/>
                <w:sz w:val="20"/>
                <w:szCs w:val="20"/>
              </w:rPr>
            </w:pPr>
            <w:r w:rsidRPr="00910723">
              <w:rPr>
                <w:rFonts w:ascii="Arial" w:hAnsi="Arial"/>
                <w:sz w:val="20"/>
              </w:rPr>
              <w:t> </w:t>
            </w:r>
          </w:p>
        </w:tc>
      </w:tr>
      <w:tr w:rsidRPr="00910723" w:rsidR="00411573" w:rsidTr="00435435" w14:paraId="3B6357B6" w14:textId="77777777">
        <w:trPr>
          <w:trHeight w:val="300"/>
        </w:trPr>
        <w:tc>
          <w:tcPr>
            <w:tcW w:w="6804" w:type="dxa"/>
            <w:gridSpan w:val="2"/>
            <w:tcBorders>
              <w:left w:val="nil"/>
              <w:right w:val="nil"/>
            </w:tcBorders>
            <w:noWrap/>
            <w:hideMark/>
          </w:tcPr>
          <w:p w:rsidRPr="00910723" w:rsidR="00411573" w:rsidP="00435435" w:rsidRDefault="00411573" w14:paraId="13282AD9" w14:textId="77777777">
            <w:pPr>
              <w:ind w:firstLine="200" w:firstLineChars="100"/>
              <w:rPr>
                <w:rFonts w:ascii="Arial" w:hAnsi="Arial" w:eastAsia="Times New Roman" w:cs="Arial"/>
                <w:sz w:val="20"/>
                <w:szCs w:val="20"/>
              </w:rPr>
            </w:pPr>
            <w:r w:rsidRPr="00910723">
              <w:rPr>
                <w:rFonts w:ascii="Arial" w:hAnsi="Arial"/>
                <w:sz w:val="20"/>
              </w:rPr>
              <w:t>d. Bendroji tariamoji nebalansinių punktų suma</w:t>
            </w:r>
          </w:p>
        </w:tc>
        <w:tc>
          <w:tcPr>
            <w:tcW w:w="2745" w:type="dxa"/>
            <w:tcBorders>
              <w:left w:val="nil"/>
              <w:right w:val="nil"/>
            </w:tcBorders>
            <w:noWrap/>
            <w:hideMark/>
          </w:tcPr>
          <w:p w:rsidRPr="00910723" w:rsidR="00411573" w:rsidP="00435435" w:rsidRDefault="00411573" w14:paraId="07008E64" w14:textId="77777777">
            <w:pPr>
              <w:ind w:firstLine="200" w:firstLineChars="100"/>
              <w:rPr>
                <w:rFonts w:ascii="Arial" w:hAnsi="Arial" w:eastAsia="Times New Roman" w:cs="Arial"/>
                <w:sz w:val="20"/>
                <w:szCs w:val="20"/>
              </w:rPr>
            </w:pPr>
            <w:r w:rsidRPr="00910723">
              <w:rPr>
                <w:rFonts w:ascii="Arial" w:hAnsi="Arial"/>
                <w:sz w:val="20"/>
              </w:rPr>
              <w:t> </w:t>
            </w:r>
          </w:p>
        </w:tc>
      </w:tr>
      <w:tr w:rsidRPr="00910723" w:rsidR="00411573" w:rsidTr="00435435" w14:paraId="52AF6915" w14:textId="77777777">
        <w:trPr>
          <w:trHeight w:val="300"/>
        </w:trPr>
        <w:tc>
          <w:tcPr>
            <w:tcW w:w="6804" w:type="dxa"/>
            <w:gridSpan w:val="2"/>
            <w:tcBorders>
              <w:left w:val="nil"/>
              <w:right w:val="nil"/>
            </w:tcBorders>
            <w:noWrap/>
            <w:hideMark/>
          </w:tcPr>
          <w:p w:rsidRPr="00910723" w:rsidR="00411573" w:rsidP="00435435" w:rsidRDefault="00411573" w14:paraId="6D28C299" w14:textId="77777777">
            <w:pPr>
              <w:ind w:firstLine="400" w:firstLineChars="200"/>
              <w:rPr>
                <w:rFonts w:ascii="Arial" w:hAnsi="Arial" w:eastAsia="Times New Roman" w:cs="Arial"/>
                <w:sz w:val="20"/>
                <w:szCs w:val="20"/>
              </w:rPr>
            </w:pPr>
            <w:r w:rsidRPr="00910723">
              <w:rPr>
                <w:rFonts w:ascii="Arial" w:hAnsi="Arial"/>
                <w:sz w:val="20"/>
                <w:lang w:eastAsia="en-GB"/>
              </w:rPr>
              <w:t xml:space="preserve">(1) </w:t>
            </w:r>
            <w:r w:rsidRPr="00910723">
              <w:rPr>
                <w:rFonts w:ascii="Arial" w:hAnsi="Arial"/>
                <w:sz w:val="20"/>
              </w:rPr>
              <w:t>Punktai, kuriems taikomas 0 % perskaičiavimo koeficientas</w:t>
            </w:r>
          </w:p>
        </w:tc>
        <w:tc>
          <w:tcPr>
            <w:tcW w:w="2745" w:type="dxa"/>
            <w:tcBorders>
              <w:left w:val="nil"/>
              <w:right w:val="nil"/>
            </w:tcBorders>
            <w:noWrap/>
            <w:hideMark/>
          </w:tcPr>
          <w:p w:rsidRPr="00910723" w:rsidR="00411573" w:rsidP="00435435" w:rsidRDefault="00411573" w14:paraId="4FBE4D7C" w14:textId="77777777">
            <w:pPr>
              <w:jc w:val="right"/>
              <w:rPr>
                <w:rFonts w:ascii="Arial" w:hAnsi="Arial" w:eastAsia="Times New Roman" w:cs="Arial"/>
                <w:sz w:val="20"/>
                <w:szCs w:val="20"/>
              </w:rPr>
            </w:pPr>
            <w:r w:rsidRPr="00910723">
              <w:rPr>
                <w:rFonts w:ascii="Arial" w:hAnsi="Arial"/>
                <w:sz w:val="20"/>
              </w:rPr>
              <w:t> </w:t>
            </w:r>
          </w:p>
        </w:tc>
      </w:tr>
      <w:tr w:rsidRPr="00910723" w:rsidR="00411573" w:rsidTr="00435435" w14:paraId="75A19E46" w14:textId="77777777">
        <w:trPr>
          <w:trHeight w:val="300"/>
        </w:trPr>
        <w:tc>
          <w:tcPr>
            <w:tcW w:w="6804" w:type="dxa"/>
            <w:gridSpan w:val="2"/>
            <w:tcBorders>
              <w:left w:val="nil"/>
              <w:right w:val="nil"/>
            </w:tcBorders>
            <w:noWrap/>
            <w:hideMark/>
          </w:tcPr>
          <w:p w:rsidRPr="00910723" w:rsidR="00411573" w:rsidP="00435435" w:rsidRDefault="00411573" w14:paraId="2E5F3F12" w14:textId="77777777">
            <w:pPr>
              <w:ind w:firstLine="400" w:firstLineChars="200"/>
              <w:rPr>
                <w:rFonts w:ascii="Arial" w:hAnsi="Arial" w:eastAsia="Times New Roman" w:cs="Arial"/>
                <w:sz w:val="20"/>
                <w:szCs w:val="20"/>
              </w:rPr>
            </w:pPr>
            <w:r w:rsidRPr="00910723">
              <w:rPr>
                <w:rFonts w:ascii="Arial" w:hAnsi="Arial"/>
                <w:sz w:val="20"/>
                <w:lang w:eastAsia="en-GB"/>
              </w:rPr>
              <w:t xml:space="preserve">(2) </w:t>
            </w:r>
            <w:r w:rsidRPr="00910723">
              <w:rPr>
                <w:rFonts w:ascii="Arial" w:hAnsi="Arial"/>
                <w:sz w:val="20"/>
              </w:rPr>
              <w:t>Punktai, kuriems taikomas 20 % perskaičiavimo koeficientas</w:t>
            </w:r>
          </w:p>
        </w:tc>
        <w:tc>
          <w:tcPr>
            <w:tcW w:w="2745" w:type="dxa"/>
            <w:tcBorders>
              <w:left w:val="nil"/>
              <w:right w:val="nil"/>
            </w:tcBorders>
            <w:noWrap/>
            <w:hideMark/>
          </w:tcPr>
          <w:p w:rsidRPr="00910723" w:rsidR="00411573" w:rsidP="00435435" w:rsidRDefault="00411573" w14:paraId="1703535C" w14:textId="77777777">
            <w:pPr>
              <w:jc w:val="right"/>
              <w:rPr>
                <w:rFonts w:ascii="Arial" w:hAnsi="Arial" w:eastAsia="Times New Roman" w:cs="Arial"/>
                <w:sz w:val="20"/>
                <w:szCs w:val="20"/>
              </w:rPr>
            </w:pPr>
            <w:r w:rsidRPr="00910723">
              <w:rPr>
                <w:rFonts w:ascii="Arial" w:hAnsi="Arial"/>
                <w:sz w:val="20"/>
              </w:rPr>
              <w:t> </w:t>
            </w:r>
          </w:p>
        </w:tc>
      </w:tr>
      <w:tr w:rsidRPr="00910723" w:rsidR="00411573" w:rsidTr="00435435" w14:paraId="519A7FC1" w14:textId="77777777">
        <w:trPr>
          <w:trHeight w:val="300"/>
        </w:trPr>
        <w:tc>
          <w:tcPr>
            <w:tcW w:w="6804" w:type="dxa"/>
            <w:gridSpan w:val="2"/>
            <w:tcBorders>
              <w:left w:val="nil"/>
              <w:right w:val="nil"/>
            </w:tcBorders>
            <w:noWrap/>
            <w:hideMark/>
          </w:tcPr>
          <w:p w:rsidRPr="00910723" w:rsidR="00411573" w:rsidP="00435435" w:rsidRDefault="00411573" w14:paraId="5441E9ED" w14:textId="77777777">
            <w:pPr>
              <w:ind w:firstLine="400" w:firstLineChars="200"/>
              <w:rPr>
                <w:rFonts w:ascii="Arial" w:hAnsi="Arial" w:eastAsia="Times New Roman" w:cs="Arial"/>
                <w:sz w:val="20"/>
                <w:szCs w:val="20"/>
              </w:rPr>
            </w:pPr>
            <w:r w:rsidRPr="00910723">
              <w:rPr>
                <w:rFonts w:ascii="Arial" w:hAnsi="Arial"/>
                <w:sz w:val="20"/>
                <w:lang w:eastAsia="en-GB"/>
              </w:rPr>
              <w:t xml:space="preserve">(3) </w:t>
            </w:r>
            <w:r w:rsidRPr="00910723">
              <w:rPr>
                <w:rFonts w:ascii="Arial" w:hAnsi="Arial"/>
                <w:sz w:val="20"/>
              </w:rPr>
              <w:t>Punktai, kuriems taikomas 50 % perskaičiavimo koeficientas</w:t>
            </w:r>
          </w:p>
        </w:tc>
        <w:tc>
          <w:tcPr>
            <w:tcW w:w="2745" w:type="dxa"/>
            <w:tcBorders>
              <w:left w:val="nil"/>
              <w:right w:val="nil"/>
            </w:tcBorders>
            <w:noWrap/>
            <w:hideMark/>
          </w:tcPr>
          <w:p w:rsidRPr="00910723" w:rsidR="00411573" w:rsidP="00435435" w:rsidRDefault="00411573" w14:paraId="7FB804BB" w14:textId="77777777">
            <w:pPr>
              <w:jc w:val="right"/>
              <w:rPr>
                <w:rFonts w:ascii="Arial" w:hAnsi="Arial" w:eastAsia="Times New Roman" w:cs="Arial"/>
                <w:sz w:val="20"/>
                <w:szCs w:val="20"/>
              </w:rPr>
            </w:pPr>
            <w:r w:rsidRPr="00910723">
              <w:rPr>
                <w:rFonts w:ascii="Arial" w:hAnsi="Arial"/>
                <w:sz w:val="20"/>
              </w:rPr>
              <w:t> </w:t>
            </w:r>
          </w:p>
        </w:tc>
      </w:tr>
      <w:tr w:rsidRPr="00910723" w:rsidR="00411573" w:rsidTr="00435435" w14:paraId="405E4946" w14:textId="77777777">
        <w:trPr>
          <w:trHeight w:val="300"/>
        </w:trPr>
        <w:tc>
          <w:tcPr>
            <w:tcW w:w="6804" w:type="dxa"/>
            <w:gridSpan w:val="2"/>
            <w:tcBorders>
              <w:left w:val="nil"/>
              <w:right w:val="nil"/>
            </w:tcBorders>
            <w:noWrap/>
            <w:hideMark/>
          </w:tcPr>
          <w:p w:rsidRPr="00910723" w:rsidR="00411573" w:rsidP="00435435" w:rsidRDefault="00411573" w14:paraId="2F23F8D7" w14:textId="77777777">
            <w:pPr>
              <w:ind w:firstLine="400" w:firstLineChars="200"/>
              <w:rPr>
                <w:rFonts w:ascii="Arial" w:hAnsi="Arial" w:eastAsia="Times New Roman" w:cs="Arial"/>
                <w:sz w:val="20"/>
                <w:szCs w:val="20"/>
              </w:rPr>
            </w:pPr>
            <w:r w:rsidRPr="00910723">
              <w:rPr>
                <w:rFonts w:ascii="Arial" w:hAnsi="Arial"/>
                <w:sz w:val="20"/>
                <w:lang w:eastAsia="en-GB"/>
              </w:rPr>
              <w:t xml:space="preserve">(4) </w:t>
            </w:r>
            <w:r w:rsidRPr="00910723">
              <w:rPr>
                <w:rFonts w:ascii="Arial" w:hAnsi="Arial"/>
                <w:sz w:val="20"/>
              </w:rPr>
              <w:t>Punktai, kuriems taikomas 100 % perskaičiavimo koeficientas</w:t>
            </w:r>
          </w:p>
        </w:tc>
        <w:tc>
          <w:tcPr>
            <w:tcW w:w="2745" w:type="dxa"/>
            <w:tcBorders>
              <w:left w:val="nil"/>
              <w:right w:val="nil"/>
            </w:tcBorders>
            <w:noWrap/>
            <w:hideMark/>
          </w:tcPr>
          <w:p w:rsidRPr="00910723" w:rsidR="00411573" w:rsidP="00435435" w:rsidRDefault="00411573" w14:paraId="120E0EE6" w14:textId="77777777">
            <w:pPr>
              <w:jc w:val="right"/>
              <w:rPr>
                <w:rFonts w:ascii="Arial" w:hAnsi="Arial" w:eastAsia="Times New Roman" w:cs="Arial"/>
                <w:sz w:val="20"/>
                <w:szCs w:val="20"/>
              </w:rPr>
            </w:pPr>
            <w:r w:rsidRPr="00910723">
              <w:rPr>
                <w:rFonts w:ascii="Arial" w:hAnsi="Arial"/>
                <w:sz w:val="20"/>
              </w:rPr>
              <w:t> </w:t>
            </w:r>
          </w:p>
        </w:tc>
      </w:tr>
      <w:tr w:rsidRPr="00910723" w:rsidR="00411573" w:rsidTr="00435435" w14:paraId="1F353723" w14:textId="77777777">
        <w:trPr>
          <w:trHeight w:val="300"/>
        </w:trPr>
        <w:tc>
          <w:tcPr>
            <w:tcW w:w="6804" w:type="dxa"/>
            <w:gridSpan w:val="2"/>
            <w:tcBorders>
              <w:left w:val="nil"/>
              <w:right w:val="nil"/>
            </w:tcBorders>
            <w:noWrap/>
            <w:hideMark/>
          </w:tcPr>
          <w:p w:rsidRPr="00910723" w:rsidR="00411573" w:rsidP="00435435" w:rsidRDefault="00411573" w14:paraId="7C2DD359" w14:textId="77777777">
            <w:pPr>
              <w:ind w:firstLine="200" w:firstLineChars="100"/>
              <w:rPr>
                <w:rFonts w:ascii="Arial" w:hAnsi="Arial" w:eastAsia="Times New Roman" w:cs="Arial"/>
                <w:sz w:val="20"/>
                <w:szCs w:val="20"/>
              </w:rPr>
            </w:pPr>
            <w:r w:rsidRPr="00910723">
              <w:rPr>
                <w:rFonts w:ascii="Arial" w:hAnsi="Arial"/>
                <w:sz w:val="20"/>
              </w:rPr>
              <w:t>e. Reguliuojamasis koregavimas</w:t>
            </w:r>
          </w:p>
        </w:tc>
        <w:tc>
          <w:tcPr>
            <w:tcW w:w="2745" w:type="dxa"/>
            <w:tcBorders>
              <w:left w:val="nil"/>
              <w:right w:val="nil"/>
            </w:tcBorders>
            <w:noWrap/>
            <w:hideMark/>
          </w:tcPr>
          <w:p w:rsidRPr="00910723" w:rsidR="00411573" w:rsidP="00435435" w:rsidRDefault="00411573" w14:paraId="05120422" w14:textId="77777777">
            <w:pPr>
              <w:jc w:val="right"/>
              <w:rPr>
                <w:rFonts w:ascii="Arial" w:hAnsi="Arial" w:eastAsia="Times New Roman" w:cs="Arial"/>
                <w:sz w:val="20"/>
                <w:szCs w:val="20"/>
              </w:rPr>
            </w:pPr>
            <w:r w:rsidRPr="00910723">
              <w:rPr>
                <w:rFonts w:ascii="Arial" w:hAnsi="Arial"/>
                <w:sz w:val="20"/>
              </w:rPr>
              <w:t> </w:t>
            </w:r>
          </w:p>
        </w:tc>
      </w:tr>
      <w:tr w:rsidRPr="00910723" w:rsidR="00411573" w:rsidTr="00435435" w14:paraId="193CC339" w14:textId="77777777">
        <w:trPr>
          <w:trHeight w:val="300"/>
        </w:trPr>
        <w:tc>
          <w:tcPr>
            <w:tcW w:w="6804" w:type="dxa"/>
            <w:gridSpan w:val="2"/>
            <w:tcBorders>
              <w:left w:val="nil"/>
              <w:right w:val="nil"/>
            </w:tcBorders>
            <w:noWrap/>
          </w:tcPr>
          <w:p w:rsidRPr="00910723" w:rsidR="00411573" w:rsidP="00435435" w:rsidRDefault="00411573" w14:paraId="579108B0" w14:textId="77777777">
            <w:pPr>
              <w:ind w:left="171" w:firstLine="28" w:firstLineChars="14"/>
              <w:rPr>
                <w:rFonts w:ascii="Arial" w:hAnsi="Arial" w:eastAsia="Times New Roman" w:cs="Arial"/>
                <w:sz w:val="20"/>
                <w:szCs w:val="20"/>
              </w:rPr>
            </w:pPr>
            <w:r w:rsidRPr="00910723">
              <w:rPr>
                <w:rFonts w:ascii="Arial" w:hAnsi="Arial"/>
                <w:sz w:val="20"/>
              </w:rPr>
              <w:lastRenderedPageBreak/>
              <w:t>f. Bendra pozicijų suma prieš reguliuojamąjį koregavimą (2.a.1–2.c punktų, 2.d.1 punkto, padauginto iš 0,1, 2.d.2 punkto, padauginto iš 0,2, 2.d.3 punkto, padauginto iš 0,5 ir 2.d.4 punkto suma)</w:t>
            </w:r>
          </w:p>
        </w:tc>
        <w:tc>
          <w:tcPr>
            <w:tcW w:w="2745" w:type="dxa"/>
            <w:tcBorders>
              <w:left w:val="nil"/>
              <w:right w:val="nil"/>
            </w:tcBorders>
            <w:noWrap/>
          </w:tcPr>
          <w:p w:rsidRPr="00910723" w:rsidR="00411573" w:rsidP="00435435" w:rsidRDefault="00411573" w14:paraId="72073302" w14:textId="77777777">
            <w:pPr>
              <w:jc w:val="right"/>
              <w:rPr>
                <w:rFonts w:ascii="Arial" w:hAnsi="Arial" w:eastAsia="Times New Roman" w:cs="Arial"/>
                <w:sz w:val="20"/>
                <w:szCs w:val="20"/>
                <w:lang w:eastAsia="en-GB"/>
              </w:rPr>
            </w:pPr>
          </w:p>
        </w:tc>
      </w:tr>
      <w:tr w:rsidRPr="00910723" w:rsidR="00411573" w:rsidTr="00435435" w14:paraId="4F9F7208" w14:textId="77777777">
        <w:trPr>
          <w:trHeight w:val="300"/>
        </w:trPr>
        <w:tc>
          <w:tcPr>
            <w:tcW w:w="6804" w:type="dxa"/>
            <w:gridSpan w:val="2"/>
            <w:tcBorders>
              <w:left w:val="nil"/>
              <w:right w:val="nil"/>
            </w:tcBorders>
            <w:noWrap/>
          </w:tcPr>
          <w:p w:rsidRPr="00910723" w:rsidR="00411573" w:rsidP="00435435" w:rsidRDefault="00411573" w14:paraId="4B1A1FF9" w14:textId="77777777">
            <w:pPr>
              <w:ind w:left="171" w:firstLine="28" w:firstLineChars="14"/>
              <w:rPr>
                <w:rFonts w:ascii="Arial" w:hAnsi="Arial" w:eastAsia="Times New Roman" w:cs="Arial"/>
                <w:sz w:val="20"/>
                <w:szCs w:val="20"/>
              </w:rPr>
            </w:pPr>
            <w:r w:rsidRPr="00910723">
              <w:rPr>
                <w:rFonts w:ascii="Arial" w:hAnsi="Arial"/>
                <w:sz w:val="20"/>
              </w:rPr>
              <w:t>g. Į 2.f. grupės vidaus grynąsias pozicijas neįtrauktų draudimo patronuojamųjų įmonių pozicijos</w:t>
            </w:r>
          </w:p>
        </w:tc>
        <w:tc>
          <w:tcPr>
            <w:tcW w:w="2745" w:type="dxa"/>
            <w:tcBorders>
              <w:left w:val="nil"/>
              <w:right w:val="nil"/>
            </w:tcBorders>
            <w:noWrap/>
          </w:tcPr>
          <w:p w:rsidRPr="00910723" w:rsidR="00411573" w:rsidP="00435435" w:rsidRDefault="00411573" w14:paraId="44496B20" w14:textId="77777777">
            <w:pPr>
              <w:jc w:val="right"/>
              <w:rPr>
                <w:rFonts w:ascii="Arial" w:hAnsi="Arial" w:eastAsia="Times New Roman" w:cs="Arial"/>
                <w:sz w:val="20"/>
                <w:szCs w:val="20"/>
                <w:lang w:eastAsia="en-GB"/>
              </w:rPr>
            </w:pPr>
          </w:p>
        </w:tc>
      </w:tr>
      <w:tr w:rsidRPr="00910723" w:rsidR="00411573" w:rsidTr="00435435" w14:paraId="1A87B80C" w14:textId="77777777">
        <w:trPr>
          <w:trHeight w:val="300"/>
        </w:trPr>
        <w:tc>
          <w:tcPr>
            <w:tcW w:w="6804" w:type="dxa"/>
            <w:gridSpan w:val="2"/>
            <w:tcBorders>
              <w:left w:val="nil"/>
              <w:right w:val="nil"/>
            </w:tcBorders>
            <w:noWrap/>
          </w:tcPr>
          <w:p w:rsidRPr="00910723" w:rsidR="00411573" w:rsidP="00435435" w:rsidRDefault="00411573" w14:paraId="32E67AB8" w14:textId="77777777">
            <w:pPr>
              <w:ind w:left="720" w:firstLine="28" w:firstLineChars="14"/>
              <w:rPr>
                <w:rFonts w:ascii="Arial" w:hAnsi="Arial" w:eastAsia="Times New Roman" w:cs="Arial"/>
                <w:sz w:val="20"/>
                <w:szCs w:val="20"/>
              </w:rPr>
            </w:pPr>
            <w:r w:rsidRPr="00910723">
              <w:rPr>
                <w:rFonts w:ascii="Arial" w:hAnsi="Arial"/>
                <w:sz w:val="20"/>
                <w:lang w:eastAsia="en-GB"/>
              </w:rPr>
              <w:t xml:space="preserve">(1) </w:t>
            </w:r>
            <w:r w:rsidRPr="00910723">
              <w:rPr>
                <w:rFonts w:ascii="Arial" w:hAnsi="Arial"/>
                <w:sz w:val="20"/>
              </w:rPr>
              <w:t>Draudimo patronuojamųjų įmonių balansinis ir nebalansinis turtas</w:t>
            </w:r>
          </w:p>
        </w:tc>
        <w:tc>
          <w:tcPr>
            <w:tcW w:w="2745" w:type="dxa"/>
            <w:tcBorders>
              <w:left w:val="nil"/>
              <w:right w:val="nil"/>
            </w:tcBorders>
            <w:noWrap/>
          </w:tcPr>
          <w:p w:rsidRPr="00910723" w:rsidR="00411573" w:rsidP="00435435" w:rsidRDefault="00411573" w14:paraId="4EFEA834" w14:textId="77777777">
            <w:pPr>
              <w:jc w:val="right"/>
              <w:rPr>
                <w:rFonts w:ascii="Arial" w:hAnsi="Arial" w:eastAsia="Times New Roman" w:cs="Arial"/>
                <w:sz w:val="20"/>
                <w:szCs w:val="20"/>
                <w:lang w:eastAsia="en-GB"/>
              </w:rPr>
            </w:pPr>
          </w:p>
        </w:tc>
      </w:tr>
      <w:tr w:rsidRPr="00910723" w:rsidR="00411573" w:rsidTr="00435435" w14:paraId="6DEA01DE" w14:textId="77777777">
        <w:trPr>
          <w:trHeight w:val="300"/>
        </w:trPr>
        <w:tc>
          <w:tcPr>
            <w:tcW w:w="6804" w:type="dxa"/>
            <w:gridSpan w:val="2"/>
            <w:tcBorders>
              <w:left w:val="nil"/>
              <w:right w:val="nil"/>
            </w:tcBorders>
            <w:noWrap/>
          </w:tcPr>
          <w:p w:rsidRPr="00910723" w:rsidR="00411573" w:rsidP="00435435" w:rsidRDefault="00411573" w14:paraId="63AC6013" w14:textId="77777777">
            <w:pPr>
              <w:ind w:left="720" w:firstLine="28" w:firstLineChars="14"/>
              <w:rPr>
                <w:rFonts w:ascii="Arial" w:hAnsi="Arial" w:eastAsia="Times New Roman" w:cs="Arial"/>
                <w:sz w:val="20"/>
                <w:szCs w:val="20"/>
              </w:rPr>
            </w:pPr>
            <w:r w:rsidRPr="00910723">
              <w:rPr>
                <w:rFonts w:ascii="Arial" w:hAnsi="Arial"/>
                <w:sz w:val="20"/>
                <w:lang w:eastAsia="en-GB"/>
              </w:rPr>
              <w:t xml:space="preserve">(2) </w:t>
            </w:r>
            <w:r w:rsidRPr="00910723">
              <w:rPr>
                <w:rFonts w:ascii="Arial" w:hAnsi="Arial"/>
                <w:sz w:val="20"/>
              </w:rPr>
              <w:t>Draudimo patronuojamųjų įmonių išvestinių finansinių priemonių sandorių galima būsima pozicija</w:t>
            </w:r>
          </w:p>
        </w:tc>
        <w:tc>
          <w:tcPr>
            <w:tcW w:w="2745" w:type="dxa"/>
            <w:tcBorders>
              <w:left w:val="nil"/>
              <w:right w:val="nil"/>
            </w:tcBorders>
            <w:noWrap/>
          </w:tcPr>
          <w:p w:rsidRPr="00910723" w:rsidR="00411573" w:rsidP="00435435" w:rsidRDefault="00411573" w14:paraId="66EEB030" w14:textId="77777777">
            <w:pPr>
              <w:jc w:val="right"/>
              <w:rPr>
                <w:rFonts w:ascii="Arial" w:hAnsi="Arial" w:eastAsia="Times New Roman" w:cs="Arial"/>
                <w:sz w:val="20"/>
                <w:szCs w:val="20"/>
                <w:lang w:eastAsia="en-GB"/>
              </w:rPr>
            </w:pPr>
          </w:p>
        </w:tc>
      </w:tr>
      <w:tr w:rsidRPr="00910723" w:rsidR="00411573" w:rsidTr="00435435" w14:paraId="59D4ED92" w14:textId="77777777">
        <w:trPr>
          <w:trHeight w:val="300"/>
        </w:trPr>
        <w:tc>
          <w:tcPr>
            <w:tcW w:w="6804" w:type="dxa"/>
            <w:gridSpan w:val="2"/>
            <w:tcBorders>
              <w:left w:val="nil"/>
              <w:right w:val="nil"/>
            </w:tcBorders>
            <w:noWrap/>
          </w:tcPr>
          <w:p w:rsidRPr="00910723" w:rsidR="00411573" w:rsidP="00435435" w:rsidRDefault="00411573" w14:paraId="45569916" w14:textId="77777777">
            <w:pPr>
              <w:ind w:left="720" w:firstLine="28" w:firstLineChars="14"/>
              <w:rPr>
                <w:rFonts w:ascii="Arial" w:hAnsi="Arial" w:eastAsia="Times New Roman" w:cs="Arial"/>
                <w:sz w:val="20"/>
                <w:szCs w:val="20"/>
              </w:rPr>
            </w:pPr>
            <w:r w:rsidRPr="00910723">
              <w:rPr>
                <w:rFonts w:ascii="Arial" w:hAnsi="Arial"/>
                <w:sz w:val="20"/>
                <w:lang w:eastAsia="en-GB"/>
              </w:rPr>
              <w:t xml:space="preserve">(3) </w:t>
            </w:r>
            <w:r w:rsidRPr="00910723">
              <w:rPr>
                <w:rFonts w:ascii="Arial" w:hAnsi="Arial"/>
                <w:sz w:val="20"/>
              </w:rPr>
              <w:t>Investicijos į konsoliduojamus subjektus vertė</w:t>
            </w:r>
          </w:p>
        </w:tc>
        <w:tc>
          <w:tcPr>
            <w:tcW w:w="2745" w:type="dxa"/>
            <w:tcBorders>
              <w:left w:val="nil"/>
              <w:right w:val="nil"/>
            </w:tcBorders>
            <w:noWrap/>
          </w:tcPr>
          <w:p w:rsidRPr="00910723" w:rsidR="00411573" w:rsidP="00435435" w:rsidRDefault="00411573" w14:paraId="263BA926" w14:textId="77777777">
            <w:pPr>
              <w:jc w:val="right"/>
              <w:rPr>
                <w:rFonts w:ascii="Arial" w:hAnsi="Arial" w:eastAsia="Times New Roman" w:cs="Arial"/>
                <w:sz w:val="20"/>
                <w:szCs w:val="20"/>
                <w:lang w:eastAsia="en-GB"/>
              </w:rPr>
            </w:pPr>
          </w:p>
        </w:tc>
      </w:tr>
      <w:tr w:rsidRPr="00910723" w:rsidR="00411573" w:rsidTr="00435435" w14:paraId="001CFE83" w14:textId="77777777">
        <w:trPr>
          <w:trHeight w:val="300"/>
        </w:trPr>
        <w:tc>
          <w:tcPr>
            <w:tcW w:w="6804" w:type="dxa"/>
            <w:gridSpan w:val="2"/>
            <w:tcBorders>
              <w:left w:val="nil"/>
              <w:right w:val="nil"/>
            </w:tcBorders>
            <w:noWrap/>
          </w:tcPr>
          <w:p w:rsidRPr="00910723" w:rsidR="00411573" w:rsidP="00435435" w:rsidRDefault="00411573" w14:paraId="58AAE0EA" w14:textId="77777777">
            <w:pPr>
              <w:ind w:left="171"/>
              <w:rPr>
                <w:rFonts w:ascii="Arial" w:hAnsi="Arial" w:eastAsia="Times New Roman" w:cs="Arial"/>
                <w:sz w:val="20"/>
                <w:szCs w:val="20"/>
              </w:rPr>
            </w:pPr>
            <w:r w:rsidRPr="00910723">
              <w:rPr>
                <w:rFonts w:ascii="Arial" w:hAnsi="Arial"/>
                <w:sz w:val="20"/>
              </w:rPr>
              <w:t>h. Į 2.f. grupės vidaus pozicijas įtrauktos 2.g draudimo patronuojamųjų įmonių pozicijos.</w:t>
            </w:r>
          </w:p>
        </w:tc>
        <w:tc>
          <w:tcPr>
            <w:tcW w:w="2745" w:type="dxa"/>
            <w:tcBorders>
              <w:left w:val="nil"/>
              <w:right w:val="nil"/>
            </w:tcBorders>
            <w:noWrap/>
          </w:tcPr>
          <w:p w:rsidRPr="00910723" w:rsidR="00411573" w:rsidP="00435435" w:rsidRDefault="00411573" w14:paraId="2E8359E9" w14:textId="77777777">
            <w:pPr>
              <w:jc w:val="right"/>
              <w:rPr>
                <w:rFonts w:ascii="Arial" w:hAnsi="Arial" w:eastAsia="Times New Roman" w:cs="Arial"/>
                <w:sz w:val="20"/>
                <w:szCs w:val="20"/>
                <w:lang w:eastAsia="en-GB"/>
              </w:rPr>
            </w:pPr>
          </w:p>
        </w:tc>
      </w:tr>
      <w:tr w:rsidRPr="00910723" w:rsidR="00411573" w:rsidTr="00435435" w14:paraId="408AE07D" w14:textId="77777777">
        <w:trPr>
          <w:trHeight w:val="300"/>
        </w:trPr>
        <w:tc>
          <w:tcPr>
            <w:tcW w:w="6804" w:type="dxa"/>
            <w:gridSpan w:val="2"/>
            <w:tcBorders>
              <w:left w:val="nil"/>
              <w:bottom w:val="single" w:color="auto" w:sz="4" w:space="0"/>
              <w:right w:val="nil"/>
            </w:tcBorders>
            <w:noWrap/>
          </w:tcPr>
          <w:p w:rsidRPr="00910723" w:rsidR="00411573" w:rsidP="00435435" w:rsidRDefault="00411573" w14:paraId="735CAA46" w14:textId="77777777">
            <w:pPr>
              <w:ind w:left="171"/>
              <w:rPr>
                <w:rFonts w:ascii="Arial" w:hAnsi="Arial" w:eastAsia="Times New Roman" w:cs="Arial"/>
                <w:sz w:val="20"/>
                <w:szCs w:val="20"/>
              </w:rPr>
            </w:pPr>
            <w:r w:rsidRPr="00910723">
              <w:rPr>
                <w:rFonts w:ascii="Arial" w:hAnsi="Arial"/>
                <w:sz w:val="20"/>
              </w:rPr>
              <w:t>I. Bendros pozicijų sumos rodiklis, įskaitant draudimo patronuojamąsias įmones (iš 2.f., 2.g.1–2.g.2 punktų sumos atimami 2.g.3–2.h punktai)</w:t>
            </w:r>
          </w:p>
        </w:tc>
        <w:tc>
          <w:tcPr>
            <w:tcW w:w="2745" w:type="dxa"/>
            <w:tcBorders>
              <w:left w:val="nil"/>
              <w:bottom w:val="single" w:color="auto" w:sz="4" w:space="0"/>
              <w:right w:val="nil"/>
            </w:tcBorders>
            <w:noWrap/>
          </w:tcPr>
          <w:p w:rsidRPr="00910723" w:rsidR="00411573" w:rsidP="00435435" w:rsidRDefault="00411573" w14:paraId="44FD3299" w14:textId="77777777">
            <w:pPr>
              <w:jc w:val="right"/>
              <w:rPr>
                <w:rFonts w:ascii="Arial" w:hAnsi="Arial" w:eastAsia="Times New Roman" w:cs="Arial"/>
                <w:sz w:val="20"/>
                <w:szCs w:val="20"/>
                <w:lang w:eastAsia="en-GB"/>
              </w:rPr>
            </w:pPr>
          </w:p>
        </w:tc>
      </w:tr>
      <w:tr w:rsidRPr="00910723" w:rsidR="00411573" w:rsidTr="00435435" w14:paraId="6267BAA0" w14:textId="77777777">
        <w:trPr>
          <w:trHeight w:val="403"/>
        </w:trPr>
        <w:tc>
          <w:tcPr>
            <w:tcW w:w="9549" w:type="dxa"/>
            <w:gridSpan w:val="3"/>
            <w:tcBorders>
              <w:left w:val="nil"/>
              <w:right w:val="nil"/>
            </w:tcBorders>
            <w:noWrap/>
            <w:hideMark/>
          </w:tcPr>
          <w:p w:rsidRPr="00910723" w:rsidR="00411573" w:rsidP="00435435" w:rsidRDefault="00411573" w14:paraId="2AD2EB23" w14:textId="77777777">
            <w:pPr>
              <w:keepNext/>
              <w:keepLines/>
              <w:spacing w:before="47"/>
              <w:outlineLvl w:val="5"/>
              <w:rPr>
                <w:rFonts w:ascii="Arial" w:hAnsi="Arial" w:eastAsia="Times New Roman" w:cs="Arial"/>
                <w:b/>
                <w:bCs/>
                <w:i/>
                <w:iCs/>
                <w:caps/>
                <w:color w:val="172B39" w:themeColor="accent1" w:themeShade="80"/>
                <w:sz w:val="20"/>
                <w:szCs w:val="20"/>
                <w:lang w:eastAsia="en-GB"/>
              </w:rPr>
            </w:pPr>
          </w:p>
          <w:p w:rsidRPr="00910723" w:rsidR="00411573" w:rsidP="00435435" w:rsidRDefault="00411573" w14:paraId="78935B61" w14:textId="77777777">
            <w:pPr>
              <w:keepNext/>
              <w:keepLines/>
              <w:spacing w:before="47"/>
              <w:outlineLvl w:val="5"/>
              <w:rPr>
                <w:rFonts w:ascii="Arial" w:hAnsi="Arial" w:eastAsia="Times New Roman" w:cs="Arial"/>
                <w:i/>
                <w:iCs/>
                <w:caps/>
                <w:color w:val="172B39" w:themeColor="accent1" w:themeShade="80"/>
                <w:sz w:val="20"/>
                <w:szCs w:val="20"/>
              </w:rPr>
            </w:pPr>
            <w:r w:rsidRPr="00910723">
              <w:rPr>
                <w:rFonts w:ascii="Arial" w:hAnsi="Arial"/>
                <w:b/>
                <w:i/>
                <w:caps/>
                <w:color w:val="172B39" w:themeColor="accent1" w:themeShade="80"/>
                <w:sz w:val="24"/>
              </w:rPr>
              <w:t> </w:t>
            </w:r>
            <w:r w:rsidRPr="00910723">
              <w:rPr>
                <w:rFonts w:asciiTheme="majorHAnsi" w:hAnsiTheme="majorHAnsi"/>
                <w:b/>
                <w:i/>
                <w:caps/>
              </w:rPr>
              <w:t>Tarpusavio sąsajų rodikliai</w:t>
            </w:r>
          </w:p>
          <w:p w:rsidRPr="00910723" w:rsidR="00411573" w:rsidP="00435435" w:rsidRDefault="00411573" w14:paraId="482584E2" w14:textId="77777777">
            <w:pPr>
              <w:rPr>
                <w:rFonts w:ascii="Arial" w:hAnsi="Arial" w:eastAsia="Times New Roman" w:cs="Arial"/>
                <w:b/>
                <w:bCs/>
                <w:sz w:val="24"/>
                <w:szCs w:val="24"/>
              </w:rPr>
            </w:pPr>
            <w:r w:rsidRPr="00910723">
              <w:rPr>
                <w:rFonts w:ascii="Arial" w:hAnsi="Arial"/>
                <w:b/>
                <w:sz w:val="24"/>
              </w:rPr>
              <w:t> </w:t>
            </w:r>
          </w:p>
        </w:tc>
      </w:tr>
      <w:tr w:rsidRPr="00910723" w:rsidR="00411573" w:rsidTr="00435435" w14:paraId="4A98470D" w14:textId="77777777">
        <w:trPr>
          <w:trHeight w:val="300"/>
        </w:trPr>
        <w:tc>
          <w:tcPr>
            <w:tcW w:w="6804" w:type="dxa"/>
            <w:gridSpan w:val="2"/>
            <w:tcBorders>
              <w:left w:val="nil"/>
              <w:bottom w:val="single" w:color="auto" w:sz="4" w:space="0"/>
              <w:right w:val="nil"/>
            </w:tcBorders>
            <w:noWrap/>
            <w:hideMark/>
          </w:tcPr>
          <w:p w:rsidRPr="00910723" w:rsidR="00411573" w:rsidP="00435435" w:rsidRDefault="00411573" w14:paraId="406F74E0" w14:textId="77777777">
            <w:pPr>
              <w:rPr>
                <w:rFonts w:ascii="Arial" w:hAnsi="Arial" w:eastAsia="Times New Roman" w:cs="Arial"/>
                <w:b/>
                <w:bCs/>
                <w:sz w:val="20"/>
                <w:szCs w:val="20"/>
              </w:rPr>
            </w:pPr>
            <w:r w:rsidRPr="00910723">
              <w:rPr>
                <w:rFonts w:ascii="Arial" w:hAnsi="Arial"/>
                <w:b/>
                <w:sz w:val="20"/>
              </w:rPr>
              <w:t>3 skirsnis. Finansų sistemos subjektų vidaus turtas</w:t>
            </w:r>
          </w:p>
        </w:tc>
        <w:tc>
          <w:tcPr>
            <w:tcW w:w="2745" w:type="dxa"/>
            <w:tcBorders>
              <w:left w:val="nil"/>
              <w:bottom w:val="single" w:color="auto" w:sz="4" w:space="0"/>
              <w:right w:val="nil"/>
            </w:tcBorders>
            <w:hideMark/>
          </w:tcPr>
          <w:p w:rsidRPr="00910723" w:rsidR="00411573" w:rsidP="00435435" w:rsidRDefault="00411573" w14:paraId="0EE38CAB" w14:textId="77777777">
            <w:pPr>
              <w:jc w:val="center"/>
              <w:rPr>
                <w:rFonts w:ascii="Arial" w:hAnsi="Arial" w:eastAsia="Times New Roman" w:cs="Arial"/>
                <w:b/>
                <w:bCs/>
                <w:sz w:val="20"/>
                <w:szCs w:val="20"/>
              </w:rPr>
            </w:pPr>
            <w:r w:rsidRPr="00910723">
              <w:rPr>
                <w:rFonts w:ascii="Arial" w:hAnsi="Arial"/>
                <w:b/>
                <w:sz w:val="20"/>
              </w:rPr>
              <w:t>Suma</w:t>
            </w:r>
          </w:p>
        </w:tc>
      </w:tr>
      <w:tr w:rsidRPr="00910723" w:rsidR="00411573" w:rsidTr="00435435" w14:paraId="1FBEC10E" w14:textId="77777777">
        <w:trPr>
          <w:trHeight w:val="300"/>
        </w:trPr>
        <w:tc>
          <w:tcPr>
            <w:tcW w:w="6804" w:type="dxa"/>
            <w:gridSpan w:val="2"/>
            <w:tcBorders>
              <w:left w:val="nil"/>
              <w:right w:val="nil"/>
            </w:tcBorders>
            <w:noWrap/>
            <w:hideMark/>
          </w:tcPr>
          <w:p w:rsidRPr="00910723" w:rsidR="00411573" w:rsidP="00435435" w:rsidRDefault="00411573" w14:paraId="4EEA89C6" w14:textId="77777777">
            <w:pPr>
              <w:ind w:firstLine="200" w:firstLineChars="100"/>
              <w:rPr>
                <w:rFonts w:ascii="Arial" w:hAnsi="Arial" w:eastAsia="Times New Roman" w:cs="Arial"/>
                <w:sz w:val="20"/>
                <w:szCs w:val="20"/>
              </w:rPr>
            </w:pPr>
            <w:r w:rsidRPr="00910723">
              <w:rPr>
                <w:rFonts w:ascii="Arial" w:hAnsi="Arial"/>
                <w:sz w:val="20"/>
              </w:rPr>
              <w:t>a. Indėliai kitose finansų įstaigose arba paskolos kitoms finansų įstaigoms</w:t>
            </w:r>
          </w:p>
        </w:tc>
        <w:tc>
          <w:tcPr>
            <w:tcW w:w="2745" w:type="dxa"/>
            <w:tcBorders>
              <w:left w:val="nil"/>
              <w:right w:val="nil"/>
            </w:tcBorders>
            <w:noWrap/>
            <w:hideMark/>
          </w:tcPr>
          <w:p w:rsidRPr="00910723" w:rsidR="00411573" w:rsidP="00435435" w:rsidRDefault="00411573" w14:paraId="16B458C8" w14:textId="77777777">
            <w:pPr>
              <w:jc w:val="right"/>
              <w:rPr>
                <w:rFonts w:ascii="Arial" w:hAnsi="Arial" w:eastAsia="Times New Roman" w:cs="Arial"/>
                <w:sz w:val="20"/>
                <w:szCs w:val="20"/>
              </w:rPr>
            </w:pPr>
            <w:r w:rsidRPr="00910723">
              <w:rPr>
                <w:rFonts w:ascii="Arial" w:hAnsi="Arial"/>
                <w:sz w:val="20"/>
              </w:rPr>
              <w:t> </w:t>
            </w:r>
          </w:p>
        </w:tc>
      </w:tr>
      <w:tr w:rsidRPr="00910723" w:rsidR="00411573" w:rsidTr="00435435" w14:paraId="3E37EE9B" w14:textId="77777777">
        <w:trPr>
          <w:trHeight w:val="300"/>
        </w:trPr>
        <w:tc>
          <w:tcPr>
            <w:tcW w:w="6804" w:type="dxa"/>
            <w:gridSpan w:val="2"/>
            <w:tcBorders>
              <w:left w:val="nil"/>
              <w:bottom w:val="single" w:color="auto" w:sz="4" w:space="0"/>
              <w:right w:val="nil"/>
            </w:tcBorders>
            <w:noWrap/>
            <w:hideMark/>
          </w:tcPr>
          <w:p w:rsidRPr="00910723" w:rsidR="00411573" w:rsidP="00435435" w:rsidRDefault="00411573" w14:paraId="74010C1A" w14:textId="77777777">
            <w:pPr>
              <w:ind w:firstLine="400" w:firstLineChars="200"/>
              <w:rPr>
                <w:rFonts w:ascii="Arial" w:hAnsi="Arial" w:eastAsia="Times New Roman" w:cs="Arial"/>
                <w:sz w:val="20"/>
                <w:szCs w:val="20"/>
              </w:rPr>
            </w:pPr>
            <w:r w:rsidRPr="00910723">
              <w:rPr>
                <w:rFonts w:ascii="Arial" w:hAnsi="Arial"/>
                <w:sz w:val="20"/>
                <w:lang w:eastAsia="en-GB"/>
              </w:rPr>
              <w:t xml:space="preserve">(1) </w:t>
            </w:r>
            <w:r w:rsidRPr="00910723">
              <w:rPr>
                <w:rFonts w:ascii="Arial" w:hAnsi="Arial"/>
                <w:sz w:val="20"/>
              </w:rPr>
              <w:t xml:space="preserve">Indėlių sertifikatai </w:t>
            </w:r>
          </w:p>
        </w:tc>
        <w:tc>
          <w:tcPr>
            <w:tcW w:w="2745" w:type="dxa"/>
            <w:tcBorders>
              <w:left w:val="nil"/>
              <w:right w:val="nil"/>
            </w:tcBorders>
            <w:noWrap/>
            <w:hideMark/>
          </w:tcPr>
          <w:p w:rsidRPr="00910723" w:rsidR="00411573" w:rsidP="00435435" w:rsidRDefault="00411573" w14:paraId="673A2F5D" w14:textId="77777777">
            <w:pPr>
              <w:jc w:val="right"/>
              <w:rPr>
                <w:rFonts w:ascii="Arial" w:hAnsi="Arial" w:eastAsia="Times New Roman" w:cs="Arial"/>
                <w:sz w:val="20"/>
                <w:szCs w:val="20"/>
              </w:rPr>
            </w:pPr>
            <w:r w:rsidRPr="00910723">
              <w:rPr>
                <w:rFonts w:ascii="Arial" w:hAnsi="Arial"/>
                <w:sz w:val="20"/>
              </w:rPr>
              <w:t> </w:t>
            </w:r>
          </w:p>
        </w:tc>
      </w:tr>
      <w:tr w:rsidRPr="00910723" w:rsidR="00411573" w:rsidTr="00435435" w14:paraId="0AF62C43" w14:textId="77777777">
        <w:trPr>
          <w:gridAfter w:val="1"/>
          <w:wAfter w:w="2745" w:type="dxa"/>
          <w:trHeight w:val="300"/>
        </w:trPr>
        <w:tc>
          <w:tcPr>
            <w:tcW w:w="6804" w:type="dxa"/>
            <w:gridSpan w:val="2"/>
            <w:tcBorders>
              <w:left w:val="nil"/>
              <w:right w:val="nil"/>
            </w:tcBorders>
            <w:noWrap/>
            <w:hideMark/>
          </w:tcPr>
          <w:p w:rsidRPr="00910723" w:rsidR="00411573" w:rsidP="00435435" w:rsidRDefault="00411573" w14:paraId="02C998C3" w14:textId="77777777">
            <w:pPr>
              <w:ind w:left="171" w:firstLine="28" w:firstLineChars="14"/>
              <w:rPr>
                <w:rFonts w:ascii="Arial" w:hAnsi="Arial" w:eastAsia="Times New Roman" w:cs="Arial"/>
                <w:sz w:val="20"/>
                <w:szCs w:val="20"/>
              </w:rPr>
            </w:pPr>
            <w:r w:rsidRPr="00910723">
              <w:rPr>
                <w:rFonts w:ascii="Arial" w:hAnsi="Arial"/>
                <w:sz w:val="20"/>
              </w:rPr>
              <w:t>b. Nepanaudota kitoms finansų įstaigoms paskirtų linijų dalis</w:t>
            </w:r>
          </w:p>
        </w:tc>
      </w:tr>
      <w:tr w:rsidRPr="00910723" w:rsidR="00411573" w:rsidTr="00435435" w14:paraId="75298AFF" w14:textId="77777777">
        <w:trPr>
          <w:trHeight w:val="300"/>
        </w:trPr>
        <w:tc>
          <w:tcPr>
            <w:tcW w:w="6804" w:type="dxa"/>
            <w:gridSpan w:val="2"/>
            <w:tcBorders>
              <w:left w:val="nil"/>
              <w:right w:val="nil"/>
            </w:tcBorders>
            <w:noWrap/>
            <w:hideMark/>
          </w:tcPr>
          <w:p w:rsidRPr="00910723" w:rsidR="00411573" w:rsidP="00435435" w:rsidRDefault="00411573" w14:paraId="210CBB65" w14:textId="77777777">
            <w:pPr>
              <w:ind w:firstLine="200" w:firstLineChars="100"/>
              <w:rPr>
                <w:rFonts w:ascii="Arial" w:hAnsi="Arial" w:eastAsia="Times New Roman" w:cs="Arial"/>
                <w:sz w:val="20"/>
                <w:szCs w:val="20"/>
              </w:rPr>
            </w:pPr>
            <w:r w:rsidRPr="00910723">
              <w:rPr>
                <w:rFonts w:ascii="Arial" w:hAnsi="Arial"/>
                <w:sz w:val="20"/>
              </w:rPr>
              <w:t>c. Turimi kitų finansų įstaigų išduoti vertybiniai popieriai:</w:t>
            </w:r>
          </w:p>
        </w:tc>
        <w:tc>
          <w:tcPr>
            <w:tcW w:w="2745" w:type="dxa"/>
            <w:tcBorders>
              <w:left w:val="nil"/>
              <w:right w:val="nil"/>
            </w:tcBorders>
            <w:noWrap/>
            <w:hideMark/>
          </w:tcPr>
          <w:p w:rsidRPr="00910723" w:rsidR="00411573" w:rsidP="00435435" w:rsidRDefault="00411573" w14:paraId="007DCCE1" w14:textId="77777777">
            <w:pPr>
              <w:ind w:firstLine="200" w:firstLineChars="100"/>
              <w:rPr>
                <w:rFonts w:ascii="Arial" w:hAnsi="Arial" w:eastAsia="Times New Roman" w:cs="Arial"/>
                <w:sz w:val="20"/>
                <w:szCs w:val="20"/>
              </w:rPr>
            </w:pPr>
            <w:r w:rsidRPr="00910723">
              <w:rPr>
                <w:rFonts w:ascii="Arial" w:hAnsi="Arial"/>
                <w:sz w:val="20"/>
              </w:rPr>
              <w:t> </w:t>
            </w:r>
          </w:p>
        </w:tc>
      </w:tr>
      <w:tr w:rsidRPr="00910723" w:rsidR="00411573" w:rsidTr="00435435" w14:paraId="003BE611" w14:textId="77777777">
        <w:trPr>
          <w:trHeight w:val="300"/>
        </w:trPr>
        <w:tc>
          <w:tcPr>
            <w:tcW w:w="6804" w:type="dxa"/>
            <w:gridSpan w:val="2"/>
            <w:tcBorders>
              <w:left w:val="nil"/>
              <w:right w:val="nil"/>
            </w:tcBorders>
            <w:noWrap/>
            <w:hideMark/>
          </w:tcPr>
          <w:p w:rsidRPr="00910723" w:rsidR="00411573" w:rsidP="00435435" w:rsidRDefault="00411573" w14:paraId="55C6441F" w14:textId="77777777">
            <w:pPr>
              <w:ind w:firstLine="400" w:firstLineChars="200"/>
              <w:rPr>
                <w:rFonts w:ascii="Arial" w:hAnsi="Arial" w:eastAsia="Times New Roman" w:cs="Arial"/>
                <w:sz w:val="20"/>
                <w:szCs w:val="20"/>
              </w:rPr>
            </w:pPr>
            <w:r w:rsidRPr="00910723">
              <w:rPr>
                <w:rFonts w:ascii="Arial" w:hAnsi="Arial"/>
                <w:sz w:val="20"/>
                <w:lang w:eastAsia="en-GB"/>
              </w:rPr>
              <w:t xml:space="preserve">(1) </w:t>
            </w:r>
            <w:r w:rsidRPr="00910723">
              <w:rPr>
                <w:rFonts w:ascii="Arial" w:hAnsi="Arial"/>
                <w:sz w:val="20"/>
              </w:rPr>
              <w:t>Užtikrinti skolos vertybiniai popieriai</w:t>
            </w:r>
          </w:p>
        </w:tc>
        <w:tc>
          <w:tcPr>
            <w:tcW w:w="2745" w:type="dxa"/>
            <w:tcBorders>
              <w:left w:val="nil"/>
              <w:right w:val="nil"/>
            </w:tcBorders>
            <w:noWrap/>
            <w:hideMark/>
          </w:tcPr>
          <w:p w:rsidRPr="00910723" w:rsidR="00411573" w:rsidP="00435435" w:rsidRDefault="00411573" w14:paraId="3230410A" w14:textId="77777777">
            <w:pPr>
              <w:jc w:val="right"/>
              <w:rPr>
                <w:rFonts w:ascii="Arial" w:hAnsi="Arial" w:eastAsia="Times New Roman" w:cs="Arial"/>
                <w:sz w:val="20"/>
                <w:szCs w:val="20"/>
              </w:rPr>
            </w:pPr>
            <w:r w:rsidRPr="00910723">
              <w:rPr>
                <w:rFonts w:ascii="Arial" w:hAnsi="Arial"/>
                <w:sz w:val="20"/>
              </w:rPr>
              <w:t> </w:t>
            </w:r>
          </w:p>
        </w:tc>
      </w:tr>
      <w:tr w:rsidRPr="00910723" w:rsidR="00411573" w:rsidTr="00435435" w14:paraId="2F5A05ED" w14:textId="77777777">
        <w:trPr>
          <w:trHeight w:val="300"/>
        </w:trPr>
        <w:tc>
          <w:tcPr>
            <w:tcW w:w="6804" w:type="dxa"/>
            <w:gridSpan w:val="2"/>
            <w:tcBorders>
              <w:left w:val="nil"/>
              <w:right w:val="nil"/>
            </w:tcBorders>
            <w:noWrap/>
            <w:hideMark/>
          </w:tcPr>
          <w:p w:rsidRPr="00910723" w:rsidR="00411573" w:rsidP="00435435" w:rsidRDefault="00411573" w14:paraId="14F5CDF4" w14:textId="77777777">
            <w:pPr>
              <w:ind w:firstLine="400" w:firstLineChars="200"/>
              <w:rPr>
                <w:rFonts w:ascii="Arial" w:hAnsi="Arial" w:eastAsia="Times New Roman" w:cs="Arial"/>
                <w:sz w:val="20"/>
                <w:szCs w:val="20"/>
              </w:rPr>
            </w:pPr>
            <w:r w:rsidRPr="00910723">
              <w:rPr>
                <w:rFonts w:ascii="Arial" w:hAnsi="Arial"/>
                <w:sz w:val="20"/>
                <w:lang w:eastAsia="en-GB"/>
              </w:rPr>
              <w:t xml:space="preserve">(2) </w:t>
            </w:r>
            <w:r w:rsidRPr="00910723">
              <w:rPr>
                <w:rFonts w:ascii="Arial" w:hAnsi="Arial"/>
                <w:sz w:val="20"/>
              </w:rPr>
              <w:t>Didesnio prioriteto neužtikrinti skolos vertybiniai popieriai</w:t>
            </w:r>
          </w:p>
        </w:tc>
        <w:tc>
          <w:tcPr>
            <w:tcW w:w="2745" w:type="dxa"/>
            <w:tcBorders>
              <w:left w:val="nil"/>
              <w:right w:val="nil"/>
            </w:tcBorders>
            <w:noWrap/>
            <w:hideMark/>
          </w:tcPr>
          <w:p w:rsidRPr="00910723" w:rsidR="00411573" w:rsidP="00435435" w:rsidRDefault="00411573" w14:paraId="34EAD0D3" w14:textId="77777777">
            <w:pPr>
              <w:jc w:val="right"/>
              <w:rPr>
                <w:rFonts w:ascii="Arial" w:hAnsi="Arial" w:eastAsia="Times New Roman" w:cs="Arial"/>
                <w:sz w:val="20"/>
                <w:szCs w:val="20"/>
              </w:rPr>
            </w:pPr>
            <w:r w:rsidRPr="00910723">
              <w:rPr>
                <w:rFonts w:ascii="Arial" w:hAnsi="Arial"/>
                <w:sz w:val="20"/>
              </w:rPr>
              <w:t> </w:t>
            </w:r>
          </w:p>
        </w:tc>
      </w:tr>
      <w:tr w:rsidRPr="00910723" w:rsidR="00411573" w:rsidTr="00435435" w14:paraId="0C07B598" w14:textId="77777777">
        <w:trPr>
          <w:trHeight w:val="300"/>
        </w:trPr>
        <w:tc>
          <w:tcPr>
            <w:tcW w:w="6804" w:type="dxa"/>
            <w:gridSpan w:val="2"/>
            <w:tcBorders>
              <w:left w:val="nil"/>
              <w:right w:val="nil"/>
            </w:tcBorders>
            <w:noWrap/>
            <w:hideMark/>
          </w:tcPr>
          <w:p w:rsidRPr="00910723" w:rsidR="00411573" w:rsidP="00435435" w:rsidRDefault="00411573" w14:paraId="2BA227E5" w14:textId="77777777">
            <w:pPr>
              <w:ind w:firstLine="400" w:firstLineChars="200"/>
              <w:rPr>
                <w:rFonts w:ascii="Arial" w:hAnsi="Arial" w:eastAsia="Times New Roman" w:cs="Arial"/>
                <w:sz w:val="20"/>
                <w:szCs w:val="20"/>
              </w:rPr>
            </w:pPr>
            <w:r w:rsidRPr="00910723">
              <w:rPr>
                <w:rFonts w:ascii="Arial" w:hAnsi="Arial"/>
                <w:sz w:val="20"/>
                <w:lang w:eastAsia="en-GB"/>
              </w:rPr>
              <w:t xml:space="preserve">(3) </w:t>
            </w:r>
            <w:r w:rsidRPr="00910723">
              <w:rPr>
                <w:rFonts w:ascii="Arial" w:hAnsi="Arial"/>
                <w:sz w:val="20"/>
              </w:rPr>
              <w:t>Subordinuotieji skolos vertybiniai popieriai</w:t>
            </w:r>
          </w:p>
        </w:tc>
        <w:tc>
          <w:tcPr>
            <w:tcW w:w="2745" w:type="dxa"/>
            <w:tcBorders>
              <w:left w:val="nil"/>
              <w:right w:val="nil"/>
            </w:tcBorders>
            <w:noWrap/>
            <w:hideMark/>
          </w:tcPr>
          <w:p w:rsidRPr="00910723" w:rsidR="00411573" w:rsidP="00435435" w:rsidRDefault="00411573" w14:paraId="06E14B05" w14:textId="77777777">
            <w:pPr>
              <w:jc w:val="right"/>
              <w:rPr>
                <w:rFonts w:ascii="Arial" w:hAnsi="Arial" w:eastAsia="Times New Roman" w:cs="Arial"/>
                <w:sz w:val="20"/>
                <w:szCs w:val="20"/>
              </w:rPr>
            </w:pPr>
            <w:r w:rsidRPr="00910723">
              <w:rPr>
                <w:rFonts w:ascii="Arial" w:hAnsi="Arial"/>
                <w:sz w:val="20"/>
              </w:rPr>
              <w:t> </w:t>
            </w:r>
          </w:p>
        </w:tc>
      </w:tr>
      <w:tr w:rsidRPr="00910723" w:rsidR="00411573" w:rsidTr="00435435" w14:paraId="1E8D17FD" w14:textId="77777777">
        <w:trPr>
          <w:trHeight w:val="300"/>
        </w:trPr>
        <w:tc>
          <w:tcPr>
            <w:tcW w:w="6804" w:type="dxa"/>
            <w:gridSpan w:val="2"/>
            <w:tcBorders>
              <w:left w:val="nil"/>
              <w:right w:val="nil"/>
            </w:tcBorders>
            <w:noWrap/>
            <w:hideMark/>
          </w:tcPr>
          <w:p w:rsidRPr="00910723" w:rsidR="00411573" w:rsidP="00435435" w:rsidRDefault="00411573" w14:paraId="1ECE333B" w14:textId="77777777">
            <w:pPr>
              <w:ind w:firstLine="400" w:firstLineChars="200"/>
              <w:rPr>
                <w:rFonts w:ascii="Arial" w:hAnsi="Arial" w:eastAsia="Times New Roman" w:cs="Arial"/>
                <w:sz w:val="20"/>
                <w:szCs w:val="20"/>
              </w:rPr>
            </w:pPr>
            <w:r w:rsidRPr="00910723">
              <w:rPr>
                <w:rFonts w:ascii="Arial" w:hAnsi="Arial"/>
                <w:sz w:val="20"/>
                <w:lang w:eastAsia="en-GB"/>
              </w:rPr>
              <w:t xml:space="preserve">(4) </w:t>
            </w:r>
            <w:r w:rsidRPr="00910723">
              <w:rPr>
                <w:rFonts w:ascii="Arial" w:hAnsi="Arial"/>
                <w:sz w:val="20"/>
              </w:rPr>
              <w:t xml:space="preserve">Komerciniai vekseliai </w:t>
            </w:r>
          </w:p>
        </w:tc>
        <w:tc>
          <w:tcPr>
            <w:tcW w:w="2745" w:type="dxa"/>
            <w:tcBorders>
              <w:left w:val="nil"/>
              <w:right w:val="nil"/>
            </w:tcBorders>
            <w:noWrap/>
            <w:hideMark/>
          </w:tcPr>
          <w:p w:rsidRPr="00910723" w:rsidR="00411573" w:rsidP="00435435" w:rsidRDefault="00411573" w14:paraId="67901BF3" w14:textId="77777777">
            <w:pPr>
              <w:jc w:val="right"/>
              <w:rPr>
                <w:rFonts w:ascii="Arial" w:hAnsi="Arial" w:eastAsia="Times New Roman" w:cs="Arial"/>
                <w:sz w:val="20"/>
                <w:szCs w:val="20"/>
              </w:rPr>
            </w:pPr>
            <w:r w:rsidRPr="00910723">
              <w:rPr>
                <w:rFonts w:ascii="Arial" w:hAnsi="Arial"/>
                <w:sz w:val="20"/>
              </w:rPr>
              <w:t> </w:t>
            </w:r>
          </w:p>
        </w:tc>
      </w:tr>
      <w:tr w:rsidRPr="00910723" w:rsidR="00411573" w:rsidTr="00435435" w14:paraId="25F8685E" w14:textId="77777777">
        <w:trPr>
          <w:trHeight w:val="300"/>
        </w:trPr>
        <w:tc>
          <w:tcPr>
            <w:tcW w:w="6804" w:type="dxa"/>
            <w:gridSpan w:val="2"/>
            <w:tcBorders>
              <w:left w:val="nil"/>
              <w:bottom w:val="single" w:color="auto" w:sz="4" w:space="0"/>
              <w:right w:val="nil"/>
            </w:tcBorders>
            <w:noWrap/>
            <w:hideMark/>
          </w:tcPr>
          <w:p w:rsidRPr="00910723" w:rsidR="00411573" w:rsidP="00435435" w:rsidRDefault="00411573" w14:paraId="25DE0F2B" w14:textId="77777777">
            <w:pPr>
              <w:ind w:firstLine="400" w:firstLineChars="200"/>
              <w:rPr>
                <w:rFonts w:ascii="Arial" w:hAnsi="Arial" w:eastAsia="Times New Roman" w:cs="Arial"/>
                <w:sz w:val="20"/>
                <w:szCs w:val="20"/>
              </w:rPr>
            </w:pPr>
            <w:r w:rsidRPr="00910723">
              <w:rPr>
                <w:rFonts w:ascii="Arial" w:hAnsi="Arial"/>
                <w:sz w:val="20"/>
                <w:lang w:eastAsia="en-GB"/>
              </w:rPr>
              <w:t xml:space="preserve">(5) </w:t>
            </w:r>
            <w:r w:rsidRPr="00910723">
              <w:rPr>
                <w:rFonts w:ascii="Arial" w:hAnsi="Arial"/>
                <w:sz w:val="20"/>
              </w:rPr>
              <w:t>Nuosavybės vertybiniai popieriai</w:t>
            </w:r>
          </w:p>
        </w:tc>
        <w:tc>
          <w:tcPr>
            <w:tcW w:w="2745" w:type="dxa"/>
            <w:tcBorders>
              <w:left w:val="nil"/>
              <w:right w:val="nil"/>
            </w:tcBorders>
            <w:noWrap/>
            <w:hideMark/>
          </w:tcPr>
          <w:p w:rsidRPr="00910723" w:rsidR="00411573" w:rsidP="00435435" w:rsidRDefault="00411573" w14:paraId="52F89852" w14:textId="77777777">
            <w:pPr>
              <w:jc w:val="right"/>
              <w:rPr>
                <w:rFonts w:ascii="Arial" w:hAnsi="Arial" w:eastAsia="Times New Roman" w:cs="Arial"/>
                <w:sz w:val="20"/>
                <w:szCs w:val="20"/>
              </w:rPr>
            </w:pPr>
            <w:r w:rsidRPr="00910723">
              <w:rPr>
                <w:rFonts w:ascii="Arial" w:hAnsi="Arial"/>
                <w:sz w:val="20"/>
              </w:rPr>
              <w:t> </w:t>
            </w:r>
          </w:p>
        </w:tc>
      </w:tr>
      <w:tr w:rsidRPr="00910723" w:rsidR="00411573" w:rsidTr="00435435" w14:paraId="5DFD1037" w14:textId="77777777">
        <w:trPr>
          <w:trHeight w:val="300"/>
        </w:trPr>
        <w:tc>
          <w:tcPr>
            <w:tcW w:w="6804" w:type="dxa"/>
            <w:gridSpan w:val="2"/>
            <w:tcBorders>
              <w:left w:val="nil"/>
              <w:bottom w:val="single" w:color="auto" w:sz="4" w:space="0"/>
              <w:right w:val="nil"/>
            </w:tcBorders>
            <w:noWrap/>
          </w:tcPr>
          <w:p w:rsidRPr="00910723" w:rsidR="00411573" w:rsidP="00435435" w:rsidRDefault="00411573" w14:paraId="45C8AB2D" w14:textId="77777777">
            <w:pPr>
              <w:ind w:left="313" w:firstLine="86" w:firstLineChars="43"/>
              <w:rPr>
                <w:rFonts w:ascii="Arial" w:hAnsi="Arial" w:eastAsia="Times New Roman" w:cs="Arial"/>
                <w:sz w:val="20"/>
                <w:szCs w:val="20"/>
              </w:rPr>
            </w:pPr>
            <w:r w:rsidRPr="00910723">
              <w:rPr>
                <w:rFonts w:ascii="Arial" w:hAnsi="Arial"/>
                <w:sz w:val="20"/>
                <w:lang w:eastAsia="en-GB"/>
              </w:rPr>
              <w:t xml:space="preserve">(6) </w:t>
            </w:r>
            <w:r w:rsidRPr="00910723">
              <w:rPr>
                <w:rFonts w:ascii="Arial" w:hAnsi="Arial"/>
                <w:sz w:val="20"/>
              </w:rPr>
              <w:t>Trumpųjų pozicijų ir konkrečių nuosavybės vertybinių popierių, įtrauktų į 3.c.5 punktą, užskaita</w:t>
            </w:r>
          </w:p>
        </w:tc>
        <w:tc>
          <w:tcPr>
            <w:tcW w:w="2745" w:type="dxa"/>
            <w:tcBorders>
              <w:left w:val="nil"/>
              <w:right w:val="nil"/>
            </w:tcBorders>
            <w:noWrap/>
          </w:tcPr>
          <w:p w:rsidRPr="00910723" w:rsidR="00411573" w:rsidP="00435435" w:rsidRDefault="00411573" w14:paraId="3E5BACB2" w14:textId="77777777">
            <w:pPr>
              <w:jc w:val="right"/>
              <w:rPr>
                <w:rFonts w:ascii="Arial" w:hAnsi="Arial" w:eastAsia="Times New Roman" w:cs="Arial"/>
                <w:sz w:val="20"/>
                <w:szCs w:val="20"/>
                <w:lang w:eastAsia="en-GB"/>
              </w:rPr>
            </w:pPr>
          </w:p>
        </w:tc>
      </w:tr>
      <w:tr w:rsidRPr="00910723" w:rsidR="00411573" w:rsidTr="00435435" w14:paraId="4DF3653A" w14:textId="77777777">
        <w:trPr>
          <w:trHeight w:val="300"/>
        </w:trPr>
        <w:tc>
          <w:tcPr>
            <w:tcW w:w="6804" w:type="dxa"/>
            <w:gridSpan w:val="2"/>
            <w:tcBorders>
              <w:left w:val="nil"/>
              <w:bottom w:val="single" w:color="auto" w:sz="4" w:space="0"/>
              <w:right w:val="nil"/>
            </w:tcBorders>
            <w:noWrap/>
          </w:tcPr>
          <w:p w:rsidRPr="00910723" w:rsidR="00411573" w:rsidP="00435435" w:rsidRDefault="00411573" w14:paraId="5063E8DE" w14:textId="77777777">
            <w:pPr>
              <w:ind w:firstLine="171"/>
              <w:rPr>
                <w:rFonts w:ascii="Arial" w:hAnsi="Arial" w:eastAsia="Times New Roman" w:cs="Arial"/>
                <w:sz w:val="20"/>
                <w:szCs w:val="20"/>
              </w:rPr>
            </w:pPr>
            <w:r w:rsidRPr="00910723">
              <w:rPr>
                <w:rFonts w:ascii="Arial" w:hAnsi="Arial"/>
                <w:sz w:val="20"/>
              </w:rPr>
              <w:t>d. Grynoji teigiama dabartinė VPĮFS pozicija, susijusi su kitomis finansų įstaigomis</w:t>
            </w:r>
          </w:p>
        </w:tc>
        <w:tc>
          <w:tcPr>
            <w:tcW w:w="2745" w:type="dxa"/>
            <w:tcBorders>
              <w:left w:val="nil"/>
              <w:right w:val="nil"/>
            </w:tcBorders>
            <w:noWrap/>
          </w:tcPr>
          <w:p w:rsidRPr="00910723" w:rsidR="00411573" w:rsidP="00435435" w:rsidRDefault="00411573" w14:paraId="23E97327" w14:textId="77777777">
            <w:pPr>
              <w:jc w:val="right"/>
              <w:rPr>
                <w:rFonts w:ascii="Arial" w:hAnsi="Arial" w:eastAsia="Times New Roman" w:cs="Arial"/>
                <w:sz w:val="20"/>
                <w:szCs w:val="20"/>
                <w:lang w:eastAsia="en-GB"/>
              </w:rPr>
            </w:pPr>
          </w:p>
        </w:tc>
      </w:tr>
      <w:tr w:rsidRPr="00910723" w:rsidR="00411573" w:rsidTr="00435435" w14:paraId="006B731D" w14:textId="77777777">
        <w:trPr>
          <w:trHeight w:val="300"/>
        </w:trPr>
        <w:tc>
          <w:tcPr>
            <w:tcW w:w="6804" w:type="dxa"/>
            <w:gridSpan w:val="2"/>
            <w:tcBorders>
              <w:left w:val="nil"/>
              <w:bottom w:val="single" w:color="auto" w:sz="4" w:space="0"/>
              <w:right w:val="nil"/>
            </w:tcBorders>
            <w:noWrap/>
          </w:tcPr>
          <w:p w:rsidRPr="00910723" w:rsidR="00411573" w:rsidP="00435435" w:rsidRDefault="00411573" w14:paraId="0D7F358B" w14:textId="77777777">
            <w:pPr>
              <w:ind w:left="171"/>
              <w:rPr>
                <w:rFonts w:ascii="Arial" w:hAnsi="Arial" w:eastAsia="Times New Roman" w:cs="Arial"/>
                <w:sz w:val="20"/>
                <w:szCs w:val="20"/>
              </w:rPr>
            </w:pPr>
            <w:r w:rsidRPr="00910723">
              <w:rPr>
                <w:rFonts w:ascii="Arial" w:hAnsi="Arial"/>
                <w:sz w:val="20"/>
              </w:rPr>
              <w:t>e. Ne biržos (OTC) išvestinės finansinės priemonės, susijusios su kitomis finansų įstaigomis, kurių grynoji tikroji vertė yra teigiama</w:t>
            </w:r>
          </w:p>
        </w:tc>
        <w:tc>
          <w:tcPr>
            <w:tcW w:w="2745" w:type="dxa"/>
            <w:tcBorders>
              <w:left w:val="nil"/>
              <w:right w:val="nil"/>
            </w:tcBorders>
            <w:noWrap/>
          </w:tcPr>
          <w:p w:rsidRPr="00910723" w:rsidR="00411573" w:rsidP="00435435" w:rsidRDefault="00411573" w14:paraId="6435D64F" w14:textId="77777777">
            <w:pPr>
              <w:jc w:val="right"/>
              <w:rPr>
                <w:rFonts w:ascii="Arial" w:hAnsi="Arial" w:eastAsia="Times New Roman" w:cs="Arial"/>
                <w:sz w:val="20"/>
                <w:szCs w:val="20"/>
                <w:lang w:eastAsia="en-GB"/>
              </w:rPr>
            </w:pPr>
          </w:p>
        </w:tc>
      </w:tr>
      <w:tr w:rsidRPr="00910723" w:rsidR="00411573" w:rsidTr="00435435" w14:paraId="238F5C2B" w14:textId="77777777">
        <w:trPr>
          <w:trHeight w:val="300"/>
        </w:trPr>
        <w:tc>
          <w:tcPr>
            <w:tcW w:w="6804" w:type="dxa"/>
            <w:gridSpan w:val="2"/>
            <w:tcBorders>
              <w:left w:val="nil"/>
              <w:bottom w:val="single" w:color="auto" w:sz="4" w:space="0"/>
              <w:right w:val="nil"/>
            </w:tcBorders>
            <w:noWrap/>
          </w:tcPr>
          <w:p w:rsidRPr="00910723" w:rsidR="00411573" w:rsidP="00435435" w:rsidRDefault="00411573" w14:paraId="352BCDEB" w14:textId="77777777">
            <w:pPr>
              <w:ind w:left="313" w:firstLine="86" w:firstLineChars="43"/>
              <w:rPr>
                <w:rFonts w:ascii="Arial" w:hAnsi="Arial" w:eastAsia="Times New Roman" w:cs="Arial"/>
                <w:sz w:val="20"/>
                <w:szCs w:val="20"/>
              </w:rPr>
            </w:pPr>
            <w:r w:rsidRPr="00910723">
              <w:rPr>
                <w:rFonts w:ascii="Arial" w:hAnsi="Arial"/>
                <w:sz w:val="20"/>
                <w:lang w:eastAsia="en-GB"/>
              </w:rPr>
              <w:t xml:space="preserve">(1) </w:t>
            </w:r>
            <w:r w:rsidRPr="00910723">
              <w:rPr>
                <w:rFonts w:ascii="Arial" w:hAnsi="Arial"/>
                <w:sz w:val="20"/>
              </w:rPr>
              <w:t>Grynoji teigiama tikroji vertė</w:t>
            </w:r>
          </w:p>
        </w:tc>
        <w:tc>
          <w:tcPr>
            <w:tcW w:w="2745" w:type="dxa"/>
            <w:tcBorders>
              <w:left w:val="nil"/>
              <w:right w:val="nil"/>
            </w:tcBorders>
            <w:noWrap/>
          </w:tcPr>
          <w:p w:rsidRPr="00910723" w:rsidR="00411573" w:rsidP="00435435" w:rsidRDefault="00411573" w14:paraId="6C87748E" w14:textId="77777777">
            <w:pPr>
              <w:jc w:val="right"/>
              <w:rPr>
                <w:rFonts w:ascii="Arial" w:hAnsi="Arial" w:eastAsia="Times New Roman" w:cs="Arial"/>
                <w:sz w:val="20"/>
                <w:szCs w:val="20"/>
                <w:lang w:eastAsia="en-GB"/>
              </w:rPr>
            </w:pPr>
          </w:p>
        </w:tc>
      </w:tr>
      <w:tr w:rsidRPr="00910723" w:rsidR="00411573" w:rsidTr="00435435" w14:paraId="1970731B" w14:textId="77777777">
        <w:trPr>
          <w:trHeight w:val="300"/>
        </w:trPr>
        <w:tc>
          <w:tcPr>
            <w:tcW w:w="6804" w:type="dxa"/>
            <w:gridSpan w:val="2"/>
            <w:tcBorders>
              <w:left w:val="nil"/>
              <w:bottom w:val="single" w:color="auto" w:sz="4" w:space="0"/>
              <w:right w:val="nil"/>
            </w:tcBorders>
            <w:noWrap/>
          </w:tcPr>
          <w:p w:rsidRPr="00910723" w:rsidR="00411573" w:rsidP="00435435" w:rsidRDefault="00411573" w14:paraId="4DCFA122" w14:textId="77777777">
            <w:pPr>
              <w:ind w:left="313" w:firstLine="86" w:firstLineChars="43"/>
              <w:rPr>
                <w:rFonts w:ascii="Arial" w:hAnsi="Arial" w:eastAsia="Times New Roman" w:cs="Arial"/>
                <w:sz w:val="20"/>
                <w:szCs w:val="20"/>
              </w:rPr>
            </w:pPr>
            <w:r w:rsidRPr="00910723">
              <w:rPr>
                <w:rFonts w:ascii="Arial" w:hAnsi="Arial"/>
                <w:sz w:val="20"/>
                <w:lang w:eastAsia="en-GB"/>
              </w:rPr>
              <w:t xml:space="preserve">(2) </w:t>
            </w:r>
            <w:r w:rsidRPr="00910723">
              <w:rPr>
                <w:rFonts w:ascii="Arial" w:hAnsi="Arial"/>
                <w:sz w:val="20"/>
              </w:rPr>
              <w:t>Galima būsima pozicija</w:t>
            </w:r>
          </w:p>
        </w:tc>
        <w:tc>
          <w:tcPr>
            <w:tcW w:w="2745" w:type="dxa"/>
            <w:tcBorders>
              <w:left w:val="nil"/>
              <w:right w:val="nil"/>
            </w:tcBorders>
            <w:noWrap/>
          </w:tcPr>
          <w:p w:rsidRPr="00910723" w:rsidR="00411573" w:rsidP="00435435" w:rsidRDefault="00411573" w14:paraId="31656214" w14:textId="77777777">
            <w:pPr>
              <w:jc w:val="right"/>
              <w:rPr>
                <w:rFonts w:ascii="Arial" w:hAnsi="Arial" w:eastAsia="Times New Roman" w:cs="Arial"/>
                <w:sz w:val="20"/>
                <w:szCs w:val="20"/>
                <w:lang w:eastAsia="en-GB"/>
              </w:rPr>
            </w:pPr>
          </w:p>
        </w:tc>
      </w:tr>
      <w:tr w:rsidRPr="00910723" w:rsidR="00411573" w:rsidTr="00435435" w14:paraId="3C3EDC13" w14:textId="77777777">
        <w:trPr>
          <w:gridAfter w:val="1"/>
          <w:wAfter w:w="2745" w:type="dxa"/>
          <w:trHeight w:val="450"/>
        </w:trPr>
        <w:tc>
          <w:tcPr>
            <w:tcW w:w="6804" w:type="dxa"/>
            <w:gridSpan w:val="2"/>
            <w:vMerge w:val="restart"/>
            <w:tcBorders>
              <w:left w:val="nil"/>
              <w:right w:val="nil"/>
            </w:tcBorders>
            <w:hideMark/>
          </w:tcPr>
          <w:p w:rsidRPr="00910723" w:rsidR="00411573" w:rsidP="00435435" w:rsidRDefault="00411573" w14:paraId="09FCA47C" w14:textId="77777777">
            <w:pPr>
              <w:ind w:left="171" w:firstLine="28" w:firstLineChars="14"/>
              <w:rPr>
                <w:rFonts w:ascii="Arial" w:hAnsi="Arial" w:eastAsia="Times New Roman" w:cs="Arial"/>
                <w:sz w:val="20"/>
                <w:szCs w:val="20"/>
              </w:rPr>
            </w:pPr>
            <w:r w:rsidRPr="00910723">
              <w:rPr>
                <w:rFonts w:ascii="Arial" w:hAnsi="Arial"/>
                <w:sz w:val="20"/>
              </w:rPr>
              <w:t>f. Finansų sistemos subjektų vidaus turto rodiklis, įskaitant draudimo patronuojamąsias įmones (iš 3.a, 3.b–3.c.5, 3.d, 3.e.1 ir 3.e.2 punktų sumos atimamas 3.c.6 punktas)</w:t>
            </w:r>
          </w:p>
        </w:tc>
      </w:tr>
      <w:tr w:rsidRPr="00910723" w:rsidR="00411573" w:rsidTr="00435435" w14:paraId="1C5224BE" w14:textId="77777777">
        <w:trPr>
          <w:gridAfter w:val="1"/>
          <w:wAfter w:w="2745" w:type="dxa"/>
          <w:trHeight w:val="450"/>
        </w:trPr>
        <w:tc>
          <w:tcPr>
            <w:tcW w:w="6804" w:type="dxa"/>
            <w:gridSpan w:val="2"/>
            <w:vMerge/>
            <w:tcBorders>
              <w:left w:val="nil"/>
              <w:right w:val="nil"/>
            </w:tcBorders>
            <w:hideMark/>
          </w:tcPr>
          <w:p w:rsidRPr="00910723" w:rsidR="00411573" w:rsidP="00435435" w:rsidRDefault="00411573" w14:paraId="528D9320" w14:textId="77777777">
            <w:pPr>
              <w:rPr>
                <w:rFonts w:ascii="Arial" w:hAnsi="Arial" w:eastAsia="Times New Roman" w:cs="Arial"/>
                <w:sz w:val="20"/>
                <w:szCs w:val="20"/>
                <w:lang w:eastAsia="en-GB"/>
              </w:rPr>
            </w:pPr>
          </w:p>
        </w:tc>
      </w:tr>
      <w:tr w:rsidRPr="00910723" w:rsidR="00411573" w:rsidTr="00435435" w14:paraId="042EF3A0" w14:textId="77777777">
        <w:trPr>
          <w:trHeight w:val="300"/>
        </w:trPr>
        <w:tc>
          <w:tcPr>
            <w:tcW w:w="6804" w:type="dxa"/>
            <w:gridSpan w:val="2"/>
            <w:tcBorders>
              <w:left w:val="nil"/>
              <w:bottom w:val="nil"/>
              <w:right w:val="nil"/>
            </w:tcBorders>
            <w:noWrap/>
          </w:tcPr>
          <w:p w:rsidRPr="00910723" w:rsidR="00411573" w:rsidP="00435435" w:rsidRDefault="00411573" w14:paraId="16585901"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910723" w:rsidR="00411573" w:rsidP="00435435" w:rsidRDefault="00411573" w14:paraId="565B35E2" w14:textId="77777777">
            <w:pPr>
              <w:jc w:val="center"/>
              <w:rPr>
                <w:rFonts w:ascii="Arial" w:hAnsi="Arial" w:eastAsia="Times New Roman" w:cs="Arial"/>
                <w:b/>
                <w:bCs/>
                <w:sz w:val="20"/>
                <w:szCs w:val="20"/>
                <w:lang w:eastAsia="en-GB"/>
              </w:rPr>
            </w:pPr>
          </w:p>
        </w:tc>
      </w:tr>
      <w:tr w:rsidRPr="00910723" w:rsidR="00411573" w:rsidTr="00435435" w14:paraId="2E0D21EA" w14:textId="77777777">
        <w:trPr>
          <w:trHeight w:val="300"/>
        </w:trPr>
        <w:tc>
          <w:tcPr>
            <w:tcW w:w="6804" w:type="dxa"/>
            <w:gridSpan w:val="2"/>
            <w:tcBorders>
              <w:top w:val="nil"/>
              <w:left w:val="nil"/>
              <w:bottom w:val="single" w:color="auto" w:sz="4" w:space="0"/>
              <w:right w:val="nil"/>
            </w:tcBorders>
            <w:noWrap/>
            <w:hideMark/>
          </w:tcPr>
          <w:p w:rsidRPr="00910723" w:rsidR="00411573" w:rsidP="00435435" w:rsidRDefault="00411573" w14:paraId="1844F068" w14:textId="77777777">
            <w:pPr>
              <w:rPr>
                <w:rFonts w:ascii="Arial" w:hAnsi="Arial" w:eastAsia="Times New Roman" w:cs="Arial"/>
                <w:b/>
                <w:bCs/>
                <w:sz w:val="20"/>
                <w:szCs w:val="20"/>
              </w:rPr>
            </w:pPr>
            <w:r w:rsidRPr="00910723">
              <w:rPr>
                <w:rFonts w:ascii="Arial" w:hAnsi="Arial"/>
                <w:b/>
                <w:sz w:val="20"/>
              </w:rPr>
              <w:t>4 skirsnis. Finansų sistemos subjektų vidaus įsipareigojimai</w:t>
            </w:r>
          </w:p>
        </w:tc>
        <w:tc>
          <w:tcPr>
            <w:tcW w:w="2745" w:type="dxa"/>
            <w:tcBorders>
              <w:top w:val="nil"/>
              <w:left w:val="nil"/>
              <w:right w:val="nil"/>
            </w:tcBorders>
            <w:hideMark/>
          </w:tcPr>
          <w:p w:rsidRPr="00910723" w:rsidR="00411573" w:rsidP="00435435" w:rsidRDefault="00411573" w14:paraId="27C790DC" w14:textId="77777777">
            <w:pPr>
              <w:jc w:val="center"/>
              <w:rPr>
                <w:rFonts w:ascii="Arial" w:hAnsi="Arial" w:eastAsia="Times New Roman" w:cs="Arial"/>
                <w:b/>
                <w:bCs/>
                <w:sz w:val="20"/>
                <w:szCs w:val="20"/>
              </w:rPr>
            </w:pPr>
            <w:r w:rsidRPr="00910723">
              <w:rPr>
                <w:rFonts w:ascii="Arial" w:hAnsi="Arial"/>
                <w:b/>
                <w:sz w:val="20"/>
              </w:rPr>
              <w:t>Suma</w:t>
            </w:r>
          </w:p>
        </w:tc>
      </w:tr>
      <w:tr w:rsidRPr="00910723" w:rsidR="00411573" w:rsidTr="00435435" w14:paraId="0C1AD9C4" w14:textId="77777777">
        <w:trPr>
          <w:gridAfter w:val="1"/>
          <w:wAfter w:w="2745" w:type="dxa"/>
          <w:trHeight w:val="300"/>
        </w:trPr>
        <w:tc>
          <w:tcPr>
            <w:tcW w:w="6804" w:type="dxa"/>
            <w:gridSpan w:val="2"/>
            <w:tcBorders>
              <w:left w:val="nil"/>
              <w:right w:val="nil"/>
            </w:tcBorders>
            <w:noWrap/>
            <w:hideMark/>
          </w:tcPr>
          <w:p w:rsidRPr="00910723" w:rsidR="00411573" w:rsidP="00435435" w:rsidRDefault="00411573" w14:paraId="48DAC741" w14:textId="77777777">
            <w:pPr>
              <w:ind w:left="171" w:firstLine="28" w:firstLineChars="14"/>
              <w:rPr>
                <w:rFonts w:ascii="Arial" w:hAnsi="Arial" w:eastAsia="Times New Roman" w:cs="Arial"/>
                <w:sz w:val="20"/>
                <w:szCs w:val="20"/>
              </w:rPr>
            </w:pPr>
            <w:r w:rsidRPr="00910723">
              <w:rPr>
                <w:rFonts w:ascii="Arial" w:hAnsi="Arial"/>
                <w:sz w:val="20"/>
              </w:rPr>
              <w:t>a. Kitų finansų įstaigų indėliai arba iš kitų finansų įstaigų pasiskolintos lėšos</w:t>
            </w:r>
          </w:p>
        </w:tc>
      </w:tr>
      <w:tr w:rsidRPr="00910723" w:rsidR="00411573" w:rsidTr="00435435" w14:paraId="2AA5F06C" w14:textId="77777777">
        <w:trPr>
          <w:trHeight w:val="300"/>
        </w:trPr>
        <w:tc>
          <w:tcPr>
            <w:tcW w:w="6804" w:type="dxa"/>
            <w:gridSpan w:val="2"/>
            <w:tcBorders>
              <w:left w:val="nil"/>
              <w:right w:val="nil"/>
            </w:tcBorders>
            <w:noWrap/>
            <w:hideMark/>
          </w:tcPr>
          <w:p w:rsidRPr="00910723" w:rsidR="00411573" w:rsidP="00435435" w:rsidRDefault="00411573" w14:paraId="7D20DCD0" w14:textId="77777777">
            <w:pPr>
              <w:ind w:firstLine="400" w:firstLineChars="200"/>
              <w:rPr>
                <w:rFonts w:ascii="Arial" w:hAnsi="Arial" w:eastAsia="Times New Roman" w:cs="Arial"/>
                <w:sz w:val="20"/>
                <w:szCs w:val="20"/>
              </w:rPr>
            </w:pPr>
            <w:r w:rsidRPr="00910723">
              <w:rPr>
                <w:rFonts w:ascii="Arial" w:hAnsi="Arial"/>
                <w:sz w:val="20"/>
                <w:lang w:eastAsia="en-GB"/>
              </w:rPr>
              <w:t xml:space="preserve">(1) </w:t>
            </w:r>
            <w:r w:rsidRPr="00910723">
              <w:rPr>
                <w:rFonts w:ascii="Arial" w:hAnsi="Arial"/>
                <w:sz w:val="20"/>
              </w:rPr>
              <w:t>Indėlius priimančiųjų įstaigų indėliai</w:t>
            </w:r>
          </w:p>
        </w:tc>
        <w:tc>
          <w:tcPr>
            <w:tcW w:w="2745" w:type="dxa"/>
            <w:tcBorders>
              <w:left w:val="nil"/>
              <w:right w:val="nil"/>
            </w:tcBorders>
            <w:noWrap/>
            <w:hideMark/>
          </w:tcPr>
          <w:p w:rsidRPr="00910723" w:rsidR="00411573" w:rsidP="00435435" w:rsidRDefault="00411573" w14:paraId="70C402A2" w14:textId="77777777">
            <w:pPr>
              <w:jc w:val="right"/>
              <w:rPr>
                <w:rFonts w:ascii="Arial" w:hAnsi="Arial" w:eastAsia="Times New Roman" w:cs="Arial"/>
                <w:sz w:val="20"/>
                <w:szCs w:val="20"/>
              </w:rPr>
            </w:pPr>
            <w:r w:rsidRPr="00910723">
              <w:rPr>
                <w:rFonts w:ascii="Arial" w:hAnsi="Arial"/>
                <w:sz w:val="20"/>
              </w:rPr>
              <w:t> </w:t>
            </w:r>
          </w:p>
        </w:tc>
      </w:tr>
      <w:tr w:rsidRPr="00910723" w:rsidR="00411573" w:rsidTr="00435435" w14:paraId="74E10DBF" w14:textId="77777777">
        <w:trPr>
          <w:trHeight w:val="300"/>
        </w:trPr>
        <w:tc>
          <w:tcPr>
            <w:tcW w:w="6804" w:type="dxa"/>
            <w:gridSpan w:val="2"/>
            <w:tcBorders>
              <w:left w:val="nil"/>
              <w:right w:val="nil"/>
            </w:tcBorders>
            <w:noWrap/>
            <w:hideMark/>
          </w:tcPr>
          <w:p w:rsidRPr="00910723" w:rsidR="00411573" w:rsidP="00435435" w:rsidRDefault="00411573" w14:paraId="3B05248B" w14:textId="77777777">
            <w:pPr>
              <w:ind w:firstLine="400" w:firstLineChars="200"/>
              <w:rPr>
                <w:rFonts w:ascii="Arial" w:hAnsi="Arial" w:eastAsia="Times New Roman" w:cs="Arial"/>
                <w:sz w:val="20"/>
                <w:szCs w:val="20"/>
              </w:rPr>
            </w:pPr>
            <w:r w:rsidRPr="00910723">
              <w:rPr>
                <w:rFonts w:ascii="Arial" w:hAnsi="Arial"/>
                <w:sz w:val="20"/>
                <w:lang w:eastAsia="en-GB"/>
              </w:rPr>
              <w:t xml:space="preserve">(2) </w:t>
            </w:r>
            <w:r w:rsidRPr="00910723">
              <w:rPr>
                <w:rFonts w:ascii="Arial" w:hAnsi="Arial"/>
                <w:sz w:val="20"/>
              </w:rPr>
              <w:t>Indėlių nepriimančiųjų finansų įstaigų indėliai</w:t>
            </w:r>
          </w:p>
        </w:tc>
        <w:tc>
          <w:tcPr>
            <w:tcW w:w="2745" w:type="dxa"/>
            <w:tcBorders>
              <w:left w:val="nil"/>
              <w:right w:val="nil"/>
            </w:tcBorders>
            <w:noWrap/>
            <w:hideMark/>
          </w:tcPr>
          <w:p w:rsidRPr="00910723" w:rsidR="00411573" w:rsidP="00435435" w:rsidRDefault="00411573" w14:paraId="4F57C302" w14:textId="77777777">
            <w:pPr>
              <w:jc w:val="right"/>
              <w:rPr>
                <w:rFonts w:ascii="Arial" w:hAnsi="Arial" w:eastAsia="Times New Roman" w:cs="Arial"/>
                <w:sz w:val="20"/>
                <w:szCs w:val="20"/>
              </w:rPr>
            </w:pPr>
            <w:r w:rsidRPr="00910723">
              <w:rPr>
                <w:rFonts w:ascii="Arial" w:hAnsi="Arial"/>
                <w:sz w:val="20"/>
              </w:rPr>
              <w:t> </w:t>
            </w:r>
          </w:p>
        </w:tc>
      </w:tr>
      <w:tr w:rsidRPr="00910723" w:rsidR="00411573" w:rsidTr="00435435" w14:paraId="7797E30B" w14:textId="77777777">
        <w:trPr>
          <w:trHeight w:val="300"/>
        </w:trPr>
        <w:tc>
          <w:tcPr>
            <w:tcW w:w="6804" w:type="dxa"/>
            <w:gridSpan w:val="2"/>
            <w:tcBorders>
              <w:left w:val="nil"/>
              <w:right w:val="nil"/>
            </w:tcBorders>
            <w:noWrap/>
            <w:hideMark/>
          </w:tcPr>
          <w:p w:rsidRPr="00910723" w:rsidR="00411573" w:rsidP="00435435" w:rsidRDefault="00411573" w14:paraId="78D95969" w14:textId="77777777">
            <w:pPr>
              <w:ind w:firstLine="400" w:firstLineChars="200"/>
              <w:rPr>
                <w:rFonts w:ascii="Arial" w:hAnsi="Arial" w:eastAsia="Times New Roman" w:cs="Arial"/>
                <w:sz w:val="20"/>
                <w:szCs w:val="20"/>
              </w:rPr>
            </w:pPr>
            <w:r w:rsidRPr="00910723">
              <w:rPr>
                <w:rFonts w:ascii="Arial" w:hAnsi="Arial"/>
                <w:sz w:val="20"/>
                <w:lang w:eastAsia="en-GB"/>
              </w:rPr>
              <w:t xml:space="preserve">(3) </w:t>
            </w:r>
            <w:r w:rsidRPr="00910723">
              <w:rPr>
                <w:rFonts w:ascii="Arial" w:hAnsi="Arial"/>
                <w:sz w:val="20"/>
              </w:rPr>
              <w:t>Iš kitų finansų įstaigų gautos paskolos</w:t>
            </w:r>
          </w:p>
        </w:tc>
        <w:tc>
          <w:tcPr>
            <w:tcW w:w="2745" w:type="dxa"/>
            <w:tcBorders>
              <w:left w:val="nil"/>
              <w:right w:val="nil"/>
            </w:tcBorders>
            <w:noWrap/>
            <w:hideMark/>
          </w:tcPr>
          <w:p w:rsidRPr="00910723" w:rsidR="00411573" w:rsidP="00435435" w:rsidRDefault="00411573" w14:paraId="45480941" w14:textId="77777777">
            <w:pPr>
              <w:jc w:val="right"/>
              <w:rPr>
                <w:rFonts w:ascii="Arial" w:hAnsi="Arial" w:eastAsia="Times New Roman" w:cs="Arial"/>
                <w:sz w:val="20"/>
                <w:szCs w:val="20"/>
              </w:rPr>
            </w:pPr>
            <w:r w:rsidRPr="00910723">
              <w:rPr>
                <w:rFonts w:ascii="Arial" w:hAnsi="Arial"/>
                <w:sz w:val="20"/>
              </w:rPr>
              <w:t> </w:t>
            </w:r>
          </w:p>
        </w:tc>
      </w:tr>
      <w:tr w:rsidRPr="00910723" w:rsidR="00411573" w:rsidTr="00435435" w14:paraId="163C7B74" w14:textId="77777777">
        <w:trPr>
          <w:trHeight w:val="300"/>
        </w:trPr>
        <w:tc>
          <w:tcPr>
            <w:tcW w:w="6804" w:type="dxa"/>
            <w:gridSpan w:val="2"/>
            <w:tcBorders>
              <w:left w:val="nil"/>
              <w:right w:val="nil"/>
            </w:tcBorders>
            <w:noWrap/>
          </w:tcPr>
          <w:p w:rsidRPr="00910723" w:rsidR="00411573" w:rsidP="00435435" w:rsidRDefault="00411573" w14:paraId="18EE146F" w14:textId="77777777">
            <w:pPr>
              <w:ind w:left="171"/>
              <w:rPr>
                <w:rFonts w:ascii="Arial" w:hAnsi="Arial" w:eastAsia="Times New Roman" w:cs="Arial"/>
                <w:sz w:val="20"/>
                <w:szCs w:val="20"/>
              </w:rPr>
            </w:pPr>
            <w:r w:rsidRPr="00910723">
              <w:rPr>
                <w:rFonts w:ascii="Arial" w:hAnsi="Arial"/>
                <w:sz w:val="20"/>
              </w:rPr>
              <w:t>b. Nepanaudota iš kitų finansų įstaigų gautų paskirtų linijų dalis</w:t>
            </w:r>
          </w:p>
        </w:tc>
        <w:tc>
          <w:tcPr>
            <w:tcW w:w="2745" w:type="dxa"/>
            <w:tcBorders>
              <w:left w:val="nil"/>
              <w:right w:val="nil"/>
            </w:tcBorders>
            <w:noWrap/>
          </w:tcPr>
          <w:p w:rsidRPr="00910723" w:rsidR="00411573" w:rsidP="00435435" w:rsidRDefault="00411573" w14:paraId="0092AE7C" w14:textId="77777777">
            <w:pPr>
              <w:jc w:val="right"/>
              <w:rPr>
                <w:rFonts w:ascii="Arial" w:hAnsi="Arial" w:eastAsia="Times New Roman" w:cs="Arial"/>
                <w:sz w:val="20"/>
                <w:szCs w:val="20"/>
                <w:lang w:eastAsia="en-GB"/>
              </w:rPr>
            </w:pPr>
          </w:p>
        </w:tc>
      </w:tr>
      <w:tr w:rsidRPr="00910723" w:rsidR="00411573" w:rsidTr="00435435" w14:paraId="1326C80E" w14:textId="77777777">
        <w:trPr>
          <w:trHeight w:val="300"/>
        </w:trPr>
        <w:tc>
          <w:tcPr>
            <w:tcW w:w="6804" w:type="dxa"/>
            <w:gridSpan w:val="2"/>
            <w:tcBorders>
              <w:left w:val="nil"/>
              <w:right w:val="nil"/>
            </w:tcBorders>
            <w:noWrap/>
          </w:tcPr>
          <w:p w:rsidRPr="00910723" w:rsidR="00411573" w:rsidP="00435435" w:rsidRDefault="00411573" w14:paraId="2958D1A8" w14:textId="77777777">
            <w:pPr>
              <w:ind w:left="171"/>
              <w:rPr>
                <w:rFonts w:ascii="Arial" w:hAnsi="Arial" w:eastAsia="Times New Roman" w:cs="Arial"/>
                <w:sz w:val="20"/>
                <w:szCs w:val="20"/>
              </w:rPr>
            </w:pPr>
            <w:r w:rsidRPr="00910723">
              <w:rPr>
                <w:rFonts w:ascii="Arial" w:hAnsi="Arial"/>
                <w:sz w:val="20"/>
              </w:rPr>
              <w:t>c. Grynoji neigiama dabartinė VPĮFS pozicija, susijusi su kitomis finansų įstaigomis</w:t>
            </w:r>
          </w:p>
        </w:tc>
        <w:tc>
          <w:tcPr>
            <w:tcW w:w="2745" w:type="dxa"/>
            <w:tcBorders>
              <w:left w:val="nil"/>
              <w:right w:val="nil"/>
            </w:tcBorders>
            <w:noWrap/>
          </w:tcPr>
          <w:p w:rsidRPr="00910723" w:rsidR="00411573" w:rsidP="00435435" w:rsidRDefault="00411573" w14:paraId="4F6FE812" w14:textId="77777777">
            <w:pPr>
              <w:jc w:val="right"/>
              <w:rPr>
                <w:rFonts w:ascii="Arial" w:hAnsi="Arial" w:eastAsia="Times New Roman" w:cs="Arial"/>
                <w:sz w:val="20"/>
                <w:szCs w:val="20"/>
                <w:lang w:eastAsia="en-GB"/>
              </w:rPr>
            </w:pPr>
          </w:p>
        </w:tc>
      </w:tr>
      <w:tr w:rsidRPr="00910723" w:rsidR="00411573" w:rsidTr="00435435" w14:paraId="7C67D515" w14:textId="77777777">
        <w:trPr>
          <w:trHeight w:val="300"/>
        </w:trPr>
        <w:tc>
          <w:tcPr>
            <w:tcW w:w="6804" w:type="dxa"/>
            <w:gridSpan w:val="2"/>
            <w:tcBorders>
              <w:left w:val="nil"/>
              <w:bottom w:val="single" w:color="auto" w:sz="4" w:space="0"/>
              <w:right w:val="nil"/>
            </w:tcBorders>
            <w:noWrap/>
          </w:tcPr>
          <w:p w:rsidRPr="00910723" w:rsidR="00411573" w:rsidP="00435435" w:rsidRDefault="00411573" w14:paraId="51D58439" w14:textId="77777777">
            <w:pPr>
              <w:ind w:left="171"/>
              <w:rPr>
                <w:rFonts w:ascii="Arial" w:hAnsi="Arial" w:eastAsia="Times New Roman" w:cs="Arial"/>
                <w:sz w:val="20"/>
                <w:szCs w:val="20"/>
              </w:rPr>
            </w:pPr>
            <w:r w:rsidRPr="00910723">
              <w:rPr>
                <w:rFonts w:ascii="Arial" w:hAnsi="Arial"/>
                <w:sz w:val="20"/>
              </w:rPr>
              <w:lastRenderedPageBreak/>
              <w:t>d. Ne biržos (OTC) išvestinės finansinės priemonės, susijusios su kitomis finansų įstaigomis, kurių grynoji tikroji vertė yra neigiama</w:t>
            </w:r>
          </w:p>
        </w:tc>
        <w:tc>
          <w:tcPr>
            <w:tcW w:w="2745" w:type="dxa"/>
            <w:tcBorders>
              <w:left w:val="nil"/>
              <w:bottom w:val="single" w:color="auto" w:sz="4" w:space="0"/>
              <w:right w:val="nil"/>
            </w:tcBorders>
            <w:noWrap/>
          </w:tcPr>
          <w:p w:rsidRPr="00910723" w:rsidR="00411573" w:rsidP="00435435" w:rsidRDefault="00411573" w14:paraId="073E4EF6" w14:textId="77777777">
            <w:pPr>
              <w:jc w:val="right"/>
              <w:rPr>
                <w:rFonts w:ascii="Arial" w:hAnsi="Arial" w:eastAsia="Times New Roman" w:cs="Arial"/>
                <w:sz w:val="20"/>
                <w:szCs w:val="20"/>
                <w:lang w:eastAsia="en-GB"/>
              </w:rPr>
            </w:pPr>
          </w:p>
        </w:tc>
      </w:tr>
      <w:tr w:rsidRPr="00910723" w:rsidR="00411573" w:rsidTr="00435435" w14:paraId="46F21DA2" w14:textId="77777777">
        <w:trPr>
          <w:trHeight w:val="300"/>
        </w:trPr>
        <w:tc>
          <w:tcPr>
            <w:tcW w:w="6804" w:type="dxa"/>
            <w:gridSpan w:val="2"/>
            <w:tcBorders>
              <w:left w:val="nil"/>
              <w:right w:val="nil"/>
            </w:tcBorders>
            <w:noWrap/>
            <w:hideMark/>
          </w:tcPr>
          <w:p w:rsidRPr="00910723" w:rsidR="00411573" w:rsidP="00435435" w:rsidRDefault="00411573" w14:paraId="36667CCB" w14:textId="77777777">
            <w:pPr>
              <w:ind w:firstLine="400" w:firstLineChars="200"/>
              <w:rPr>
                <w:rFonts w:ascii="Arial" w:hAnsi="Arial" w:eastAsia="Times New Roman" w:cs="Arial"/>
                <w:sz w:val="20"/>
                <w:szCs w:val="20"/>
              </w:rPr>
            </w:pPr>
            <w:r w:rsidRPr="00910723">
              <w:rPr>
                <w:rFonts w:ascii="Arial" w:hAnsi="Arial"/>
                <w:sz w:val="20"/>
                <w:lang w:eastAsia="en-GB"/>
              </w:rPr>
              <w:t xml:space="preserve">(1) </w:t>
            </w:r>
            <w:r w:rsidRPr="00910723">
              <w:rPr>
                <w:rFonts w:ascii="Arial" w:hAnsi="Arial"/>
                <w:sz w:val="20"/>
              </w:rPr>
              <w:t>Grynoji neigiama tikroji vertė</w:t>
            </w:r>
          </w:p>
        </w:tc>
        <w:tc>
          <w:tcPr>
            <w:tcW w:w="2745" w:type="dxa"/>
            <w:tcBorders>
              <w:left w:val="nil"/>
              <w:right w:val="nil"/>
            </w:tcBorders>
            <w:noWrap/>
            <w:hideMark/>
          </w:tcPr>
          <w:p w:rsidRPr="00910723" w:rsidR="00411573" w:rsidP="00435435" w:rsidRDefault="00411573" w14:paraId="14CE3C75" w14:textId="77777777">
            <w:pPr>
              <w:jc w:val="right"/>
              <w:rPr>
                <w:rFonts w:ascii="Arial" w:hAnsi="Arial" w:eastAsia="Times New Roman" w:cs="Arial"/>
                <w:sz w:val="20"/>
                <w:szCs w:val="20"/>
              </w:rPr>
            </w:pPr>
            <w:r w:rsidRPr="00910723">
              <w:rPr>
                <w:rFonts w:ascii="Arial" w:hAnsi="Arial"/>
                <w:sz w:val="20"/>
              </w:rPr>
              <w:t> </w:t>
            </w:r>
          </w:p>
        </w:tc>
      </w:tr>
      <w:tr w:rsidRPr="00910723" w:rsidR="00411573" w:rsidTr="00435435" w14:paraId="602B061A" w14:textId="77777777">
        <w:trPr>
          <w:trHeight w:val="300"/>
        </w:trPr>
        <w:tc>
          <w:tcPr>
            <w:tcW w:w="6804" w:type="dxa"/>
            <w:gridSpan w:val="2"/>
            <w:tcBorders>
              <w:left w:val="nil"/>
              <w:right w:val="nil"/>
            </w:tcBorders>
            <w:noWrap/>
            <w:hideMark/>
          </w:tcPr>
          <w:p w:rsidRPr="00910723" w:rsidR="00411573" w:rsidP="00435435" w:rsidRDefault="00411573" w14:paraId="5167B47B" w14:textId="77777777">
            <w:pPr>
              <w:ind w:firstLine="400" w:firstLineChars="200"/>
              <w:rPr>
                <w:rFonts w:ascii="Arial" w:hAnsi="Arial" w:eastAsia="Times New Roman" w:cs="Arial"/>
                <w:sz w:val="20"/>
                <w:szCs w:val="20"/>
              </w:rPr>
            </w:pPr>
            <w:r w:rsidRPr="00910723">
              <w:rPr>
                <w:rFonts w:ascii="Arial" w:hAnsi="Arial"/>
                <w:sz w:val="20"/>
                <w:lang w:eastAsia="en-GB"/>
              </w:rPr>
              <w:t xml:space="preserve">(2) </w:t>
            </w:r>
            <w:r w:rsidRPr="00910723">
              <w:rPr>
                <w:rFonts w:ascii="Arial" w:hAnsi="Arial"/>
                <w:sz w:val="20"/>
              </w:rPr>
              <w:t>Galima būsima pozicija</w:t>
            </w:r>
          </w:p>
        </w:tc>
        <w:tc>
          <w:tcPr>
            <w:tcW w:w="2745" w:type="dxa"/>
            <w:tcBorders>
              <w:left w:val="nil"/>
              <w:right w:val="nil"/>
            </w:tcBorders>
            <w:noWrap/>
            <w:hideMark/>
          </w:tcPr>
          <w:p w:rsidRPr="00910723" w:rsidR="00411573" w:rsidP="00435435" w:rsidRDefault="00411573" w14:paraId="1283AA5A" w14:textId="77777777">
            <w:pPr>
              <w:jc w:val="right"/>
              <w:rPr>
                <w:rFonts w:ascii="Arial" w:hAnsi="Arial" w:eastAsia="Times New Roman" w:cs="Arial"/>
                <w:sz w:val="20"/>
                <w:szCs w:val="20"/>
              </w:rPr>
            </w:pPr>
            <w:r w:rsidRPr="00910723">
              <w:rPr>
                <w:rFonts w:ascii="Arial" w:hAnsi="Arial"/>
                <w:sz w:val="20"/>
              </w:rPr>
              <w:t> </w:t>
            </w:r>
          </w:p>
        </w:tc>
      </w:tr>
      <w:tr w:rsidRPr="00910723" w:rsidR="00411573" w:rsidTr="00435435" w14:paraId="5BC5AC78" w14:textId="77777777">
        <w:trPr>
          <w:trHeight w:val="300"/>
        </w:trPr>
        <w:tc>
          <w:tcPr>
            <w:tcW w:w="6804" w:type="dxa"/>
            <w:gridSpan w:val="2"/>
            <w:tcBorders>
              <w:left w:val="nil"/>
              <w:bottom w:val="single" w:color="auto" w:sz="4" w:space="0"/>
              <w:right w:val="nil"/>
            </w:tcBorders>
            <w:noWrap/>
          </w:tcPr>
          <w:p w:rsidRPr="00910723" w:rsidR="00411573" w:rsidP="00435435" w:rsidRDefault="00411573" w14:paraId="6D95F141" w14:textId="77777777">
            <w:pPr>
              <w:ind w:left="171"/>
              <w:rPr>
                <w:rFonts w:ascii="Arial" w:hAnsi="Arial" w:eastAsia="Times New Roman" w:cs="Arial"/>
                <w:sz w:val="20"/>
                <w:szCs w:val="20"/>
              </w:rPr>
            </w:pPr>
            <w:r w:rsidRPr="00910723">
              <w:rPr>
                <w:rFonts w:ascii="Arial" w:hAnsi="Arial"/>
                <w:sz w:val="20"/>
              </w:rPr>
              <w:t>e. Finansų sistemos subjektų vidaus įsipareigojimų rodiklis (4.a.1–4.d.2 punktų suma)</w:t>
            </w:r>
          </w:p>
        </w:tc>
        <w:tc>
          <w:tcPr>
            <w:tcW w:w="2745" w:type="dxa"/>
            <w:tcBorders>
              <w:left w:val="nil"/>
              <w:bottom w:val="single" w:color="auto" w:sz="4" w:space="0"/>
              <w:right w:val="nil"/>
            </w:tcBorders>
            <w:noWrap/>
          </w:tcPr>
          <w:p w:rsidRPr="00910723" w:rsidR="00411573" w:rsidP="00435435" w:rsidRDefault="00411573" w14:paraId="2C553457" w14:textId="77777777">
            <w:pPr>
              <w:jc w:val="right"/>
              <w:rPr>
                <w:rFonts w:ascii="Arial" w:hAnsi="Arial" w:eastAsia="Times New Roman" w:cs="Arial"/>
                <w:sz w:val="20"/>
                <w:szCs w:val="20"/>
                <w:lang w:eastAsia="en-GB"/>
              </w:rPr>
            </w:pPr>
          </w:p>
        </w:tc>
      </w:tr>
      <w:tr w:rsidRPr="00910723" w:rsidR="00411573" w:rsidTr="00435435" w14:paraId="3C8067D5" w14:textId="77777777">
        <w:trPr>
          <w:trHeight w:val="300"/>
        </w:trPr>
        <w:tc>
          <w:tcPr>
            <w:tcW w:w="6804" w:type="dxa"/>
            <w:gridSpan w:val="2"/>
            <w:tcBorders>
              <w:left w:val="nil"/>
              <w:bottom w:val="nil"/>
              <w:right w:val="nil"/>
            </w:tcBorders>
            <w:noWrap/>
          </w:tcPr>
          <w:p w:rsidRPr="00910723" w:rsidR="00411573" w:rsidP="00435435" w:rsidRDefault="00411573" w14:paraId="497660A5"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910723" w:rsidR="00411573" w:rsidP="00435435" w:rsidRDefault="00411573" w14:paraId="5D6666BE" w14:textId="77777777">
            <w:pPr>
              <w:jc w:val="center"/>
              <w:rPr>
                <w:rFonts w:ascii="Arial" w:hAnsi="Arial" w:eastAsia="Times New Roman" w:cs="Arial"/>
                <w:b/>
                <w:bCs/>
                <w:sz w:val="20"/>
                <w:szCs w:val="20"/>
                <w:lang w:eastAsia="en-GB"/>
              </w:rPr>
            </w:pPr>
          </w:p>
        </w:tc>
      </w:tr>
      <w:tr w:rsidRPr="00910723" w:rsidR="00411573" w:rsidTr="00435435" w14:paraId="353BEAC6" w14:textId="77777777">
        <w:trPr>
          <w:trHeight w:val="300"/>
        </w:trPr>
        <w:tc>
          <w:tcPr>
            <w:tcW w:w="6804" w:type="dxa"/>
            <w:gridSpan w:val="2"/>
            <w:tcBorders>
              <w:top w:val="nil"/>
              <w:left w:val="nil"/>
              <w:right w:val="nil"/>
            </w:tcBorders>
            <w:noWrap/>
            <w:hideMark/>
          </w:tcPr>
          <w:p w:rsidRPr="00910723" w:rsidR="00411573" w:rsidP="00435435" w:rsidRDefault="00411573" w14:paraId="251C23EF" w14:textId="77777777">
            <w:pPr>
              <w:rPr>
                <w:rFonts w:ascii="Arial" w:hAnsi="Arial" w:eastAsia="Times New Roman" w:cs="Arial"/>
                <w:b/>
                <w:bCs/>
                <w:sz w:val="20"/>
                <w:szCs w:val="20"/>
              </w:rPr>
            </w:pPr>
            <w:r w:rsidRPr="00910723">
              <w:rPr>
                <w:rFonts w:ascii="Arial" w:hAnsi="Arial"/>
                <w:b/>
                <w:sz w:val="20"/>
              </w:rPr>
              <w:t>5 skirsnis. Neapmokėti vertybiniai popieriai</w:t>
            </w:r>
          </w:p>
        </w:tc>
        <w:tc>
          <w:tcPr>
            <w:tcW w:w="2745" w:type="dxa"/>
            <w:tcBorders>
              <w:top w:val="nil"/>
              <w:left w:val="nil"/>
              <w:right w:val="nil"/>
            </w:tcBorders>
            <w:hideMark/>
          </w:tcPr>
          <w:p w:rsidRPr="00910723" w:rsidR="00411573" w:rsidP="00435435" w:rsidRDefault="00411573" w14:paraId="439B3B3A" w14:textId="77777777">
            <w:pPr>
              <w:jc w:val="center"/>
              <w:rPr>
                <w:rFonts w:ascii="Arial" w:hAnsi="Arial" w:eastAsia="Times New Roman" w:cs="Arial"/>
                <w:b/>
                <w:bCs/>
                <w:sz w:val="20"/>
                <w:szCs w:val="20"/>
              </w:rPr>
            </w:pPr>
            <w:r w:rsidRPr="00910723">
              <w:rPr>
                <w:rFonts w:ascii="Arial" w:hAnsi="Arial"/>
                <w:b/>
                <w:sz w:val="20"/>
              </w:rPr>
              <w:t>Suma</w:t>
            </w:r>
          </w:p>
        </w:tc>
      </w:tr>
      <w:tr w:rsidRPr="00910723" w:rsidR="00411573" w:rsidTr="00435435" w14:paraId="086ADC32" w14:textId="77777777">
        <w:trPr>
          <w:trHeight w:val="300"/>
        </w:trPr>
        <w:tc>
          <w:tcPr>
            <w:tcW w:w="6804" w:type="dxa"/>
            <w:gridSpan w:val="2"/>
            <w:tcBorders>
              <w:left w:val="nil"/>
              <w:right w:val="nil"/>
            </w:tcBorders>
            <w:noWrap/>
            <w:hideMark/>
          </w:tcPr>
          <w:p w:rsidRPr="00910723" w:rsidR="00411573" w:rsidP="00435435" w:rsidRDefault="00411573" w14:paraId="56AA8B70" w14:textId="77777777">
            <w:pPr>
              <w:ind w:firstLine="200" w:firstLineChars="100"/>
              <w:rPr>
                <w:rFonts w:ascii="Arial" w:hAnsi="Arial" w:eastAsia="Times New Roman" w:cs="Arial"/>
                <w:sz w:val="20"/>
                <w:szCs w:val="20"/>
              </w:rPr>
            </w:pPr>
            <w:r w:rsidRPr="00910723">
              <w:rPr>
                <w:rFonts w:ascii="Arial" w:hAnsi="Arial"/>
                <w:sz w:val="20"/>
              </w:rPr>
              <w:t>a. Užtikrinti skolos vertybiniai popieriai</w:t>
            </w:r>
          </w:p>
        </w:tc>
        <w:tc>
          <w:tcPr>
            <w:tcW w:w="2745" w:type="dxa"/>
            <w:tcBorders>
              <w:left w:val="nil"/>
              <w:right w:val="nil"/>
            </w:tcBorders>
            <w:noWrap/>
            <w:hideMark/>
          </w:tcPr>
          <w:p w:rsidRPr="00910723" w:rsidR="00411573" w:rsidP="00435435" w:rsidRDefault="00411573" w14:paraId="67B43BE6" w14:textId="77777777">
            <w:pPr>
              <w:jc w:val="right"/>
              <w:rPr>
                <w:rFonts w:ascii="Arial" w:hAnsi="Arial" w:eastAsia="Times New Roman" w:cs="Arial"/>
                <w:sz w:val="20"/>
                <w:szCs w:val="20"/>
              </w:rPr>
            </w:pPr>
            <w:r w:rsidRPr="00910723">
              <w:rPr>
                <w:rFonts w:ascii="Arial" w:hAnsi="Arial"/>
                <w:sz w:val="20"/>
              </w:rPr>
              <w:t> </w:t>
            </w:r>
          </w:p>
        </w:tc>
      </w:tr>
      <w:tr w:rsidRPr="00910723" w:rsidR="00411573" w:rsidTr="00435435" w14:paraId="7D6920CC" w14:textId="77777777">
        <w:trPr>
          <w:trHeight w:val="300"/>
        </w:trPr>
        <w:tc>
          <w:tcPr>
            <w:tcW w:w="6804" w:type="dxa"/>
            <w:gridSpan w:val="2"/>
            <w:tcBorders>
              <w:left w:val="nil"/>
              <w:right w:val="nil"/>
            </w:tcBorders>
            <w:noWrap/>
            <w:hideMark/>
          </w:tcPr>
          <w:p w:rsidRPr="00910723" w:rsidR="00411573" w:rsidP="00435435" w:rsidRDefault="00411573" w14:paraId="068E2463" w14:textId="77777777">
            <w:pPr>
              <w:ind w:firstLine="200" w:firstLineChars="100"/>
              <w:rPr>
                <w:rFonts w:ascii="Arial" w:hAnsi="Arial" w:eastAsia="Times New Roman" w:cs="Arial"/>
                <w:sz w:val="20"/>
                <w:szCs w:val="20"/>
              </w:rPr>
            </w:pPr>
            <w:r w:rsidRPr="00910723">
              <w:rPr>
                <w:rFonts w:ascii="Arial" w:hAnsi="Arial"/>
                <w:sz w:val="20"/>
              </w:rPr>
              <w:t>b. Didesnio prioriteto neužtikrinti skolos vertybiniai popieriai</w:t>
            </w:r>
          </w:p>
        </w:tc>
        <w:tc>
          <w:tcPr>
            <w:tcW w:w="2745" w:type="dxa"/>
            <w:tcBorders>
              <w:left w:val="nil"/>
              <w:right w:val="nil"/>
            </w:tcBorders>
            <w:noWrap/>
            <w:hideMark/>
          </w:tcPr>
          <w:p w:rsidRPr="00910723" w:rsidR="00411573" w:rsidP="00435435" w:rsidRDefault="00411573" w14:paraId="1616A29D" w14:textId="77777777">
            <w:pPr>
              <w:jc w:val="right"/>
              <w:rPr>
                <w:rFonts w:ascii="Arial" w:hAnsi="Arial" w:eastAsia="Times New Roman" w:cs="Arial"/>
                <w:sz w:val="20"/>
                <w:szCs w:val="20"/>
              </w:rPr>
            </w:pPr>
            <w:r w:rsidRPr="00910723">
              <w:rPr>
                <w:rFonts w:ascii="Arial" w:hAnsi="Arial"/>
                <w:sz w:val="20"/>
              </w:rPr>
              <w:t> </w:t>
            </w:r>
          </w:p>
        </w:tc>
      </w:tr>
      <w:tr w:rsidRPr="00910723" w:rsidR="00411573" w:rsidTr="00435435" w14:paraId="0A231B28" w14:textId="77777777">
        <w:trPr>
          <w:trHeight w:val="300"/>
        </w:trPr>
        <w:tc>
          <w:tcPr>
            <w:tcW w:w="6804" w:type="dxa"/>
            <w:gridSpan w:val="2"/>
            <w:tcBorders>
              <w:left w:val="nil"/>
              <w:right w:val="nil"/>
            </w:tcBorders>
            <w:noWrap/>
            <w:hideMark/>
          </w:tcPr>
          <w:p w:rsidRPr="00910723" w:rsidR="00411573" w:rsidP="00435435" w:rsidRDefault="00411573" w14:paraId="451C220D" w14:textId="77777777">
            <w:pPr>
              <w:ind w:firstLine="200" w:firstLineChars="100"/>
              <w:rPr>
                <w:rFonts w:ascii="Arial" w:hAnsi="Arial" w:eastAsia="Times New Roman" w:cs="Arial"/>
                <w:sz w:val="20"/>
                <w:szCs w:val="20"/>
              </w:rPr>
            </w:pPr>
            <w:r w:rsidRPr="00910723">
              <w:rPr>
                <w:rFonts w:ascii="Arial" w:hAnsi="Arial"/>
                <w:sz w:val="20"/>
              </w:rPr>
              <w:t>c. Subordinuotieji skolos vertybiniai popieriai</w:t>
            </w:r>
          </w:p>
        </w:tc>
        <w:tc>
          <w:tcPr>
            <w:tcW w:w="2745" w:type="dxa"/>
            <w:tcBorders>
              <w:left w:val="nil"/>
              <w:right w:val="nil"/>
            </w:tcBorders>
            <w:noWrap/>
            <w:hideMark/>
          </w:tcPr>
          <w:p w:rsidRPr="00910723" w:rsidR="00411573" w:rsidP="00435435" w:rsidRDefault="00411573" w14:paraId="635334F2" w14:textId="77777777">
            <w:pPr>
              <w:jc w:val="right"/>
              <w:rPr>
                <w:rFonts w:ascii="Arial" w:hAnsi="Arial" w:eastAsia="Times New Roman" w:cs="Arial"/>
                <w:sz w:val="20"/>
                <w:szCs w:val="20"/>
              </w:rPr>
            </w:pPr>
            <w:r w:rsidRPr="00910723">
              <w:rPr>
                <w:rFonts w:ascii="Arial" w:hAnsi="Arial"/>
                <w:sz w:val="20"/>
              </w:rPr>
              <w:t> </w:t>
            </w:r>
          </w:p>
        </w:tc>
      </w:tr>
      <w:tr w:rsidRPr="00910723" w:rsidR="00411573" w:rsidTr="00435435" w14:paraId="3E5C411C" w14:textId="77777777">
        <w:trPr>
          <w:trHeight w:val="300"/>
        </w:trPr>
        <w:tc>
          <w:tcPr>
            <w:tcW w:w="6804" w:type="dxa"/>
            <w:gridSpan w:val="2"/>
            <w:tcBorders>
              <w:left w:val="nil"/>
              <w:right w:val="nil"/>
            </w:tcBorders>
            <w:noWrap/>
            <w:hideMark/>
          </w:tcPr>
          <w:p w:rsidRPr="00910723" w:rsidR="00411573" w:rsidP="00435435" w:rsidRDefault="00411573" w14:paraId="7FD58EF1" w14:textId="77777777">
            <w:pPr>
              <w:ind w:firstLine="200" w:firstLineChars="100"/>
              <w:rPr>
                <w:rFonts w:ascii="Arial" w:hAnsi="Arial" w:eastAsia="Times New Roman" w:cs="Arial"/>
                <w:sz w:val="20"/>
                <w:szCs w:val="20"/>
              </w:rPr>
            </w:pPr>
            <w:r w:rsidRPr="00910723">
              <w:rPr>
                <w:rFonts w:ascii="Arial" w:hAnsi="Arial"/>
                <w:sz w:val="20"/>
              </w:rPr>
              <w:t>d. Komerciniai vekseliai</w:t>
            </w:r>
          </w:p>
        </w:tc>
        <w:tc>
          <w:tcPr>
            <w:tcW w:w="2745" w:type="dxa"/>
            <w:tcBorders>
              <w:left w:val="nil"/>
              <w:right w:val="nil"/>
            </w:tcBorders>
            <w:noWrap/>
            <w:hideMark/>
          </w:tcPr>
          <w:p w:rsidRPr="00910723" w:rsidR="00411573" w:rsidP="00435435" w:rsidRDefault="00411573" w14:paraId="3ED9A358" w14:textId="77777777">
            <w:pPr>
              <w:jc w:val="right"/>
              <w:rPr>
                <w:rFonts w:ascii="Arial" w:hAnsi="Arial" w:eastAsia="Times New Roman" w:cs="Arial"/>
                <w:sz w:val="20"/>
                <w:szCs w:val="20"/>
              </w:rPr>
            </w:pPr>
            <w:r w:rsidRPr="00910723">
              <w:rPr>
                <w:rFonts w:ascii="Arial" w:hAnsi="Arial"/>
                <w:sz w:val="20"/>
              </w:rPr>
              <w:t> </w:t>
            </w:r>
          </w:p>
        </w:tc>
      </w:tr>
      <w:tr w:rsidRPr="00910723" w:rsidR="00411573" w:rsidTr="00435435" w14:paraId="4C6A7887" w14:textId="77777777">
        <w:trPr>
          <w:trHeight w:val="300"/>
        </w:trPr>
        <w:tc>
          <w:tcPr>
            <w:tcW w:w="6804" w:type="dxa"/>
            <w:gridSpan w:val="2"/>
            <w:tcBorders>
              <w:left w:val="nil"/>
              <w:right w:val="nil"/>
            </w:tcBorders>
            <w:noWrap/>
            <w:hideMark/>
          </w:tcPr>
          <w:p w:rsidRPr="00910723" w:rsidR="00411573" w:rsidP="00435435" w:rsidRDefault="00411573" w14:paraId="743A965A" w14:textId="77777777">
            <w:pPr>
              <w:ind w:firstLine="200" w:firstLineChars="100"/>
              <w:rPr>
                <w:rFonts w:ascii="Arial" w:hAnsi="Arial" w:eastAsia="Times New Roman" w:cs="Arial"/>
                <w:sz w:val="20"/>
                <w:szCs w:val="20"/>
              </w:rPr>
            </w:pPr>
            <w:r w:rsidRPr="00910723">
              <w:rPr>
                <w:rFonts w:ascii="Arial" w:hAnsi="Arial"/>
                <w:sz w:val="20"/>
              </w:rPr>
              <w:t>e. Indėlių sertifikatai</w:t>
            </w:r>
          </w:p>
        </w:tc>
        <w:tc>
          <w:tcPr>
            <w:tcW w:w="2745" w:type="dxa"/>
            <w:tcBorders>
              <w:left w:val="nil"/>
              <w:right w:val="nil"/>
            </w:tcBorders>
            <w:noWrap/>
            <w:hideMark/>
          </w:tcPr>
          <w:p w:rsidRPr="00910723" w:rsidR="00411573" w:rsidP="00435435" w:rsidRDefault="00411573" w14:paraId="06A6E9F8" w14:textId="77777777">
            <w:pPr>
              <w:jc w:val="right"/>
              <w:rPr>
                <w:rFonts w:ascii="Arial" w:hAnsi="Arial" w:eastAsia="Times New Roman" w:cs="Arial"/>
                <w:sz w:val="20"/>
                <w:szCs w:val="20"/>
              </w:rPr>
            </w:pPr>
            <w:r w:rsidRPr="00910723">
              <w:rPr>
                <w:rFonts w:ascii="Arial" w:hAnsi="Arial"/>
                <w:sz w:val="20"/>
              </w:rPr>
              <w:t> </w:t>
            </w:r>
          </w:p>
        </w:tc>
      </w:tr>
      <w:tr w:rsidRPr="00910723" w:rsidR="00411573" w:rsidTr="00435435" w14:paraId="46A7DD48" w14:textId="77777777">
        <w:trPr>
          <w:trHeight w:val="300"/>
        </w:trPr>
        <w:tc>
          <w:tcPr>
            <w:tcW w:w="6804" w:type="dxa"/>
            <w:gridSpan w:val="2"/>
            <w:tcBorders>
              <w:left w:val="nil"/>
              <w:right w:val="nil"/>
            </w:tcBorders>
            <w:noWrap/>
            <w:hideMark/>
          </w:tcPr>
          <w:p w:rsidRPr="00910723" w:rsidR="00411573" w:rsidP="00435435" w:rsidRDefault="00411573" w14:paraId="2B9EBE0B" w14:textId="77777777">
            <w:pPr>
              <w:ind w:firstLine="200" w:firstLineChars="100"/>
              <w:rPr>
                <w:rFonts w:ascii="Arial" w:hAnsi="Arial" w:eastAsia="Times New Roman" w:cs="Arial"/>
                <w:sz w:val="20"/>
                <w:szCs w:val="20"/>
              </w:rPr>
            </w:pPr>
            <w:r w:rsidRPr="00910723">
              <w:rPr>
                <w:rFonts w:ascii="Arial" w:hAnsi="Arial"/>
                <w:sz w:val="20"/>
              </w:rPr>
              <w:t>f. Bendras nuosavas kapitalas</w:t>
            </w:r>
          </w:p>
        </w:tc>
        <w:tc>
          <w:tcPr>
            <w:tcW w:w="2745" w:type="dxa"/>
            <w:tcBorders>
              <w:left w:val="nil"/>
              <w:right w:val="nil"/>
            </w:tcBorders>
            <w:noWrap/>
            <w:hideMark/>
          </w:tcPr>
          <w:p w:rsidRPr="00910723" w:rsidR="00411573" w:rsidP="00435435" w:rsidRDefault="00411573" w14:paraId="03ED6E29" w14:textId="77777777">
            <w:pPr>
              <w:jc w:val="right"/>
              <w:rPr>
                <w:rFonts w:ascii="Arial" w:hAnsi="Arial" w:eastAsia="Times New Roman" w:cs="Arial"/>
                <w:sz w:val="20"/>
                <w:szCs w:val="20"/>
              </w:rPr>
            </w:pPr>
            <w:r w:rsidRPr="00910723">
              <w:rPr>
                <w:rFonts w:ascii="Arial" w:hAnsi="Arial"/>
                <w:sz w:val="20"/>
              </w:rPr>
              <w:t> </w:t>
            </w:r>
          </w:p>
        </w:tc>
      </w:tr>
      <w:tr w:rsidRPr="00910723" w:rsidR="00411573" w:rsidTr="00435435" w14:paraId="6D4DD3CE" w14:textId="77777777">
        <w:trPr>
          <w:trHeight w:val="300"/>
        </w:trPr>
        <w:tc>
          <w:tcPr>
            <w:tcW w:w="6804" w:type="dxa"/>
            <w:gridSpan w:val="2"/>
            <w:tcBorders>
              <w:left w:val="nil"/>
              <w:right w:val="nil"/>
            </w:tcBorders>
            <w:noWrap/>
          </w:tcPr>
          <w:p w:rsidRPr="00910723" w:rsidR="00411573" w:rsidP="00435435" w:rsidRDefault="00411573" w14:paraId="30E0EA73" w14:textId="77777777">
            <w:pPr>
              <w:ind w:left="171"/>
              <w:rPr>
                <w:rFonts w:ascii="Arial" w:hAnsi="Arial" w:eastAsia="Times New Roman" w:cs="Arial"/>
                <w:sz w:val="20"/>
                <w:szCs w:val="20"/>
              </w:rPr>
            </w:pPr>
            <w:r w:rsidRPr="00910723">
              <w:rPr>
                <w:rFonts w:ascii="Arial" w:hAnsi="Arial"/>
                <w:sz w:val="20"/>
              </w:rPr>
              <w:t>g. Privilegijuotosios akcijos ir visas kitokių formų subordinuotasis finansavimas, neįtrauktas į 5.c punktą</w:t>
            </w:r>
          </w:p>
        </w:tc>
        <w:tc>
          <w:tcPr>
            <w:tcW w:w="2745" w:type="dxa"/>
            <w:tcBorders>
              <w:left w:val="nil"/>
              <w:right w:val="nil"/>
            </w:tcBorders>
            <w:noWrap/>
          </w:tcPr>
          <w:p w:rsidRPr="00910723" w:rsidR="00411573" w:rsidP="00435435" w:rsidRDefault="00411573" w14:paraId="3F8F08B5" w14:textId="77777777">
            <w:pPr>
              <w:jc w:val="right"/>
              <w:rPr>
                <w:rFonts w:ascii="Arial" w:hAnsi="Arial" w:eastAsia="Times New Roman" w:cs="Arial"/>
                <w:sz w:val="20"/>
                <w:szCs w:val="20"/>
                <w:lang w:eastAsia="en-GB"/>
              </w:rPr>
            </w:pPr>
          </w:p>
        </w:tc>
      </w:tr>
      <w:tr w:rsidRPr="00910723" w:rsidR="00411573" w:rsidTr="00435435" w14:paraId="02657E01" w14:textId="77777777">
        <w:trPr>
          <w:trHeight w:val="300"/>
        </w:trPr>
        <w:tc>
          <w:tcPr>
            <w:tcW w:w="6804" w:type="dxa"/>
            <w:gridSpan w:val="2"/>
            <w:tcBorders>
              <w:left w:val="nil"/>
              <w:bottom w:val="single" w:color="auto" w:sz="4" w:space="0"/>
              <w:right w:val="nil"/>
            </w:tcBorders>
            <w:noWrap/>
          </w:tcPr>
          <w:p w:rsidRPr="00910723" w:rsidR="00411573" w:rsidP="00435435" w:rsidRDefault="00411573" w14:paraId="5DC36DAF" w14:textId="77777777">
            <w:pPr>
              <w:ind w:left="171"/>
              <w:rPr>
                <w:rFonts w:ascii="Arial" w:hAnsi="Arial" w:eastAsia="Times New Roman" w:cs="Arial"/>
                <w:sz w:val="20"/>
                <w:szCs w:val="20"/>
              </w:rPr>
            </w:pPr>
            <w:r w:rsidRPr="00910723">
              <w:rPr>
                <w:rFonts w:ascii="Arial" w:hAnsi="Arial"/>
                <w:sz w:val="20"/>
              </w:rPr>
              <w:t>h. Neapmokėtų vertybinių popierių rodiklis, įskaitant draudimo patronuojamųjų įmonių išduotus vertybinius popierius (5.a–5.g punktų suma)</w:t>
            </w:r>
          </w:p>
        </w:tc>
        <w:tc>
          <w:tcPr>
            <w:tcW w:w="2745" w:type="dxa"/>
            <w:tcBorders>
              <w:left w:val="nil"/>
              <w:bottom w:val="single" w:color="auto" w:sz="4" w:space="0"/>
              <w:right w:val="nil"/>
            </w:tcBorders>
            <w:noWrap/>
          </w:tcPr>
          <w:p w:rsidRPr="00910723" w:rsidR="00411573" w:rsidP="00435435" w:rsidRDefault="00411573" w14:paraId="2D53C97D" w14:textId="77777777">
            <w:pPr>
              <w:jc w:val="right"/>
              <w:rPr>
                <w:rFonts w:ascii="Arial" w:hAnsi="Arial" w:eastAsia="Times New Roman" w:cs="Arial"/>
                <w:sz w:val="20"/>
                <w:szCs w:val="20"/>
                <w:lang w:eastAsia="en-GB"/>
              </w:rPr>
            </w:pPr>
          </w:p>
        </w:tc>
      </w:tr>
      <w:tr w:rsidRPr="00910723" w:rsidR="00411573" w:rsidTr="00435435" w14:paraId="0A093968" w14:textId="77777777">
        <w:trPr>
          <w:trHeight w:val="300"/>
        </w:trPr>
        <w:tc>
          <w:tcPr>
            <w:tcW w:w="6804" w:type="dxa"/>
            <w:gridSpan w:val="2"/>
            <w:tcBorders>
              <w:top w:val="single" w:color="auto" w:sz="4" w:space="0"/>
              <w:left w:val="nil"/>
              <w:bottom w:val="nil"/>
              <w:right w:val="nil"/>
            </w:tcBorders>
            <w:noWrap/>
          </w:tcPr>
          <w:p w:rsidRPr="00910723" w:rsidR="00411573" w:rsidP="00435435" w:rsidRDefault="00411573" w14:paraId="0A9FABAE" w14:textId="77777777">
            <w:pPr>
              <w:keepNext/>
              <w:keepLines/>
              <w:spacing w:before="47"/>
              <w:outlineLvl w:val="5"/>
              <w:rPr>
                <w:rFonts w:ascii="Arial" w:hAnsi="Arial" w:cs="Arial" w:eastAsiaTheme="majorEastAsia"/>
                <w:b/>
                <w:bCs/>
                <w:i/>
                <w:iCs/>
                <w:caps/>
                <w:spacing w:val="-2"/>
                <w:sz w:val="20"/>
                <w:szCs w:val="20"/>
              </w:rPr>
            </w:pPr>
          </w:p>
        </w:tc>
        <w:tc>
          <w:tcPr>
            <w:tcW w:w="2745" w:type="dxa"/>
            <w:tcBorders>
              <w:top w:val="single" w:color="auto" w:sz="4" w:space="0"/>
              <w:left w:val="nil"/>
              <w:bottom w:val="nil"/>
              <w:right w:val="nil"/>
            </w:tcBorders>
            <w:noWrap/>
          </w:tcPr>
          <w:p w:rsidRPr="00910723" w:rsidR="00411573" w:rsidP="00435435" w:rsidRDefault="00411573" w14:paraId="2A89F859" w14:textId="77777777">
            <w:pPr>
              <w:jc w:val="center"/>
              <w:rPr>
                <w:rFonts w:ascii="Arial" w:hAnsi="Arial" w:eastAsia="Times New Roman" w:cs="Arial"/>
                <w:b/>
                <w:bCs/>
                <w:sz w:val="20"/>
                <w:szCs w:val="20"/>
                <w:lang w:eastAsia="en-GB"/>
              </w:rPr>
            </w:pPr>
          </w:p>
        </w:tc>
      </w:tr>
      <w:tr w:rsidRPr="00910723" w:rsidR="00411573" w:rsidTr="00435435" w14:paraId="1F41A1FF" w14:textId="77777777">
        <w:trPr>
          <w:trHeight w:val="300"/>
        </w:trPr>
        <w:tc>
          <w:tcPr>
            <w:tcW w:w="6804" w:type="dxa"/>
            <w:gridSpan w:val="2"/>
            <w:tcBorders>
              <w:top w:val="nil"/>
              <w:left w:val="nil"/>
              <w:bottom w:val="nil"/>
              <w:right w:val="nil"/>
            </w:tcBorders>
            <w:noWrap/>
          </w:tcPr>
          <w:p w:rsidRPr="00910723" w:rsidR="00411573" w:rsidP="00435435" w:rsidRDefault="00411573" w14:paraId="1EEBEF29" w14:textId="77777777">
            <w:pPr>
              <w:keepNext/>
              <w:keepLines/>
              <w:spacing w:before="47"/>
              <w:outlineLvl w:val="5"/>
              <w:rPr>
                <w:rFonts w:asciiTheme="majorHAnsi" w:hAnsiTheme="majorHAnsi" w:eastAsiaTheme="majorEastAsia" w:cstheme="majorBidi"/>
                <w:b/>
                <w:bCs/>
                <w:i/>
                <w:iCs/>
                <w:caps/>
                <w:spacing w:val="-2"/>
              </w:rPr>
            </w:pPr>
            <w:r w:rsidRPr="00910723">
              <w:rPr>
                <w:rFonts w:asciiTheme="majorHAnsi" w:hAnsiTheme="majorHAnsi"/>
                <w:b/>
                <w:i/>
                <w:caps/>
              </w:rPr>
              <w:t>Pakeičiamumo / finansų įstaigos infrastruktūros rodikliai</w:t>
            </w:r>
          </w:p>
          <w:p w:rsidRPr="00910723" w:rsidR="00411573" w:rsidP="00435435" w:rsidRDefault="00411573" w14:paraId="5C42C5B5" w14:textId="77777777">
            <w:pPr>
              <w:rPr>
                <w:rFonts w:ascii="Arial" w:hAnsi="Arial" w:eastAsia="Times New Roman" w:cs="Arial"/>
                <w:b/>
                <w:bCs/>
                <w:sz w:val="20"/>
                <w:szCs w:val="20"/>
                <w:lang w:eastAsia="en-GB"/>
              </w:rPr>
            </w:pPr>
          </w:p>
        </w:tc>
        <w:tc>
          <w:tcPr>
            <w:tcW w:w="2745" w:type="dxa"/>
            <w:tcBorders>
              <w:top w:val="nil"/>
              <w:left w:val="nil"/>
              <w:bottom w:val="nil"/>
              <w:right w:val="nil"/>
            </w:tcBorders>
            <w:noWrap/>
          </w:tcPr>
          <w:p w:rsidRPr="00910723" w:rsidR="00411573" w:rsidP="00435435" w:rsidRDefault="00411573" w14:paraId="08A78FBB" w14:textId="77777777">
            <w:pPr>
              <w:jc w:val="center"/>
              <w:rPr>
                <w:rFonts w:ascii="Arial" w:hAnsi="Arial" w:eastAsia="Times New Roman" w:cs="Arial"/>
                <w:b/>
                <w:bCs/>
                <w:sz w:val="20"/>
                <w:szCs w:val="20"/>
                <w:lang w:eastAsia="en-GB"/>
              </w:rPr>
            </w:pPr>
          </w:p>
        </w:tc>
      </w:tr>
      <w:tr w:rsidRPr="00910723" w:rsidR="00411573" w:rsidTr="00435435" w14:paraId="7D431577" w14:textId="77777777">
        <w:trPr>
          <w:trHeight w:val="300"/>
        </w:trPr>
        <w:tc>
          <w:tcPr>
            <w:tcW w:w="6804" w:type="dxa"/>
            <w:gridSpan w:val="2"/>
            <w:tcBorders>
              <w:left w:val="nil"/>
              <w:bottom w:val="single" w:color="auto" w:sz="4" w:space="0"/>
              <w:right w:val="nil"/>
            </w:tcBorders>
            <w:noWrap/>
          </w:tcPr>
          <w:p w:rsidRPr="00910723" w:rsidR="00411573" w:rsidP="00435435" w:rsidRDefault="00411573" w14:paraId="33F07BCB" w14:textId="77777777">
            <w:pPr>
              <w:rPr>
                <w:rFonts w:ascii="Arial" w:hAnsi="Arial" w:eastAsia="Times New Roman" w:cs="Arial"/>
                <w:sz w:val="20"/>
                <w:szCs w:val="20"/>
              </w:rPr>
            </w:pPr>
            <w:r w:rsidRPr="00910723">
              <w:rPr>
                <w:rFonts w:ascii="Arial" w:hAnsi="Arial"/>
                <w:b/>
                <w:sz w:val="20"/>
              </w:rPr>
              <w:t>6 skirsnis. Per ataskaitinius metus atlikti mokėjimai (be mokėjimų grupės viduje)</w:t>
            </w:r>
          </w:p>
        </w:tc>
        <w:tc>
          <w:tcPr>
            <w:tcW w:w="2745" w:type="dxa"/>
            <w:tcBorders>
              <w:left w:val="nil"/>
              <w:bottom w:val="single" w:color="auto" w:sz="4" w:space="0"/>
              <w:right w:val="nil"/>
            </w:tcBorders>
            <w:noWrap/>
          </w:tcPr>
          <w:p w:rsidRPr="00910723" w:rsidR="00411573" w:rsidP="00435435" w:rsidRDefault="00411573" w14:paraId="2BC9F184" w14:textId="77777777">
            <w:pPr>
              <w:jc w:val="center"/>
              <w:rPr>
                <w:rFonts w:ascii="Arial" w:hAnsi="Arial" w:eastAsia="Times New Roman" w:cs="Arial"/>
                <w:b/>
                <w:bCs/>
                <w:sz w:val="20"/>
                <w:szCs w:val="20"/>
              </w:rPr>
            </w:pPr>
            <w:r w:rsidRPr="00910723">
              <w:rPr>
                <w:rFonts w:ascii="Arial" w:hAnsi="Arial"/>
                <w:b/>
                <w:sz w:val="20"/>
              </w:rPr>
              <w:t>Suma</w:t>
            </w:r>
          </w:p>
        </w:tc>
      </w:tr>
      <w:tr w:rsidRPr="00910723" w:rsidR="00411573" w:rsidTr="00435435" w14:paraId="7F9AD907" w14:textId="77777777">
        <w:trPr>
          <w:trHeight w:val="300"/>
        </w:trPr>
        <w:tc>
          <w:tcPr>
            <w:tcW w:w="6804" w:type="dxa"/>
            <w:gridSpan w:val="2"/>
            <w:tcBorders>
              <w:left w:val="nil"/>
              <w:right w:val="nil"/>
            </w:tcBorders>
            <w:noWrap/>
            <w:hideMark/>
          </w:tcPr>
          <w:p w:rsidRPr="00910723" w:rsidR="00411573" w:rsidP="00435435" w:rsidRDefault="00411573" w14:paraId="119B5F22" w14:textId="77777777">
            <w:pPr>
              <w:ind w:firstLine="200" w:firstLineChars="100"/>
              <w:rPr>
                <w:rFonts w:ascii="Arial" w:hAnsi="Arial" w:eastAsia="Times New Roman" w:cs="Arial"/>
                <w:sz w:val="20"/>
                <w:szCs w:val="20"/>
              </w:rPr>
            </w:pPr>
            <w:r w:rsidRPr="00910723">
              <w:rPr>
                <w:rFonts w:ascii="Arial" w:hAnsi="Arial"/>
                <w:sz w:val="20"/>
              </w:rPr>
              <w:t xml:space="preserve"> a. Australijos doleriai (AUD)</w:t>
            </w:r>
          </w:p>
        </w:tc>
        <w:tc>
          <w:tcPr>
            <w:tcW w:w="2745" w:type="dxa"/>
            <w:tcBorders>
              <w:left w:val="nil"/>
              <w:right w:val="nil"/>
            </w:tcBorders>
            <w:noWrap/>
            <w:hideMark/>
          </w:tcPr>
          <w:p w:rsidRPr="00910723" w:rsidR="00411573" w:rsidP="00435435" w:rsidRDefault="00411573" w14:paraId="109D5A38" w14:textId="77777777">
            <w:pPr>
              <w:jc w:val="right"/>
              <w:rPr>
                <w:rFonts w:ascii="Arial" w:hAnsi="Arial" w:eastAsia="Times New Roman" w:cs="Arial"/>
                <w:sz w:val="20"/>
                <w:szCs w:val="20"/>
              </w:rPr>
            </w:pPr>
            <w:r w:rsidRPr="00910723">
              <w:rPr>
                <w:rFonts w:ascii="Arial" w:hAnsi="Arial"/>
                <w:sz w:val="20"/>
              </w:rPr>
              <w:t> </w:t>
            </w:r>
          </w:p>
        </w:tc>
      </w:tr>
      <w:tr w:rsidRPr="00910723" w:rsidR="00411573" w:rsidTr="00435435" w14:paraId="0F7BB5D0" w14:textId="77777777">
        <w:trPr>
          <w:trHeight w:val="300"/>
        </w:trPr>
        <w:tc>
          <w:tcPr>
            <w:tcW w:w="6804" w:type="dxa"/>
            <w:gridSpan w:val="2"/>
            <w:tcBorders>
              <w:left w:val="nil"/>
              <w:right w:val="nil"/>
            </w:tcBorders>
            <w:noWrap/>
            <w:hideMark/>
          </w:tcPr>
          <w:p w:rsidRPr="00910723" w:rsidR="00411573" w:rsidP="00435435" w:rsidRDefault="00411573" w14:paraId="7284D4B4" w14:textId="77777777">
            <w:pPr>
              <w:ind w:firstLine="200" w:firstLineChars="100"/>
              <w:rPr>
                <w:rFonts w:ascii="Arial" w:hAnsi="Arial" w:eastAsia="Times New Roman" w:cs="Arial"/>
                <w:sz w:val="20"/>
                <w:szCs w:val="20"/>
              </w:rPr>
            </w:pPr>
            <w:r w:rsidRPr="00910723">
              <w:rPr>
                <w:rFonts w:ascii="Arial" w:hAnsi="Arial"/>
                <w:sz w:val="20"/>
              </w:rPr>
              <w:t>b. Kanados doleriai (CAD)</w:t>
            </w:r>
          </w:p>
        </w:tc>
        <w:tc>
          <w:tcPr>
            <w:tcW w:w="2745" w:type="dxa"/>
            <w:tcBorders>
              <w:left w:val="nil"/>
              <w:right w:val="nil"/>
            </w:tcBorders>
            <w:noWrap/>
            <w:hideMark/>
          </w:tcPr>
          <w:p w:rsidRPr="00910723" w:rsidR="00411573" w:rsidP="00435435" w:rsidRDefault="00411573" w14:paraId="6CE104A2" w14:textId="77777777">
            <w:pPr>
              <w:jc w:val="right"/>
              <w:rPr>
                <w:rFonts w:ascii="Arial" w:hAnsi="Arial" w:eastAsia="Times New Roman" w:cs="Arial"/>
                <w:sz w:val="20"/>
                <w:szCs w:val="20"/>
              </w:rPr>
            </w:pPr>
            <w:r w:rsidRPr="00910723">
              <w:rPr>
                <w:rFonts w:ascii="Arial" w:hAnsi="Arial"/>
                <w:sz w:val="20"/>
              </w:rPr>
              <w:t> </w:t>
            </w:r>
          </w:p>
        </w:tc>
      </w:tr>
      <w:tr w:rsidRPr="00910723" w:rsidR="00411573" w:rsidTr="00435435" w14:paraId="29AD4E93" w14:textId="77777777">
        <w:trPr>
          <w:trHeight w:val="300"/>
        </w:trPr>
        <w:tc>
          <w:tcPr>
            <w:tcW w:w="6804" w:type="dxa"/>
            <w:gridSpan w:val="2"/>
            <w:tcBorders>
              <w:left w:val="nil"/>
              <w:right w:val="nil"/>
            </w:tcBorders>
            <w:noWrap/>
            <w:hideMark/>
          </w:tcPr>
          <w:p w:rsidRPr="00910723" w:rsidR="00411573" w:rsidP="00435435" w:rsidRDefault="00411573" w14:paraId="17FAA2E3" w14:textId="77777777">
            <w:pPr>
              <w:ind w:firstLine="200" w:firstLineChars="100"/>
              <w:rPr>
                <w:rFonts w:ascii="Arial" w:hAnsi="Arial" w:eastAsia="Times New Roman" w:cs="Arial"/>
                <w:sz w:val="20"/>
                <w:szCs w:val="20"/>
              </w:rPr>
            </w:pPr>
            <w:r w:rsidRPr="00910723">
              <w:rPr>
                <w:rFonts w:ascii="Arial" w:hAnsi="Arial"/>
                <w:sz w:val="20"/>
              </w:rPr>
              <w:t>c. Šveicarijos frankai (CHF)</w:t>
            </w:r>
          </w:p>
        </w:tc>
        <w:tc>
          <w:tcPr>
            <w:tcW w:w="2745" w:type="dxa"/>
            <w:tcBorders>
              <w:left w:val="nil"/>
              <w:right w:val="nil"/>
            </w:tcBorders>
            <w:noWrap/>
            <w:hideMark/>
          </w:tcPr>
          <w:p w:rsidRPr="00910723" w:rsidR="00411573" w:rsidP="00435435" w:rsidRDefault="00411573" w14:paraId="0547AC65" w14:textId="77777777">
            <w:pPr>
              <w:jc w:val="right"/>
              <w:rPr>
                <w:rFonts w:ascii="Arial" w:hAnsi="Arial" w:eastAsia="Times New Roman" w:cs="Arial"/>
                <w:sz w:val="20"/>
                <w:szCs w:val="20"/>
              </w:rPr>
            </w:pPr>
            <w:r w:rsidRPr="00910723">
              <w:rPr>
                <w:rFonts w:ascii="Arial" w:hAnsi="Arial"/>
                <w:sz w:val="20"/>
              </w:rPr>
              <w:t> </w:t>
            </w:r>
          </w:p>
        </w:tc>
      </w:tr>
      <w:tr w:rsidRPr="00910723" w:rsidR="00411573" w:rsidTr="00435435" w14:paraId="2DE364C9" w14:textId="77777777">
        <w:trPr>
          <w:trHeight w:val="300"/>
        </w:trPr>
        <w:tc>
          <w:tcPr>
            <w:tcW w:w="6804" w:type="dxa"/>
            <w:gridSpan w:val="2"/>
            <w:tcBorders>
              <w:left w:val="nil"/>
              <w:right w:val="nil"/>
            </w:tcBorders>
            <w:noWrap/>
            <w:hideMark/>
          </w:tcPr>
          <w:p w:rsidRPr="00910723" w:rsidR="00411573" w:rsidP="00435435" w:rsidRDefault="00411573" w14:paraId="78AC137F" w14:textId="77777777">
            <w:pPr>
              <w:ind w:firstLine="200" w:firstLineChars="100"/>
              <w:rPr>
                <w:rFonts w:ascii="Arial" w:hAnsi="Arial" w:eastAsia="Times New Roman" w:cs="Arial"/>
                <w:sz w:val="20"/>
                <w:szCs w:val="20"/>
              </w:rPr>
            </w:pPr>
            <w:r w:rsidRPr="00910723">
              <w:rPr>
                <w:rFonts w:ascii="Arial" w:hAnsi="Arial"/>
                <w:sz w:val="20"/>
              </w:rPr>
              <w:t>d. Kinijos juaniai (CNY)</w:t>
            </w:r>
          </w:p>
        </w:tc>
        <w:tc>
          <w:tcPr>
            <w:tcW w:w="2745" w:type="dxa"/>
            <w:tcBorders>
              <w:left w:val="nil"/>
              <w:right w:val="nil"/>
            </w:tcBorders>
            <w:noWrap/>
            <w:hideMark/>
          </w:tcPr>
          <w:p w:rsidRPr="00910723" w:rsidR="00411573" w:rsidP="00435435" w:rsidRDefault="00411573" w14:paraId="7C74F4E1" w14:textId="77777777">
            <w:pPr>
              <w:jc w:val="right"/>
              <w:rPr>
                <w:rFonts w:ascii="Arial" w:hAnsi="Arial" w:eastAsia="Times New Roman" w:cs="Arial"/>
                <w:sz w:val="20"/>
                <w:szCs w:val="20"/>
              </w:rPr>
            </w:pPr>
            <w:r w:rsidRPr="00910723">
              <w:rPr>
                <w:rFonts w:ascii="Arial" w:hAnsi="Arial"/>
                <w:sz w:val="20"/>
              </w:rPr>
              <w:t> </w:t>
            </w:r>
          </w:p>
        </w:tc>
      </w:tr>
      <w:tr w:rsidRPr="00910723" w:rsidR="00411573" w:rsidTr="00435435" w14:paraId="6288B11F" w14:textId="77777777">
        <w:trPr>
          <w:trHeight w:val="300"/>
        </w:trPr>
        <w:tc>
          <w:tcPr>
            <w:tcW w:w="6804" w:type="dxa"/>
            <w:gridSpan w:val="2"/>
            <w:tcBorders>
              <w:left w:val="nil"/>
              <w:right w:val="nil"/>
            </w:tcBorders>
            <w:noWrap/>
            <w:hideMark/>
          </w:tcPr>
          <w:p w:rsidRPr="00910723" w:rsidR="00411573" w:rsidP="00435435" w:rsidRDefault="00411573" w14:paraId="079E2F0A" w14:textId="77777777">
            <w:pPr>
              <w:ind w:firstLine="200" w:firstLineChars="100"/>
              <w:rPr>
                <w:rFonts w:ascii="Arial" w:hAnsi="Arial" w:eastAsia="Times New Roman" w:cs="Arial"/>
                <w:sz w:val="20"/>
                <w:szCs w:val="20"/>
              </w:rPr>
            </w:pPr>
            <w:r w:rsidRPr="00910723">
              <w:rPr>
                <w:rFonts w:ascii="Arial" w:hAnsi="Arial"/>
                <w:sz w:val="20"/>
              </w:rPr>
              <w:t>e. Eurai (EUR)</w:t>
            </w:r>
          </w:p>
        </w:tc>
        <w:tc>
          <w:tcPr>
            <w:tcW w:w="2745" w:type="dxa"/>
            <w:tcBorders>
              <w:left w:val="nil"/>
              <w:right w:val="nil"/>
            </w:tcBorders>
            <w:noWrap/>
            <w:hideMark/>
          </w:tcPr>
          <w:p w:rsidRPr="00910723" w:rsidR="00411573" w:rsidP="00435435" w:rsidRDefault="00411573" w14:paraId="5A7F5910" w14:textId="77777777">
            <w:pPr>
              <w:jc w:val="right"/>
              <w:rPr>
                <w:rFonts w:ascii="Arial" w:hAnsi="Arial" w:eastAsia="Times New Roman" w:cs="Arial"/>
                <w:sz w:val="20"/>
                <w:szCs w:val="20"/>
              </w:rPr>
            </w:pPr>
            <w:r w:rsidRPr="00910723">
              <w:rPr>
                <w:rFonts w:ascii="Arial" w:hAnsi="Arial"/>
                <w:sz w:val="20"/>
              </w:rPr>
              <w:t> </w:t>
            </w:r>
          </w:p>
        </w:tc>
      </w:tr>
      <w:tr w:rsidRPr="00910723" w:rsidR="00411573" w:rsidTr="00435435" w14:paraId="35E6A7EA" w14:textId="77777777">
        <w:trPr>
          <w:trHeight w:val="300"/>
        </w:trPr>
        <w:tc>
          <w:tcPr>
            <w:tcW w:w="6804" w:type="dxa"/>
            <w:gridSpan w:val="2"/>
            <w:tcBorders>
              <w:left w:val="nil"/>
              <w:right w:val="nil"/>
            </w:tcBorders>
            <w:noWrap/>
            <w:hideMark/>
          </w:tcPr>
          <w:p w:rsidRPr="00910723" w:rsidR="00411573" w:rsidP="00435435" w:rsidRDefault="00411573" w14:paraId="30FFEB32" w14:textId="77777777">
            <w:pPr>
              <w:ind w:firstLine="200" w:firstLineChars="100"/>
              <w:rPr>
                <w:rFonts w:ascii="Arial" w:hAnsi="Arial" w:eastAsia="Times New Roman" w:cs="Arial"/>
                <w:sz w:val="20"/>
                <w:szCs w:val="20"/>
              </w:rPr>
            </w:pPr>
            <w:r w:rsidRPr="00910723">
              <w:rPr>
                <w:rFonts w:ascii="Arial" w:hAnsi="Arial"/>
                <w:sz w:val="20"/>
              </w:rPr>
              <w:t>f. Didžiosios Britanijos svarai sterlingai (GBP)</w:t>
            </w:r>
          </w:p>
        </w:tc>
        <w:tc>
          <w:tcPr>
            <w:tcW w:w="2745" w:type="dxa"/>
            <w:tcBorders>
              <w:left w:val="nil"/>
              <w:right w:val="nil"/>
            </w:tcBorders>
            <w:noWrap/>
            <w:hideMark/>
          </w:tcPr>
          <w:p w:rsidRPr="00910723" w:rsidR="00411573" w:rsidP="00435435" w:rsidRDefault="00411573" w14:paraId="64EEBD72" w14:textId="77777777">
            <w:pPr>
              <w:jc w:val="right"/>
              <w:rPr>
                <w:rFonts w:ascii="Arial" w:hAnsi="Arial" w:eastAsia="Times New Roman" w:cs="Arial"/>
                <w:sz w:val="20"/>
                <w:szCs w:val="20"/>
              </w:rPr>
            </w:pPr>
            <w:r w:rsidRPr="00910723">
              <w:rPr>
                <w:rFonts w:ascii="Arial" w:hAnsi="Arial"/>
                <w:sz w:val="20"/>
              </w:rPr>
              <w:t> </w:t>
            </w:r>
          </w:p>
        </w:tc>
      </w:tr>
      <w:tr w:rsidRPr="00910723" w:rsidR="00411573" w:rsidTr="00435435" w14:paraId="45817766" w14:textId="77777777">
        <w:trPr>
          <w:trHeight w:val="300"/>
        </w:trPr>
        <w:tc>
          <w:tcPr>
            <w:tcW w:w="6804" w:type="dxa"/>
            <w:gridSpan w:val="2"/>
            <w:tcBorders>
              <w:left w:val="nil"/>
              <w:right w:val="nil"/>
            </w:tcBorders>
            <w:noWrap/>
            <w:hideMark/>
          </w:tcPr>
          <w:p w:rsidRPr="00910723" w:rsidR="00411573" w:rsidP="00435435" w:rsidRDefault="00411573" w14:paraId="6CC48C41" w14:textId="77777777">
            <w:pPr>
              <w:ind w:firstLine="200" w:firstLineChars="100"/>
              <w:rPr>
                <w:rFonts w:ascii="Arial" w:hAnsi="Arial" w:eastAsia="Times New Roman" w:cs="Arial"/>
                <w:sz w:val="20"/>
                <w:szCs w:val="20"/>
              </w:rPr>
            </w:pPr>
            <w:r w:rsidRPr="00910723">
              <w:rPr>
                <w:rFonts w:ascii="Arial" w:hAnsi="Arial"/>
                <w:sz w:val="20"/>
              </w:rPr>
              <w:t>g. Honkongo doleriai (HKD)</w:t>
            </w:r>
          </w:p>
        </w:tc>
        <w:tc>
          <w:tcPr>
            <w:tcW w:w="2745" w:type="dxa"/>
            <w:tcBorders>
              <w:left w:val="nil"/>
              <w:right w:val="nil"/>
            </w:tcBorders>
            <w:noWrap/>
            <w:hideMark/>
          </w:tcPr>
          <w:p w:rsidRPr="00910723" w:rsidR="00411573" w:rsidP="00435435" w:rsidRDefault="00411573" w14:paraId="4B45880F" w14:textId="77777777">
            <w:pPr>
              <w:jc w:val="right"/>
              <w:rPr>
                <w:rFonts w:ascii="Arial" w:hAnsi="Arial" w:eastAsia="Times New Roman" w:cs="Arial"/>
                <w:sz w:val="20"/>
                <w:szCs w:val="20"/>
              </w:rPr>
            </w:pPr>
            <w:r w:rsidRPr="00910723">
              <w:rPr>
                <w:rFonts w:ascii="Arial" w:hAnsi="Arial"/>
                <w:sz w:val="20"/>
              </w:rPr>
              <w:t> </w:t>
            </w:r>
          </w:p>
        </w:tc>
      </w:tr>
      <w:tr w:rsidRPr="00910723" w:rsidR="00411573" w:rsidTr="00435435" w14:paraId="335B3748" w14:textId="77777777">
        <w:trPr>
          <w:trHeight w:val="300"/>
        </w:trPr>
        <w:tc>
          <w:tcPr>
            <w:tcW w:w="6804" w:type="dxa"/>
            <w:gridSpan w:val="2"/>
            <w:tcBorders>
              <w:left w:val="nil"/>
              <w:right w:val="nil"/>
            </w:tcBorders>
            <w:noWrap/>
            <w:hideMark/>
          </w:tcPr>
          <w:p w:rsidRPr="00910723" w:rsidR="00411573" w:rsidP="00435435" w:rsidRDefault="00411573" w14:paraId="12CE56A1" w14:textId="77777777">
            <w:pPr>
              <w:ind w:firstLine="200" w:firstLineChars="100"/>
              <w:rPr>
                <w:rFonts w:ascii="Arial" w:hAnsi="Arial" w:eastAsia="Times New Roman" w:cs="Arial"/>
                <w:sz w:val="20"/>
                <w:szCs w:val="20"/>
              </w:rPr>
            </w:pPr>
            <w:r w:rsidRPr="00910723">
              <w:rPr>
                <w:rFonts w:ascii="Arial" w:hAnsi="Arial"/>
                <w:sz w:val="20"/>
              </w:rPr>
              <w:t>h. Indijos rupijos (INR)</w:t>
            </w:r>
          </w:p>
        </w:tc>
        <w:tc>
          <w:tcPr>
            <w:tcW w:w="2745" w:type="dxa"/>
            <w:tcBorders>
              <w:left w:val="nil"/>
              <w:right w:val="nil"/>
            </w:tcBorders>
            <w:noWrap/>
            <w:hideMark/>
          </w:tcPr>
          <w:p w:rsidRPr="00910723" w:rsidR="00411573" w:rsidP="00435435" w:rsidRDefault="00411573" w14:paraId="10DE1869" w14:textId="77777777">
            <w:pPr>
              <w:jc w:val="right"/>
              <w:rPr>
                <w:rFonts w:ascii="Arial" w:hAnsi="Arial" w:eastAsia="Times New Roman" w:cs="Arial"/>
                <w:sz w:val="20"/>
                <w:szCs w:val="20"/>
              </w:rPr>
            </w:pPr>
            <w:r w:rsidRPr="00910723">
              <w:rPr>
                <w:rFonts w:ascii="Arial" w:hAnsi="Arial"/>
                <w:sz w:val="20"/>
              </w:rPr>
              <w:t> </w:t>
            </w:r>
          </w:p>
        </w:tc>
      </w:tr>
      <w:tr w:rsidRPr="00910723" w:rsidR="00411573" w:rsidTr="00435435" w14:paraId="5B43B415" w14:textId="77777777">
        <w:trPr>
          <w:trHeight w:val="300"/>
        </w:trPr>
        <w:tc>
          <w:tcPr>
            <w:tcW w:w="6804" w:type="dxa"/>
            <w:gridSpan w:val="2"/>
            <w:tcBorders>
              <w:left w:val="nil"/>
              <w:right w:val="nil"/>
            </w:tcBorders>
            <w:noWrap/>
            <w:hideMark/>
          </w:tcPr>
          <w:p w:rsidRPr="00910723" w:rsidR="00411573" w:rsidP="00435435" w:rsidRDefault="00411573" w14:paraId="4D649567" w14:textId="77777777">
            <w:pPr>
              <w:ind w:firstLine="200" w:firstLineChars="100"/>
              <w:rPr>
                <w:rFonts w:ascii="Arial" w:hAnsi="Arial" w:eastAsia="Times New Roman" w:cs="Arial"/>
                <w:sz w:val="20"/>
                <w:szCs w:val="20"/>
              </w:rPr>
            </w:pPr>
            <w:r w:rsidRPr="00910723">
              <w:rPr>
                <w:rFonts w:ascii="Arial" w:hAnsi="Arial"/>
                <w:sz w:val="20"/>
              </w:rPr>
              <w:t>i. Japonijos jenos (JPY)</w:t>
            </w:r>
          </w:p>
        </w:tc>
        <w:tc>
          <w:tcPr>
            <w:tcW w:w="2745" w:type="dxa"/>
            <w:tcBorders>
              <w:left w:val="nil"/>
              <w:right w:val="nil"/>
            </w:tcBorders>
            <w:noWrap/>
            <w:hideMark/>
          </w:tcPr>
          <w:p w:rsidRPr="00910723" w:rsidR="00411573" w:rsidP="00435435" w:rsidRDefault="00411573" w14:paraId="26C47EDD" w14:textId="77777777">
            <w:pPr>
              <w:jc w:val="right"/>
              <w:rPr>
                <w:rFonts w:ascii="Arial" w:hAnsi="Arial" w:eastAsia="Times New Roman" w:cs="Arial"/>
                <w:sz w:val="20"/>
                <w:szCs w:val="20"/>
              </w:rPr>
            </w:pPr>
            <w:r w:rsidRPr="00910723">
              <w:rPr>
                <w:rFonts w:ascii="Arial" w:hAnsi="Arial"/>
                <w:sz w:val="20"/>
              </w:rPr>
              <w:t> </w:t>
            </w:r>
          </w:p>
        </w:tc>
      </w:tr>
      <w:tr w:rsidRPr="00910723" w:rsidR="00411573" w:rsidTr="00435435" w14:paraId="0576F70F" w14:textId="77777777">
        <w:trPr>
          <w:trHeight w:val="300"/>
        </w:trPr>
        <w:tc>
          <w:tcPr>
            <w:tcW w:w="6804" w:type="dxa"/>
            <w:gridSpan w:val="2"/>
            <w:tcBorders>
              <w:left w:val="nil"/>
              <w:right w:val="nil"/>
            </w:tcBorders>
            <w:noWrap/>
            <w:hideMark/>
          </w:tcPr>
          <w:p w:rsidRPr="00910723" w:rsidR="00411573" w:rsidP="00435435" w:rsidRDefault="00411573" w14:paraId="4F6074A0" w14:textId="77777777">
            <w:pPr>
              <w:ind w:firstLine="200" w:firstLineChars="100"/>
              <w:rPr>
                <w:rFonts w:ascii="Arial" w:hAnsi="Arial" w:eastAsia="Times New Roman" w:cs="Arial"/>
                <w:sz w:val="20"/>
                <w:szCs w:val="20"/>
              </w:rPr>
            </w:pPr>
            <w:r w:rsidRPr="00910723">
              <w:rPr>
                <w:rFonts w:ascii="Arial" w:hAnsi="Arial"/>
                <w:sz w:val="20"/>
              </w:rPr>
              <w:t>j. Naujosios Zelandijos doleriai (NZD)</w:t>
            </w:r>
          </w:p>
        </w:tc>
        <w:tc>
          <w:tcPr>
            <w:tcW w:w="2745" w:type="dxa"/>
            <w:tcBorders>
              <w:left w:val="nil"/>
              <w:right w:val="nil"/>
            </w:tcBorders>
            <w:noWrap/>
            <w:hideMark/>
          </w:tcPr>
          <w:p w:rsidRPr="00910723" w:rsidR="00411573" w:rsidP="00435435" w:rsidRDefault="00411573" w14:paraId="426706A6" w14:textId="77777777">
            <w:pPr>
              <w:jc w:val="right"/>
              <w:rPr>
                <w:rFonts w:ascii="Arial" w:hAnsi="Arial" w:eastAsia="Times New Roman" w:cs="Arial"/>
                <w:sz w:val="20"/>
                <w:szCs w:val="20"/>
              </w:rPr>
            </w:pPr>
            <w:r w:rsidRPr="00910723">
              <w:rPr>
                <w:rFonts w:ascii="Arial" w:hAnsi="Arial"/>
                <w:sz w:val="20"/>
              </w:rPr>
              <w:t> </w:t>
            </w:r>
          </w:p>
        </w:tc>
      </w:tr>
      <w:tr w:rsidRPr="00910723" w:rsidR="00411573" w:rsidTr="00435435" w14:paraId="79AE04AC" w14:textId="77777777">
        <w:trPr>
          <w:trHeight w:val="300"/>
        </w:trPr>
        <w:tc>
          <w:tcPr>
            <w:tcW w:w="6804" w:type="dxa"/>
            <w:gridSpan w:val="2"/>
            <w:tcBorders>
              <w:left w:val="nil"/>
              <w:right w:val="nil"/>
            </w:tcBorders>
            <w:noWrap/>
            <w:hideMark/>
          </w:tcPr>
          <w:p w:rsidRPr="00910723" w:rsidR="00411573" w:rsidP="00435435" w:rsidRDefault="00411573" w14:paraId="3FF0AB61" w14:textId="77777777">
            <w:pPr>
              <w:ind w:firstLine="200" w:firstLineChars="100"/>
              <w:rPr>
                <w:rFonts w:ascii="Arial" w:hAnsi="Arial" w:eastAsia="Times New Roman" w:cs="Arial"/>
                <w:sz w:val="20"/>
                <w:szCs w:val="20"/>
              </w:rPr>
            </w:pPr>
            <w:r w:rsidRPr="00910723">
              <w:rPr>
                <w:rFonts w:ascii="Arial" w:hAnsi="Arial"/>
                <w:sz w:val="20"/>
              </w:rPr>
              <w:t>k. Švedijos kronos (SEK)</w:t>
            </w:r>
          </w:p>
        </w:tc>
        <w:tc>
          <w:tcPr>
            <w:tcW w:w="2745" w:type="dxa"/>
            <w:tcBorders>
              <w:left w:val="nil"/>
              <w:right w:val="nil"/>
            </w:tcBorders>
            <w:noWrap/>
            <w:hideMark/>
          </w:tcPr>
          <w:p w:rsidRPr="00910723" w:rsidR="00411573" w:rsidP="00435435" w:rsidRDefault="00411573" w14:paraId="0EEB732B" w14:textId="77777777">
            <w:pPr>
              <w:jc w:val="right"/>
              <w:rPr>
                <w:rFonts w:ascii="Arial" w:hAnsi="Arial" w:eastAsia="Times New Roman" w:cs="Arial"/>
                <w:sz w:val="20"/>
                <w:szCs w:val="20"/>
              </w:rPr>
            </w:pPr>
            <w:r w:rsidRPr="00910723">
              <w:rPr>
                <w:rFonts w:ascii="Arial" w:hAnsi="Arial"/>
                <w:sz w:val="20"/>
              </w:rPr>
              <w:t> </w:t>
            </w:r>
          </w:p>
        </w:tc>
      </w:tr>
      <w:tr w:rsidRPr="00910723" w:rsidR="00411573" w:rsidTr="00435435" w14:paraId="156DE257" w14:textId="77777777">
        <w:trPr>
          <w:trHeight w:val="300"/>
        </w:trPr>
        <w:tc>
          <w:tcPr>
            <w:tcW w:w="6804" w:type="dxa"/>
            <w:gridSpan w:val="2"/>
            <w:tcBorders>
              <w:left w:val="nil"/>
              <w:right w:val="nil"/>
            </w:tcBorders>
            <w:noWrap/>
            <w:hideMark/>
          </w:tcPr>
          <w:p w:rsidRPr="00910723" w:rsidR="00411573" w:rsidP="00435435" w:rsidRDefault="00411573" w14:paraId="23F62256" w14:textId="77777777">
            <w:pPr>
              <w:ind w:firstLine="200" w:firstLineChars="100"/>
              <w:rPr>
                <w:rFonts w:ascii="Arial" w:hAnsi="Arial" w:eastAsia="Times New Roman" w:cs="Arial"/>
                <w:sz w:val="20"/>
                <w:szCs w:val="20"/>
              </w:rPr>
            </w:pPr>
            <w:r w:rsidRPr="00910723">
              <w:rPr>
                <w:rFonts w:ascii="Arial" w:hAnsi="Arial"/>
                <w:sz w:val="20"/>
              </w:rPr>
              <w:t>l. Jungtinių Amerikos Valstijų doleriai (USD)</w:t>
            </w:r>
          </w:p>
        </w:tc>
        <w:tc>
          <w:tcPr>
            <w:tcW w:w="2745" w:type="dxa"/>
            <w:tcBorders>
              <w:left w:val="nil"/>
              <w:right w:val="nil"/>
            </w:tcBorders>
            <w:noWrap/>
            <w:hideMark/>
          </w:tcPr>
          <w:p w:rsidRPr="00910723" w:rsidR="00411573" w:rsidP="00435435" w:rsidRDefault="00411573" w14:paraId="34900DCB" w14:textId="77777777">
            <w:pPr>
              <w:jc w:val="right"/>
              <w:rPr>
                <w:rFonts w:ascii="Arial" w:hAnsi="Arial" w:eastAsia="Times New Roman" w:cs="Arial"/>
                <w:sz w:val="20"/>
                <w:szCs w:val="20"/>
              </w:rPr>
            </w:pPr>
            <w:r w:rsidRPr="00910723">
              <w:rPr>
                <w:rFonts w:ascii="Arial" w:hAnsi="Arial"/>
                <w:sz w:val="20"/>
              </w:rPr>
              <w:t> </w:t>
            </w:r>
          </w:p>
        </w:tc>
      </w:tr>
      <w:tr w:rsidRPr="00910723" w:rsidR="00411573" w:rsidTr="00435435" w14:paraId="32784817" w14:textId="77777777">
        <w:trPr>
          <w:trHeight w:val="300"/>
        </w:trPr>
        <w:tc>
          <w:tcPr>
            <w:tcW w:w="6804" w:type="dxa"/>
            <w:gridSpan w:val="2"/>
            <w:tcBorders>
              <w:left w:val="nil"/>
              <w:bottom w:val="single" w:color="auto" w:sz="4" w:space="0"/>
              <w:right w:val="nil"/>
            </w:tcBorders>
            <w:noWrap/>
            <w:hideMark/>
          </w:tcPr>
          <w:p w:rsidRPr="00910723" w:rsidR="00411573" w:rsidP="00435435" w:rsidRDefault="00411573" w14:paraId="3390E2EC" w14:textId="77777777">
            <w:pPr>
              <w:ind w:firstLine="200" w:firstLineChars="100"/>
              <w:rPr>
                <w:rFonts w:ascii="Arial" w:hAnsi="Arial" w:eastAsia="Times New Roman" w:cs="Arial"/>
                <w:sz w:val="20"/>
                <w:szCs w:val="20"/>
              </w:rPr>
            </w:pPr>
            <w:r w:rsidRPr="00910723">
              <w:rPr>
                <w:rFonts w:ascii="Arial" w:hAnsi="Arial"/>
                <w:sz w:val="20"/>
              </w:rPr>
              <w:t>m. Mokėjimų veiklos rodiklis (6.a–6.l punktų suma)</w:t>
            </w:r>
          </w:p>
        </w:tc>
        <w:tc>
          <w:tcPr>
            <w:tcW w:w="2745" w:type="dxa"/>
            <w:tcBorders>
              <w:left w:val="nil"/>
              <w:bottom w:val="single" w:color="auto" w:sz="4" w:space="0"/>
              <w:right w:val="nil"/>
            </w:tcBorders>
            <w:noWrap/>
            <w:hideMark/>
          </w:tcPr>
          <w:p w:rsidRPr="00910723" w:rsidR="00411573" w:rsidP="00435435" w:rsidRDefault="00411573" w14:paraId="585E3DDE" w14:textId="77777777">
            <w:pPr>
              <w:jc w:val="right"/>
              <w:rPr>
                <w:rFonts w:ascii="Arial" w:hAnsi="Arial" w:eastAsia="Times New Roman" w:cs="Arial"/>
                <w:sz w:val="20"/>
                <w:szCs w:val="20"/>
              </w:rPr>
            </w:pPr>
            <w:r w:rsidRPr="00910723">
              <w:rPr>
                <w:rFonts w:ascii="Arial" w:hAnsi="Arial"/>
                <w:sz w:val="20"/>
              </w:rPr>
              <w:t xml:space="preserve"> </w:t>
            </w:r>
          </w:p>
        </w:tc>
      </w:tr>
      <w:tr w:rsidRPr="00910723" w:rsidR="00411573" w:rsidTr="00435435" w14:paraId="2CC9CAAA" w14:textId="77777777">
        <w:trPr>
          <w:trHeight w:val="300"/>
        </w:trPr>
        <w:tc>
          <w:tcPr>
            <w:tcW w:w="6804" w:type="dxa"/>
            <w:gridSpan w:val="2"/>
            <w:tcBorders>
              <w:left w:val="nil"/>
              <w:bottom w:val="nil"/>
              <w:right w:val="nil"/>
            </w:tcBorders>
            <w:noWrap/>
          </w:tcPr>
          <w:p w:rsidRPr="00910723" w:rsidR="00411573" w:rsidP="00435435" w:rsidRDefault="00411573" w14:paraId="4B72570C"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910723" w:rsidR="00411573" w:rsidP="00435435" w:rsidRDefault="00411573" w14:paraId="7C824624" w14:textId="77777777">
            <w:pPr>
              <w:jc w:val="center"/>
              <w:rPr>
                <w:rFonts w:ascii="Arial" w:hAnsi="Arial" w:eastAsia="Times New Roman" w:cs="Arial"/>
                <w:b/>
                <w:bCs/>
                <w:sz w:val="20"/>
                <w:szCs w:val="20"/>
                <w:lang w:eastAsia="en-GB"/>
              </w:rPr>
            </w:pPr>
          </w:p>
        </w:tc>
      </w:tr>
      <w:tr w:rsidRPr="00910723" w:rsidR="00411573" w:rsidTr="00435435" w14:paraId="6C3E94B0" w14:textId="77777777">
        <w:trPr>
          <w:trHeight w:val="300"/>
        </w:trPr>
        <w:tc>
          <w:tcPr>
            <w:tcW w:w="6804" w:type="dxa"/>
            <w:gridSpan w:val="2"/>
            <w:tcBorders>
              <w:top w:val="nil"/>
              <w:left w:val="nil"/>
              <w:bottom w:val="single" w:color="auto" w:sz="4" w:space="0"/>
              <w:right w:val="nil"/>
            </w:tcBorders>
            <w:noWrap/>
            <w:hideMark/>
          </w:tcPr>
          <w:p w:rsidRPr="00910723" w:rsidR="00411573" w:rsidP="00435435" w:rsidRDefault="00411573" w14:paraId="5470B1B3" w14:textId="77777777">
            <w:pPr>
              <w:rPr>
                <w:rFonts w:ascii="Arial" w:hAnsi="Arial" w:eastAsia="Times New Roman" w:cs="Arial"/>
                <w:b/>
                <w:bCs/>
                <w:sz w:val="20"/>
                <w:szCs w:val="20"/>
              </w:rPr>
            </w:pPr>
            <w:r w:rsidRPr="00910723">
              <w:rPr>
                <w:rFonts w:ascii="Arial" w:hAnsi="Arial"/>
                <w:b/>
                <w:sz w:val="20"/>
              </w:rPr>
              <w:t>7 skirsnis. Saugomas turtas</w:t>
            </w:r>
          </w:p>
        </w:tc>
        <w:tc>
          <w:tcPr>
            <w:tcW w:w="2745" w:type="dxa"/>
            <w:tcBorders>
              <w:top w:val="nil"/>
              <w:left w:val="nil"/>
              <w:bottom w:val="single" w:color="auto" w:sz="4" w:space="0"/>
              <w:right w:val="nil"/>
            </w:tcBorders>
            <w:hideMark/>
          </w:tcPr>
          <w:p w:rsidRPr="00910723" w:rsidR="00411573" w:rsidP="00435435" w:rsidRDefault="00411573" w14:paraId="025E06FC" w14:textId="77777777">
            <w:pPr>
              <w:jc w:val="center"/>
              <w:rPr>
                <w:rFonts w:ascii="Arial" w:hAnsi="Arial" w:eastAsia="Times New Roman" w:cs="Arial"/>
                <w:b/>
                <w:bCs/>
                <w:sz w:val="20"/>
                <w:szCs w:val="20"/>
              </w:rPr>
            </w:pPr>
            <w:r w:rsidRPr="00910723">
              <w:rPr>
                <w:rFonts w:ascii="Arial" w:hAnsi="Arial"/>
                <w:b/>
                <w:sz w:val="20"/>
              </w:rPr>
              <w:t>Suma</w:t>
            </w:r>
          </w:p>
        </w:tc>
      </w:tr>
      <w:tr w:rsidRPr="00910723" w:rsidR="00411573" w:rsidTr="00435435" w14:paraId="64BE30AE" w14:textId="77777777">
        <w:trPr>
          <w:trHeight w:val="300"/>
        </w:trPr>
        <w:tc>
          <w:tcPr>
            <w:tcW w:w="6804" w:type="dxa"/>
            <w:gridSpan w:val="2"/>
            <w:tcBorders>
              <w:left w:val="nil"/>
              <w:bottom w:val="single" w:color="auto" w:sz="4" w:space="0"/>
              <w:right w:val="nil"/>
            </w:tcBorders>
            <w:noWrap/>
            <w:hideMark/>
          </w:tcPr>
          <w:p w:rsidRPr="00910723" w:rsidR="00411573" w:rsidP="00435435" w:rsidRDefault="00411573" w14:paraId="37DB050C" w14:textId="77777777">
            <w:pPr>
              <w:ind w:firstLine="200" w:firstLineChars="100"/>
              <w:rPr>
                <w:rFonts w:ascii="Arial" w:hAnsi="Arial" w:eastAsia="Times New Roman" w:cs="Arial"/>
                <w:sz w:val="20"/>
                <w:szCs w:val="20"/>
              </w:rPr>
            </w:pPr>
            <w:r w:rsidRPr="00910723">
              <w:rPr>
                <w:rFonts w:ascii="Arial" w:hAnsi="Arial"/>
                <w:sz w:val="20"/>
              </w:rPr>
              <w:t>a. Saugomo turto rodiklis</w:t>
            </w:r>
          </w:p>
        </w:tc>
        <w:tc>
          <w:tcPr>
            <w:tcW w:w="2745" w:type="dxa"/>
            <w:tcBorders>
              <w:left w:val="nil"/>
              <w:bottom w:val="single" w:color="auto" w:sz="4" w:space="0"/>
              <w:right w:val="nil"/>
            </w:tcBorders>
            <w:noWrap/>
            <w:hideMark/>
          </w:tcPr>
          <w:p w:rsidRPr="00910723" w:rsidR="00411573" w:rsidP="00435435" w:rsidRDefault="00411573" w14:paraId="685D777F" w14:textId="77777777">
            <w:pPr>
              <w:jc w:val="right"/>
              <w:rPr>
                <w:rFonts w:ascii="Arial" w:hAnsi="Arial" w:eastAsia="Times New Roman" w:cs="Arial"/>
                <w:sz w:val="20"/>
                <w:szCs w:val="20"/>
              </w:rPr>
            </w:pPr>
            <w:r w:rsidRPr="00910723">
              <w:rPr>
                <w:rFonts w:ascii="Arial" w:hAnsi="Arial"/>
                <w:sz w:val="20"/>
              </w:rPr>
              <w:t> </w:t>
            </w:r>
          </w:p>
        </w:tc>
      </w:tr>
      <w:tr w:rsidRPr="00910723" w:rsidR="00411573" w:rsidTr="00435435" w14:paraId="51FB81CF" w14:textId="77777777">
        <w:trPr>
          <w:trHeight w:val="300"/>
        </w:trPr>
        <w:tc>
          <w:tcPr>
            <w:tcW w:w="6804" w:type="dxa"/>
            <w:gridSpan w:val="2"/>
            <w:tcBorders>
              <w:left w:val="nil"/>
              <w:bottom w:val="nil"/>
              <w:right w:val="nil"/>
            </w:tcBorders>
            <w:noWrap/>
          </w:tcPr>
          <w:p w:rsidRPr="00910723" w:rsidR="00411573" w:rsidP="00435435" w:rsidRDefault="00411573" w14:paraId="6F5E727A" w14:textId="77777777">
            <w:pPr>
              <w:rPr>
                <w:rFonts w:ascii="Arial" w:hAnsi="Arial" w:eastAsia="Times New Roman" w:cs="Arial"/>
                <w:b/>
                <w:bCs/>
                <w:sz w:val="20"/>
                <w:szCs w:val="20"/>
                <w:lang w:eastAsia="en-GB"/>
              </w:rPr>
            </w:pPr>
          </w:p>
        </w:tc>
        <w:tc>
          <w:tcPr>
            <w:tcW w:w="2745" w:type="dxa"/>
            <w:tcBorders>
              <w:left w:val="nil"/>
              <w:bottom w:val="nil"/>
              <w:right w:val="nil"/>
            </w:tcBorders>
            <w:noWrap/>
          </w:tcPr>
          <w:p w:rsidRPr="00910723" w:rsidR="00411573" w:rsidP="00435435" w:rsidRDefault="00411573" w14:paraId="155AA869" w14:textId="77777777">
            <w:pPr>
              <w:jc w:val="center"/>
              <w:rPr>
                <w:rFonts w:ascii="Arial" w:hAnsi="Arial" w:eastAsia="Times New Roman" w:cs="Arial"/>
                <w:b/>
                <w:bCs/>
                <w:sz w:val="20"/>
                <w:szCs w:val="20"/>
                <w:lang w:eastAsia="en-GB"/>
              </w:rPr>
            </w:pPr>
          </w:p>
        </w:tc>
      </w:tr>
      <w:tr w:rsidRPr="00910723" w:rsidR="00411573" w:rsidTr="00435435" w14:paraId="32226548" w14:textId="77777777">
        <w:trPr>
          <w:trHeight w:val="300"/>
        </w:trPr>
        <w:tc>
          <w:tcPr>
            <w:tcW w:w="6804" w:type="dxa"/>
            <w:gridSpan w:val="2"/>
            <w:tcBorders>
              <w:top w:val="nil"/>
              <w:left w:val="nil"/>
              <w:bottom w:val="single" w:color="auto" w:sz="4" w:space="0"/>
              <w:right w:val="nil"/>
            </w:tcBorders>
            <w:noWrap/>
          </w:tcPr>
          <w:p w:rsidRPr="00910723" w:rsidR="00411573" w:rsidP="00435435" w:rsidRDefault="00411573" w14:paraId="38AFCED9" w14:textId="77777777">
            <w:pPr>
              <w:rPr>
                <w:rFonts w:ascii="Arial" w:hAnsi="Arial" w:eastAsia="Times New Roman" w:cs="Arial"/>
                <w:sz w:val="20"/>
                <w:szCs w:val="20"/>
              </w:rPr>
            </w:pPr>
            <w:r w:rsidRPr="00910723">
              <w:rPr>
                <w:rFonts w:ascii="Arial" w:hAnsi="Arial"/>
                <w:b/>
                <w:sz w:val="20"/>
              </w:rPr>
              <w:t>8 skirsnis. Pasirašyti sandoriai skolos ir nuosavybės vertybinių popierių rinkose</w:t>
            </w:r>
          </w:p>
        </w:tc>
        <w:tc>
          <w:tcPr>
            <w:tcW w:w="2745" w:type="dxa"/>
            <w:tcBorders>
              <w:top w:val="nil"/>
              <w:left w:val="nil"/>
              <w:bottom w:val="single" w:color="auto" w:sz="4" w:space="0"/>
              <w:right w:val="nil"/>
            </w:tcBorders>
            <w:noWrap/>
          </w:tcPr>
          <w:p w:rsidRPr="00910723" w:rsidR="00411573" w:rsidP="00435435" w:rsidRDefault="00411573" w14:paraId="4B9F1CD8" w14:textId="77777777">
            <w:pPr>
              <w:jc w:val="center"/>
              <w:rPr>
                <w:rFonts w:ascii="Arial" w:hAnsi="Arial" w:eastAsia="Times New Roman" w:cs="Arial"/>
                <w:b/>
                <w:bCs/>
                <w:sz w:val="20"/>
                <w:szCs w:val="20"/>
              </w:rPr>
            </w:pPr>
            <w:r w:rsidRPr="00910723">
              <w:rPr>
                <w:rFonts w:ascii="Arial" w:hAnsi="Arial"/>
                <w:b/>
                <w:sz w:val="20"/>
              </w:rPr>
              <w:t>Suma</w:t>
            </w:r>
          </w:p>
        </w:tc>
      </w:tr>
      <w:tr w:rsidRPr="00910723" w:rsidR="00411573" w:rsidTr="00435435" w14:paraId="3B33FBEE" w14:textId="77777777">
        <w:trPr>
          <w:trHeight w:val="300"/>
        </w:trPr>
        <w:tc>
          <w:tcPr>
            <w:tcW w:w="6804" w:type="dxa"/>
            <w:gridSpan w:val="2"/>
            <w:tcBorders>
              <w:left w:val="nil"/>
              <w:right w:val="nil"/>
            </w:tcBorders>
            <w:noWrap/>
            <w:hideMark/>
          </w:tcPr>
          <w:p w:rsidRPr="00910723" w:rsidR="00411573" w:rsidP="00435435" w:rsidRDefault="00411573" w14:paraId="6C945AB0" w14:textId="77777777">
            <w:pPr>
              <w:ind w:firstLine="200" w:firstLineChars="100"/>
              <w:rPr>
                <w:rFonts w:ascii="Arial" w:hAnsi="Arial" w:eastAsia="Times New Roman" w:cs="Arial"/>
                <w:sz w:val="20"/>
                <w:szCs w:val="20"/>
              </w:rPr>
            </w:pPr>
            <w:r w:rsidRPr="00910723">
              <w:rPr>
                <w:rFonts w:ascii="Arial" w:hAnsi="Arial"/>
                <w:sz w:val="20"/>
              </w:rPr>
              <w:t>a. Nuosavybės vertybinių popierių platinimo veikla</w:t>
            </w:r>
          </w:p>
        </w:tc>
        <w:tc>
          <w:tcPr>
            <w:tcW w:w="2745" w:type="dxa"/>
            <w:tcBorders>
              <w:left w:val="nil"/>
              <w:right w:val="nil"/>
            </w:tcBorders>
            <w:noWrap/>
            <w:hideMark/>
          </w:tcPr>
          <w:p w:rsidRPr="00910723" w:rsidR="00411573" w:rsidP="00435435" w:rsidRDefault="00411573" w14:paraId="1268027C" w14:textId="77777777">
            <w:pPr>
              <w:jc w:val="right"/>
              <w:rPr>
                <w:rFonts w:ascii="Arial" w:hAnsi="Arial" w:eastAsia="Times New Roman" w:cs="Arial"/>
                <w:sz w:val="20"/>
                <w:szCs w:val="20"/>
              </w:rPr>
            </w:pPr>
            <w:r w:rsidRPr="00910723">
              <w:rPr>
                <w:rFonts w:ascii="Arial" w:hAnsi="Arial"/>
                <w:sz w:val="20"/>
              </w:rPr>
              <w:t> </w:t>
            </w:r>
          </w:p>
        </w:tc>
      </w:tr>
      <w:tr w:rsidRPr="00910723" w:rsidR="00411573" w:rsidTr="00435435" w14:paraId="5A60665F" w14:textId="77777777">
        <w:trPr>
          <w:trHeight w:val="300"/>
        </w:trPr>
        <w:tc>
          <w:tcPr>
            <w:tcW w:w="6804" w:type="dxa"/>
            <w:gridSpan w:val="2"/>
            <w:tcBorders>
              <w:left w:val="nil"/>
              <w:right w:val="nil"/>
            </w:tcBorders>
            <w:noWrap/>
            <w:hideMark/>
          </w:tcPr>
          <w:p w:rsidRPr="00910723" w:rsidR="00411573" w:rsidP="00435435" w:rsidRDefault="00411573" w14:paraId="5454ABBB" w14:textId="77777777">
            <w:pPr>
              <w:ind w:firstLine="200" w:firstLineChars="100"/>
              <w:rPr>
                <w:rFonts w:ascii="Arial" w:hAnsi="Arial" w:eastAsia="Times New Roman" w:cs="Arial"/>
                <w:sz w:val="20"/>
                <w:szCs w:val="20"/>
              </w:rPr>
            </w:pPr>
            <w:r w:rsidRPr="00910723">
              <w:rPr>
                <w:rFonts w:ascii="Arial" w:hAnsi="Arial"/>
                <w:sz w:val="20"/>
              </w:rPr>
              <w:t>b. Skolos priemonių platinimo veikla</w:t>
            </w:r>
          </w:p>
        </w:tc>
        <w:tc>
          <w:tcPr>
            <w:tcW w:w="2745" w:type="dxa"/>
            <w:tcBorders>
              <w:left w:val="nil"/>
              <w:right w:val="nil"/>
            </w:tcBorders>
            <w:noWrap/>
            <w:hideMark/>
          </w:tcPr>
          <w:p w:rsidRPr="00910723" w:rsidR="00411573" w:rsidP="00435435" w:rsidRDefault="00411573" w14:paraId="4F4D0FB5" w14:textId="77777777">
            <w:pPr>
              <w:jc w:val="right"/>
              <w:rPr>
                <w:rFonts w:ascii="Arial" w:hAnsi="Arial" w:eastAsia="Times New Roman" w:cs="Arial"/>
                <w:sz w:val="20"/>
                <w:szCs w:val="20"/>
              </w:rPr>
            </w:pPr>
            <w:r w:rsidRPr="00910723">
              <w:rPr>
                <w:rFonts w:ascii="Arial" w:hAnsi="Arial"/>
                <w:sz w:val="20"/>
              </w:rPr>
              <w:t> </w:t>
            </w:r>
          </w:p>
        </w:tc>
      </w:tr>
      <w:tr w:rsidRPr="00910723" w:rsidR="00411573" w:rsidTr="00435435" w14:paraId="7E7019BC" w14:textId="77777777">
        <w:trPr>
          <w:trHeight w:val="300"/>
        </w:trPr>
        <w:tc>
          <w:tcPr>
            <w:tcW w:w="6804" w:type="dxa"/>
            <w:gridSpan w:val="2"/>
            <w:tcBorders>
              <w:left w:val="nil"/>
              <w:bottom w:val="single" w:color="auto" w:sz="4" w:space="0"/>
              <w:right w:val="nil"/>
            </w:tcBorders>
            <w:noWrap/>
            <w:hideMark/>
          </w:tcPr>
          <w:p w:rsidRPr="00910723" w:rsidR="00411573" w:rsidP="00435435" w:rsidRDefault="00411573" w14:paraId="3F443FA0" w14:textId="77777777">
            <w:pPr>
              <w:ind w:firstLine="200" w:firstLineChars="100"/>
              <w:rPr>
                <w:rFonts w:ascii="Arial" w:hAnsi="Arial" w:eastAsia="Times New Roman" w:cs="Arial"/>
                <w:sz w:val="20"/>
                <w:szCs w:val="20"/>
              </w:rPr>
            </w:pPr>
            <w:r w:rsidRPr="00910723">
              <w:rPr>
                <w:rFonts w:ascii="Arial" w:hAnsi="Arial"/>
                <w:sz w:val="20"/>
              </w:rPr>
              <w:t>c. Platinimo veiklos rodiklis (8.a ir 8.b punktų suma)</w:t>
            </w:r>
          </w:p>
        </w:tc>
        <w:tc>
          <w:tcPr>
            <w:tcW w:w="2745" w:type="dxa"/>
            <w:tcBorders>
              <w:left w:val="nil"/>
              <w:bottom w:val="single" w:color="auto" w:sz="4" w:space="0"/>
              <w:right w:val="nil"/>
            </w:tcBorders>
            <w:noWrap/>
            <w:hideMark/>
          </w:tcPr>
          <w:p w:rsidRPr="00910723" w:rsidR="00411573" w:rsidP="00435435" w:rsidRDefault="00411573" w14:paraId="3849B34B" w14:textId="77777777">
            <w:pPr>
              <w:jc w:val="right"/>
              <w:rPr>
                <w:rFonts w:ascii="Arial" w:hAnsi="Arial" w:eastAsia="Times New Roman" w:cs="Arial"/>
                <w:sz w:val="20"/>
                <w:szCs w:val="20"/>
              </w:rPr>
            </w:pPr>
            <w:r w:rsidRPr="00910723">
              <w:rPr>
                <w:rFonts w:ascii="Arial" w:hAnsi="Arial"/>
                <w:sz w:val="20"/>
              </w:rPr>
              <w:t> </w:t>
            </w:r>
          </w:p>
        </w:tc>
      </w:tr>
      <w:tr w:rsidRPr="00910723" w:rsidR="00411573" w:rsidTr="00435435" w14:paraId="7AB6D644" w14:textId="77777777">
        <w:trPr>
          <w:trHeight w:val="300"/>
        </w:trPr>
        <w:tc>
          <w:tcPr>
            <w:tcW w:w="6804" w:type="dxa"/>
            <w:gridSpan w:val="2"/>
            <w:tcBorders>
              <w:left w:val="nil"/>
              <w:bottom w:val="nil"/>
              <w:right w:val="nil"/>
            </w:tcBorders>
            <w:noWrap/>
          </w:tcPr>
          <w:p w:rsidRPr="00910723" w:rsidR="00411573" w:rsidP="00435435" w:rsidRDefault="00411573" w14:paraId="2D984B2B"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910723" w:rsidR="00411573" w:rsidP="00435435" w:rsidRDefault="00411573" w14:paraId="46886C7D" w14:textId="77777777">
            <w:pPr>
              <w:jc w:val="center"/>
              <w:rPr>
                <w:rFonts w:ascii="Arial" w:hAnsi="Arial" w:eastAsia="Times New Roman" w:cs="Arial"/>
                <w:b/>
                <w:bCs/>
                <w:sz w:val="20"/>
                <w:szCs w:val="20"/>
                <w:lang w:eastAsia="en-GB"/>
              </w:rPr>
            </w:pPr>
          </w:p>
        </w:tc>
      </w:tr>
      <w:tr w:rsidRPr="00910723" w:rsidR="00411573" w:rsidTr="00435435" w14:paraId="63F52F4E" w14:textId="77777777">
        <w:trPr>
          <w:trHeight w:val="300"/>
        </w:trPr>
        <w:tc>
          <w:tcPr>
            <w:tcW w:w="6804" w:type="dxa"/>
            <w:gridSpan w:val="2"/>
            <w:tcBorders>
              <w:top w:val="nil"/>
              <w:left w:val="nil"/>
              <w:right w:val="nil"/>
            </w:tcBorders>
            <w:noWrap/>
            <w:hideMark/>
          </w:tcPr>
          <w:p w:rsidRPr="00910723" w:rsidR="00411573" w:rsidP="00435435" w:rsidRDefault="00411573" w14:paraId="5346ED42" w14:textId="77777777">
            <w:pPr>
              <w:rPr>
                <w:rFonts w:ascii="Arial" w:hAnsi="Arial" w:eastAsia="Times New Roman" w:cs="Arial"/>
                <w:b/>
                <w:bCs/>
                <w:sz w:val="20"/>
                <w:szCs w:val="20"/>
              </w:rPr>
            </w:pPr>
            <w:r w:rsidRPr="00910723">
              <w:rPr>
                <w:rFonts w:ascii="Arial" w:hAnsi="Arial"/>
                <w:b/>
                <w:sz w:val="20"/>
              </w:rPr>
              <w:t>9 skirsnis. Prekybos mastas</w:t>
            </w:r>
          </w:p>
        </w:tc>
        <w:tc>
          <w:tcPr>
            <w:tcW w:w="2745" w:type="dxa"/>
            <w:tcBorders>
              <w:top w:val="nil"/>
              <w:left w:val="nil"/>
              <w:right w:val="nil"/>
            </w:tcBorders>
            <w:hideMark/>
          </w:tcPr>
          <w:p w:rsidRPr="00910723" w:rsidR="00411573" w:rsidP="00435435" w:rsidRDefault="00411573" w14:paraId="6308CEDF" w14:textId="77777777">
            <w:pPr>
              <w:jc w:val="center"/>
              <w:rPr>
                <w:rFonts w:ascii="Arial" w:hAnsi="Arial" w:eastAsia="Times New Roman" w:cs="Arial"/>
                <w:b/>
                <w:bCs/>
                <w:sz w:val="20"/>
                <w:szCs w:val="20"/>
              </w:rPr>
            </w:pPr>
            <w:r w:rsidRPr="00910723">
              <w:rPr>
                <w:rFonts w:ascii="Arial" w:hAnsi="Arial"/>
                <w:b/>
                <w:sz w:val="20"/>
              </w:rPr>
              <w:t>Suma</w:t>
            </w:r>
          </w:p>
        </w:tc>
      </w:tr>
      <w:tr w:rsidRPr="00910723" w:rsidR="00411573" w:rsidTr="00435435" w14:paraId="25009937" w14:textId="77777777">
        <w:trPr>
          <w:trHeight w:val="300"/>
        </w:trPr>
        <w:tc>
          <w:tcPr>
            <w:tcW w:w="6804" w:type="dxa"/>
            <w:gridSpan w:val="2"/>
            <w:tcBorders>
              <w:left w:val="nil"/>
              <w:right w:val="nil"/>
            </w:tcBorders>
            <w:noWrap/>
          </w:tcPr>
          <w:p w:rsidRPr="00910723" w:rsidR="00411573" w:rsidP="00435435" w:rsidRDefault="00411573" w14:paraId="5024AB8F" w14:textId="77777777">
            <w:pPr>
              <w:ind w:left="171" w:firstLine="28" w:firstLineChars="14"/>
              <w:rPr>
                <w:rFonts w:ascii="Arial" w:hAnsi="Arial" w:eastAsia="Times New Roman" w:cs="Arial"/>
                <w:sz w:val="20"/>
                <w:szCs w:val="20"/>
              </w:rPr>
            </w:pPr>
            <w:r w:rsidRPr="00910723">
              <w:rPr>
                <w:rFonts w:ascii="Arial" w:hAnsi="Arial"/>
                <w:sz w:val="20"/>
              </w:rPr>
              <w:t>a. Prekybos kitų viešojo sektoriaus subjektų išleistais vertybiniais popieriais mastas, išskyrus grupės vidaus sandorius</w:t>
            </w:r>
          </w:p>
        </w:tc>
        <w:tc>
          <w:tcPr>
            <w:tcW w:w="2745" w:type="dxa"/>
            <w:tcBorders>
              <w:left w:val="nil"/>
              <w:right w:val="nil"/>
            </w:tcBorders>
            <w:noWrap/>
          </w:tcPr>
          <w:p w:rsidRPr="00910723" w:rsidR="00411573" w:rsidP="00435435" w:rsidRDefault="00411573" w14:paraId="29D68031" w14:textId="77777777">
            <w:pPr>
              <w:jc w:val="right"/>
              <w:rPr>
                <w:rFonts w:ascii="Arial" w:hAnsi="Arial" w:eastAsia="Times New Roman" w:cs="Arial"/>
                <w:sz w:val="20"/>
                <w:szCs w:val="20"/>
                <w:lang w:eastAsia="en-GB"/>
              </w:rPr>
            </w:pPr>
          </w:p>
        </w:tc>
      </w:tr>
      <w:tr w:rsidRPr="00910723" w:rsidR="00411573" w:rsidTr="00435435" w14:paraId="00F6B1B5" w14:textId="77777777">
        <w:trPr>
          <w:trHeight w:val="300"/>
        </w:trPr>
        <w:tc>
          <w:tcPr>
            <w:tcW w:w="6804" w:type="dxa"/>
            <w:gridSpan w:val="2"/>
            <w:tcBorders>
              <w:left w:val="nil"/>
              <w:bottom w:val="single" w:color="auto" w:sz="4" w:space="0"/>
              <w:right w:val="nil"/>
            </w:tcBorders>
            <w:noWrap/>
            <w:hideMark/>
          </w:tcPr>
          <w:p w:rsidRPr="00910723" w:rsidR="00411573" w:rsidP="00435435" w:rsidRDefault="00411573" w14:paraId="23029C6A" w14:textId="77777777">
            <w:pPr>
              <w:ind w:left="171" w:firstLine="28" w:firstLineChars="14"/>
              <w:rPr>
                <w:rFonts w:ascii="Arial" w:hAnsi="Arial" w:eastAsia="Times New Roman" w:cs="Arial"/>
                <w:sz w:val="20"/>
                <w:szCs w:val="20"/>
              </w:rPr>
            </w:pPr>
            <w:r w:rsidRPr="00910723">
              <w:rPr>
                <w:rFonts w:ascii="Arial" w:hAnsi="Arial"/>
                <w:sz w:val="20"/>
              </w:rPr>
              <w:t>b. Prekybos kitais pastovių pajamų vertybiniais popieriais mastas, išskyrus grupės vidaus sandorius</w:t>
            </w:r>
          </w:p>
        </w:tc>
        <w:tc>
          <w:tcPr>
            <w:tcW w:w="2745" w:type="dxa"/>
            <w:tcBorders>
              <w:left w:val="nil"/>
              <w:right w:val="nil"/>
            </w:tcBorders>
            <w:noWrap/>
            <w:hideMark/>
          </w:tcPr>
          <w:p w:rsidRPr="00910723" w:rsidR="00411573" w:rsidP="00435435" w:rsidRDefault="00411573" w14:paraId="36374249" w14:textId="77777777">
            <w:pPr>
              <w:jc w:val="right"/>
              <w:rPr>
                <w:rFonts w:ascii="Arial" w:hAnsi="Arial" w:eastAsia="Times New Roman" w:cs="Arial"/>
                <w:sz w:val="20"/>
                <w:szCs w:val="20"/>
              </w:rPr>
            </w:pPr>
            <w:r w:rsidRPr="00910723">
              <w:rPr>
                <w:rFonts w:ascii="Arial" w:hAnsi="Arial"/>
                <w:sz w:val="20"/>
              </w:rPr>
              <w:t> </w:t>
            </w:r>
          </w:p>
        </w:tc>
      </w:tr>
      <w:tr w:rsidRPr="00910723" w:rsidR="00411573" w:rsidTr="00435435" w14:paraId="50B3A655" w14:textId="77777777">
        <w:trPr>
          <w:gridAfter w:val="1"/>
          <w:wAfter w:w="2745" w:type="dxa"/>
          <w:trHeight w:val="300"/>
        </w:trPr>
        <w:tc>
          <w:tcPr>
            <w:tcW w:w="6804" w:type="dxa"/>
            <w:gridSpan w:val="2"/>
            <w:tcBorders>
              <w:left w:val="nil"/>
              <w:bottom w:val="single" w:color="auto" w:sz="4" w:space="0"/>
              <w:right w:val="nil"/>
            </w:tcBorders>
            <w:noWrap/>
            <w:hideMark/>
          </w:tcPr>
          <w:p w:rsidRPr="00910723" w:rsidR="00411573" w:rsidP="00435435" w:rsidRDefault="00411573" w14:paraId="130C0F4D" w14:textId="77777777">
            <w:pPr>
              <w:ind w:firstLine="200" w:firstLineChars="100"/>
              <w:rPr>
                <w:rFonts w:ascii="Arial" w:hAnsi="Arial" w:eastAsia="Times New Roman" w:cs="Arial"/>
                <w:sz w:val="20"/>
                <w:szCs w:val="20"/>
              </w:rPr>
            </w:pPr>
            <w:r w:rsidRPr="00910723">
              <w:rPr>
                <w:rFonts w:ascii="Arial" w:hAnsi="Arial"/>
                <w:sz w:val="20"/>
              </w:rPr>
              <w:t>c. Prekybos pastovių pajamų vertybiniais popieriais masto subrodiklis (9.a ir 9.b punktų suma)</w:t>
            </w:r>
          </w:p>
        </w:tc>
      </w:tr>
      <w:tr w:rsidRPr="00910723" w:rsidR="00411573" w:rsidTr="00435435" w14:paraId="004E28A1" w14:textId="77777777">
        <w:trPr>
          <w:trHeight w:val="300"/>
        </w:trPr>
        <w:tc>
          <w:tcPr>
            <w:tcW w:w="6804" w:type="dxa"/>
            <w:gridSpan w:val="2"/>
            <w:tcBorders>
              <w:left w:val="nil"/>
              <w:right w:val="nil"/>
            </w:tcBorders>
            <w:noWrap/>
            <w:hideMark/>
          </w:tcPr>
          <w:p w:rsidRPr="00910723" w:rsidR="00411573" w:rsidP="00435435" w:rsidRDefault="00411573" w14:paraId="1700FA6A" w14:textId="77777777">
            <w:pPr>
              <w:ind w:firstLine="200" w:firstLineChars="100"/>
              <w:rPr>
                <w:rFonts w:ascii="Arial" w:hAnsi="Arial" w:eastAsia="Times New Roman" w:cs="Arial"/>
                <w:sz w:val="20"/>
                <w:szCs w:val="20"/>
              </w:rPr>
            </w:pPr>
            <w:r w:rsidRPr="00910723">
              <w:rPr>
                <w:rFonts w:ascii="Arial" w:hAnsi="Arial"/>
                <w:sz w:val="20"/>
              </w:rPr>
              <w:t>d. Prekybos biržoje kotiruojamais nuosavybės vertybiniais popieriais mastas, išskyrus grupės vidaus sandorius</w:t>
            </w:r>
          </w:p>
        </w:tc>
        <w:tc>
          <w:tcPr>
            <w:tcW w:w="2745" w:type="dxa"/>
            <w:tcBorders>
              <w:left w:val="nil"/>
              <w:right w:val="nil"/>
            </w:tcBorders>
            <w:noWrap/>
            <w:hideMark/>
          </w:tcPr>
          <w:p w:rsidRPr="00910723" w:rsidR="00411573" w:rsidP="00435435" w:rsidRDefault="00411573" w14:paraId="1B93631E" w14:textId="77777777">
            <w:pPr>
              <w:jc w:val="right"/>
              <w:rPr>
                <w:rFonts w:ascii="Arial" w:hAnsi="Arial" w:eastAsia="Times New Roman" w:cs="Arial"/>
                <w:sz w:val="20"/>
                <w:szCs w:val="20"/>
              </w:rPr>
            </w:pPr>
            <w:r w:rsidRPr="00910723">
              <w:rPr>
                <w:rFonts w:ascii="Arial" w:hAnsi="Arial"/>
                <w:sz w:val="20"/>
              </w:rPr>
              <w:t> </w:t>
            </w:r>
          </w:p>
        </w:tc>
      </w:tr>
      <w:tr w:rsidRPr="00910723" w:rsidR="00411573" w:rsidTr="00435435" w14:paraId="612BF6D5" w14:textId="77777777">
        <w:trPr>
          <w:trHeight w:val="300"/>
        </w:trPr>
        <w:tc>
          <w:tcPr>
            <w:tcW w:w="6804" w:type="dxa"/>
            <w:gridSpan w:val="2"/>
            <w:tcBorders>
              <w:left w:val="nil"/>
              <w:bottom w:val="single" w:color="auto" w:sz="4" w:space="0"/>
              <w:right w:val="nil"/>
            </w:tcBorders>
            <w:noWrap/>
            <w:hideMark/>
          </w:tcPr>
          <w:p w:rsidRPr="00910723" w:rsidR="00411573" w:rsidP="00435435" w:rsidRDefault="00411573" w14:paraId="51795AD7" w14:textId="77777777">
            <w:pPr>
              <w:ind w:left="171"/>
              <w:rPr>
                <w:rFonts w:ascii="Arial" w:hAnsi="Arial" w:eastAsia="Times New Roman" w:cs="Arial"/>
                <w:sz w:val="20"/>
                <w:szCs w:val="20"/>
              </w:rPr>
            </w:pPr>
            <w:r w:rsidRPr="00910723">
              <w:rPr>
                <w:rFonts w:ascii="Arial" w:hAnsi="Arial"/>
                <w:sz w:val="20"/>
              </w:rPr>
              <w:t>e. Prekybos visais kitais vertybiniais popieriais mastas, išskyrus grupės vidaus sandorius</w:t>
            </w:r>
          </w:p>
        </w:tc>
        <w:tc>
          <w:tcPr>
            <w:tcW w:w="2745" w:type="dxa"/>
            <w:tcBorders>
              <w:left w:val="nil"/>
              <w:right w:val="nil"/>
            </w:tcBorders>
            <w:noWrap/>
            <w:hideMark/>
          </w:tcPr>
          <w:p w:rsidRPr="00910723" w:rsidR="00411573" w:rsidP="00435435" w:rsidRDefault="00411573" w14:paraId="379EC658" w14:textId="77777777">
            <w:pPr>
              <w:jc w:val="right"/>
              <w:rPr>
                <w:rFonts w:ascii="Arial" w:hAnsi="Arial" w:eastAsia="Times New Roman" w:cs="Arial"/>
                <w:sz w:val="20"/>
                <w:szCs w:val="20"/>
              </w:rPr>
            </w:pPr>
            <w:r w:rsidRPr="00910723">
              <w:rPr>
                <w:rFonts w:ascii="Arial" w:hAnsi="Arial"/>
                <w:sz w:val="20"/>
              </w:rPr>
              <w:t> </w:t>
            </w:r>
          </w:p>
        </w:tc>
      </w:tr>
      <w:tr w:rsidRPr="00910723" w:rsidR="00411573" w:rsidTr="00435435" w14:paraId="6C2B90D2" w14:textId="77777777">
        <w:trPr>
          <w:gridAfter w:val="1"/>
          <w:wAfter w:w="2745" w:type="dxa"/>
          <w:trHeight w:val="300"/>
        </w:trPr>
        <w:tc>
          <w:tcPr>
            <w:tcW w:w="6804" w:type="dxa"/>
            <w:gridSpan w:val="2"/>
            <w:tcBorders>
              <w:left w:val="nil"/>
              <w:bottom w:val="single" w:color="auto" w:sz="4" w:space="0"/>
              <w:right w:val="nil"/>
            </w:tcBorders>
            <w:noWrap/>
            <w:hideMark/>
          </w:tcPr>
          <w:p w:rsidRPr="00910723" w:rsidR="00411573" w:rsidP="00435435" w:rsidRDefault="00411573" w14:paraId="6EA9338D" w14:textId="77777777">
            <w:pPr>
              <w:ind w:left="171" w:firstLine="28" w:firstLineChars="14"/>
              <w:rPr>
                <w:rFonts w:ascii="Arial" w:hAnsi="Arial" w:eastAsia="Times New Roman" w:cs="Arial"/>
                <w:sz w:val="20"/>
                <w:szCs w:val="20"/>
              </w:rPr>
            </w:pPr>
            <w:r w:rsidRPr="00910723">
              <w:rPr>
                <w:rFonts w:ascii="Arial" w:hAnsi="Arial"/>
                <w:sz w:val="20"/>
              </w:rPr>
              <w:t>f. Prekybos nuosavybės vertybiniais popieriais ir kitais vertybiniais popieriais masto subrodiklis (9.d ir 9.e punktų suma)</w:t>
            </w:r>
          </w:p>
        </w:tc>
      </w:tr>
      <w:tr w:rsidRPr="00910723" w:rsidR="00411573" w:rsidTr="00435435" w14:paraId="6D8FDDBA" w14:textId="77777777">
        <w:trPr>
          <w:trHeight w:val="403"/>
        </w:trPr>
        <w:tc>
          <w:tcPr>
            <w:tcW w:w="6804" w:type="dxa"/>
            <w:gridSpan w:val="2"/>
            <w:tcBorders>
              <w:left w:val="nil"/>
              <w:bottom w:val="nil"/>
              <w:right w:val="nil"/>
            </w:tcBorders>
            <w:noWrap/>
          </w:tcPr>
          <w:p w:rsidRPr="00910723" w:rsidR="00411573" w:rsidP="00435435" w:rsidRDefault="00411573" w14:paraId="5E5FB801" w14:textId="77777777">
            <w:pPr>
              <w:keepNext/>
              <w:keepLines/>
              <w:spacing w:before="47"/>
              <w:outlineLvl w:val="5"/>
              <w:rPr>
                <w:rFonts w:ascii="Arial" w:hAnsi="Arial" w:eastAsia="Times New Roman" w:cs="Arial"/>
                <w:i/>
                <w:iCs/>
                <w:caps/>
                <w:color w:val="172B39" w:themeColor="accent1" w:themeShade="80"/>
                <w:sz w:val="20"/>
                <w:szCs w:val="20"/>
                <w:lang w:eastAsia="en-GB"/>
              </w:rPr>
            </w:pPr>
          </w:p>
        </w:tc>
        <w:tc>
          <w:tcPr>
            <w:tcW w:w="2745" w:type="dxa"/>
            <w:tcBorders>
              <w:left w:val="nil"/>
              <w:bottom w:val="nil"/>
              <w:right w:val="nil"/>
            </w:tcBorders>
            <w:noWrap/>
          </w:tcPr>
          <w:p w:rsidRPr="00910723" w:rsidR="00411573" w:rsidP="00435435" w:rsidRDefault="00411573" w14:paraId="1922F7F9" w14:textId="77777777">
            <w:pPr>
              <w:rPr>
                <w:rFonts w:ascii="Arial" w:hAnsi="Arial" w:eastAsia="Times New Roman" w:cs="Arial"/>
                <w:sz w:val="20"/>
                <w:szCs w:val="20"/>
                <w:lang w:eastAsia="en-GB"/>
              </w:rPr>
            </w:pPr>
          </w:p>
        </w:tc>
      </w:tr>
      <w:tr w:rsidRPr="00910723" w:rsidR="00411573" w:rsidTr="00435435" w14:paraId="3861875E" w14:textId="77777777">
        <w:trPr>
          <w:trHeight w:val="403"/>
        </w:trPr>
        <w:tc>
          <w:tcPr>
            <w:tcW w:w="6804" w:type="dxa"/>
            <w:gridSpan w:val="2"/>
            <w:tcBorders>
              <w:top w:val="nil"/>
              <w:left w:val="nil"/>
              <w:bottom w:val="nil"/>
              <w:right w:val="nil"/>
            </w:tcBorders>
            <w:noWrap/>
            <w:hideMark/>
          </w:tcPr>
          <w:p w:rsidRPr="00910723" w:rsidR="00411573" w:rsidP="00435435" w:rsidRDefault="00411573" w14:paraId="433A1358" w14:textId="77777777">
            <w:pPr>
              <w:keepNext/>
              <w:keepLines/>
              <w:spacing w:before="47"/>
              <w:outlineLvl w:val="5"/>
              <w:rPr>
                <w:rFonts w:asciiTheme="majorHAnsi" w:hAnsiTheme="majorHAnsi" w:eastAsiaTheme="majorEastAsia" w:cstheme="majorBidi"/>
                <w:b/>
                <w:bCs/>
                <w:i/>
                <w:iCs/>
                <w:caps/>
                <w:spacing w:val="-2"/>
              </w:rPr>
            </w:pPr>
            <w:r w:rsidRPr="00910723">
              <w:rPr>
                <w:rFonts w:ascii="Arial" w:hAnsi="Arial"/>
                <w:i/>
                <w:caps/>
                <w:color w:val="172B39" w:themeColor="accent1" w:themeShade="80"/>
                <w:sz w:val="20"/>
              </w:rPr>
              <w:t> </w:t>
            </w:r>
            <w:r w:rsidRPr="00910723">
              <w:rPr>
                <w:rFonts w:asciiTheme="majorHAnsi" w:hAnsiTheme="majorHAnsi"/>
                <w:b/>
                <w:i/>
                <w:caps/>
              </w:rPr>
              <w:t>Sudėtingumo rodikliai</w:t>
            </w:r>
          </w:p>
          <w:p w:rsidRPr="00910723" w:rsidR="00411573" w:rsidP="00435435" w:rsidRDefault="00411573" w14:paraId="2604EAAA" w14:textId="77777777">
            <w:pPr>
              <w:ind w:firstLine="200" w:firstLineChars="100"/>
              <w:rPr>
                <w:rFonts w:ascii="Arial" w:hAnsi="Arial" w:eastAsia="Times New Roman" w:cs="Arial"/>
                <w:sz w:val="20"/>
                <w:szCs w:val="20"/>
                <w:lang w:eastAsia="en-GB"/>
              </w:rPr>
            </w:pPr>
          </w:p>
        </w:tc>
        <w:tc>
          <w:tcPr>
            <w:tcW w:w="2745" w:type="dxa"/>
            <w:tcBorders>
              <w:top w:val="nil"/>
              <w:left w:val="nil"/>
              <w:bottom w:val="nil"/>
              <w:right w:val="nil"/>
            </w:tcBorders>
            <w:noWrap/>
            <w:hideMark/>
          </w:tcPr>
          <w:p w:rsidRPr="00910723" w:rsidR="00411573" w:rsidP="00435435" w:rsidRDefault="00411573" w14:paraId="25AB517A" w14:textId="77777777">
            <w:pPr>
              <w:rPr>
                <w:rFonts w:ascii="Arial" w:hAnsi="Arial" w:eastAsia="Times New Roman" w:cs="Arial"/>
                <w:sz w:val="20"/>
                <w:szCs w:val="20"/>
              </w:rPr>
            </w:pPr>
            <w:r w:rsidRPr="00910723">
              <w:rPr>
                <w:rFonts w:ascii="Arial" w:hAnsi="Arial"/>
                <w:sz w:val="20"/>
              </w:rPr>
              <w:t> </w:t>
            </w:r>
          </w:p>
        </w:tc>
      </w:tr>
      <w:tr w:rsidRPr="00910723" w:rsidR="00411573" w:rsidTr="00435435" w14:paraId="3BB77A50" w14:textId="77777777">
        <w:trPr>
          <w:trHeight w:val="403"/>
        </w:trPr>
        <w:tc>
          <w:tcPr>
            <w:tcW w:w="6804" w:type="dxa"/>
            <w:gridSpan w:val="2"/>
            <w:tcBorders>
              <w:top w:val="nil"/>
              <w:left w:val="nil"/>
              <w:bottom w:val="single" w:color="auto" w:sz="4" w:space="0"/>
              <w:right w:val="nil"/>
            </w:tcBorders>
            <w:noWrap/>
          </w:tcPr>
          <w:p w:rsidRPr="00910723" w:rsidR="00411573" w:rsidP="00435435" w:rsidRDefault="00411573" w14:paraId="1092F705" w14:textId="77777777">
            <w:pPr>
              <w:keepNext/>
              <w:keepLines/>
              <w:spacing w:before="47"/>
              <w:outlineLvl w:val="5"/>
              <w:rPr>
                <w:rFonts w:ascii="Arial" w:hAnsi="Arial" w:eastAsia="Times New Roman" w:cs="Arial"/>
                <w:i/>
                <w:iCs/>
                <w:caps/>
                <w:color w:val="172B39" w:themeColor="accent1" w:themeShade="80"/>
                <w:sz w:val="20"/>
                <w:szCs w:val="20"/>
                <w:lang w:eastAsia="en-GB"/>
              </w:rPr>
            </w:pPr>
          </w:p>
        </w:tc>
        <w:tc>
          <w:tcPr>
            <w:tcW w:w="2745" w:type="dxa"/>
            <w:tcBorders>
              <w:top w:val="nil"/>
              <w:left w:val="nil"/>
              <w:bottom w:val="single" w:color="auto" w:sz="4" w:space="0"/>
              <w:right w:val="nil"/>
            </w:tcBorders>
            <w:noWrap/>
          </w:tcPr>
          <w:p w:rsidRPr="00910723" w:rsidR="00411573" w:rsidP="00435435" w:rsidRDefault="00411573" w14:paraId="711B346F" w14:textId="77777777">
            <w:pPr>
              <w:rPr>
                <w:rFonts w:ascii="Arial" w:hAnsi="Arial" w:eastAsia="Times New Roman" w:cs="Arial"/>
                <w:sz w:val="20"/>
                <w:szCs w:val="20"/>
                <w:lang w:eastAsia="en-GB"/>
              </w:rPr>
            </w:pPr>
          </w:p>
        </w:tc>
      </w:tr>
      <w:tr w:rsidRPr="00910723" w:rsidR="00411573" w:rsidTr="00435435" w14:paraId="7D8A432F" w14:textId="77777777">
        <w:trPr>
          <w:trHeight w:val="300"/>
        </w:trPr>
        <w:tc>
          <w:tcPr>
            <w:tcW w:w="6804" w:type="dxa"/>
            <w:gridSpan w:val="2"/>
            <w:tcBorders>
              <w:left w:val="nil"/>
              <w:right w:val="nil"/>
            </w:tcBorders>
            <w:noWrap/>
          </w:tcPr>
          <w:p w:rsidRPr="00910723" w:rsidR="00411573" w:rsidP="00435435" w:rsidRDefault="00411573" w14:paraId="08DC2FCC" w14:textId="77777777">
            <w:pPr>
              <w:ind w:firstLine="201" w:firstLineChars="100"/>
              <w:rPr>
                <w:rFonts w:ascii="Arial" w:hAnsi="Arial" w:eastAsia="Times New Roman" w:cs="Arial"/>
                <w:sz w:val="20"/>
                <w:szCs w:val="20"/>
              </w:rPr>
            </w:pPr>
            <w:r w:rsidRPr="00910723">
              <w:rPr>
                <w:rFonts w:ascii="Arial" w:hAnsi="Arial"/>
                <w:b/>
                <w:sz w:val="20"/>
              </w:rPr>
              <w:t>10 skirsnis. Tariamoji ne biržos (OTC) išvestinių finansinių priemonių suma</w:t>
            </w:r>
          </w:p>
        </w:tc>
        <w:tc>
          <w:tcPr>
            <w:tcW w:w="2745" w:type="dxa"/>
            <w:tcBorders>
              <w:left w:val="nil"/>
              <w:right w:val="nil"/>
            </w:tcBorders>
            <w:noWrap/>
          </w:tcPr>
          <w:p w:rsidRPr="00910723" w:rsidR="00411573" w:rsidP="00435435" w:rsidRDefault="00411573" w14:paraId="02226BB2" w14:textId="77777777">
            <w:pPr>
              <w:jc w:val="center"/>
              <w:rPr>
                <w:rFonts w:ascii="Arial" w:hAnsi="Arial" w:eastAsia="Times New Roman" w:cs="Arial"/>
                <w:b/>
                <w:bCs/>
                <w:sz w:val="20"/>
                <w:szCs w:val="20"/>
              </w:rPr>
            </w:pPr>
            <w:r w:rsidRPr="00910723">
              <w:rPr>
                <w:rFonts w:ascii="Arial" w:hAnsi="Arial"/>
                <w:b/>
                <w:sz w:val="20"/>
              </w:rPr>
              <w:t>Suma</w:t>
            </w:r>
          </w:p>
        </w:tc>
      </w:tr>
      <w:tr w:rsidRPr="00910723" w:rsidR="00411573" w:rsidTr="00435435" w14:paraId="3B6EDA6C" w14:textId="77777777">
        <w:trPr>
          <w:trHeight w:val="300"/>
        </w:trPr>
        <w:tc>
          <w:tcPr>
            <w:tcW w:w="6804" w:type="dxa"/>
            <w:gridSpan w:val="2"/>
            <w:tcBorders>
              <w:left w:val="nil"/>
              <w:right w:val="nil"/>
            </w:tcBorders>
            <w:noWrap/>
            <w:hideMark/>
          </w:tcPr>
          <w:p w:rsidRPr="00910723" w:rsidR="00411573" w:rsidP="00435435" w:rsidRDefault="00411573" w14:paraId="3C4052C5" w14:textId="77777777">
            <w:pPr>
              <w:ind w:firstLine="200" w:firstLineChars="100"/>
              <w:rPr>
                <w:rFonts w:ascii="Arial" w:hAnsi="Arial" w:eastAsia="Times New Roman" w:cs="Arial"/>
                <w:sz w:val="20"/>
                <w:szCs w:val="20"/>
              </w:rPr>
            </w:pPr>
            <w:r w:rsidRPr="00910723">
              <w:rPr>
                <w:rFonts w:ascii="Arial" w:hAnsi="Arial"/>
                <w:sz w:val="20"/>
              </w:rPr>
              <w:t>a. Ne biržos (OTC) išvestinės finansinės priemonės, kurių tarpuskaita atliekama per pagrindinę sandorio šalį</w:t>
            </w:r>
          </w:p>
        </w:tc>
        <w:tc>
          <w:tcPr>
            <w:tcW w:w="2745" w:type="dxa"/>
            <w:tcBorders>
              <w:left w:val="nil"/>
              <w:right w:val="nil"/>
            </w:tcBorders>
            <w:noWrap/>
            <w:hideMark/>
          </w:tcPr>
          <w:p w:rsidRPr="00910723" w:rsidR="00411573" w:rsidP="00435435" w:rsidRDefault="00411573" w14:paraId="0AB42151" w14:textId="77777777">
            <w:pPr>
              <w:jc w:val="right"/>
              <w:rPr>
                <w:rFonts w:ascii="Arial" w:hAnsi="Arial" w:eastAsia="Times New Roman" w:cs="Arial"/>
                <w:sz w:val="20"/>
                <w:szCs w:val="20"/>
              </w:rPr>
            </w:pPr>
            <w:r w:rsidRPr="00910723">
              <w:rPr>
                <w:rFonts w:ascii="Arial" w:hAnsi="Arial"/>
                <w:sz w:val="20"/>
              </w:rPr>
              <w:t> </w:t>
            </w:r>
          </w:p>
        </w:tc>
      </w:tr>
      <w:tr w:rsidRPr="00910723" w:rsidR="00411573" w:rsidTr="00435435" w14:paraId="2F3818C1" w14:textId="77777777">
        <w:trPr>
          <w:trHeight w:val="300"/>
        </w:trPr>
        <w:tc>
          <w:tcPr>
            <w:tcW w:w="6804" w:type="dxa"/>
            <w:gridSpan w:val="2"/>
            <w:tcBorders>
              <w:left w:val="nil"/>
              <w:right w:val="nil"/>
            </w:tcBorders>
            <w:noWrap/>
            <w:hideMark/>
          </w:tcPr>
          <w:p w:rsidRPr="00910723" w:rsidR="00411573" w:rsidP="00435435" w:rsidRDefault="00411573" w14:paraId="26BE2B57" w14:textId="77777777">
            <w:pPr>
              <w:ind w:firstLine="200" w:firstLineChars="100"/>
              <w:rPr>
                <w:rFonts w:ascii="Arial" w:hAnsi="Arial" w:eastAsia="Times New Roman" w:cs="Arial"/>
                <w:sz w:val="20"/>
                <w:szCs w:val="20"/>
              </w:rPr>
            </w:pPr>
            <w:r w:rsidRPr="00910723">
              <w:rPr>
                <w:rFonts w:ascii="Arial" w:hAnsi="Arial"/>
                <w:sz w:val="20"/>
              </w:rPr>
              <w:t>b. Ne biržos (OTC) išvestinės finansinės priemonės, už kurias atsiskaitoma dvišaliu būdu</w:t>
            </w:r>
          </w:p>
        </w:tc>
        <w:tc>
          <w:tcPr>
            <w:tcW w:w="2745" w:type="dxa"/>
            <w:tcBorders>
              <w:left w:val="nil"/>
              <w:right w:val="nil"/>
            </w:tcBorders>
            <w:noWrap/>
            <w:hideMark/>
          </w:tcPr>
          <w:p w:rsidRPr="00910723" w:rsidR="00411573" w:rsidP="00435435" w:rsidRDefault="00411573" w14:paraId="689174BB" w14:textId="77777777">
            <w:pPr>
              <w:jc w:val="right"/>
              <w:rPr>
                <w:rFonts w:ascii="Arial" w:hAnsi="Arial" w:eastAsia="Times New Roman" w:cs="Arial"/>
                <w:sz w:val="20"/>
                <w:szCs w:val="20"/>
              </w:rPr>
            </w:pPr>
            <w:r w:rsidRPr="00910723">
              <w:rPr>
                <w:rFonts w:ascii="Arial" w:hAnsi="Arial"/>
                <w:sz w:val="20"/>
              </w:rPr>
              <w:t> </w:t>
            </w:r>
          </w:p>
        </w:tc>
      </w:tr>
      <w:tr w:rsidRPr="00910723" w:rsidR="00411573" w:rsidTr="00435435" w14:paraId="04E1B73F" w14:textId="77777777">
        <w:trPr>
          <w:trHeight w:val="300"/>
        </w:trPr>
        <w:tc>
          <w:tcPr>
            <w:tcW w:w="6804" w:type="dxa"/>
            <w:gridSpan w:val="2"/>
            <w:tcBorders>
              <w:left w:val="nil"/>
              <w:bottom w:val="single" w:color="auto" w:sz="4" w:space="0"/>
              <w:right w:val="nil"/>
            </w:tcBorders>
            <w:noWrap/>
          </w:tcPr>
          <w:p w:rsidRPr="00910723" w:rsidR="00411573" w:rsidP="00435435" w:rsidRDefault="00411573" w14:paraId="161A7065" w14:textId="77777777">
            <w:pPr>
              <w:ind w:left="171" w:firstLine="28" w:firstLineChars="14"/>
              <w:rPr>
                <w:rFonts w:ascii="Arial" w:hAnsi="Arial" w:eastAsia="Times New Roman" w:cs="Arial"/>
                <w:sz w:val="20"/>
                <w:szCs w:val="20"/>
              </w:rPr>
            </w:pPr>
            <w:r w:rsidRPr="00910723">
              <w:rPr>
                <w:rFonts w:ascii="Arial" w:hAnsi="Arial"/>
                <w:sz w:val="20"/>
              </w:rPr>
              <w:t>c. Tariamosios ne biržos (OTC) išvestinių finansinių priemonių sumos rodiklis, įskaitant draudimo patronuojamąsias įmones (10.a ir 10.b punktų suma)</w:t>
            </w:r>
          </w:p>
        </w:tc>
        <w:tc>
          <w:tcPr>
            <w:tcW w:w="2745" w:type="dxa"/>
            <w:tcBorders>
              <w:left w:val="nil"/>
              <w:bottom w:val="single" w:color="auto" w:sz="4" w:space="0"/>
              <w:right w:val="nil"/>
            </w:tcBorders>
            <w:noWrap/>
          </w:tcPr>
          <w:p w:rsidRPr="00910723" w:rsidR="00411573" w:rsidP="00435435" w:rsidRDefault="00411573" w14:paraId="0F5682B9" w14:textId="77777777">
            <w:pPr>
              <w:jc w:val="right"/>
              <w:rPr>
                <w:rFonts w:ascii="Arial" w:hAnsi="Arial" w:eastAsia="Times New Roman" w:cs="Arial"/>
                <w:sz w:val="20"/>
                <w:szCs w:val="20"/>
                <w:lang w:eastAsia="en-GB"/>
              </w:rPr>
            </w:pPr>
          </w:p>
        </w:tc>
      </w:tr>
      <w:tr w:rsidRPr="00910723" w:rsidR="00411573" w:rsidTr="00435435" w14:paraId="27EC71D5" w14:textId="77777777">
        <w:trPr>
          <w:trHeight w:val="300"/>
        </w:trPr>
        <w:tc>
          <w:tcPr>
            <w:tcW w:w="6804" w:type="dxa"/>
            <w:gridSpan w:val="2"/>
            <w:tcBorders>
              <w:left w:val="nil"/>
              <w:bottom w:val="nil"/>
              <w:right w:val="nil"/>
            </w:tcBorders>
            <w:noWrap/>
          </w:tcPr>
          <w:p w:rsidRPr="00910723" w:rsidR="00411573" w:rsidP="00435435" w:rsidRDefault="00411573" w14:paraId="623F9CAA"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910723" w:rsidR="00411573" w:rsidP="00435435" w:rsidRDefault="00411573" w14:paraId="3D6A091D" w14:textId="77777777">
            <w:pPr>
              <w:jc w:val="center"/>
              <w:rPr>
                <w:rFonts w:ascii="Arial" w:hAnsi="Arial" w:eastAsia="Times New Roman" w:cs="Arial"/>
                <w:b/>
                <w:bCs/>
                <w:sz w:val="20"/>
                <w:szCs w:val="20"/>
                <w:lang w:eastAsia="en-GB"/>
              </w:rPr>
            </w:pPr>
          </w:p>
        </w:tc>
      </w:tr>
      <w:tr w:rsidRPr="00910723" w:rsidR="00411573" w:rsidTr="00435435" w14:paraId="4B1F6178" w14:textId="77777777">
        <w:trPr>
          <w:trHeight w:val="300"/>
        </w:trPr>
        <w:tc>
          <w:tcPr>
            <w:tcW w:w="6804" w:type="dxa"/>
            <w:gridSpan w:val="2"/>
            <w:tcBorders>
              <w:top w:val="nil"/>
              <w:left w:val="nil"/>
              <w:bottom w:val="single" w:color="auto" w:sz="4" w:space="0"/>
              <w:right w:val="nil"/>
            </w:tcBorders>
            <w:noWrap/>
            <w:hideMark/>
          </w:tcPr>
          <w:p w:rsidRPr="00910723" w:rsidR="00411573" w:rsidP="00435435" w:rsidRDefault="00411573" w14:paraId="34D7B91E" w14:textId="77777777">
            <w:pPr>
              <w:rPr>
                <w:rFonts w:ascii="Arial" w:hAnsi="Arial" w:eastAsia="Times New Roman" w:cs="Arial"/>
                <w:b/>
                <w:bCs/>
                <w:sz w:val="20"/>
                <w:szCs w:val="20"/>
              </w:rPr>
            </w:pPr>
            <w:r w:rsidRPr="00910723">
              <w:rPr>
                <w:rFonts w:ascii="Arial" w:hAnsi="Arial"/>
                <w:b/>
                <w:sz w:val="20"/>
              </w:rPr>
              <w:t>11 skirsnis. Prekybai laikomi ir skirti parduoti vertybiniai popieriai</w:t>
            </w:r>
          </w:p>
        </w:tc>
        <w:tc>
          <w:tcPr>
            <w:tcW w:w="2745" w:type="dxa"/>
            <w:tcBorders>
              <w:top w:val="nil"/>
              <w:left w:val="nil"/>
              <w:bottom w:val="single" w:color="auto" w:sz="4" w:space="0"/>
              <w:right w:val="nil"/>
            </w:tcBorders>
            <w:hideMark/>
          </w:tcPr>
          <w:p w:rsidRPr="00910723" w:rsidR="00411573" w:rsidP="00435435" w:rsidRDefault="00411573" w14:paraId="52E58B57" w14:textId="77777777">
            <w:pPr>
              <w:jc w:val="center"/>
              <w:rPr>
                <w:rFonts w:ascii="Arial" w:hAnsi="Arial" w:eastAsia="Times New Roman" w:cs="Arial"/>
                <w:b/>
                <w:bCs/>
                <w:sz w:val="20"/>
                <w:szCs w:val="20"/>
              </w:rPr>
            </w:pPr>
            <w:r w:rsidRPr="00910723">
              <w:rPr>
                <w:rFonts w:ascii="Arial" w:hAnsi="Arial"/>
                <w:b/>
                <w:sz w:val="20"/>
              </w:rPr>
              <w:t>Suma</w:t>
            </w:r>
          </w:p>
        </w:tc>
      </w:tr>
      <w:tr w:rsidRPr="00910723" w:rsidR="00411573" w:rsidTr="00435435" w14:paraId="23C92531" w14:textId="77777777">
        <w:trPr>
          <w:trHeight w:val="300"/>
        </w:trPr>
        <w:tc>
          <w:tcPr>
            <w:tcW w:w="6804" w:type="dxa"/>
            <w:gridSpan w:val="2"/>
            <w:tcBorders>
              <w:left w:val="nil"/>
              <w:right w:val="nil"/>
            </w:tcBorders>
            <w:noWrap/>
            <w:hideMark/>
          </w:tcPr>
          <w:p w:rsidRPr="00910723" w:rsidR="00411573" w:rsidP="00435435" w:rsidRDefault="00411573" w14:paraId="0DEB22C5" w14:textId="77777777">
            <w:pPr>
              <w:ind w:firstLine="200" w:firstLineChars="100"/>
              <w:rPr>
                <w:rFonts w:ascii="Arial" w:hAnsi="Arial" w:eastAsia="Times New Roman" w:cs="Arial"/>
                <w:sz w:val="20"/>
                <w:szCs w:val="20"/>
              </w:rPr>
            </w:pPr>
            <w:r w:rsidRPr="00910723">
              <w:rPr>
                <w:rFonts w:ascii="Arial" w:hAnsi="Arial"/>
                <w:sz w:val="20"/>
              </w:rPr>
              <w:t>a. Prekybai laikomi vertybiniai popieriai</w:t>
            </w:r>
          </w:p>
        </w:tc>
        <w:tc>
          <w:tcPr>
            <w:tcW w:w="2745" w:type="dxa"/>
            <w:tcBorders>
              <w:left w:val="nil"/>
              <w:right w:val="nil"/>
            </w:tcBorders>
            <w:noWrap/>
            <w:hideMark/>
          </w:tcPr>
          <w:p w:rsidRPr="00910723" w:rsidR="00411573" w:rsidP="00435435" w:rsidRDefault="00411573" w14:paraId="10A1A1CE" w14:textId="77777777">
            <w:pPr>
              <w:jc w:val="right"/>
              <w:rPr>
                <w:rFonts w:ascii="Arial" w:hAnsi="Arial" w:eastAsia="Times New Roman" w:cs="Arial"/>
                <w:sz w:val="20"/>
                <w:szCs w:val="20"/>
              </w:rPr>
            </w:pPr>
            <w:r w:rsidRPr="00910723">
              <w:rPr>
                <w:rFonts w:ascii="Arial" w:hAnsi="Arial"/>
                <w:sz w:val="20"/>
              </w:rPr>
              <w:t> </w:t>
            </w:r>
          </w:p>
        </w:tc>
      </w:tr>
      <w:tr w:rsidRPr="00910723" w:rsidR="00411573" w:rsidTr="00435435" w14:paraId="3F0C8372" w14:textId="77777777">
        <w:trPr>
          <w:trHeight w:val="300"/>
        </w:trPr>
        <w:tc>
          <w:tcPr>
            <w:tcW w:w="6804" w:type="dxa"/>
            <w:gridSpan w:val="2"/>
            <w:tcBorders>
              <w:left w:val="nil"/>
              <w:bottom w:val="single" w:color="auto" w:sz="4" w:space="0"/>
              <w:right w:val="nil"/>
            </w:tcBorders>
            <w:noWrap/>
            <w:hideMark/>
          </w:tcPr>
          <w:p w:rsidRPr="00910723" w:rsidR="00411573" w:rsidP="00435435" w:rsidRDefault="00411573" w14:paraId="76A49BF8" w14:textId="77777777">
            <w:pPr>
              <w:ind w:firstLine="200" w:firstLineChars="100"/>
              <w:rPr>
                <w:rFonts w:ascii="Arial" w:hAnsi="Arial" w:eastAsia="Times New Roman" w:cs="Arial"/>
                <w:sz w:val="20"/>
                <w:szCs w:val="20"/>
              </w:rPr>
            </w:pPr>
            <w:r w:rsidRPr="00910723">
              <w:rPr>
                <w:rFonts w:ascii="Arial" w:hAnsi="Arial"/>
                <w:sz w:val="20"/>
              </w:rPr>
              <w:t>b. Skirti parduoti vertybiniai popieriai</w:t>
            </w:r>
          </w:p>
        </w:tc>
        <w:tc>
          <w:tcPr>
            <w:tcW w:w="2745" w:type="dxa"/>
            <w:tcBorders>
              <w:left w:val="nil"/>
              <w:right w:val="nil"/>
            </w:tcBorders>
            <w:noWrap/>
            <w:hideMark/>
          </w:tcPr>
          <w:p w:rsidRPr="00910723" w:rsidR="00411573" w:rsidP="00435435" w:rsidRDefault="00411573" w14:paraId="24006AC3" w14:textId="77777777">
            <w:pPr>
              <w:jc w:val="right"/>
              <w:rPr>
                <w:rFonts w:ascii="Arial" w:hAnsi="Arial" w:eastAsia="Times New Roman" w:cs="Arial"/>
                <w:sz w:val="20"/>
                <w:szCs w:val="20"/>
              </w:rPr>
            </w:pPr>
            <w:r w:rsidRPr="00910723">
              <w:rPr>
                <w:rFonts w:ascii="Arial" w:hAnsi="Arial"/>
                <w:sz w:val="20"/>
              </w:rPr>
              <w:t> </w:t>
            </w:r>
          </w:p>
        </w:tc>
      </w:tr>
      <w:tr w:rsidRPr="00910723" w:rsidR="00411573" w:rsidTr="00435435" w14:paraId="226E045D" w14:textId="77777777">
        <w:trPr>
          <w:trHeight w:val="300"/>
        </w:trPr>
        <w:tc>
          <w:tcPr>
            <w:tcW w:w="6804" w:type="dxa"/>
            <w:gridSpan w:val="2"/>
            <w:tcBorders>
              <w:left w:val="nil"/>
              <w:bottom w:val="single" w:color="auto" w:sz="4" w:space="0"/>
              <w:right w:val="nil"/>
            </w:tcBorders>
            <w:noWrap/>
          </w:tcPr>
          <w:p w:rsidRPr="00910723" w:rsidR="00411573" w:rsidP="00435435" w:rsidRDefault="00411573" w14:paraId="5E1B86A0" w14:textId="77777777">
            <w:pPr>
              <w:ind w:firstLine="200" w:firstLineChars="100"/>
              <w:rPr>
                <w:rFonts w:ascii="Arial" w:hAnsi="Arial" w:eastAsia="Times New Roman" w:cs="Arial"/>
                <w:sz w:val="20"/>
                <w:szCs w:val="20"/>
              </w:rPr>
            </w:pPr>
            <w:r w:rsidRPr="00910723">
              <w:rPr>
                <w:rFonts w:ascii="Arial" w:hAnsi="Arial"/>
                <w:sz w:val="20"/>
              </w:rPr>
              <w:t>c. Prekybai laikomi ir skirti parduoti vertybiniai popieriai, atitinkantys 1 lygio turto kriterijus</w:t>
            </w:r>
          </w:p>
        </w:tc>
        <w:tc>
          <w:tcPr>
            <w:tcW w:w="2745" w:type="dxa"/>
            <w:tcBorders>
              <w:left w:val="nil"/>
              <w:right w:val="nil"/>
            </w:tcBorders>
            <w:noWrap/>
          </w:tcPr>
          <w:p w:rsidRPr="00910723" w:rsidR="00411573" w:rsidP="00435435" w:rsidRDefault="00411573" w14:paraId="61089CA3" w14:textId="77777777">
            <w:pPr>
              <w:jc w:val="right"/>
              <w:rPr>
                <w:rFonts w:ascii="Arial" w:hAnsi="Arial" w:eastAsia="Times New Roman" w:cs="Arial"/>
                <w:sz w:val="20"/>
                <w:szCs w:val="20"/>
                <w:lang w:eastAsia="en-GB"/>
              </w:rPr>
            </w:pPr>
          </w:p>
        </w:tc>
      </w:tr>
      <w:tr w:rsidRPr="00910723" w:rsidR="00411573" w:rsidTr="00435435" w14:paraId="5E9C49B6" w14:textId="77777777">
        <w:trPr>
          <w:trHeight w:val="300"/>
        </w:trPr>
        <w:tc>
          <w:tcPr>
            <w:tcW w:w="6804" w:type="dxa"/>
            <w:gridSpan w:val="2"/>
            <w:tcBorders>
              <w:left w:val="nil"/>
              <w:bottom w:val="single" w:color="auto" w:sz="4" w:space="0"/>
              <w:right w:val="nil"/>
            </w:tcBorders>
            <w:noWrap/>
          </w:tcPr>
          <w:p w:rsidRPr="00910723" w:rsidR="00411573" w:rsidP="00435435" w:rsidRDefault="00411573" w14:paraId="71AA33E1" w14:textId="77777777">
            <w:pPr>
              <w:ind w:left="171" w:firstLine="28" w:firstLineChars="14"/>
              <w:rPr>
                <w:rFonts w:ascii="Arial" w:hAnsi="Arial" w:eastAsia="Times New Roman" w:cs="Arial"/>
                <w:sz w:val="20"/>
                <w:szCs w:val="20"/>
              </w:rPr>
            </w:pPr>
            <w:r w:rsidRPr="00910723">
              <w:rPr>
                <w:rFonts w:ascii="Arial" w:hAnsi="Arial"/>
                <w:sz w:val="20"/>
              </w:rPr>
              <w:t>d. Prekybai laikomi ir skirti parduoti vertybiniai popieriai, atitinkantys 2 lygio turto kriterijus, su mažinančiais rizikos koeficientais</w:t>
            </w:r>
          </w:p>
        </w:tc>
        <w:tc>
          <w:tcPr>
            <w:tcW w:w="2745" w:type="dxa"/>
            <w:tcBorders>
              <w:left w:val="nil"/>
              <w:right w:val="nil"/>
            </w:tcBorders>
            <w:noWrap/>
          </w:tcPr>
          <w:p w:rsidRPr="00910723" w:rsidR="00411573" w:rsidP="00435435" w:rsidRDefault="00411573" w14:paraId="2995459C" w14:textId="77777777">
            <w:pPr>
              <w:jc w:val="right"/>
              <w:rPr>
                <w:rFonts w:ascii="Arial" w:hAnsi="Arial" w:eastAsia="Times New Roman" w:cs="Arial"/>
                <w:sz w:val="20"/>
                <w:szCs w:val="20"/>
                <w:lang w:eastAsia="en-GB"/>
              </w:rPr>
            </w:pPr>
          </w:p>
        </w:tc>
      </w:tr>
      <w:tr w:rsidRPr="00910723" w:rsidR="00411573" w:rsidTr="00435435" w14:paraId="5C0A884A" w14:textId="77777777">
        <w:trPr>
          <w:trHeight w:val="300"/>
        </w:trPr>
        <w:tc>
          <w:tcPr>
            <w:tcW w:w="6804" w:type="dxa"/>
            <w:gridSpan w:val="2"/>
            <w:tcBorders>
              <w:left w:val="nil"/>
              <w:bottom w:val="single" w:color="auto" w:sz="4" w:space="0"/>
              <w:right w:val="nil"/>
            </w:tcBorders>
            <w:noWrap/>
          </w:tcPr>
          <w:p w:rsidRPr="00910723" w:rsidR="00411573" w:rsidP="00435435" w:rsidRDefault="00411573" w14:paraId="2CC4B55E" w14:textId="77777777">
            <w:pPr>
              <w:ind w:left="171" w:firstLine="28" w:firstLineChars="14"/>
              <w:rPr>
                <w:rFonts w:ascii="Arial" w:hAnsi="Arial" w:eastAsia="Times New Roman" w:cs="Arial"/>
                <w:sz w:val="20"/>
                <w:szCs w:val="20"/>
              </w:rPr>
            </w:pPr>
            <w:r w:rsidRPr="00910723">
              <w:rPr>
                <w:rFonts w:ascii="Arial" w:hAnsi="Arial"/>
                <w:sz w:val="20"/>
              </w:rPr>
              <w:t>e. Prekybai laikomų ir skirtų parduoti vertybinių popierių rodiklis (iš 10.a ir 10.b punktų sumos atimama 10.c ir 10.d punktų suma)</w:t>
            </w:r>
          </w:p>
        </w:tc>
        <w:tc>
          <w:tcPr>
            <w:tcW w:w="2745" w:type="dxa"/>
            <w:tcBorders>
              <w:left w:val="nil"/>
              <w:bottom w:val="single" w:color="auto" w:sz="4" w:space="0"/>
              <w:right w:val="nil"/>
            </w:tcBorders>
            <w:noWrap/>
          </w:tcPr>
          <w:p w:rsidRPr="00910723" w:rsidR="00411573" w:rsidP="00435435" w:rsidRDefault="00411573" w14:paraId="116EA05B" w14:textId="77777777">
            <w:pPr>
              <w:jc w:val="right"/>
              <w:rPr>
                <w:rFonts w:ascii="Arial" w:hAnsi="Arial" w:eastAsia="Times New Roman" w:cs="Arial"/>
                <w:sz w:val="20"/>
                <w:szCs w:val="20"/>
                <w:lang w:eastAsia="en-GB"/>
              </w:rPr>
            </w:pPr>
          </w:p>
        </w:tc>
      </w:tr>
      <w:tr w:rsidRPr="00910723" w:rsidR="00411573" w:rsidTr="00435435" w14:paraId="7B8DD454" w14:textId="77777777">
        <w:trPr>
          <w:trHeight w:val="300"/>
        </w:trPr>
        <w:tc>
          <w:tcPr>
            <w:tcW w:w="6804" w:type="dxa"/>
            <w:gridSpan w:val="2"/>
            <w:tcBorders>
              <w:left w:val="nil"/>
              <w:bottom w:val="nil"/>
              <w:right w:val="nil"/>
            </w:tcBorders>
            <w:noWrap/>
          </w:tcPr>
          <w:p w:rsidRPr="00910723" w:rsidR="00411573" w:rsidP="00435435" w:rsidRDefault="00411573" w14:paraId="1B1B78CB"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910723" w:rsidR="00411573" w:rsidP="00435435" w:rsidRDefault="00411573" w14:paraId="07F5CB88" w14:textId="77777777">
            <w:pPr>
              <w:jc w:val="center"/>
              <w:rPr>
                <w:rFonts w:ascii="Arial" w:hAnsi="Arial" w:eastAsia="Times New Roman" w:cs="Arial"/>
                <w:b/>
                <w:bCs/>
                <w:sz w:val="20"/>
                <w:szCs w:val="20"/>
                <w:lang w:eastAsia="en-GB"/>
              </w:rPr>
            </w:pPr>
          </w:p>
        </w:tc>
      </w:tr>
      <w:tr w:rsidRPr="00910723" w:rsidR="00411573" w:rsidTr="00435435" w14:paraId="5C8AD03B" w14:textId="77777777">
        <w:trPr>
          <w:trHeight w:val="300"/>
        </w:trPr>
        <w:tc>
          <w:tcPr>
            <w:tcW w:w="6804" w:type="dxa"/>
            <w:gridSpan w:val="2"/>
            <w:tcBorders>
              <w:top w:val="nil"/>
              <w:left w:val="nil"/>
              <w:bottom w:val="single" w:color="auto" w:sz="4" w:space="0"/>
              <w:right w:val="nil"/>
            </w:tcBorders>
            <w:noWrap/>
            <w:hideMark/>
          </w:tcPr>
          <w:p w:rsidRPr="00910723" w:rsidR="00411573" w:rsidP="00435435" w:rsidRDefault="00411573" w14:paraId="0B179600" w14:textId="77777777">
            <w:pPr>
              <w:rPr>
                <w:rFonts w:ascii="Arial" w:hAnsi="Arial" w:eastAsia="Times New Roman" w:cs="Arial"/>
                <w:b/>
                <w:bCs/>
                <w:sz w:val="20"/>
                <w:szCs w:val="20"/>
              </w:rPr>
            </w:pPr>
            <w:r w:rsidRPr="00910723">
              <w:rPr>
                <w:rFonts w:ascii="Arial" w:hAnsi="Arial"/>
                <w:b/>
                <w:sz w:val="20"/>
              </w:rPr>
              <w:t>12 skirsnis. 3 lygio turtas</w:t>
            </w:r>
          </w:p>
        </w:tc>
        <w:tc>
          <w:tcPr>
            <w:tcW w:w="2745" w:type="dxa"/>
            <w:tcBorders>
              <w:top w:val="nil"/>
              <w:left w:val="nil"/>
              <w:bottom w:val="single" w:color="auto" w:sz="4" w:space="0"/>
              <w:right w:val="nil"/>
            </w:tcBorders>
            <w:hideMark/>
          </w:tcPr>
          <w:p w:rsidRPr="00910723" w:rsidR="00411573" w:rsidP="00435435" w:rsidRDefault="00411573" w14:paraId="22E23EAA" w14:textId="77777777">
            <w:pPr>
              <w:jc w:val="center"/>
              <w:rPr>
                <w:rFonts w:ascii="Arial" w:hAnsi="Arial" w:eastAsia="Times New Roman" w:cs="Arial"/>
                <w:b/>
                <w:bCs/>
                <w:sz w:val="20"/>
                <w:szCs w:val="20"/>
              </w:rPr>
            </w:pPr>
            <w:r w:rsidRPr="00910723">
              <w:rPr>
                <w:rFonts w:ascii="Arial" w:hAnsi="Arial"/>
                <w:b/>
                <w:sz w:val="20"/>
              </w:rPr>
              <w:t>Suma</w:t>
            </w:r>
          </w:p>
        </w:tc>
      </w:tr>
      <w:tr w:rsidRPr="00910723" w:rsidR="00411573" w:rsidTr="00435435" w14:paraId="07BADA3F" w14:textId="77777777">
        <w:trPr>
          <w:trHeight w:val="300"/>
        </w:trPr>
        <w:tc>
          <w:tcPr>
            <w:tcW w:w="6804" w:type="dxa"/>
            <w:gridSpan w:val="2"/>
            <w:tcBorders>
              <w:left w:val="nil"/>
              <w:bottom w:val="single" w:color="auto" w:sz="4" w:space="0"/>
              <w:right w:val="nil"/>
            </w:tcBorders>
            <w:noWrap/>
            <w:hideMark/>
          </w:tcPr>
          <w:p w:rsidRPr="00910723" w:rsidR="00411573" w:rsidP="00435435" w:rsidRDefault="00411573" w14:paraId="5463446B" w14:textId="77777777">
            <w:pPr>
              <w:ind w:firstLine="200" w:firstLineChars="100"/>
              <w:rPr>
                <w:rFonts w:ascii="Arial" w:hAnsi="Arial" w:eastAsia="Times New Roman" w:cs="Arial"/>
                <w:sz w:val="20"/>
                <w:szCs w:val="20"/>
              </w:rPr>
            </w:pPr>
            <w:r w:rsidRPr="00910723">
              <w:rPr>
                <w:rFonts w:ascii="Arial" w:hAnsi="Arial"/>
                <w:sz w:val="20"/>
              </w:rPr>
              <w:t xml:space="preserve">a. 3 lygio turto rodiklis, įskaitant draudimo patronuojamąsias įmones </w:t>
            </w:r>
          </w:p>
        </w:tc>
        <w:tc>
          <w:tcPr>
            <w:tcW w:w="2745" w:type="dxa"/>
            <w:tcBorders>
              <w:left w:val="nil"/>
              <w:bottom w:val="single" w:color="auto" w:sz="4" w:space="0"/>
              <w:right w:val="nil"/>
            </w:tcBorders>
            <w:noWrap/>
            <w:hideMark/>
          </w:tcPr>
          <w:p w:rsidRPr="00910723" w:rsidR="00411573" w:rsidP="00435435" w:rsidRDefault="00411573" w14:paraId="7F44A6AB" w14:textId="77777777">
            <w:pPr>
              <w:jc w:val="right"/>
              <w:rPr>
                <w:rFonts w:ascii="Arial" w:hAnsi="Arial" w:eastAsia="Times New Roman" w:cs="Arial"/>
                <w:sz w:val="20"/>
                <w:szCs w:val="20"/>
              </w:rPr>
            </w:pPr>
            <w:r w:rsidRPr="00910723">
              <w:rPr>
                <w:rFonts w:ascii="Arial" w:hAnsi="Arial"/>
                <w:sz w:val="20"/>
              </w:rPr>
              <w:t> </w:t>
            </w:r>
          </w:p>
        </w:tc>
      </w:tr>
      <w:tr w:rsidRPr="00910723" w:rsidR="00411573" w:rsidTr="00435435" w14:paraId="53D02EC5" w14:textId="77777777">
        <w:trPr>
          <w:trHeight w:val="300"/>
        </w:trPr>
        <w:tc>
          <w:tcPr>
            <w:tcW w:w="6804" w:type="dxa"/>
            <w:gridSpan w:val="2"/>
            <w:tcBorders>
              <w:left w:val="nil"/>
              <w:bottom w:val="nil"/>
              <w:right w:val="nil"/>
            </w:tcBorders>
            <w:noWrap/>
          </w:tcPr>
          <w:p w:rsidRPr="00910723" w:rsidR="00411573" w:rsidP="00435435" w:rsidRDefault="00411573" w14:paraId="26535A8F" w14:textId="77777777">
            <w:pPr>
              <w:ind w:firstLine="200" w:firstLineChars="100"/>
              <w:rPr>
                <w:rFonts w:ascii="Arial" w:hAnsi="Arial" w:eastAsia="Times New Roman" w:cs="Arial"/>
                <w:sz w:val="20"/>
                <w:szCs w:val="20"/>
                <w:lang w:eastAsia="en-GB"/>
              </w:rPr>
            </w:pPr>
          </w:p>
        </w:tc>
        <w:tc>
          <w:tcPr>
            <w:tcW w:w="2745" w:type="dxa"/>
            <w:tcBorders>
              <w:left w:val="nil"/>
              <w:bottom w:val="nil"/>
              <w:right w:val="nil"/>
            </w:tcBorders>
            <w:noWrap/>
          </w:tcPr>
          <w:p w:rsidRPr="00910723" w:rsidR="00411573" w:rsidP="00435435" w:rsidRDefault="00411573" w14:paraId="66C5F836" w14:textId="77777777">
            <w:pPr>
              <w:jc w:val="right"/>
              <w:rPr>
                <w:rFonts w:ascii="Arial" w:hAnsi="Arial" w:eastAsia="Times New Roman" w:cs="Arial"/>
                <w:sz w:val="20"/>
                <w:szCs w:val="20"/>
                <w:lang w:eastAsia="en-GB"/>
              </w:rPr>
            </w:pPr>
          </w:p>
        </w:tc>
      </w:tr>
      <w:tr w:rsidRPr="00910723" w:rsidR="00411573" w:rsidTr="00435435" w14:paraId="3283D7F0" w14:textId="77777777">
        <w:trPr>
          <w:trHeight w:val="300"/>
        </w:trPr>
        <w:tc>
          <w:tcPr>
            <w:tcW w:w="6804" w:type="dxa"/>
            <w:gridSpan w:val="2"/>
            <w:tcBorders>
              <w:top w:val="nil"/>
              <w:left w:val="nil"/>
              <w:bottom w:val="nil"/>
              <w:right w:val="nil"/>
            </w:tcBorders>
            <w:noWrap/>
          </w:tcPr>
          <w:p w:rsidRPr="00910723" w:rsidR="00411573" w:rsidP="00435435" w:rsidRDefault="00411573" w14:paraId="749F1EC5" w14:textId="77777777">
            <w:pPr>
              <w:ind w:firstLine="221" w:firstLineChars="100"/>
              <w:rPr>
                <w:rFonts w:ascii="Arial" w:hAnsi="Arial" w:eastAsia="Times New Roman" w:cs="Arial"/>
                <w:sz w:val="20"/>
                <w:szCs w:val="20"/>
              </w:rPr>
            </w:pPr>
            <w:r w:rsidRPr="00910723">
              <w:rPr>
                <w:rFonts w:asciiTheme="majorHAnsi" w:hAnsiTheme="majorHAnsi"/>
                <w:b/>
                <w:i/>
                <w:caps/>
              </w:rPr>
              <w:t>Tarpjurisdikcinės veiklos rodikliai</w:t>
            </w:r>
          </w:p>
        </w:tc>
        <w:tc>
          <w:tcPr>
            <w:tcW w:w="2745" w:type="dxa"/>
            <w:tcBorders>
              <w:top w:val="nil"/>
              <w:left w:val="nil"/>
              <w:bottom w:val="nil"/>
              <w:right w:val="nil"/>
            </w:tcBorders>
            <w:noWrap/>
          </w:tcPr>
          <w:p w:rsidRPr="00910723" w:rsidR="00411573" w:rsidP="00435435" w:rsidRDefault="00411573" w14:paraId="176C584A" w14:textId="77777777">
            <w:pPr>
              <w:jc w:val="right"/>
              <w:rPr>
                <w:rFonts w:ascii="Arial" w:hAnsi="Arial" w:eastAsia="Times New Roman" w:cs="Arial"/>
                <w:sz w:val="20"/>
                <w:szCs w:val="20"/>
                <w:lang w:eastAsia="en-GB"/>
              </w:rPr>
            </w:pPr>
          </w:p>
        </w:tc>
      </w:tr>
      <w:tr w:rsidRPr="00910723" w:rsidR="00411573" w:rsidTr="00435435" w14:paraId="7A4621CA" w14:textId="77777777">
        <w:trPr>
          <w:trHeight w:val="300"/>
        </w:trPr>
        <w:tc>
          <w:tcPr>
            <w:tcW w:w="6804" w:type="dxa"/>
            <w:gridSpan w:val="2"/>
            <w:tcBorders>
              <w:top w:val="nil"/>
              <w:left w:val="nil"/>
              <w:bottom w:val="single" w:color="auto" w:sz="4" w:space="0"/>
              <w:right w:val="nil"/>
            </w:tcBorders>
            <w:noWrap/>
          </w:tcPr>
          <w:p w:rsidRPr="00910723" w:rsidR="00411573" w:rsidP="00435435" w:rsidRDefault="00411573" w14:paraId="06FFEFDA" w14:textId="77777777">
            <w:pPr>
              <w:ind w:firstLine="200" w:firstLineChars="100"/>
              <w:rPr>
                <w:rFonts w:ascii="Arial" w:hAnsi="Arial" w:eastAsia="Times New Roman" w:cs="Arial"/>
                <w:sz w:val="20"/>
                <w:szCs w:val="20"/>
                <w:lang w:eastAsia="en-GB"/>
              </w:rPr>
            </w:pPr>
          </w:p>
        </w:tc>
        <w:tc>
          <w:tcPr>
            <w:tcW w:w="2745" w:type="dxa"/>
            <w:tcBorders>
              <w:top w:val="nil"/>
              <w:left w:val="nil"/>
              <w:bottom w:val="single" w:color="auto" w:sz="4" w:space="0"/>
              <w:right w:val="nil"/>
            </w:tcBorders>
            <w:noWrap/>
          </w:tcPr>
          <w:p w:rsidRPr="00910723" w:rsidR="00411573" w:rsidP="00435435" w:rsidRDefault="00411573" w14:paraId="23A1339F" w14:textId="77777777">
            <w:pPr>
              <w:jc w:val="right"/>
              <w:rPr>
                <w:rFonts w:ascii="Arial" w:hAnsi="Arial" w:eastAsia="Times New Roman" w:cs="Arial"/>
                <w:sz w:val="20"/>
                <w:szCs w:val="20"/>
                <w:lang w:eastAsia="en-GB"/>
              </w:rPr>
            </w:pPr>
          </w:p>
        </w:tc>
      </w:tr>
      <w:tr w:rsidRPr="00910723" w:rsidR="00411573" w:rsidTr="00435435" w14:paraId="69C2CFA8" w14:textId="77777777">
        <w:trPr>
          <w:trHeight w:val="300"/>
        </w:trPr>
        <w:tc>
          <w:tcPr>
            <w:tcW w:w="6804" w:type="dxa"/>
            <w:gridSpan w:val="2"/>
            <w:tcBorders>
              <w:left w:val="nil"/>
              <w:bottom w:val="single" w:color="auto" w:sz="4" w:space="0"/>
              <w:right w:val="nil"/>
            </w:tcBorders>
            <w:noWrap/>
            <w:hideMark/>
          </w:tcPr>
          <w:p w:rsidRPr="00910723" w:rsidR="00411573" w:rsidP="00435435" w:rsidRDefault="00411573" w14:paraId="6F8B4A13" w14:textId="77777777">
            <w:pPr>
              <w:rPr>
                <w:rFonts w:ascii="Arial" w:hAnsi="Arial" w:eastAsia="Times New Roman" w:cs="Arial"/>
                <w:b/>
                <w:bCs/>
                <w:sz w:val="20"/>
                <w:szCs w:val="20"/>
              </w:rPr>
            </w:pPr>
            <w:r w:rsidRPr="00910723">
              <w:rPr>
                <w:rFonts w:ascii="Arial" w:hAnsi="Arial"/>
                <w:b/>
                <w:sz w:val="20"/>
              </w:rPr>
              <w:t>13 skirsnis. Tarpjurisdikciniai reikalavimai</w:t>
            </w:r>
          </w:p>
        </w:tc>
        <w:tc>
          <w:tcPr>
            <w:tcW w:w="2745" w:type="dxa"/>
            <w:tcBorders>
              <w:left w:val="nil"/>
              <w:bottom w:val="single" w:color="auto" w:sz="4" w:space="0"/>
              <w:right w:val="nil"/>
            </w:tcBorders>
            <w:hideMark/>
          </w:tcPr>
          <w:p w:rsidRPr="00910723" w:rsidR="00411573" w:rsidP="00435435" w:rsidRDefault="00411573" w14:paraId="4DA5B94E" w14:textId="77777777">
            <w:pPr>
              <w:jc w:val="center"/>
              <w:rPr>
                <w:rFonts w:ascii="Arial" w:hAnsi="Arial" w:eastAsia="Times New Roman" w:cs="Arial"/>
                <w:b/>
                <w:bCs/>
                <w:sz w:val="20"/>
                <w:szCs w:val="20"/>
              </w:rPr>
            </w:pPr>
            <w:r w:rsidRPr="00910723">
              <w:rPr>
                <w:rFonts w:ascii="Arial" w:hAnsi="Arial"/>
                <w:b/>
                <w:sz w:val="20"/>
              </w:rPr>
              <w:t>Suma</w:t>
            </w:r>
          </w:p>
        </w:tc>
      </w:tr>
      <w:tr w:rsidRPr="00910723" w:rsidR="00411573" w:rsidTr="00435435" w14:paraId="10020C2A" w14:textId="77777777">
        <w:trPr>
          <w:trHeight w:val="300"/>
        </w:trPr>
        <w:tc>
          <w:tcPr>
            <w:tcW w:w="6804" w:type="dxa"/>
            <w:gridSpan w:val="2"/>
            <w:tcBorders>
              <w:left w:val="nil"/>
              <w:right w:val="nil"/>
            </w:tcBorders>
            <w:noWrap/>
            <w:hideMark/>
          </w:tcPr>
          <w:p w:rsidRPr="00910723" w:rsidR="00411573" w:rsidP="00435435" w:rsidRDefault="00411573" w14:paraId="71A55691" w14:textId="77777777">
            <w:pPr>
              <w:ind w:firstLine="200" w:firstLineChars="100"/>
              <w:rPr>
                <w:rFonts w:ascii="Arial" w:hAnsi="Arial" w:eastAsia="Times New Roman" w:cs="Arial"/>
                <w:sz w:val="20"/>
                <w:szCs w:val="20"/>
              </w:rPr>
            </w:pPr>
            <w:r w:rsidRPr="00910723">
              <w:rPr>
                <w:rFonts w:ascii="Arial" w:hAnsi="Arial"/>
                <w:sz w:val="20"/>
              </w:rPr>
              <w:t>a. Bendri užsienio reikalavimai galutinės rizikos požiūriu</w:t>
            </w:r>
          </w:p>
        </w:tc>
        <w:tc>
          <w:tcPr>
            <w:tcW w:w="2745" w:type="dxa"/>
            <w:tcBorders>
              <w:left w:val="nil"/>
              <w:right w:val="nil"/>
            </w:tcBorders>
            <w:noWrap/>
            <w:hideMark/>
          </w:tcPr>
          <w:p w:rsidRPr="00910723" w:rsidR="00411573" w:rsidP="00435435" w:rsidRDefault="00411573" w14:paraId="6EF6E026" w14:textId="77777777">
            <w:pPr>
              <w:jc w:val="right"/>
              <w:rPr>
                <w:rFonts w:ascii="Arial" w:hAnsi="Arial" w:eastAsia="Times New Roman" w:cs="Arial"/>
                <w:sz w:val="20"/>
                <w:szCs w:val="20"/>
              </w:rPr>
            </w:pPr>
            <w:r w:rsidRPr="00910723">
              <w:rPr>
                <w:rFonts w:ascii="Arial" w:hAnsi="Arial"/>
                <w:sz w:val="20"/>
              </w:rPr>
              <w:t> </w:t>
            </w:r>
          </w:p>
        </w:tc>
      </w:tr>
      <w:tr w:rsidRPr="00910723" w:rsidR="00411573" w:rsidTr="00435435" w14:paraId="20F51FB7" w14:textId="77777777">
        <w:trPr>
          <w:trHeight w:val="300"/>
        </w:trPr>
        <w:tc>
          <w:tcPr>
            <w:tcW w:w="6804" w:type="dxa"/>
            <w:gridSpan w:val="2"/>
            <w:tcBorders>
              <w:left w:val="nil"/>
              <w:right w:val="nil"/>
            </w:tcBorders>
            <w:noWrap/>
            <w:hideMark/>
          </w:tcPr>
          <w:p w:rsidRPr="00910723" w:rsidR="00411573" w:rsidP="00435435" w:rsidRDefault="00411573" w14:paraId="39997290" w14:textId="77777777">
            <w:pPr>
              <w:ind w:firstLine="200" w:firstLineChars="100"/>
              <w:rPr>
                <w:rFonts w:ascii="Arial" w:hAnsi="Arial" w:eastAsia="Times New Roman" w:cs="Arial"/>
                <w:sz w:val="20"/>
                <w:szCs w:val="20"/>
              </w:rPr>
            </w:pPr>
            <w:r w:rsidRPr="00910723">
              <w:rPr>
                <w:rFonts w:ascii="Arial" w:hAnsi="Arial"/>
                <w:sz w:val="20"/>
              </w:rPr>
              <w:t>b. Užsienio išvestinių finansinių priemonių reikalavimai galutinės rizikos požiūriu</w:t>
            </w:r>
          </w:p>
        </w:tc>
        <w:tc>
          <w:tcPr>
            <w:tcW w:w="2745" w:type="dxa"/>
            <w:tcBorders>
              <w:left w:val="nil"/>
              <w:right w:val="nil"/>
            </w:tcBorders>
            <w:noWrap/>
            <w:hideMark/>
          </w:tcPr>
          <w:p w:rsidRPr="00910723" w:rsidR="00411573" w:rsidP="00435435" w:rsidRDefault="00411573" w14:paraId="4ECCC6D8" w14:textId="77777777">
            <w:pPr>
              <w:jc w:val="right"/>
              <w:rPr>
                <w:rFonts w:ascii="Arial" w:hAnsi="Arial" w:eastAsia="Times New Roman" w:cs="Arial"/>
                <w:sz w:val="20"/>
                <w:szCs w:val="20"/>
              </w:rPr>
            </w:pPr>
            <w:r w:rsidRPr="00910723">
              <w:rPr>
                <w:rFonts w:ascii="Arial" w:hAnsi="Arial"/>
                <w:sz w:val="20"/>
              </w:rPr>
              <w:t> </w:t>
            </w:r>
          </w:p>
        </w:tc>
      </w:tr>
      <w:tr w:rsidRPr="00910723" w:rsidR="00411573" w:rsidTr="00435435" w14:paraId="6B548D85" w14:textId="77777777">
        <w:trPr>
          <w:gridAfter w:val="1"/>
          <w:wAfter w:w="2745" w:type="dxa"/>
          <w:trHeight w:val="300"/>
        </w:trPr>
        <w:tc>
          <w:tcPr>
            <w:tcW w:w="6804" w:type="dxa"/>
            <w:gridSpan w:val="2"/>
            <w:tcBorders>
              <w:left w:val="nil"/>
              <w:bottom w:val="single" w:color="auto" w:sz="4" w:space="0"/>
              <w:right w:val="nil"/>
            </w:tcBorders>
            <w:hideMark/>
          </w:tcPr>
          <w:p w:rsidRPr="00910723" w:rsidR="00411573" w:rsidP="00435435" w:rsidRDefault="00411573" w14:paraId="76CE81C0" w14:textId="77777777">
            <w:pPr>
              <w:ind w:firstLine="200" w:firstLineChars="100"/>
              <w:rPr>
                <w:rFonts w:ascii="Arial" w:hAnsi="Arial" w:eastAsia="Times New Roman" w:cs="Arial"/>
                <w:sz w:val="20"/>
                <w:szCs w:val="20"/>
              </w:rPr>
            </w:pPr>
            <w:r w:rsidRPr="00910723">
              <w:rPr>
                <w:rFonts w:ascii="Arial" w:hAnsi="Arial"/>
                <w:sz w:val="20"/>
              </w:rPr>
              <w:t>c. Tarpjurisdikcinių reikalavimų rodiklis (13.a ir 13.b punktų suma)</w:t>
            </w:r>
          </w:p>
        </w:tc>
      </w:tr>
      <w:tr w:rsidRPr="00910723" w:rsidR="00411573" w:rsidTr="00435435" w14:paraId="0C46BA24" w14:textId="77777777">
        <w:trPr>
          <w:trHeight w:val="300"/>
        </w:trPr>
        <w:tc>
          <w:tcPr>
            <w:tcW w:w="6804" w:type="dxa"/>
            <w:gridSpan w:val="2"/>
            <w:tcBorders>
              <w:left w:val="nil"/>
              <w:bottom w:val="nil"/>
              <w:right w:val="nil"/>
            </w:tcBorders>
            <w:noWrap/>
          </w:tcPr>
          <w:p w:rsidRPr="00910723" w:rsidR="00411573" w:rsidP="00435435" w:rsidRDefault="00411573" w14:paraId="25C62160"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910723" w:rsidR="00411573" w:rsidP="00435435" w:rsidRDefault="00411573" w14:paraId="3CFB35AB" w14:textId="77777777">
            <w:pPr>
              <w:jc w:val="center"/>
              <w:rPr>
                <w:rFonts w:ascii="Arial" w:hAnsi="Arial" w:eastAsia="Times New Roman" w:cs="Arial"/>
                <w:b/>
                <w:bCs/>
                <w:sz w:val="20"/>
                <w:szCs w:val="20"/>
                <w:lang w:eastAsia="en-GB"/>
              </w:rPr>
            </w:pPr>
          </w:p>
        </w:tc>
      </w:tr>
      <w:tr w:rsidRPr="00910723" w:rsidR="00411573" w:rsidTr="00435435" w14:paraId="5219A02C" w14:textId="77777777">
        <w:trPr>
          <w:trHeight w:val="300"/>
        </w:trPr>
        <w:tc>
          <w:tcPr>
            <w:tcW w:w="6804" w:type="dxa"/>
            <w:gridSpan w:val="2"/>
            <w:tcBorders>
              <w:top w:val="nil"/>
              <w:left w:val="nil"/>
              <w:bottom w:val="single" w:color="auto" w:sz="4" w:space="0"/>
              <w:right w:val="nil"/>
            </w:tcBorders>
            <w:noWrap/>
            <w:hideMark/>
          </w:tcPr>
          <w:p w:rsidRPr="00910723" w:rsidR="00411573" w:rsidP="00435435" w:rsidRDefault="00411573" w14:paraId="105FA277" w14:textId="77777777">
            <w:pPr>
              <w:rPr>
                <w:rFonts w:ascii="Arial" w:hAnsi="Arial" w:eastAsia="Times New Roman" w:cs="Arial"/>
                <w:b/>
                <w:bCs/>
                <w:sz w:val="20"/>
                <w:szCs w:val="20"/>
              </w:rPr>
            </w:pPr>
            <w:r w:rsidRPr="00910723">
              <w:rPr>
                <w:rFonts w:ascii="Arial" w:hAnsi="Arial"/>
                <w:b/>
                <w:sz w:val="20"/>
              </w:rPr>
              <w:lastRenderedPageBreak/>
              <w:t>14 skirsnis. Tarpjurisdikciniai įsipareigojimai</w:t>
            </w:r>
          </w:p>
        </w:tc>
        <w:tc>
          <w:tcPr>
            <w:tcW w:w="2745" w:type="dxa"/>
            <w:tcBorders>
              <w:top w:val="nil"/>
              <w:left w:val="nil"/>
              <w:right w:val="nil"/>
            </w:tcBorders>
            <w:hideMark/>
          </w:tcPr>
          <w:p w:rsidRPr="00910723" w:rsidR="00411573" w:rsidP="00435435" w:rsidRDefault="00411573" w14:paraId="3FE8693A" w14:textId="77777777">
            <w:pPr>
              <w:jc w:val="center"/>
              <w:rPr>
                <w:rFonts w:ascii="Arial" w:hAnsi="Arial" w:eastAsia="Times New Roman" w:cs="Arial"/>
                <w:b/>
                <w:bCs/>
                <w:sz w:val="20"/>
                <w:szCs w:val="20"/>
              </w:rPr>
            </w:pPr>
            <w:r w:rsidRPr="00910723">
              <w:rPr>
                <w:rFonts w:ascii="Arial" w:hAnsi="Arial"/>
                <w:b/>
                <w:sz w:val="20"/>
              </w:rPr>
              <w:t>Suma</w:t>
            </w:r>
          </w:p>
        </w:tc>
      </w:tr>
      <w:tr w:rsidRPr="00910723" w:rsidR="00411573" w:rsidTr="00435435" w14:paraId="18F2D2C7" w14:textId="77777777">
        <w:trPr>
          <w:gridAfter w:val="1"/>
          <w:wAfter w:w="2745" w:type="dxa"/>
          <w:trHeight w:val="300"/>
        </w:trPr>
        <w:tc>
          <w:tcPr>
            <w:tcW w:w="6804" w:type="dxa"/>
            <w:gridSpan w:val="2"/>
            <w:tcBorders>
              <w:left w:val="nil"/>
              <w:right w:val="nil"/>
            </w:tcBorders>
            <w:noWrap/>
            <w:hideMark/>
          </w:tcPr>
          <w:p w:rsidRPr="00910723" w:rsidR="00411573" w:rsidP="00435435" w:rsidRDefault="00411573" w14:paraId="3C22AA7A" w14:textId="77777777">
            <w:pPr>
              <w:ind w:left="171" w:firstLine="28" w:firstLineChars="14"/>
              <w:rPr>
                <w:rFonts w:ascii="Arial" w:hAnsi="Arial" w:eastAsia="Times New Roman" w:cs="Arial"/>
                <w:sz w:val="20"/>
                <w:szCs w:val="20"/>
              </w:rPr>
            </w:pPr>
            <w:r w:rsidRPr="00910723">
              <w:rPr>
                <w:rFonts w:ascii="Arial" w:hAnsi="Arial"/>
                <w:sz w:val="20"/>
              </w:rPr>
              <w:t>a. Užsienio įsipareigojimai tiesioginės rizikos požiūriu, be išvestinių finansinių priemonių ir su vietos įsipareigojimais vietos valiuta</w:t>
            </w:r>
          </w:p>
        </w:tc>
      </w:tr>
      <w:tr w:rsidRPr="00910723" w:rsidR="00411573" w:rsidTr="00435435" w14:paraId="11CE095D" w14:textId="77777777">
        <w:trPr>
          <w:trHeight w:val="300"/>
        </w:trPr>
        <w:tc>
          <w:tcPr>
            <w:tcW w:w="6804" w:type="dxa"/>
            <w:gridSpan w:val="2"/>
            <w:tcBorders>
              <w:left w:val="nil"/>
              <w:right w:val="nil"/>
            </w:tcBorders>
            <w:noWrap/>
            <w:hideMark/>
          </w:tcPr>
          <w:p w:rsidRPr="00910723" w:rsidR="00411573" w:rsidP="00435435" w:rsidRDefault="00411573" w14:paraId="368CE892" w14:textId="77777777">
            <w:pPr>
              <w:ind w:firstLine="200" w:firstLineChars="100"/>
              <w:rPr>
                <w:rFonts w:ascii="Arial" w:hAnsi="Arial" w:eastAsia="Times New Roman" w:cs="Arial"/>
                <w:sz w:val="20"/>
                <w:szCs w:val="20"/>
              </w:rPr>
            </w:pPr>
            <w:r w:rsidRPr="00910723">
              <w:rPr>
                <w:rFonts w:ascii="Arial" w:hAnsi="Arial"/>
                <w:sz w:val="20"/>
              </w:rPr>
              <w:t>b. Užsienio išvestinių finansinių priemonių įsipareigojimai tiesioginės rizikos požiūriu</w:t>
            </w:r>
          </w:p>
        </w:tc>
        <w:tc>
          <w:tcPr>
            <w:tcW w:w="2745" w:type="dxa"/>
            <w:tcBorders>
              <w:left w:val="nil"/>
              <w:right w:val="nil"/>
            </w:tcBorders>
            <w:noWrap/>
            <w:hideMark/>
          </w:tcPr>
          <w:p w:rsidRPr="00910723" w:rsidR="00411573" w:rsidP="00435435" w:rsidRDefault="00411573" w14:paraId="56C2FF6E" w14:textId="77777777">
            <w:pPr>
              <w:jc w:val="right"/>
              <w:rPr>
                <w:rFonts w:ascii="Arial" w:hAnsi="Arial" w:eastAsia="Times New Roman" w:cs="Arial"/>
                <w:sz w:val="20"/>
                <w:szCs w:val="20"/>
              </w:rPr>
            </w:pPr>
            <w:r w:rsidRPr="00910723">
              <w:rPr>
                <w:rFonts w:ascii="Arial" w:hAnsi="Arial"/>
                <w:sz w:val="20"/>
              </w:rPr>
              <w:t> </w:t>
            </w:r>
          </w:p>
        </w:tc>
      </w:tr>
      <w:tr w:rsidRPr="00910723" w:rsidR="00411573" w:rsidTr="00435435" w14:paraId="35F8A8AB" w14:textId="77777777">
        <w:trPr>
          <w:gridAfter w:val="1"/>
          <w:wAfter w:w="2745" w:type="dxa"/>
          <w:trHeight w:val="300"/>
        </w:trPr>
        <w:tc>
          <w:tcPr>
            <w:tcW w:w="6804" w:type="dxa"/>
            <w:gridSpan w:val="2"/>
            <w:tcBorders>
              <w:left w:val="nil"/>
              <w:bottom w:val="single" w:color="auto" w:sz="4" w:space="0"/>
              <w:right w:val="nil"/>
            </w:tcBorders>
            <w:hideMark/>
          </w:tcPr>
          <w:p w:rsidRPr="00910723" w:rsidR="00411573" w:rsidP="00435435" w:rsidRDefault="00411573" w14:paraId="2849E591" w14:textId="77777777">
            <w:pPr>
              <w:ind w:firstLine="200" w:firstLineChars="100"/>
              <w:rPr>
                <w:rFonts w:ascii="Arial" w:hAnsi="Arial" w:eastAsia="Times New Roman" w:cs="Arial"/>
                <w:sz w:val="20"/>
                <w:szCs w:val="20"/>
              </w:rPr>
            </w:pPr>
            <w:r w:rsidRPr="00910723">
              <w:rPr>
                <w:rFonts w:ascii="Arial" w:hAnsi="Arial"/>
                <w:sz w:val="20"/>
              </w:rPr>
              <w:t>c. Tarpjurisdikcinių įsipareigojimų rodiklis (14.a ir 14.b punktų suma)</w:t>
            </w:r>
          </w:p>
        </w:tc>
      </w:tr>
      <w:tr w:rsidRPr="00910723" w:rsidR="00411573" w:rsidTr="00435435" w14:paraId="445F991D" w14:textId="77777777">
        <w:trPr>
          <w:trHeight w:val="300"/>
        </w:trPr>
        <w:tc>
          <w:tcPr>
            <w:tcW w:w="6804" w:type="dxa"/>
            <w:gridSpan w:val="2"/>
            <w:tcBorders>
              <w:left w:val="nil"/>
              <w:bottom w:val="nil"/>
              <w:right w:val="nil"/>
            </w:tcBorders>
            <w:noWrap/>
          </w:tcPr>
          <w:p w:rsidRPr="00910723" w:rsidR="00411573" w:rsidP="00435435" w:rsidRDefault="00411573" w14:paraId="1F6B7C6B"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910723" w:rsidR="00411573" w:rsidP="00435435" w:rsidRDefault="00411573" w14:paraId="7990D59B" w14:textId="77777777">
            <w:pPr>
              <w:jc w:val="center"/>
              <w:rPr>
                <w:rFonts w:ascii="Arial" w:hAnsi="Arial" w:eastAsia="Times New Roman" w:cs="Arial"/>
                <w:b/>
                <w:bCs/>
                <w:sz w:val="20"/>
                <w:szCs w:val="20"/>
                <w:lang w:eastAsia="en-GB"/>
              </w:rPr>
            </w:pPr>
          </w:p>
        </w:tc>
      </w:tr>
      <w:tr w:rsidRPr="00910723" w:rsidR="00411573" w:rsidTr="00435435" w14:paraId="333F0090" w14:textId="77777777">
        <w:trPr>
          <w:trHeight w:val="300"/>
        </w:trPr>
        <w:tc>
          <w:tcPr>
            <w:tcW w:w="6804" w:type="dxa"/>
            <w:gridSpan w:val="2"/>
            <w:tcBorders>
              <w:top w:val="nil"/>
              <w:left w:val="nil"/>
              <w:bottom w:val="nil"/>
              <w:right w:val="nil"/>
            </w:tcBorders>
            <w:noWrap/>
          </w:tcPr>
          <w:p w:rsidRPr="00910723" w:rsidR="00411573" w:rsidP="00435435" w:rsidRDefault="00411573" w14:paraId="2281C67A" w14:textId="77777777">
            <w:pPr>
              <w:keepNext/>
              <w:keepLines/>
              <w:spacing w:before="47"/>
              <w:outlineLvl w:val="5"/>
              <w:rPr>
                <w:rFonts w:ascii="Arial" w:hAnsi="Arial" w:eastAsia="Times New Roman" w:cs="Arial"/>
                <w:b/>
                <w:bCs/>
                <w:i/>
                <w:iCs/>
                <w:caps/>
                <w:color w:val="172B39" w:themeColor="accent1" w:themeShade="80"/>
                <w:sz w:val="20"/>
                <w:szCs w:val="20"/>
              </w:rPr>
            </w:pPr>
            <w:r w:rsidRPr="00910723">
              <w:rPr>
                <w:rFonts w:asciiTheme="majorHAnsi" w:hAnsiTheme="majorHAnsi"/>
                <w:b/>
                <w:i/>
                <w:caps/>
              </w:rPr>
              <w:t>PAPILDOMI DUOMENYS</w:t>
            </w:r>
          </w:p>
        </w:tc>
        <w:tc>
          <w:tcPr>
            <w:tcW w:w="2745" w:type="dxa"/>
            <w:tcBorders>
              <w:top w:val="nil"/>
              <w:left w:val="nil"/>
              <w:bottom w:val="nil"/>
              <w:right w:val="nil"/>
            </w:tcBorders>
          </w:tcPr>
          <w:p w:rsidRPr="00910723" w:rsidR="00411573" w:rsidP="00435435" w:rsidRDefault="00411573" w14:paraId="67A80119" w14:textId="77777777">
            <w:pPr>
              <w:jc w:val="center"/>
              <w:rPr>
                <w:rFonts w:ascii="Arial" w:hAnsi="Arial" w:eastAsia="Times New Roman" w:cs="Arial"/>
                <w:b/>
                <w:bCs/>
                <w:sz w:val="20"/>
                <w:szCs w:val="20"/>
                <w:lang w:eastAsia="en-GB"/>
              </w:rPr>
            </w:pPr>
          </w:p>
        </w:tc>
      </w:tr>
      <w:tr w:rsidRPr="00910723" w:rsidR="00411573" w:rsidTr="00435435" w14:paraId="1C60E601" w14:textId="77777777">
        <w:trPr>
          <w:trHeight w:val="300"/>
        </w:trPr>
        <w:tc>
          <w:tcPr>
            <w:tcW w:w="6804" w:type="dxa"/>
            <w:gridSpan w:val="2"/>
            <w:tcBorders>
              <w:top w:val="nil"/>
              <w:left w:val="nil"/>
              <w:bottom w:val="single" w:color="auto" w:sz="4" w:space="0"/>
              <w:right w:val="nil"/>
            </w:tcBorders>
            <w:noWrap/>
          </w:tcPr>
          <w:p w:rsidRPr="00910723" w:rsidR="00411573" w:rsidP="00435435" w:rsidRDefault="00411573" w14:paraId="13055E0C" w14:textId="77777777">
            <w:pPr>
              <w:rPr>
                <w:rFonts w:ascii="Arial" w:hAnsi="Arial" w:eastAsia="Times New Roman" w:cs="Arial"/>
                <w:b/>
                <w:bCs/>
                <w:sz w:val="20"/>
                <w:szCs w:val="20"/>
                <w:lang w:eastAsia="en-GB"/>
              </w:rPr>
            </w:pPr>
          </w:p>
        </w:tc>
        <w:tc>
          <w:tcPr>
            <w:tcW w:w="2745" w:type="dxa"/>
            <w:tcBorders>
              <w:top w:val="nil"/>
              <w:left w:val="nil"/>
              <w:bottom w:val="single" w:color="auto" w:sz="4" w:space="0"/>
              <w:right w:val="nil"/>
            </w:tcBorders>
          </w:tcPr>
          <w:p w:rsidRPr="00910723" w:rsidR="00411573" w:rsidP="00435435" w:rsidRDefault="00411573" w14:paraId="4FF59BA5" w14:textId="77777777">
            <w:pPr>
              <w:jc w:val="center"/>
              <w:rPr>
                <w:rFonts w:ascii="Arial" w:hAnsi="Arial" w:eastAsia="Times New Roman" w:cs="Arial"/>
                <w:b/>
                <w:bCs/>
                <w:sz w:val="20"/>
                <w:szCs w:val="20"/>
                <w:lang w:eastAsia="en-GB"/>
              </w:rPr>
            </w:pPr>
          </w:p>
        </w:tc>
      </w:tr>
      <w:tr w:rsidRPr="00910723" w:rsidR="00411573" w:rsidTr="00435435" w14:paraId="6DE76239" w14:textId="77777777">
        <w:trPr>
          <w:trHeight w:val="300"/>
        </w:trPr>
        <w:tc>
          <w:tcPr>
            <w:tcW w:w="6804" w:type="dxa"/>
            <w:gridSpan w:val="2"/>
            <w:tcBorders>
              <w:left w:val="nil"/>
              <w:bottom w:val="single" w:color="auto" w:sz="4" w:space="0"/>
              <w:right w:val="nil"/>
            </w:tcBorders>
            <w:noWrap/>
            <w:hideMark/>
          </w:tcPr>
          <w:p w:rsidRPr="00910723" w:rsidR="00411573" w:rsidP="00435435" w:rsidRDefault="00411573" w14:paraId="4C647EC4" w14:textId="77777777">
            <w:pPr>
              <w:rPr>
                <w:rFonts w:ascii="Arial" w:hAnsi="Arial" w:eastAsia="Times New Roman" w:cs="Arial"/>
                <w:b/>
                <w:bCs/>
                <w:sz w:val="20"/>
                <w:szCs w:val="20"/>
              </w:rPr>
            </w:pPr>
            <w:r w:rsidRPr="00910723">
              <w:rPr>
                <w:rFonts w:ascii="Arial" w:hAnsi="Arial"/>
                <w:b/>
                <w:sz w:val="20"/>
              </w:rPr>
              <w:t>15 skirsnis. Papildomi rodikliai</w:t>
            </w:r>
          </w:p>
        </w:tc>
        <w:tc>
          <w:tcPr>
            <w:tcW w:w="2745" w:type="dxa"/>
            <w:tcBorders>
              <w:left w:val="nil"/>
              <w:bottom w:val="single" w:color="auto" w:sz="4" w:space="0"/>
              <w:right w:val="nil"/>
            </w:tcBorders>
            <w:hideMark/>
          </w:tcPr>
          <w:p w:rsidRPr="00910723" w:rsidR="00411573" w:rsidP="00435435" w:rsidRDefault="00411573" w14:paraId="46600D34" w14:textId="77777777">
            <w:pPr>
              <w:jc w:val="center"/>
              <w:rPr>
                <w:rFonts w:ascii="Arial" w:hAnsi="Arial" w:eastAsia="Times New Roman" w:cs="Arial"/>
                <w:b/>
                <w:bCs/>
                <w:sz w:val="20"/>
                <w:szCs w:val="20"/>
              </w:rPr>
            </w:pPr>
            <w:r w:rsidRPr="00910723">
              <w:rPr>
                <w:rFonts w:ascii="Arial" w:hAnsi="Arial"/>
                <w:b/>
                <w:sz w:val="20"/>
              </w:rPr>
              <w:t>Suma</w:t>
            </w:r>
          </w:p>
        </w:tc>
      </w:tr>
      <w:tr w:rsidRPr="00910723" w:rsidR="00411573" w:rsidTr="00435435" w14:paraId="07F5B42A" w14:textId="77777777">
        <w:trPr>
          <w:trHeight w:val="300"/>
        </w:trPr>
        <w:tc>
          <w:tcPr>
            <w:tcW w:w="6804" w:type="dxa"/>
            <w:gridSpan w:val="2"/>
            <w:tcBorders>
              <w:left w:val="nil"/>
              <w:right w:val="nil"/>
            </w:tcBorders>
            <w:noWrap/>
            <w:hideMark/>
          </w:tcPr>
          <w:p w:rsidRPr="00910723" w:rsidR="00411573" w:rsidP="00435435" w:rsidRDefault="00411573" w14:paraId="60B018D8" w14:textId="77777777">
            <w:pPr>
              <w:ind w:firstLine="200" w:firstLineChars="100"/>
              <w:rPr>
                <w:rFonts w:ascii="Arial" w:hAnsi="Arial" w:eastAsia="Times New Roman" w:cs="Arial"/>
                <w:sz w:val="20"/>
                <w:szCs w:val="20"/>
              </w:rPr>
            </w:pPr>
            <w:r w:rsidRPr="00910723">
              <w:rPr>
                <w:rFonts w:ascii="Arial" w:hAnsi="Arial"/>
                <w:sz w:val="20"/>
              </w:rPr>
              <w:t>a. Iš viso įsipareigojimų</w:t>
            </w:r>
          </w:p>
        </w:tc>
        <w:tc>
          <w:tcPr>
            <w:tcW w:w="2745" w:type="dxa"/>
            <w:tcBorders>
              <w:left w:val="nil"/>
              <w:right w:val="nil"/>
            </w:tcBorders>
            <w:noWrap/>
            <w:hideMark/>
          </w:tcPr>
          <w:p w:rsidRPr="00910723" w:rsidR="00411573" w:rsidP="00435435" w:rsidRDefault="00411573" w14:paraId="5EB60549" w14:textId="77777777">
            <w:pPr>
              <w:jc w:val="right"/>
              <w:rPr>
                <w:rFonts w:ascii="Arial" w:hAnsi="Arial" w:eastAsia="Times New Roman" w:cs="Arial"/>
                <w:sz w:val="20"/>
                <w:szCs w:val="20"/>
              </w:rPr>
            </w:pPr>
            <w:r w:rsidRPr="00910723">
              <w:rPr>
                <w:rFonts w:ascii="Arial" w:hAnsi="Arial"/>
                <w:sz w:val="20"/>
              </w:rPr>
              <w:t> </w:t>
            </w:r>
          </w:p>
        </w:tc>
      </w:tr>
      <w:tr w:rsidRPr="00910723" w:rsidR="00411573" w:rsidTr="00435435" w14:paraId="7FD8D782" w14:textId="77777777">
        <w:trPr>
          <w:trHeight w:val="300"/>
        </w:trPr>
        <w:tc>
          <w:tcPr>
            <w:tcW w:w="6804" w:type="dxa"/>
            <w:gridSpan w:val="2"/>
            <w:tcBorders>
              <w:left w:val="nil"/>
              <w:right w:val="nil"/>
            </w:tcBorders>
            <w:noWrap/>
            <w:hideMark/>
          </w:tcPr>
          <w:p w:rsidRPr="00910723" w:rsidR="00411573" w:rsidP="00435435" w:rsidRDefault="00411573" w14:paraId="780D5F49" w14:textId="77777777">
            <w:pPr>
              <w:ind w:firstLine="200" w:firstLineChars="100"/>
              <w:rPr>
                <w:rFonts w:ascii="Arial" w:hAnsi="Arial" w:eastAsia="Times New Roman" w:cs="Arial"/>
                <w:sz w:val="20"/>
                <w:szCs w:val="20"/>
              </w:rPr>
            </w:pPr>
            <w:r w:rsidRPr="00910723">
              <w:rPr>
                <w:rFonts w:ascii="Arial" w:hAnsi="Arial"/>
                <w:sz w:val="20"/>
              </w:rPr>
              <w:t>b. Mažmeninis finansavimas</w:t>
            </w:r>
          </w:p>
        </w:tc>
        <w:tc>
          <w:tcPr>
            <w:tcW w:w="2745" w:type="dxa"/>
            <w:tcBorders>
              <w:left w:val="nil"/>
              <w:right w:val="nil"/>
            </w:tcBorders>
            <w:noWrap/>
            <w:hideMark/>
          </w:tcPr>
          <w:p w:rsidRPr="00910723" w:rsidR="00411573" w:rsidP="00435435" w:rsidRDefault="00411573" w14:paraId="340D5DEB" w14:textId="77777777">
            <w:pPr>
              <w:jc w:val="right"/>
              <w:rPr>
                <w:rFonts w:ascii="Arial" w:hAnsi="Arial" w:eastAsia="Times New Roman" w:cs="Arial"/>
                <w:sz w:val="20"/>
                <w:szCs w:val="20"/>
              </w:rPr>
            </w:pPr>
            <w:r w:rsidRPr="00910723">
              <w:rPr>
                <w:rFonts w:ascii="Arial" w:hAnsi="Arial"/>
                <w:sz w:val="20"/>
              </w:rPr>
              <w:t> </w:t>
            </w:r>
          </w:p>
        </w:tc>
      </w:tr>
      <w:tr w:rsidRPr="00910723" w:rsidR="00411573" w:rsidTr="00435435" w14:paraId="2A94DB5C" w14:textId="77777777">
        <w:trPr>
          <w:gridAfter w:val="1"/>
          <w:wAfter w:w="2745" w:type="dxa"/>
          <w:trHeight w:val="540"/>
        </w:trPr>
        <w:tc>
          <w:tcPr>
            <w:tcW w:w="6804" w:type="dxa"/>
            <w:gridSpan w:val="2"/>
            <w:tcBorders>
              <w:left w:val="nil"/>
              <w:right w:val="nil"/>
            </w:tcBorders>
            <w:noWrap/>
            <w:hideMark/>
          </w:tcPr>
          <w:p w:rsidRPr="00910723" w:rsidR="00411573" w:rsidP="00435435" w:rsidRDefault="00411573" w14:paraId="3CD09FF2" w14:textId="77777777">
            <w:pPr>
              <w:ind w:left="171"/>
              <w:rPr>
                <w:rFonts w:ascii="Arial" w:hAnsi="Arial" w:eastAsia="Times New Roman" w:cs="Arial"/>
                <w:sz w:val="20"/>
                <w:szCs w:val="20"/>
              </w:rPr>
            </w:pPr>
            <w:r w:rsidRPr="00910723">
              <w:rPr>
                <w:rFonts w:ascii="Arial" w:hAnsi="Arial"/>
                <w:sz w:val="20"/>
              </w:rPr>
              <w:t>c. Priklausomybės nuo didmeninio finansavimo rodiklis (15.a ir 15.b punktų skirtumas, padalintas iš 15.a punkto)</w:t>
            </w:r>
          </w:p>
        </w:tc>
      </w:tr>
      <w:tr w:rsidRPr="00910723" w:rsidR="00411573" w:rsidTr="00435435" w14:paraId="5848D8C5" w14:textId="77777777">
        <w:trPr>
          <w:trHeight w:val="300"/>
        </w:trPr>
        <w:tc>
          <w:tcPr>
            <w:tcW w:w="6804" w:type="dxa"/>
            <w:gridSpan w:val="2"/>
            <w:tcBorders>
              <w:left w:val="nil"/>
              <w:right w:val="nil"/>
            </w:tcBorders>
            <w:noWrap/>
            <w:hideMark/>
          </w:tcPr>
          <w:p w:rsidRPr="00910723" w:rsidR="00411573" w:rsidP="00435435" w:rsidRDefault="00411573" w14:paraId="2BB02719" w14:textId="77777777">
            <w:pPr>
              <w:ind w:firstLine="200" w:firstLineChars="100"/>
              <w:rPr>
                <w:rFonts w:ascii="Arial" w:hAnsi="Arial" w:eastAsia="Times New Roman" w:cs="Arial"/>
                <w:sz w:val="20"/>
                <w:szCs w:val="20"/>
              </w:rPr>
            </w:pPr>
            <w:r w:rsidRPr="00910723">
              <w:rPr>
                <w:rFonts w:ascii="Arial" w:hAnsi="Arial"/>
                <w:sz w:val="20"/>
              </w:rPr>
              <w:t>d. Bendra bendrųjų pajamų suma</w:t>
            </w:r>
          </w:p>
        </w:tc>
        <w:tc>
          <w:tcPr>
            <w:tcW w:w="2745" w:type="dxa"/>
            <w:tcBorders>
              <w:left w:val="nil"/>
              <w:right w:val="nil"/>
            </w:tcBorders>
            <w:noWrap/>
            <w:hideMark/>
          </w:tcPr>
          <w:p w:rsidRPr="00910723" w:rsidR="00411573" w:rsidP="00435435" w:rsidRDefault="00411573" w14:paraId="1FD8B949" w14:textId="77777777">
            <w:pPr>
              <w:jc w:val="right"/>
              <w:rPr>
                <w:rFonts w:ascii="Arial" w:hAnsi="Arial" w:eastAsia="Times New Roman" w:cs="Arial"/>
                <w:sz w:val="20"/>
                <w:szCs w:val="20"/>
              </w:rPr>
            </w:pPr>
            <w:r w:rsidRPr="00910723">
              <w:rPr>
                <w:rFonts w:ascii="Arial" w:hAnsi="Arial"/>
                <w:sz w:val="20"/>
              </w:rPr>
              <w:t> </w:t>
            </w:r>
          </w:p>
        </w:tc>
      </w:tr>
      <w:tr w:rsidRPr="00910723" w:rsidR="00411573" w:rsidTr="00435435" w14:paraId="3D68C01F" w14:textId="77777777">
        <w:trPr>
          <w:trHeight w:val="300"/>
        </w:trPr>
        <w:tc>
          <w:tcPr>
            <w:tcW w:w="6804" w:type="dxa"/>
            <w:gridSpan w:val="2"/>
            <w:tcBorders>
              <w:left w:val="nil"/>
              <w:right w:val="nil"/>
            </w:tcBorders>
            <w:noWrap/>
            <w:hideMark/>
          </w:tcPr>
          <w:p w:rsidRPr="00910723" w:rsidR="00411573" w:rsidP="00435435" w:rsidRDefault="00411573" w14:paraId="7DB0E0B1" w14:textId="77777777">
            <w:pPr>
              <w:ind w:firstLine="200" w:firstLineChars="100"/>
              <w:rPr>
                <w:rFonts w:ascii="Arial" w:hAnsi="Arial" w:eastAsia="Times New Roman" w:cs="Arial"/>
                <w:sz w:val="20"/>
                <w:szCs w:val="20"/>
              </w:rPr>
            </w:pPr>
            <w:r w:rsidRPr="00910723">
              <w:rPr>
                <w:rFonts w:ascii="Arial" w:hAnsi="Arial"/>
                <w:sz w:val="20"/>
              </w:rPr>
              <w:t>e. Bendra grynųjų pajamų suma</w:t>
            </w:r>
          </w:p>
        </w:tc>
        <w:tc>
          <w:tcPr>
            <w:tcW w:w="2745" w:type="dxa"/>
            <w:tcBorders>
              <w:left w:val="nil"/>
              <w:right w:val="nil"/>
            </w:tcBorders>
            <w:noWrap/>
            <w:hideMark/>
          </w:tcPr>
          <w:p w:rsidRPr="00910723" w:rsidR="00411573" w:rsidP="00435435" w:rsidRDefault="00411573" w14:paraId="05A8F26C" w14:textId="77777777">
            <w:pPr>
              <w:jc w:val="right"/>
              <w:rPr>
                <w:rFonts w:ascii="Arial" w:hAnsi="Arial" w:eastAsia="Times New Roman" w:cs="Arial"/>
                <w:sz w:val="20"/>
                <w:szCs w:val="20"/>
              </w:rPr>
            </w:pPr>
            <w:r w:rsidRPr="00910723">
              <w:rPr>
                <w:rFonts w:ascii="Arial" w:hAnsi="Arial"/>
                <w:sz w:val="20"/>
              </w:rPr>
              <w:t> </w:t>
            </w:r>
          </w:p>
        </w:tc>
      </w:tr>
      <w:tr w:rsidRPr="00910723" w:rsidR="00411573" w:rsidTr="00435435" w14:paraId="0114C92B" w14:textId="77777777">
        <w:trPr>
          <w:trHeight w:val="300"/>
        </w:trPr>
        <w:tc>
          <w:tcPr>
            <w:tcW w:w="6804" w:type="dxa"/>
            <w:gridSpan w:val="2"/>
            <w:tcBorders>
              <w:left w:val="nil"/>
              <w:right w:val="nil"/>
            </w:tcBorders>
            <w:noWrap/>
            <w:hideMark/>
          </w:tcPr>
          <w:p w:rsidRPr="00910723" w:rsidR="00411573" w:rsidP="00435435" w:rsidRDefault="00411573" w14:paraId="769F4983" w14:textId="77777777">
            <w:pPr>
              <w:ind w:firstLine="200" w:firstLineChars="100"/>
              <w:rPr>
                <w:rFonts w:ascii="Arial" w:hAnsi="Arial" w:eastAsia="Times New Roman" w:cs="Arial"/>
                <w:sz w:val="20"/>
                <w:szCs w:val="20"/>
              </w:rPr>
            </w:pPr>
            <w:r w:rsidRPr="00910723">
              <w:rPr>
                <w:rFonts w:ascii="Arial" w:hAnsi="Arial"/>
                <w:sz w:val="20"/>
              </w:rPr>
              <w:t>f. Užsienyje gautos grynosios pajamos</w:t>
            </w:r>
          </w:p>
        </w:tc>
        <w:tc>
          <w:tcPr>
            <w:tcW w:w="2745" w:type="dxa"/>
            <w:tcBorders>
              <w:left w:val="nil"/>
              <w:right w:val="nil"/>
            </w:tcBorders>
            <w:noWrap/>
            <w:hideMark/>
          </w:tcPr>
          <w:p w:rsidRPr="00910723" w:rsidR="00411573" w:rsidP="00435435" w:rsidRDefault="00411573" w14:paraId="57D42824" w14:textId="77777777">
            <w:pPr>
              <w:jc w:val="right"/>
              <w:rPr>
                <w:rFonts w:ascii="Arial" w:hAnsi="Arial" w:eastAsia="Times New Roman" w:cs="Arial"/>
                <w:sz w:val="20"/>
                <w:szCs w:val="20"/>
              </w:rPr>
            </w:pPr>
            <w:r w:rsidRPr="00910723">
              <w:rPr>
                <w:rFonts w:ascii="Arial" w:hAnsi="Arial"/>
                <w:sz w:val="20"/>
              </w:rPr>
              <w:t> </w:t>
            </w:r>
          </w:p>
        </w:tc>
      </w:tr>
      <w:tr w:rsidRPr="00910723" w:rsidR="00411573" w:rsidTr="00435435" w14:paraId="719F27C6" w14:textId="77777777">
        <w:trPr>
          <w:trHeight w:val="300"/>
        </w:trPr>
        <w:tc>
          <w:tcPr>
            <w:tcW w:w="6804" w:type="dxa"/>
            <w:gridSpan w:val="2"/>
            <w:tcBorders>
              <w:left w:val="nil"/>
              <w:right w:val="nil"/>
            </w:tcBorders>
            <w:noWrap/>
          </w:tcPr>
          <w:p w:rsidRPr="00910723" w:rsidR="00411573" w:rsidP="00435435" w:rsidRDefault="00411573" w14:paraId="1576332B" w14:textId="77777777">
            <w:pPr>
              <w:ind w:left="171"/>
              <w:rPr>
                <w:rFonts w:ascii="Arial" w:hAnsi="Arial" w:eastAsia="Times New Roman" w:cs="Arial"/>
                <w:sz w:val="20"/>
                <w:szCs w:val="20"/>
              </w:rPr>
            </w:pPr>
            <w:r w:rsidRPr="00910723">
              <w:rPr>
                <w:rFonts w:ascii="Arial" w:hAnsi="Arial"/>
                <w:sz w:val="20"/>
              </w:rPr>
              <w:t>g. Bendroji paskolintų grynųjų pinigų vertė ir bendroji vertybinių popierių, paskolintų pagal VPĮFS, tikroji vertė</w:t>
            </w:r>
          </w:p>
        </w:tc>
        <w:tc>
          <w:tcPr>
            <w:tcW w:w="2745" w:type="dxa"/>
            <w:tcBorders>
              <w:left w:val="nil"/>
              <w:right w:val="nil"/>
            </w:tcBorders>
            <w:noWrap/>
          </w:tcPr>
          <w:p w:rsidRPr="00910723" w:rsidR="00411573" w:rsidP="00435435" w:rsidRDefault="00411573" w14:paraId="7295A31B" w14:textId="77777777">
            <w:pPr>
              <w:jc w:val="right"/>
              <w:rPr>
                <w:rFonts w:ascii="Arial" w:hAnsi="Arial" w:eastAsia="Times New Roman" w:cs="Arial"/>
                <w:sz w:val="20"/>
                <w:szCs w:val="20"/>
                <w:lang w:eastAsia="en-GB"/>
              </w:rPr>
            </w:pPr>
          </w:p>
        </w:tc>
      </w:tr>
      <w:tr w:rsidRPr="00910723" w:rsidR="00411573" w:rsidTr="00435435" w14:paraId="226715C6" w14:textId="77777777">
        <w:trPr>
          <w:trHeight w:val="300"/>
        </w:trPr>
        <w:tc>
          <w:tcPr>
            <w:tcW w:w="6804" w:type="dxa"/>
            <w:gridSpan w:val="2"/>
            <w:tcBorders>
              <w:left w:val="nil"/>
              <w:right w:val="nil"/>
            </w:tcBorders>
            <w:noWrap/>
          </w:tcPr>
          <w:p w:rsidRPr="00910723" w:rsidR="00411573" w:rsidP="00435435" w:rsidRDefault="00411573" w14:paraId="01C5BAD0" w14:textId="77777777">
            <w:pPr>
              <w:ind w:left="171"/>
              <w:rPr>
                <w:rFonts w:ascii="Arial" w:hAnsi="Arial" w:eastAsia="Times New Roman" w:cs="Arial"/>
                <w:sz w:val="20"/>
                <w:szCs w:val="20"/>
              </w:rPr>
            </w:pPr>
            <w:r w:rsidRPr="00910723">
              <w:rPr>
                <w:rFonts w:ascii="Arial" w:hAnsi="Arial"/>
                <w:sz w:val="20"/>
              </w:rPr>
              <w:t>h. Bendroji pasiskolintų grynųjų pinigų vertė ir bendroji vertybinių popierių, pasiskolintų pagal VPĮFS, tikroji vertė</w:t>
            </w:r>
          </w:p>
        </w:tc>
        <w:tc>
          <w:tcPr>
            <w:tcW w:w="2745" w:type="dxa"/>
            <w:tcBorders>
              <w:left w:val="nil"/>
              <w:right w:val="nil"/>
            </w:tcBorders>
            <w:noWrap/>
          </w:tcPr>
          <w:p w:rsidRPr="00910723" w:rsidR="00411573" w:rsidP="00435435" w:rsidRDefault="00411573" w14:paraId="199C75FC" w14:textId="77777777">
            <w:pPr>
              <w:jc w:val="right"/>
              <w:rPr>
                <w:rFonts w:ascii="Arial" w:hAnsi="Arial" w:eastAsia="Times New Roman" w:cs="Arial"/>
                <w:sz w:val="20"/>
                <w:szCs w:val="20"/>
                <w:lang w:eastAsia="en-GB"/>
              </w:rPr>
            </w:pPr>
          </w:p>
        </w:tc>
      </w:tr>
      <w:tr w:rsidRPr="00910723" w:rsidR="00411573" w:rsidTr="00435435" w14:paraId="04B020A7" w14:textId="77777777">
        <w:trPr>
          <w:trHeight w:val="300"/>
        </w:trPr>
        <w:tc>
          <w:tcPr>
            <w:tcW w:w="6804" w:type="dxa"/>
            <w:gridSpan w:val="2"/>
            <w:tcBorders>
              <w:left w:val="nil"/>
              <w:right w:val="nil"/>
            </w:tcBorders>
            <w:noWrap/>
          </w:tcPr>
          <w:p w:rsidRPr="00910723" w:rsidR="00411573" w:rsidP="00435435" w:rsidRDefault="00411573" w14:paraId="67BB1383" w14:textId="77777777">
            <w:pPr>
              <w:ind w:left="171"/>
              <w:rPr>
                <w:rFonts w:ascii="Arial" w:hAnsi="Arial" w:eastAsia="Times New Roman" w:cs="Arial"/>
                <w:sz w:val="20"/>
                <w:szCs w:val="20"/>
              </w:rPr>
            </w:pPr>
            <w:r w:rsidRPr="00910723">
              <w:rPr>
                <w:rFonts w:ascii="Arial" w:hAnsi="Arial"/>
                <w:sz w:val="20"/>
              </w:rPr>
              <w:t>i. Bendroji teigiama ne biržos (OTC) išvestinių finansinių priemonių sandorių tikroji vertė</w:t>
            </w:r>
          </w:p>
        </w:tc>
        <w:tc>
          <w:tcPr>
            <w:tcW w:w="2745" w:type="dxa"/>
            <w:tcBorders>
              <w:left w:val="nil"/>
              <w:right w:val="nil"/>
            </w:tcBorders>
            <w:noWrap/>
          </w:tcPr>
          <w:p w:rsidRPr="00910723" w:rsidR="00411573" w:rsidP="00435435" w:rsidRDefault="00411573" w14:paraId="0EE8667A" w14:textId="77777777">
            <w:pPr>
              <w:jc w:val="right"/>
              <w:rPr>
                <w:rFonts w:ascii="Arial" w:hAnsi="Arial" w:eastAsia="Times New Roman" w:cs="Arial"/>
                <w:sz w:val="20"/>
                <w:szCs w:val="20"/>
                <w:lang w:eastAsia="en-GB"/>
              </w:rPr>
            </w:pPr>
          </w:p>
        </w:tc>
      </w:tr>
      <w:tr w:rsidRPr="00910723" w:rsidR="00411573" w:rsidTr="00435435" w14:paraId="06545A95" w14:textId="77777777">
        <w:trPr>
          <w:trHeight w:val="300"/>
        </w:trPr>
        <w:tc>
          <w:tcPr>
            <w:tcW w:w="6804" w:type="dxa"/>
            <w:gridSpan w:val="2"/>
            <w:tcBorders>
              <w:left w:val="nil"/>
              <w:bottom w:val="single" w:color="auto" w:sz="4" w:space="0"/>
              <w:right w:val="nil"/>
            </w:tcBorders>
            <w:noWrap/>
          </w:tcPr>
          <w:p w:rsidRPr="00910723" w:rsidR="00411573" w:rsidP="00435435" w:rsidRDefault="00411573" w14:paraId="73E16155" w14:textId="77777777">
            <w:pPr>
              <w:ind w:left="171"/>
              <w:rPr>
                <w:rFonts w:ascii="Arial" w:hAnsi="Arial" w:eastAsia="Times New Roman" w:cs="Arial"/>
                <w:sz w:val="20"/>
                <w:szCs w:val="20"/>
              </w:rPr>
            </w:pPr>
            <w:r w:rsidRPr="00910723">
              <w:rPr>
                <w:rFonts w:ascii="Arial" w:hAnsi="Arial"/>
                <w:sz w:val="20"/>
              </w:rPr>
              <w:t>j. Bendroji neigiama ne biržos (OTC) išvestinių finansinių priemonių sandorių tikroji vertė</w:t>
            </w:r>
          </w:p>
        </w:tc>
        <w:tc>
          <w:tcPr>
            <w:tcW w:w="2745" w:type="dxa"/>
            <w:tcBorders>
              <w:left w:val="nil"/>
              <w:bottom w:val="single" w:color="auto" w:sz="4" w:space="0"/>
              <w:right w:val="nil"/>
            </w:tcBorders>
            <w:noWrap/>
          </w:tcPr>
          <w:p w:rsidRPr="00910723" w:rsidR="00411573" w:rsidP="00435435" w:rsidRDefault="00411573" w14:paraId="286002B3" w14:textId="77777777">
            <w:pPr>
              <w:jc w:val="right"/>
              <w:rPr>
                <w:rFonts w:ascii="Arial" w:hAnsi="Arial" w:eastAsia="Times New Roman" w:cs="Arial"/>
                <w:sz w:val="20"/>
                <w:szCs w:val="20"/>
                <w:lang w:eastAsia="en-GB"/>
              </w:rPr>
            </w:pPr>
          </w:p>
        </w:tc>
      </w:tr>
      <w:tr w:rsidRPr="00910723" w:rsidR="00411573" w:rsidTr="00435435" w14:paraId="7A474CC1" w14:textId="77777777">
        <w:trPr>
          <w:trHeight w:val="300"/>
        </w:trPr>
        <w:tc>
          <w:tcPr>
            <w:tcW w:w="6804" w:type="dxa"/>
            <w:gridSpan w:val="2"/>
            <w:tcBorders>
              <w:left w:val="nil"/>
              <w:bottom w:val="single" w:color="auto" w:sz="4" w:space="0"/>
              <w:right w:val="nil"/>
            </w:tcBorders>
            <w:noWrap/>
            <w:hideMark/>
          </w:tcPr>
          <w:p w:rsidRPr="00910723" w:rsidR="00411573" w:rsidP="00435435" w:rsidRDefault="00411573" w14:paraId="6D23B987" w14:textId="77777777">
            <w:pPr>
              <w:rPr>
                <w:rFonts w:ascii="Arial" w:hAnsi="Arial" w:eastAsia="Times New Roman" w:cs="Arial"/>
                <w:sz w:val="20"/>
                <w:szCs w:val="20"/>
              </w:rPr>
            </w:pPr>
            <w:r w:rsidRPr="00910723">
              <w:rPr>
                <w:rFonts w:ascii="Arial" w:hAnsi="Arial"/>
                <w:sz w:val="20"/>
              </w:rPr>
              <w:t> </w:t>
            </w:r>
          </w:p>
        </w:tc>
        <w:tc>
          <w:tcPr>
            <w:tcW w:w="2745" w:type="dxa"/>
            <w:tcBorders>
              <w:left w:val="nil"/>
              <w:bottom w:val="single" w:color="auto" w:sz="4" w:space="0"/>
              <w:right w:val="nil"/>
            </w:tcBorders>
            <w:hideMark/>
          </w:tcPr>
          <w:p w:rsidRPr="00910723" w:rsidR="00411573" w:rsidP="00435435" w:rsidRDefault="00411573" w14:paraId="0E91611D" w14:textId="77777777">
            <w:pPr>
              <w:jc w:val="center"/>
              <w:rPr>
                <w:rFonts w:ascii="Arial" w:hAnsi="Arial" w:eastAsia="Times New Roman" w:cs="Arial"/>
                <w:b/>
                <w:bCs/>
                <w:sz w:val="20"/>
                <w:szCs w:val="20"/>
              </w:rPr>
            </w:pPr>
            <w:r w:rsidRPr="00910723">
              <w:rPr>
                <w:rFonts w:ascii="Arial" w:hAnsi="Arial"/>
                <w:b/>
                <w:sz w:val="20"/>
              </w:rPr>
              <w:t>Suma vienetais</w:t>
            </w:r>
          </w:p>
        </w:tc>
      </w:tr>
      <w:tr w:rsidRPr="00910723" w:rsidR="00411573" w:rsidTr="00435435" w14:paraId="60FCAACC" w14:textId="77777777">
        <w:trPr>
          <w:trHeight w:val="300"/>
        </w:trPr>
        <w:tc>
          <w:tcPr>
            <w:tcW w:w="6804" w:type="dxa"/>
            <w:gridSpan w:val="2"/>
            <w:tcBorders>
              <w:left w:val="nil"/>
              <w:bottom w:val="single" w:color="auto" w:sz="4" w:space="0"/>
              <w:right w:val="nil"/>
            </w:tcBorders>
            <w:noWrap/>
            <w:hideMark/>
          </w:tcPr>
          <w:p w:rsidRPr="00910723" w:rsidR="00411573" w:rsidP="00435435" w:rsidRDefault="00411573" w14:paraId="1C58834C" w14:textId="77777777">
            <w:pPr>
              <w:ind w:firstLine="200" w:firstLineChars="100"/>
              <w:rPr>
                <w:rFonts w:ascii="Arial" w:hAnsi="Arial" w:eastAsia="Times New Roman" w:cs="Arial"/>
                <w:sz w:val="20"/>
                <w:szCs w:val="20"/>
              </w:rPr>
            </w:pPr>
            <w:r w:rsidRPr="00910723">
              <w:rPr>
                <w:rFonts w:ascii="Arial" w:hAnsi="Arial"/>
                <w:sz w:val="20"/>
              </w:rPr>
              <w:t xml:space="preserve">k. Jurisdikcijų skaičius </w:t>
            </w:r>
          </w:p>
        </w:tc>
        <w:tc>
          <w:tcPr>
            <w:tcW w:w="2745" w:type="dxa"/>
            <w:tcBorders>
              <w:left w:val="nil"/>
              <w:bottom w:val="single" w:color="auto" w:sz="4" w:space="0"/>
              <w:right w:val="nil"/>
            </w:tcBorders>
            <w:noWrap/>
            <w:hideMark/>
          </w:tcPr>
          <w:p w:rsidRPr="00910723" w:rsidR="00411573" w:rsidP="00435435" w:rsidRDefault="00411573" w14:paraId="0AB1C5C4" w14:textId="77777777">
            <w:pPr>
              <w:jc w:val="right"/>
              <w:rPr>
                <w:rFonts w:ascii="Arial" w:hAnsi="Arial" w:eastAsia="Times New Roman" w:cs="Arial"/>
                <w:sz w:val="20"/>
                <w:szCs w:val="20"/>
              </w:rPr>
            </w:pPr>
            <w:r w:rsidRPr="00910723">
              <w:rPr>
                <w:rFonts w:ascii="Arial" w:hAnsi="Arial"/>
                <w:sz w:val="20"/>
              </w:rPr>
              <w:t> </w:t>
            </w:r>
          </w:p>
        </w:tc>
      </w:tr>
      <w:tr w:rsidRPr="00910723" w:rsidR="00411573" w:rsidTr="00435435" w14:paraId="64B82142" w14:textId="77777777">
        <w:trPr>
          <w:trHeight w:val="300"/>
        </w:trPr>
        <w:tc>
          <w:tcPr>
            <w:tcW w:w="6804" w:type="dxa"/>
            <w:gridSpan w:val="2"/>
            <w:tcBorders>
              <w:left w:val="nil"/>
              <w:bottom w:val="nil"/>
              <w:right w:val="nil"/>
            </w:tcBorders>
            <w:noWrap/>
          </w:tcPr>
          <w:p w:rsidRPr="00910723" w:rsidR="00411573" w:rsidP="00435435" w:rsidRDefault="00411573" w14:paraId="58312F98"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910723" w:rsidR="00411573" w:rsidP="00435435" w:rsidRDefault="00411573" w14:paraId="71FBD21A" w14:textId="77777777">
            <w:pPr>
              <w:jc w:val="center"/>
              <w:rPr>
                <w:rFonts w:ascii="Arial" w:hAnsi="Arial" w:eastAsia="Times New Roman" w:cs="Arial"/>
                <w:b/>
                <w:bCs/>
                <w:sz w:val="20"/>
                <w:szCs w:val="20"/>
                <w:lang w:eastAsia="en-GB"/>
              </w:rPr>
            </w:pPr>
          </w:p>
        </w:tc>
      </w:tr>
      <w:tr w:rsidRPr="00910723" w:rsidR="00411573" w:rsidTr="00435435" w14:paraId="35DC1CCE" w14:textId="77777777">
        <w:trPr>
          <w:trHeight w:val="300"/>
        </w:trPr>
        <w:tc>
          <w:tcPr>
            <w:tcW w:w="6804" w:type="dxa"/>
            <w:gridSpan w:val="2"/>
            <w:tcBorders>
              <w:top w:val="nil"/>
              <w:left w:val="nil"/>
              <w:bottom w:val="single" w:color="auto" w:sz="4" w:space="0"/>
              <w:right w:val="nil"/>
            </w:tcBorders>
            <w:noWrap/>
            <w:hideMark/>
          </w:tcPr>
          <w:p w:rsidRPr="00910723" w:rsidR="00411573" w:rsidP="00435435" w:rsidRDefault="00411573" w14:paraId="06E0DDE3" w14:textId="77777777">
            <w:pPr>
              <w:rPr>
                <w:rFonts w:ascii="Arial" w:hAnsi="Arial" w:eastAsia="Times New Roman" w:cs="Arial"/>
                <w:b/>
                <w:bCs/>
                <w:sz w:val="20"/>
                <w:szCs w:val="20"/>
              </w:rPr>
            </w:pPr>
            <w:r w:rsidRPr="00910723">
              <w:rPr>
                <w:rFonts w:ascii="Arial" w:hAnsi="Arial"/>
                <w:b/>
                <w:sz w:val="20"/>
              </w:rPr>
              <w:t>16 skirsnis. Papildomi punktai</w:t>
            </w:r>
          </w:p>
        </w:tc>
        <w:tc>
          <w:tcPr>
            <w:tcW w:w="2745" w:type="dxa"/>
            <w:tcBorders>
              <w:top w:val="nil"/>
              <w:left w:val="nil"/>
              <w:bottom w:val="single" w:color="auto" w:sz="4" w:space="0"/>
              <w:right w:val="nil"/>
            </w:tcBorders>
            <w:hideMark/>
          </w:tcPr>
          <w:p w:rsidRPr="00910723" w:rsidR="00411573" w:rsidP="00435435" w:rsidRDefault="00411573" w14:paraId="7BACF912" w14:textId="77777777">
            <w:pPr>
              <w:jc w:val="center"/>
              <w:rPr>
                <w:rFonts w:ascii="Arial" w:hAnsi="Arial" w:eastAsia="Times New Roman" w:cs="Arial"/>
                <w:b/>
                <w:bCs/>
                <w:sz w:val="20"/>
                <w:szCs w:val="20"/>
              </w:rPr>
            </w:pPr>
            <w:r w:rsidRPr="00910723">
              <w:rPr>
                <w:rFonts w:ascii="Arial" w:hAnsi="Arial"/>
                <w:b/>
                <w:sz w:val="20"/>
              </w:rPr>
              <w:t>Suma</w:t>
            </w:r>
          </w:p>
        </w:tc>
      </w:tr>
      <w:tr w:rsidRPr="00910723" w:rsidR="00411573" w:rsidTr="00435435" w14:paraId="18E11E9A" w14:textId="77777777">
        <w:trPr>
          <w:trHeight w:val="300"/>
        </w:trPr>
        <w:tc>
          <w:tcPr>
            <w:tcW w:w="6804" w:type="dxa"/>
            <w:gridSpan w:val="2"/>
            <w:tcBorders>
              <w:left w:val="nil"/>
              <w:right w:val="nil"/>
            </w:tcBorders>
            <w:noWrap/>
            <w:hideMark/>
          </w:tcPr>
          <w:p w:rsidRPr="00910723" w:rsidR="00411573" w:rsidP="00435435" w:rsidRDefault="00411573" w14:paraId="5849C8A7" w14:textId="77777777">
            <w:pPr>
              <w:ind w:firstLine="200" w:firstLineChars="100"/>
              <w:rPr>
                <w:rFonts w:ascii="Arial" w:hAnsi="Arial" w:eastAsia="Times New Roman" w:cs="Arial"/>
                <w:sz w:val="20"/>
                <w:szCs w:val="20"/>
              </w:rPr>
            </w:pPr>
            <w:r w:rsidRPr="00910723">
              <w:rPr>
                <w:rFonts w:ascii="Arial" w:hAnsi="Arial"/>
                <w:sz w:val="20"/>
              </w:rPr>
              <w:t>a. Iki termino pabaigos laikomi vertybiniai popieriai</w:t>
            </w:r>
          </w:p>
        </w:tc>
        <w:tc>
          <w:tcPr>
            <w:tcW w:w="2745" w:type="dxa"/>
            <w:tcBorders>
              <w:left w:val="nil"/>
              <w:right w:val="nil"/>
            </w:tcBorders>
            <w:noWrap/>
            <w:hideMark/>
          </w:tcPr>
          <w:p w:rsidRPr="00910723" w:rsidR="00411573" w:rsidP="00435435" w:rsidRDefault="00411573" w14:paraId="21A382E4" w14:textId="77777777">
            <w:pPr>
              <w:jc w:val="right"/>
              <w:rPr>
                <w:rFonts w:ascii="Arial" w:hAnsi="Arial" w:eastAsia="Times New Roman" w:cs="Arial"/>
                <w:sz w:val="20"/>
                <w:szCs w:val="20"/>
              </w:rPr>
            </w:pPr>
            <w:r w:rsidRPr="00910723">
              <w:rPr>
                <w:rFonts w:ascii="Arial" w:hAnsi="Arial"/>
                <w:sz w:val="20"/>
              </w:rPr>
              <w:t> </w:t>
            </w:r>
          </w:p>
        </w:tc>
      </w:tr>
      <w:tr w:rsidRPr="00910723" w:rsidR="00411573" w:rsidTr="00435435" w14:paraId="72E3F627" w14:textId="77777777">
        <w:trPr>
          <w:trHeight w:val="300"/>
        </w:trPr>
        <w:tc>
          <w:tcPr>
            <w:tcW w:w="6804" w:type="dxa"/>
            <w:gridSpan w:val="2"/>
            <w:tcBorders>
              <w:left w:val="nil"/>
              <w:right w:val="nil"/>
            </w:tcBorders>
            <w:noWrap/>
            <w:hideMark/>
          </w:tcPr>
          <w:p w:rsidRPr="00910723" w:rsidR="00411573" w:rsidP="00435435" w:rsidRDefault="00411573" w14:paraId="0F5FAF26" w14:textId="77777777">
            <w:pPr>
              <w:ind w:firstLine="200" w:firstLineChars="100"/>
              <w:rPr>
                <w:rFonts w:ascii="Arial" w:hAnsi="Arial" w:eastAsia="Times New Roman" w:cs="Arial"/>
                <w:sz w:val="20"/>
                <w:szCs w:val="20"/>
              </w:rPr>
            </w:pPr>
            <w:r w:rsidRPr="00910723">
              <w:rPr>
                <w:rFonts w:ascii="Arial" w:hAnsi="Arial"/>
                <w:sz w:val="20"/>
              </w:rPr>
              <w:t>b. Per ataskaitinius metus atlikti mokėjimai</w:t>
            </w:r>
          </w:p>
        </w:tc>
        <w:tc>
          <w:tcPr>
            <w:tcW w:w="2745" w:type="dxa"/>
            <w:tcBorders>
              <w:left w:val="nil"/>
              <w:right w:val="nil"/>
            </w:tcBorders>
            <w:noWrap/>
            <w:hideMark/>
          </w:tcPr>
          <w:p w:rsidRPr="00910723" w:rsidR="00411573" w:rsidP="00435435" w:rsidRDefault="00411573" w14:paraId="64CEF6EE" w14:textId="77777777">
            <w:pPr>
              <w:ind w:firstLine="200" w:firstLineChars="100"/>
              <w:rPr>
                <w:rFonts w:ascii="Arial" w:hAnsi="Arial" w:eastAsia="Times New Roman" w:cs="Arial"/>
                <w:sz w:val="20"/>
                <w:szCs w:val="20"/>
              </w:rPr>
            </w:pPr>
            <w:r w:rsidRPr="00910723">
              <w:rPr>
                <w:rFonts w:ascii="Arial" w:hAnsi="Arial"/>
                <w:sz w:val="20"/>
              </w:rPr>
              <w:t> </w:t>
            </w:r>
          </w:p>
        </w:tc>
      </w:tr>
      <w:tr w:rsidRPr="00910723" w:rsidR="00411573" w:rsidTr="00435435" w14:paraId="28E5B4B6" w14:textId="77777777">
        <w:trPr>
          <w:trHeight w:val="300"/>
        </w:trPr>
        <w:tc>
          <w:tcPr>
            <w:tcW w:w="6804" w:type="dxa"/>
            <w:gridSpan w:val="2"/>
            <w:tcBorders>
              <w:left w:val="nil"/>
              <w:right w:val="nil"/>
            </w:tcBorders>
            <w:noWrap/>
            <w:hideMark/>
          </w:tcPr>
          <w:p w:rsidRPr="00910723" w:rsidR="00411573" w:rsidP="00435435" w:rsidRDefault="00411573" w14:paraId="2E673360" w14:textId="77777777">
            <w:pPr>
              <w:ind w:firstLine="400" w:firstLineChars="200"/>
              <w:rPr>
                <w:rFonts w:ascii="Arial" w:hAnsi="Arial" w:eastAsia="Times New Roman" w:cs="Arial"/>
                <w:sz w:val="20"/>
                <w:szCs w:val="20"/>
              </w:rPr>
            </w:pPr>
            <w:r w:rsidRPr="00910723">
              <w:rPr>
                <w:rFonts w:ascii="Arial" w:hAnsi="Arial"/>
                <w:sz w:val="20"/>
                <w:lang w:eastAsia="en-GB"/>
              </w:rPr>
              <w:t xml:space="preserve">(1) </w:t>
            </w:r>
            <w:r w:rsidRPr="00910723">
              <w:rPr>
                <w:rFonts w:ascii="Arial" w:hAnsi="Arial"/>
                <w:sz w:val="20"/>
              </w:rPr>
              <w:t>Brazilijos realai (BRL)</w:t>
            </w:r>
          </w:p>
        </w:tc>
        <w:tc>
          <w:tcPr>
            <w:tcW w:w="2745" w:type="dxa"/>
            <w:tcBorders>
              <w:left w:val="nil"/>
              <w:right w:val="nil"/>
            </w:tcBorders>
            <w:noWrap/>
            <w:hideMark/>
          </w:tcPr>
          <w:p w:rsidRPr="00910723" w:rsidR="00411573" w:rsidP="00435435" w:rsidRDefault="00411573" w14:paraId="482AB16E" w14:textId="77777777">
            <w:pPr>
              <w:jc w:val="right"/>
              <w:rPr>
                <w:rFonts w:ascii="Arial" w:hAnsi="Arial" w:eastAsia="Times New Roman" w:cs="Arial"/>
                <w:sz w:val="20"/>
                <w:szCs w:val="20"/>
              </w:rPr>
            </w:pPr>
            <w:r w:rsidRPr="00910723">
              <w:rPr>
                <w:rFonts w:ascii="Arial" w:hAnsi="Arial"/>
                <w:sz w:val="20"/>
              </w:rPr>
              <w:t> </w:t>
            </w:r>
          </w:p>
        </w:tc>
      </w:tr>
      <w:tr w:rsidRPr="00910723" w:rsidR="00411573" w:rsidTr="00435435" w14:paraId="690F7210" w14:textId="77777777">
        <w:trPr>
          <w:trHeight w:val="300"/>
        </w:trPr>
        <w:tc>
          <w:tcPr>
            <w:tcW w:w="6804" w:type="dxa"/>
            <w:gridSpan w:val="2"/>
            <w:tcBorders>
              <w:left w:val="nil"/>
              <w:right w:val="nil"/>
            </w:tcBorders>
            <w:noWrap/>
            <w:hideMark/>
          </w:tcPr>
          <w:p w:rsidRPr="00910723" w:rsidR="00411573" w:rsidP="00435435" w:rsidRDefault="00411573" w14:paraId="0F52653D" w14:textId="77777777">
            <w:pPr>
              <w:ind w:firstLine="400" w:firstLineChars="200"/>
              <w:rPr>
                <w:rFonts w:ascii="Arial" w:hAnsi="Arial" w:eastAsia="Times New Roman" w:cs="Arial"/>
                <w:sz w:val="20"/>
                <w:szCs w:val="20"/>
              </w:rPr>
            </w:pPr>
            <w:r w:rsidRPr="00910723">
              <w:rPr>
                <w:rFonts w:ascii="Arial" w:hAnsi="Arial"/>
                <w:sz w:val="20"/>
                <w:lang w:eastAsia="en-GB"/>
              </w:rPr>
              <w:t xml:space="preserve">(2) </w:t>
            </w:r>
            <w:r w:rsidRPr="00910723">
              <w:rPr>
                <w:rFonts w:ascii="Arial" w:hAnsi="Arial"/>
                <w:sz w:val="20"/>
              </w:rPr>
              <w:t>Meksikos pesai (MXN)</w:t>
            </w:r>
          </w:p>
        </w:tc>
        <w:tc>
          <w:tcPr>
            <w:tcW w:w="2745" w:type="dxa"/>
            <w:tcBorders>
              <w:left w:val="nil"/>
              <w:right w:val="nil"/>
            </w:tcBorders>
            <w:noWrap/>
            <w:hideMark/>
          </w:tcPr>
          <w:p w:rsidRPr="00910723" w:rsidR="00411573" w:rsidP="00435435" w:rsidRDefault="00411573" w14:paraId="670294B3" w14:textId="77777777">
            <w:pPr>
              <w:jc w:val="right"/>
              <w:rPr>
                <w:rFonts w:ascii="Arial" w:hAnsi="Arial" w:eastAsia="Times New Roman" w:cs="Arial"/>
                <w:sz w:val="20"/>
                <w:szCs w:val="20"/>
              </w:rPr>
            </w:pPr>
            <w:r w:rsidRPr="00910723">
              <w:rPr>
                <w:rFonts w:ascii="Arial" w:hAnsi="Arial"/>
                <w:sz w:val="20"/>
              </w:rPr>
              <w:t> </w:t>
            </w:r>
          </w:p>
        </w:tc>
      </w:tr>
      <w:tr w:rsidRPr="00910723" w:rsidR="00411573" w:rsidTr="00435435" w14:paraId="1766E32F" w14:textId="77777777">
        <w:trPr>
          <w:trHeight w:val="300"/>
        </w:trPr>
        <w:tc>
          <w:tcPr>
            <w:tcW w:w="6804" w:type="dxa"/>
            <w:gridSpan w:val="2"/>
            <w:tcBorders>
              <w:left w:val="nil"/>
              <w:right w:val="nil"/>
            </w:tcBorders>
            <w:noWrap/>
            <w:hideMark/>
          </w:tcPr>
          <w:p w:rsidRPr="00910723" w:rsidR="00411573" w:rsidP="00435435" w:rsidRDefault="00411573" w14:paraId="1097C441" w14:textId="77777777">
            <w:pPr>
              <w:ind w:firstLine="400" w:firstLineChars="200"/>
              <w:rPr>
                <w:rFonts w:ascii="Arial" w:hAnsi="Arial" w:eastAsia="Times New Roman" w:cs="Arial"/>
                <w:sz w:val="20"/>
                <w:szCs w:val="20"/>
              </w:rPr>
            </w:pPr>
            <w:r w:rsidRPr="00910723">
              <w:rPr>
                <w:rFonts w:ascii="Arial" w:hAnsi="Arial"/>
                <w:sz w:val="20"/>
                <w:lang w:eastAsia="en-GB"/>
              </w:rPr>
              <w:t xml:space="preserve">(3) </w:t>
            </w:r>
            <w:r w:rsidRPr="00910723">
              <w:rPr>
                <w:rFonts w:ascii="Arial" w:hAnsi="Arial"/>
                <w:sz w:val="20"/>
              </w:rPr>
              <w:t>Norvegijos kronos (NOK)</w:t>
            </w:r>
          </w:p>
        </w:tc>
        <w:tc>
          <w:tcPr>
            <w:tcW w:w="2745" w:type="dxa"/>
            <w:tcBorders>
              <w:left w:val="nil"/>
              <w:right w:val="nil"/>
            </w:tcBorders>
            <w:noWrap/>
            <w:hideMark/>
          </w:tcPr>
          <w:p w:rsidRPr="00910723" w:rsidR="00411573" w:rsidP="00435435" w:rsidRDefault="00411573" w14:paraId="2950AF6E" w14:textId="77777777">
            <w:pPr>
              <w:jc w:val="right"/>
              <w:rPr>
                <w:rFonts w:ascii="Arial" w:hAnsi="Arial" w:eastAsia="Times New Roman" w:cs="Arial"/>
                <w:sz w:val="20"/>
                <w:szCs w:val="20"/>
              </w:rPr>
            </w:pPr>
            <w:r w:rsidRPr="00910723">
              <w:rPr>
                <w:rFonts w:ascii="Arial" w:hAnsi="Arial"/>
                <w:sz w:val="20"/>
              </w:rPr>
              <w:t> </w:t>
            </w:r>
          </w:p>
        </w:tc>
      </w:tr>
      <w:tr w:rsidRPr="00910723" w:rsidR="00411573" w:rsidTr="00435435" w14:paraId="36AB7066" w14:textId="77777777">
        <w:trPr>
          <w:trHeight w:val="300"/>
        </w:trPr>
        <w:tc>
          <w:tcPr>
            <w:tcW w:w="6804" w:type="dxa"/>
            <w:gridSpan w:val="2"/>
            <w:tcBorders>
              <w:left w:val="nil"/>
              <w:right w:val="nil"/>
            </w:tcBorders>
            <w:noWrap/>
            <w:hideMark/>
          </w:tcPr>
          <w:p w:rsidRPr="00910723" w:rsidR="00411573" w:rsidP="00435435" w:rsidRDefault="00411573" w14:paraId="61263BD8" w14:textId="77777777">
            <w:pPr>
              <w:ind w:firstLine="400" w:firstLineChars="200"/>
              <w:rPr>
                <w:rFonts w:ascii="Arial" w:hAnsi="Arial" w:eastAsia="Times New Roman" w:cs="Arial"/>
                <w:sz w:val="20"/>
                <w:szCs w:val="20"/>
              </w:rPr>
            </w:pPr>
            <w:r w:rsidRPr="00910723">
              <w:rPr>
                <w:rFonts w:ascii="Arial" w:hAnsi="Arial"/>
                <w:sz w:val="20"/>
                <w:lang w:eastAsia="en-GB"/>
              </w:rPr>
              <w:t xml:space="preserve">(4) </w:t>
            </w:r>
            <w:r w:rsidRPr="00910723">
              <w:rPr>
                <w:rFonts w:ascii="Arial" w:hAnsi="Arial"/>
                <w:sz w:val="20"/>
              </w:rPr>
              <w:t>Rusijos rubliai (RUB)</w:t>
            </w:r>
          </w:p>
        </w:tc>
        <w:tc>
          <w:tcPr>
            <w:tcW w:w="2745" w:type="dxa"/>
            <w:tcBorders>
              <w:left w:val="nil"/>
              <w:right w:val="nil"/>
            </w:tcBorders>
            <w:noWrap/>
            <w:hideMark/>
          </w:tcPr>
          <w:p w:rsidRPr="00910723" w:rsidR="00411573" w:rsidP="00435435" w:rsidRDefault="00411573" w14:paraId="12D2A909" w14:textId="77777777">
            <w:pPr>
              <w:jc w:val="right"/>
              <w:rPr>
                <w:rFonts w:ascii="Arial" w:hAnsi="Arial" w:eastAsia="Times New Roman" w:cs="Arial"/>
                <w:sz w:val="20"/>
                <w:szCs w:val="20"/>
              </w:rPr>
            </w:pPr>
            <w:r w:rsidRPr="00910723">
              <w:rPr>
                <w:rFonts w:ascii="Arial" w:hAnsi="Arial"/>
                <w:sz w:val="20"/>
              </w:rPr>
              <w:t> </w:t>
            </w:r>
          </w:p>
        </w:tc>
      </w:tr>
      <w:tr w:rsidRPr="00910723" w:rsidR="00411573" w:rsidTr="00435435" w14:paraId="517308AE" w14:textId="77777777">
        <w:trPr>
          <w:trHeight w:val="300"/>
        </w:trPr>
        <w:tc>
          <w:tcPr>
            <w:tcW w:w="6804" w:type="dxa"/>
            <w:gridSpan w:val="2"/>
            <w:tcBorders>
              <w:left w:val="nil"/>
              <w:right w:val="nil"/>
            </w:tcBorders>
            <w:noWrap/>
            <w:hideMark/>
          </w:tcPr>
          <w:p w:rsidRPr="00910723" w:rsidR="00411573" w:rsidP="00435435" w:rsidRDefault="00411573" w14:paraId="6A03C062" w14:textId="77777777">
            <w:pPr>
              <w:ind w:firstLine="400" w:firstLineChars="200"/>
              <w:rPr>
                <w:rFonts w:ascii="Arial" w:hAnsi="Arial" w:eastAsia="Times New Roman" w:cs="Arial"/>
                <w:sz w:val="20"/>
                <w:szCs w:val="20"/>
              </w:rPr>
            </w:pPr>
            <w:r w:rsidRPr="00910723">
              <w:rPr>
                <w:rFonts w:ascii="Arial" w:hAnsi="Arial"/>
                <w:sz w:val="20"/>
                <w:lang w:eastAsia="en-GB"/>
              </w:rPr>
              <w:t xml:space="preserve">(5) </w:t>
            </w:r>
            <w:r w:rsidRPr="00910723">
              <w:rPr>
                <w:rFonts w:ascii="Arial" w:hAnsi="Arial"/>
                <w:sz w:val="20"/>
              </w:rPr>
              <w:t>Singapūro doleriai (SGD)</w:t>
            </w:r>
          </w:p>
        </w:tc>
        <w:tc>
          <w:tcPr>
            <w:tcW w:w="2745" w:type="dxa"/>
            <w:tcBorders>
              <w:left w:val="nil"/>
              <w:right w:val="nil"/>
            </w:tcBorders>
            <w:noWrap/>
            <w:hideMark/>
          </w:tcPr>
          <w:p w:rsidRPr="00910723" w:rsidR="00411573" w:rsidP="00435435" w:rsidRDefault="00411573" w14:paraId="2CF86CCF" w14:textId="77777777">
            <w:pPr>
              <w:jc w:val="right"/>
              <w:rPr>
                <w:rFonts w:ascii="Arial" w:hAnsi="Arial" w:eastAsia="Times New Roman" w:cs="Arial"/>
                <w:sz w:val="20"/>
                <w:szCs w:val="20"/>
              </w:rPr>
            </w:pPr>
            <w:r w:rsidRPr="00910723">
              <w:rPr>
                <w:rFonts w:ascii="Arial" w:hAnsi="Arial"/>
                <w:sz w:val="20"/>
              </w:rPr>
              <w:t> </w:t>
            </w:r>
          </w:p>
        </w:tc>
      </w:tr>
      <w:tr w:rsidRPr="00910723" w:rsidR="00411573" w:rsidTr="00435435" w14:paraId="73C1D11D" w14:textId="77777777">
        <w:trPr>
          <w:trHeight w:val="300"/>
        </w:trPr>
        <w:tc>
          <w:tcPr>
            <w:tcW w:w="6804" w:type="dxa"/>
            <w:gridSpan w:val="2"/>
            <w:tcBorders>
              <w:left w:val="nil"/>
              <w:bottom w:val="single" w:color="auto" w:sz="4" w:space="0"/>
              <w:right w:val="nil"/>
            </w:tcBorders>
            <w:noWrap/>
            <w:hideMark/>
          </w:tcPr>
          <w:p w:rsidRPr="00910723" w:rsidR="00411573" w:rsidP="00435435" w:rsidRDefault="00411573" w14:paraId="4520DFFD" w14:textId="77777777">
            <w:pPr>
              <w:ind w:firstLine="400" w:firstLineChars="200"/>
              <w:rPr>
                <w:rFonts w:ascii="Arial" w:hAnsi="Arial" w:eastAsia="Times New Roman" w:cs="Arial"/>
                <w:sz w:val="20"/>
                <w:szCs w:val="20"/>
              </w:rPr>
            </w:pPr>
            <w:r w:rsidRPr="00910723">
              <w:rPr>
                <w:rFonts w:ascii="Arial" w:hAnsi="Arial"/>
                <w:sz w:val="20"/>
                <w:lang w:eastAsia="en-GB"/>
              </w:rPr>
              <w:t xml:space="preserve">(6) </w:t>
            </w:r>
            <w:r w:rsidRPr="00910723">
              <w:rPr>
                <w:rFonts w:ascii="Arial" w:hAnsi="Arial"/>
                <w:sz w:val="20"/>
              </w:rPr>
              <w:t>Pietų Korėjos vonai (KRW)</w:t>
            </w:r>
          </w:p>
        </w:tc>
        <w:tc>
          <w:tcPr>
            <w:tcW w:w="2745" w:type="dxa"/>
            <w:tcBorders>
              <w:left w:val="nil"/>
              <w:bottom w:val="single" w:color="auto" w:sz="4" w:space="0"/>
              <w:right w:val="nil"/>
            </w:tcBorders>
            <w:noWrap/>
            <w:hideMark/>
          </w:tcPr>
          <w:p w:rsidRPr="00910723" w:rsidR="00411573" w:rsidP="00435435" w:rsidRDefault="00411573" w14:paraId="193DD284" w14:textId="77777777">
            <w:pPr>
              <w:jc w:val="right"/>
              <w:rPr>
                <w:rFonts w:ascii="Arial" w:hAnsi="Arial" w:eastAsia="Times New Roman" w:cs="Arial"/>
                <w:sz w:val="20"/>
                <w:szCs w:val="20"/>
              </w:rPr>
            </w:pPr>
            <w:r w:rsidRPr="00910723">
              <w:rPr>
                <w:rFonts w:ascii="Arial" w:hAnsi="Arial"/>
                <w:sz w:val="20"/>
              </w:rPr>
              <w:t> </w:t>
            </w:r>
          </w:p>
        </w:tc>
      </w:tr>
      <w:tr w:rsidRPr="00910723" w:rsidR="00411573" w:rsidTr="00435435" w14:paraId="5F64A632" w14:textId="77777777">
        <w:trPr>
          <w:trHeight w:val="403"/>
        </w:trPr>
        <w:tc>
          <w:tcPr>
            <w:tcW w:w="6804" w:type="dxa"/>
            <w:gridSpan w:val="2"/>
            <w:tcBorders>
              <w:left w:val="nil"/>
              <w:bottom w:val="nil"/>
              <w:right w:val="nil"/>
            </w:tcBorders>
            <w:noWrap/>
            <w:hideMark/>
          </w:tcPr>
          <w:p w:rsidRPr="00910723" w:rsidR="00411573" w:rsidP="00435435" w:rsidRDefault="00411573" w14:paraId="6D804A75" w14:textId="77777777">
            <w:pPr>
              <w:rPr>
                <w:rFonts w:ascii="Arial" w:hAnsi="Arial" w:eastAsia="Times New Roman" w:cs="Arial"/>
                <w:sz w:val="20"/>
                <w:szCs w:val="20"/>
              </w:rPr>
            </w:pPr>
            <w:r w:rsidRPr="00910723">
              <w:rPr>
                <w:rFonts w:ascii="Arial" w:hAnsi="Arial"/>
                <w:sz w:val="20"/>
              </w:rPr>
              <w:t> </w:t>
            </w:r>
          </w:p>
        </w:tc>
        <w:tc>
          <w:tcPr>
            <w:tcW w:w="2745" w:type="dxa"/>
            <w:tcBorders>
              <w:left w:val="nil"/>
              <w:bottom w:val="nil"/>
              <w:right w:val="nil"/>
            </w:tcBorders>
            <w:noWrap/>
            <w:hideMark/>
          </w:tcPr>
          <w:p w:rsidRPr="00910723" w:rsidR="00411573" w:rsidP="00435435" w:rsidRDefault="00411573" w14:paraId="6DB54D55" w14:textId="77777777">
            <w:pPr>
              <w:rPr>
                <w:rFonts w:ascii="Arial" w:hAnsi="Arial" w:eastAsia="Times New Roman" w:cs="Arial"/>
                <w:sz w:val="20"/>
                <w:szCs w:val="20"/>
              </w:rPr>
            </w:pPr>
            <w:r w:rsidRPr="00910723">
              <w:rPr>
                <w:rFonts w:ascii="Arial" w:hAnsi="Arial"/>
                <w:sz w:val="20"/>
              </w:rPr>
              <w:t> </w:t>
            </w:r>
          </w:p>
        </w:tc>
      </w:tr>
      <w:tr w:rsidRPr="00910723" w:rsidR="00411573" w:rsidTr="00435435" w14:paraId="23C830EB" w14:textId="77777777">
        <w:trPr>
          <w:trHeight w:val="403"/>
        </w:trPr>
        <w:tc>
          <w:tcPr>
            <w:tcW w:w="6804" w:type="dxa"/>
            <w:gridSpan w:val="2"/>
            <w:tcBorders>
              <w:top w:val="nil"/>
              <w:left w:val="nil"/>
              <w:bottom w:val="nil"/>
              <w:right w:val="nil"/>
            </w:tcBorders>
            <w:noWrap/>
            <w:hideMark/>
          </w:tcPr>
          <w:p w:rsidRPr="00910723" w:rsidR="00411573" w:rsidP="00435435" w:rsidRDefault="00411573" w14:paraId="3348B0CB" w14:textId="77777777">
            <w:pPr>
              <w:rPr>
                <w:rFonts w:asciiTheme="majorHAnsi" w:hAnsiTheme="majorHAnsi" w:eastAsiaTheme="majorEastAsia" w:cstheme="majorBidi"/>
                <w:b/>
                <w:bCs/>
                <w:i/>
                <w:iCs/>
                <w:caps/>
                <w:spacing w:val="-2"/>
              </w:rPr>
            </w:pPr>
            <w:r w:rsidRPr="00910723">
              <w:rPr>
                <w:rFonts w:asciiTheme="majorHAnsi" w:hAnsiTheme="majorHAnsi"/>
                <w:b/>
                <w:i/>
                <w:caps/>
              </w:rPr>
              <w:t> Memorandumo punktai</w:t>
            </w:r>
          </w:p>
        </w:tc>
        <w:tc>
          <w:tcPr>
            <w:tcW w:w="2745" w:type="dxa"/>
            <w:tcBorders>
              <w:top w:val="nil"/>
              <w:left w:val="nil"/>
              <w:bottom w:val="nil"/>
              <w:right w:val="nil"/>
            </w:tcBorders>
            <w:noWrap/>
            <w:hideMark/>
          </w:tcPr>
          <w:p w:rsidRPr="00910723" w:rsidR="00411573" w:rsidP="00435435" w:rsidRDefault="00411573" w14:paraId="06B3336B" w14:textId="77777777">
            <w:pPr>
              <w:rPr>
                <w:rFonts w:ascii="Arial" w:hAnsi="Arial" w:eastAsia="Times New Roman" w:cs="Arial"/>
                <w:b/>
                <w:bCs/>
                <w:sz w:val="24"/>
                <w:szCs w:val="24"/>
              </w:rPr>
            </w:pPr>
            <w:r w:rsidRPr="00910723">
              <w:rPr>
                <w:rFonts w:ascii="Arial" w:hAnsi="Arial"/>
                <w:b/>
                <w:sz w:val="24"/>
              </w:rPr>
              <w:t> </w:t>
            </w:r>
          </w:p>
        </w:tc>
      </w:tr>
      <w:tr w:rsidRPr="00910723" w:rsidR="00411573" w:rsidTr="00435435" w14:paraId="00BA0276" w14:textId="77777777">
        <w:trPr>
          <w:trHeight w:val="403"/>
        </w:trPr>
        <w:tc>
          <w:tcPr>
            <w:tcW w:w="6804" w:type="dxa"/>
            <w:gridSpan w:val="2"/>
            <w:tcBorders>
              <w:top w:val="nil"/>
              <w:left w:val="nil"/>
              <w:bottom w:val="single" w:color="auto" w:sz="4" w:space="0"/>
              <w:right w:val="nil"/>
            </w:tcBorders>
            <w:noWrap/>
            <w:hideMark/>
          </w:tcPr>
          <w:p w:rsidRPr="00910723" w:rsidR="00411573" w:rsidP="00435435" w:rsidRDefault="00411573" w14:paraId="52095ED1" w14:textId="77777777">
            <w:pPr>
              <w:ind w:firstLine="241" w:firstLineChars="100"/>
              <w:rPr>
                <w:rFonts w:ascii="Arial" w:hAnsi="Arial" w:eastAsia="Times New Roman" w:cs="Arial"/>
                <w:b/>
                <w:bCs/>
                <w:sz w:val="24"/>
                <w:szCs w:val="24"/>
              </w:rPr>
            </w:pPr>
            <w:r w:rsidRPr="00910723">
              <w:rPr>
                <w:rFonts w:ascii="Arial" w:hAnsi="Arial"/>
                <w:b/>
                <w:sz w:val="24"/>
              </w:rPr>
              <w:t> </w:t>
            </w:r>
          </w:p>
        </w:tc>
        <w:tc>
          <w:tcPr>
            <w:tcW w:w="2745" w:type="dxa"/>
            <w:tcBorders>
              <w:top w:val="nil"/>
              <w:left w:val="nil"/>
              <w:bottom w:val="single" w:color="auto" w:sz="4" w:space="0"/>
              <w:right w:val="nil"/>
            </w:tcBorders>
            <w:noWrap/>
            <w:hideMark/>
          </w:tcPr>
          <w:p w:rsidRPr="00910723" w:rsidR="00411573" w:rsidP="00435435" w:rsidRDefault="00411573" w14:paraId="4C8761A6" w14:textId="77777777">
            <w:pPr>
              <w:rPr>
                <w:rFonts w:ascii="Arial" w:hAnsi="Arial" w:eastAsia="Times New Roman" w:cs="Arial"/>
                <w:b/>
                <w:bCs/>
                <w:sz w:val="24"/>
                <w:szCs w:val="24"/>
              </w:rPr>
            </w:pPr>
            <w:r w:rsidRPr="00910723">
              <w:rPr>
                <w:rFonts w:ascii="Arial" w:hAnsi="Arial"/>
                <w:b/>
                <w:sz w:val="24"/>
              </w:rPr>
              <w:t> </w:t>
            </w:r>
          </w:p>
        </w:tc>
      </w:tr>
      <w:tr w:rsidRPr="00910723" w:rsidR="00411573" w:rsidTr="00435435" w14:paraId="0466517C" w14:textId="77777777">
        <w:trPr>
          <w:trHeight w:val="300"/>
        </w:trPr>
        <w:tc>
          <w:tcPr>
            <w:tcW w:w="6804" w:type="dxa"/>
            <w:gridSpan w:val="2"/>
            <w:tcBorders>
              <w:left w:val="nil"/>
              <w:right w:val="nil"/>
            </w:tcBorders>
            <w:noWrap/>
            <w:hideMark/>
          </w:tcPr>
          <w:p w:rsidRPr="00910723" w:rsidR="00411573" w:rsidP="00435435" w:rsidRDefault="00411573" w14:paraId="7AFD2495" w14:textId="77777777">
            <w:pPr>
              <w:rPr>
                <w:rFonts w:ascii="Arial" w:hAnsi="Arial" w:eastAsia="Times New Roman" w:cs="Arial"/>
                <w:b/>
                <w:bCs/>
                <w:sz w:val="20"/>
                <w:szCs w:val="20"/>
              </w:rPr>
            </w:pPr>
            <w:r w:rsidRPr="00910723">
              <w:rPr>
                <w:rFonts w:ascii="Arial" w:hAnsi="Arial"/>
                <w:b/>
                <w:sz w:val="20"/>
              </w:rPr>
              <w:t>17 skirsnis. Dydžio punktai</w:t>
            </w:r>
          </w:p>
        </w:tc>
        <w:tc>
          <w:tcPr>
            <w:tcW w:w="2745" w:type="dxa"/>
            <w:tcBorders>
              <w:left w:val="nil"/>
              <w:right w:val="nil"/>
            </w:tcBorders>
            <w:hideMark/>
          </w:tcPr>
          <w:p w:rsidRPr="00910723" w:rsidR="00411573" w:rsidP="00435435" w:rsidRDefault="00411573" w14:paraId="5C715F6A" w14:textId="77777777">
            <w:pPr>
              <w:jc w:val="center"/>
              <w:rPr>
                <w:rFonts w:ascii="Arial" w:hAnsi="Arial" w:eastAsia="Times New Roman" w:cs="Arial"/>
                <w:b/>
                <w:bCs/>
                <w:sz w:val="20"/>
                <w:szCs w:val="20"/>
              </w:rPr>
            </w:pPr>
            <w:r w:rsidRPr="00910723">
              <w:rPr>
                <w:rFonts w:ascii="Arial" w:hAnsi="Arial"/>
                <w:b/>
                <w:sz w:val="20"/>
              </w:rPr>
              <w:t>Suma</w:t>
            </w:r>
          </w:p>
        </w:tc>
      </w:tr>
      <w:tr w:rsidRPr="00910723" w:rsidR="00411573" w:rsidTr="00435435" w14:paraId="05D8184C" w14:textId="77777777">
        <w:trPr>
          <w:gridAfter w:val="1"/>
          <w:wAfter w:w="2745" w:type="dxa"/>
          <w:trHeight w:val="300"/>
        </w:trPr>
        <w:tc>
          <w:tcPr>
            <w:tcW w:w="6804" w:type="dxa"/>
            <w:gridSpan w:val="2"/>
            <w:tcBorders>
              <w:left w:val="nil"/>
              <w:right w:val="nil"/>
            </w:tcBorders>
            <w:noWrap/>
            <w:hideMark/>
          </w:tcPr>
          <w:p w:rsidRPr="00910723" w:rsidR="00411573" w:rsidP="00435435" w:rsidRDefault="00411573" w14:paraId="6450ABB5" w14:textId="77777777">
            <w:pPr>
              <w:ind w:left="171" w:firstLine="28" w:firstLineChars="14"/>
              <w:rPr>
                <w:rFonts w:ascii="Arial" w:hAnsi="Arial" w:eastAsia="Times New Roman" w:cs="Arial"/>
                <w:sz w:val="20"/>
                <w:szCs w:val="20"/>
              </w:rPr>
            </w:pPr>
            <w:r w:rsidRPr="00910723">
              <w:rPr>
                <w:rFonts w:ascii="Arial" w:hAnsi="Arial"/>
                <w:sz w:val="20"/>
              </w:rPr>
              <w:t>a. Į rizikos ribojimu pagrįstą reguliuojamąją konsolidavimo apimtį jau įtrauktų draudimo patronuojamųjų įmonių pozicija</w:t>
            </w:r>
          </w:p>
        </w:tc>
      </w:tr>
      <w:tr w:rsidRPr="00910723" w:rsidR="00411573" w:rsidTr="00435435" w14:paraId="1EB335C3" w14:textId="77777777">
        <w:trPr>
          <w:trHeight w:val="300"/>
        </w:trPr>
        <w:tc>
          <w:tcPr>
            <w:tcW w:w="6804" w:type="dxa"/>
            <w:gridSpan w:val="2"/>
            <w:tcBorders>
              <w:left w:val="nil"/>
              <w:right w:val="nil"/>
            </w:tcBorders>
            <w:noWrap/>
            <w:hideMark/>
          </w:tcPr>
          <w:p w:rsidRPr="00910723" w:rsidR="00411573" w:rsidP="00435435" w:rsidRDefault="00411573" w14:paraId="4E28D168" w14:textId="77777777">
            <w:pPr>
              <w:ind w:firstLine="200" w:firstLineChars="100"/>
              <w:rPr>
                <w:rFonts w:ascii="Arial" w:hAnsi="Arial" w:eastAsia="Times New Roman" w:cs="Arial"/>
                <w:sz w:val="20"/>
                <w:szCs w:val="20"/>
              </w:rPr>
            </w:pPr>
            <w:r w:rsidRPr="00910723">
              <w:rPr>
                <w:rFonts w:ascii="Arial" w:hAnsi="Arial"/>
                <w:sz w:val="20"/>
              </w:rPr>
              <w:t xml:space="preserve">b. Visų pozicijų vidutinė ketvirčio vertė </w:t>
            </w:r>
          </w:p>
        </w:tc>
        <w:tc>
          <w:tcPr>
            <w:tcW w:w="2745" w:type="dxa"/>
            <w:tcBorders>
              <w:left w:val="nil"/>
              <w:right w:val="nil"/>
            </w:tcBorders>
            <w:noWrap/>
            <w:hideMark/>
          </w:tcPr>
          <w:p w:rsidRPr="00910723" w:rsidR="00411573" w:rsidP="00435435" w:rsidRDefault="00411573" w14:paraId="0EF66CA9" w14:textId="77777777">
            <w:pPr>
              <w:jc w:val="right"/>
              <w:rPr>
                <w:rFonts w:ascii="Arial" w:hAnsi="Arial" w:eastAsia="Times New Roman" w:cs="Arial"/>
                <w:sz w:val="20"/>
                <w:szCs w:val="20"/>
              </w:rPr>
            </w:pPr>
            <w:r w:rsidRPr="00910723">
              <w:rPr>
                <w:rFonts w:ascii="Arial" w:hAnsi="Arial"/>
                <w:sz w:val="20"/>
              </w:rPr>
              <w:t> </w:t>
            </w:r>
          </w:p>
        </w:tc>
      </w:tr>
      <w:tr w:rsidRPr="00910723" w:rsidR="00411573" w:rsidTr="00435435" w14:paraId="4C8DEE79" w14:textId="77777777">
        <w:trPr>
          <w:trHeight w:val="300"/>
        </w:trPr>
        <w:tc>
          <w:tcPr>
            <w:tcW w:w="6804" w:type="dxa"/>
            <w:gridSpan w:val="2"/>
            <w:tcBorders>
              <w:left w:val="nil"/>
              <w:bottom w:val="single" w:color="auto" w:sz="4" w:space="0"/>
              <w:right w:val="nil"/>
            </w:tcBorders>
            <w:noWrap/>
            <w:hideMark/>
          </w:tcPr>
          <w:p w:rsidRPr="00910723" w:rsidR="00411573" w:rsidP="00435435" w:rsidRDefault="00411573" w14:paraId="5C222D50" w14:textId="77777777">
            <w:pPr>
              <w:ind w:firstLine="200" w:firstLineChars="100"/>
              <w:rPr>
                <w:rFonts w:ascii="Arial" w:hAnsi="Arial" w:eastAsia="Times New Roman" w:cs="Arial"/>
                <w:sz w:val="20"/>
                <w:szCs w:val="20"/>
              </w:rPr>
            </w:pPr>
            <w:r w:rsidRPr="00910723">
              <w:rPr>
                <w:rFonts w:ascii="Arial" w:hAnsi="Arial"/>
                <w:sz w:val="20"/>
              </w:rPr>
              <w:t xml:space="preserve">c. Visų pozicijų vidutinė mėnesio vertė </w:t>
            </w:r>
          </w:p>
        </w:tc>
        <w:tc>
          <w:tcPr>
            <w:tcW w:w="2745" w:type="dxa"/>
            <w:tcBorders>
              <w:left w:val="nil"/>
              <w:bottom w:val="single" w:color="auto" w:sz="4" w:space="0"/>
              <w:right w:val="nil"/>
            </w:tcBorders>
            <w:noWrap/>
            <w:hideMark/>
          </w:tcPr>
          <w:p w:rsidRPr="00910723" w:rsidR="00411573" w:rsidP="00435435" w:rsidRDefault="00411573" w14:paraId="26314E19" w14:textId="77777777">
            <w:pPr>
              <w:jc w:val="right"/>
              <w:rPr>
                <w:rFonts w:ascii="Arial" w:hAnsi="Arial" w:eastAsia="Times New Roman" w:cs="Arial"/>
                <w:sz w:val="20"/>
                <w:szCs w:val="20"/>
              </w:rPr>
            </w:pPr>
            <w:r w:rsidRPr="00910723">
              <w:rPr>
                <w:rFonts w:ascii="Arial" w:hAnsi="Arial"/>
                <w:sz w:val="20"/>
              </w:rPr>
              <w:t> </w:t>
            </w:r>
          </w:p>
        </w:tc>
      </w:tr>
      <w:tr w:rsidRPr="00910723" w:rsidR="00411573" w:rsidTr="00435435" w14:paraId="20556512" w14:textId="77777777">
        <w:trPr>
          <w:trHeight w:val="300"/>
        </w:trPr>
        <w:tc>
          <w:tcPr>
            <w:tcW w:w="6804" w:type="dxa"/>
            <w:gridSpan w:val="2"/>
            <w:tcBorders>
              <w:left w:val="nil"/>
              <w:bottom w:val="nil"/>
              <w:right w:val="nil"/>
            </w:tcBorders>
            <w:noWrap/>
          </w:tcPr>
          <w:p w:rsidRPr="00910723" w:rsidR="00411573" w:rsidP="00435435" w:rsidRDefault="00411573" w14:paraId="7C02662E"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910723" w:rsidR="00411573" w:rsidP="00435435" w:rsidRDefault="00411573" w14:paraId="0316E4D5" w14:textId="77777777">
            <w:pPr>
              <w:jc w:val="center"/>
              <w:rPr>
                <w:rFonts w:ascii="Arial" w:hAnsi="Arial" w:eastAsia="Times New Roman" w:cs="Arial"/>
                <w:b/>
                <w:bCs/>
                <w:sz w:val="20"/>
                <w:szCs w:val="20"/>
                <w:lang w:eastAsia="en-GB"/>
              </w:rPr>
            </w:pPr>
          </w:p>
        </w:tc>
      </w:tr>
      <w:tr w:rsidRPr="00910723" w:rsidR="00411573" w:rsidTr="00435435" w14:paraId="4CAD64DD" w14:textId="77777777">
        <w:trPr>
          <w:trHeight w:val="300"/>
        </w:trPr>
        <w:tc>
          <w:tcPr>
            <w:tcW w:w="6804" w:type="dxa"/>
            <w:gridSpan w:val="2"/>
            <w:tcBorders>
              <w:top w:val="nil"/>
              <w:left w:val="nil"/>
              <w:right w:val="nil"/>
            </w:tcBorders>
            <w:noWrap/>
            <w:hideMark/>
          </w:tcPr>
          <w:p w:rsidRPr="00910723" w:rsidR="00411573" w:rsidP="00435435" w:rsidRDefault="00411573" w14:paraId="07132508" w14:textId="77777777">
            <w:pPr>
              <w:rPr>
                <w:rFonts w:ascii="Arial" w:hAnsi="Arial" w:eastAsia="Times New Roman" w:cs="Arial"/>
                <w:b/>
                <w:bCs/>
                <w:sz w:val="20"/>
                <w:szCs w:val="20"/>
              </w:rPr>
            </w:pPr>
            <w:r w:rsidRPr="00910723">
              <w:rPr>
                <w:rFonts w:ascii="Arial" w:hAnsi="Arial"/>
                <w:b/>
                <w:sz w:val="20"/>
              </w:rPr>
              <w:t>18 skirsnis. Tarpusavio sąsajų punktai</w:t>
            </w:r>
          </w:p>
        </w:tc>
        <w:tc>
          <w:tcPr>
            <w:tcW w:w="2745" w:type="dxa"/>
            <w:tcBorders>
              <w:top w:val="nil"/>
              <w:left w:val="nil"/>
              <w:right w:val="nil"/>
            </w:tcBorders>
            <w:hideMark/>
          </w:tcPr>
          <w:p w:rsidRPr="00910723" w:rsidR="00411573" w:rsidP="00435435" w:rsidRDefault="00411573" w14:paraId="048064F3" w14:textId="77777777">
            <w:pPr>
              <w:jc w:val="center"/>
              <w:rPr>
                <w:rFonts w:ascii="Arial" w:hAnsi="Arial" w:eastAsia="Times New Roman" w:cs="Arial"/>
                <w:b/>
                <w:bCs/>
                <w:sz w:val="20"/>
                <w:szCs w:val="20"/>
              </w:rPr>
            </w:pPr>
            <w:r w:rsidRPr="00910723">
              <w:rPr>
                <w:rFonts w:ascii="Arial" w:hAnsi="Arial"/>
                <w:b/>
                <w:sz w:val="20"/>
              </w:rPr>
              <w:t>Suma</w:t>
            </w:r>
          </w:p>
        </w:tc>
      </w:tr>
      <w:tr w:rsidRPr="00910723" w:rsidR="00411573" w:rsidTr="00435435" w14:paraId="6D3C597E" w14:textId="77777777">
        <w:trPr>
          <w:trHeight w:val="300"/>
        </w:trPr>
        <w:tc>
          <w:tcPr>
            <w:tcW w:w="6804" w:type="dxa"/>
            <w:gridSpan w:val="2"/>
            <w:tcBorders>
              <w:left w:val="nil"/>
              <w:right w:val="nil"/>
            </w:tcBorders>
            <w:noWrap/>
            <w:hideMark/>
          </w:tcPr>
          <w:p w:rsidRPr="00910723" w:rsidR="00411573" w:rsidP="00435435" w:rsidRDefault="00411573" w14:paraId="33036108" w14:textId="77777777">
            <w:pPr>
              <w:ind w:firstLine="200" w:firstLineChars="100"/>
              <w:rPr>
                <w:rFonts w:ascii="Arial" w:hAnsi="Arial" w:eastAsia="Times New Roman" w:cs="Arial"/>
                <w:sz w:val="20"/>
                <w:szCs w:val="20"/>
              </w:rPr>
            </w:pPr>
            <w:r w:rsidRPr="00910723">
              <w:rPr>
                <w:rFonts w:ascii="Arial" w:hAnsi="Arial"/>
                <w:sz w:val="20"/>
              </w:rPr>
              <w:t>a. Finansų sistemos subjektų vidaus turto rodiklis (senasis rodiklis)</w:t>
            </w:r>
          </w:p>
        </w:tc>
        <w:tc>
          <w:tcPr>
            <w:tcW w:w="2745" w:type="dxa"/>
            <w:tcBorders>
              <w:left w:val="nil"/>
              <w:right w:val="nil"/>
            </w:tcBorders>
            <w:noWrap/>
            <w:hideMark/>
          </w:tcPr>
          <w:p w:rsidRPr="00910723" w:rsidR="00411573" w:rsidP="00435435" w:rsidRDefault="00411573" w14:paraId="23AE3538" w14:textId="77777777">
            <w:pPr>
              <w:jc w:val="right"/>
              <w:rPr>
                <w:rFonts w:ascii="Arial" w:hAnsi="Arial" w:eastAsia="Times New Roman" w:cs="Arial"/>
                <w:sz w:val="20"/>
                <w:szCs w:val="20"/>
              </w:rPr>
            </w:pPr>
            <w:r w:rsidRPr="00910723">
              <w:rPr>
                <w:rFonts w:ascii="Arial" w:hAnsi="Arial"/>
                <w:sz w:val="20"/>
              </w:rPr>
              <w:t> </w:t>
            </w:r>
          </w:p>
        </w:tc>
      </w:tr>
      <w:tr w:rsidRPr="00910723" w:rsidR="00411573" w:rsidTr="00435435" w14:paraId="4886B966" w14:textId="77777777">
        <w:trPr>
          <w:trHeight w:val="300"/>
        </w:trPr>
        <w:tc>
          <w:tcPr>
            <w:tcW w:w="6804" w:type="dxa"/>
            <w:gridSpan w:val="2"/>
            <w:tcBorders>
              <w:left w:val="nil"/>
              <w:right w:val="nil"/>
            </w:tcBorders>
            <w:noWrap/>
            <w:hideMark/>
          </w:tcPr>
          <w:p w:rsidRPr="00910723" w:rsidR="00411573" w:rsidP="00435435" w:rsidRDefault="00411573" w14:paraId="3F4220CC" w14:textId="77777777">
            <w:pPr>
              <w:ind w:firstLine="200" w:firstLineChars="100"/>
              <w:rPr>
                <w:rFonts w:ascii="Arial" w:hAnsi="Arial" w:eastAsia="Times New Roman" w:cs="Arial"/>
                <w:sz w:val="20"/>
                <w:szCs w:val="20"/>
              </w:rPr>
            </w:pPr>
            <w:r w:rsidRPr="00910723">
              <w:rPr>
                <w:rFonts w:ascii="Arial" w:hAnsi="Arial"/>
                <w:sz w:val="20"/>
              </w:rPr>
              <w:t xml:space="preserve">b. Finansų sistemos subjektų vidaus turto vidutinė ketvirčio vertė </w:t>
            </w:r>
          </w:p>
        </w:tc>
        <w:tc>
          <w:tcPr>
            <w:tcW w:w="2745" w:type="dxa"/>
            <w:tcBorders>
              <w:left w:val="nil"/>
              <w:right w:val="nil"/>
            </w:tcBorders>
            <w:noWrap/>
            <w:hideMark/>
          </w:tcPr>
          <w:p w:rsidRPr="00910723" w:rsidR="00411573" w:rsidP="00435435" w:rsidRDefault="00411573" w14:paraId="66F10CD8" w14:textId="77777777">
            <w:pPr>
              <w:jc w:val="right"/>
              <w:rPr>
                <w:rFonts w:ascii="Arial" w:hAnsi="Arial" w:eastAsia="Times New Roman" w:cs="Arial"/>
                <w:sz w:val="20"/>
                <w:szCs w:val="20"/>
              </w:rPr>
            </w:pPr>
            <w:r w:rsidRPr="00910723">
              <w:rPr>
                <w:rFonts w:ascii="Arial" w:hAnsi="Arial"/>
                <w:sz w:val="20"/>
              </w:rPr>
              <w:t> </w:t>
            </w:r>
          </w:p>
        </w:tc>
      </w:tr>
      <w:tr w:rsidRPr="00910723" w:rsidR="00411573" w:rsidTr="00435435" w14:paraId="3657ED83" w14:textId="77777777">
        <w:trPr>
          <w:trHeight w:val="300"/>
        </w:trPr>
        <w:tc>
          <w:tcPr>
            <w:tcW w:w="6804" w:type="dxa"/>
            <w:gridSpan w:val="2"/>
            <w:tcBorders>
              <w:left w:val="nil"/>
              <w:right w:val="nil"/>
            </w:tcBorders>
            <w:noWrap/>
            <w:hideMark/>
          </w:tcPr>
          <w:p w:rsidRPr="00910723" w:rsidR="00411573" w:rsidP="00435435" w:rsidRDefault="00411573" w14:paraId="73834C5A" w14:textId="77777777">
            <w:pPr>
              <w:ind w:firstLine="200" w:firstLineChars="100"/>
              <w:rPr>
                <w:rFonts w:ascii="Arial" w:hAnsi="Arial" w:eastAsia="Times New Roman" w:cs="Arial"/>
                <w:sz w:val="20"/>
                <w:szCs w:val="20"/>
              </w:rPr>
            </w:pPr>
            <w:r w:rsidRPr="00910723">
              <w:rPr>
                <w:rFonts w:ascii="Arial" w:hAnsi="Arial"/>
                <w:sz w:val="20"/>
              </w:rPr>
              <w:t xml:space="preserve">c. Finansų sistemos subjektų vidaus turto vidutinė mėnesio vertė </w:t>
            </w:r>
          </w:p>
        </w:tc>
        <w:tc>
          <w:tcPr>
            <w:tcW w:w="2745" w:type="dxa"/>
            <w:tcBorders>
              <w:left w:val="nil"/>
              <w:right w:val="nil"/>
            </w:tcBorders>
            <w:noWrap/>
            <w:hideMark/>
          </w:tcPr>
          <w:p w:rsidRPr="00910723" w:rsidR="00411573" w:rsidP="00435435" w:rsidRDefault="00411573" w14:paraId="0F1511C8" w14:textId="77777777">
            <w:pPr>
              <w:jc w:val="right"/>
              <w:rPr>
                <w:rFonts w:ascii="Arial" w:hAnsi="Arial" w:eastAsia="Times New Roman" w:cs="Arial"/>
                <w:sz w:val="20"/>
                <w:szCs w:val="20"/>
              </w:rPr>
            </w:pPr>
            <w:r w:rsidRPr="00910723">
              <w:rPr>
                <w:rFonts w:ascii="Arial" w:hAnsi="Arial"/>
                <w:sz w:val="20"/>
              </w:rPr>
              <w:t> </w:t>
            </w:r>
          </w:p>
        </w:tc>
      </w:tr>
      <w:tr w:rsidRPr="00910723" w:rsidR="00411573" w:rsidTr="00435435" w14:paraId="17A2406B" w14:textId="77777777">
        <w:trPr>
          <w:trHeight w:val="300"/>
        </w:trPr>
        <w:tc>
          <w:tcPr>
            <w:tcW w:w="6804" w:type="dxa"/>
            <w:gridSpan w:val="2"/>
            <w:tcBorders>
              <w:left w:val="nil"/>
              <w:right w:val="nil"/>
            </w:tcBorders>
            <w:noWrap/>
            <w:hideMark/>
          </w:tcPr>
          <w:p w:rsidRPr="00910723" w:rsidR="00411573" w:rsidP="00435435" w:rsidRDefault="00411573" w14:paraId="663F9BD8" w14:textId="77777777">
            <w:pPr>
              <w:ind w:firstLine="200" w:firstLineChars="100"/>
              <w:rPr>
                <w:rFonts w:ascii="Arial" w:hAnsi="Arial" w:eastAsia="Times New Roman" w:cs="Arial"/>
                <w:sz w:val="20"/>
                <w:szCs w:val="20"/>
              </w:rPr>
            </w:pPr>
            <w:r w:rsidRPr="00910723">
              <w:rPr>
                <w:rFonts w:ascii="Arial" w:hAnsi="Arial"/>
                <w:sz w:val="20"/>
              </w:rPr>
              <w:t>d. Finansų sistemos subjektų vidaus įsipareigojimų rodiklis (senasis rodiklis)</w:t>
            </w:r>
          </w:p>
        </w:tc>
        <w:tc>
          <w:tcPr>
            <w:tcW w:w="2745" w:type="dxa"/>
            <w:tcBorders>
              <w:left w:val="nil"/>
              <w:right w:val="nil"/>
            </w:tcBorders>
            <w:noWrap/>
            <w:hideMark/>
          </w:tcPr>
          <w:p w:rsidRPr="00910723" w:rsidR="00411573" w:rsidP="00435435" w:rsidRDefault="00411573" w14:paraId="314AA4D5" w14:textId="77777777">
            <w:pPr>
              <w:jc w:val="right"/>
              <w:rPr>
                <w:rFonts w:ascii="Arial" w:hAnsi="Arial" w:eastAsia="Times New Roman" w:cs="Arial"/>
                <w:sz w:val="20"/>
                <w:szCs w:val="20"/>
              </w:rPr>
            </w:pPr>
            <w:r w:rsidRPr="00910723">
              <w:rPr>
                <w:rFonts w:ascii="Arial" w:hAnsi="Arial"/>
                <w:sz w:val="20"/>
              </w:rPr>
              <w:t> </w:t>
            </w:r>
          </w:p>
        </w:tc>
      </w:tr>
      <w:tr w:rsidRPr="00910723" w:rsidR="00411573" w:rsidTr="00435435" w14:paraId="07890695" w14:textId="77777777">
        <w:trPr>
          <w:trHeight w:val="300"/>
        </w:trPr>
        <w:tc>
          <w:tcPr>
            <w:tcW w:w="6804" w:type="dxa"/>
            <w:gridSpan w:val="2"/>
            <w:tcBorders>
              <w:left w:val="nil"/>
              <w:right w:val="nil"/>
            </w:tcBorders>
            <w:noWrap/>
            <w:hideMark/>
          </w:tcPr>
          <w:p w:rsidRPr="00910723" w:rsidR="00411573" w:rsidP="00435435" w:rsidRDefault="00411573" w14:paraId="468E15D3" w14:textId="77777777">
            <w:pPr>
              <w:ind w:firstLine="200" w:firstLineChars="100"/>
              <w:rPr>
                <w:rFonts w:ascii="Arial" w:hAnsi="Arial" w:eastAsia="Times New Roman" w:cs="Arial"/>
                <w:sz w:val="20"/>
                <w:szCs w:val="20"/>
              </w:rPr>
            </w:pPr>
            <w:r w:rsidRPr="00910723">
              <w:rPr>
                <w:rFonts w:ascii="Arial" w:hAnsi="Arial"/>
                <w:sz w:val="20"/>
              </w:rPr>
              <w:t xml:space="preserve">e. Finansų sistemos subjektų vidaus įsipareigojimų vidutinė ketvirčio vertė </w:t>
            </w:r>
          </w:p>
        </w:tc>
        <w:tc>
          <w:tcPr>
            <w:tcW w:w="2745" w:type="dxa"/>
            <w:tcBorders>
              <w:left w:val="nil"/>
              <w:right w:val="nil"/>
            </w:tcBorders>
            <w:noWrap/>
            <w:hideMark/>
          </w:tcPr>
          <w:p w:rsidRPr="00910723" w:rsidR="00411573" w:rsidP="00435435" w:rsidRDefault="00411573" w14:paraId="53E80808" w14:textId="77777777">
            <w:pPr>
              <w:jc w:val="right"/>
              <w:rPr>
                <w:rFonts w:ascii="Arial" w:hAnsi="Arial" w:eastAsia="Times New Roman" w:cs="Arial"/>
                <w:sz w:val="20"/>
                <w:szCs w:val="20"/>
              </w:rPr>
            </w:pPr>
            <w:r w:rsidRPr="00910723">
              <w:rPr>
                <w:rFonts w:ascii="Arial" w:hAnsi="Arial"/>
                <w:sz w:val="20"/>
              </w:rPr>
              <w:t> </w:t>
            </w:r>
          </w:p>
        </w:tc>
      </w:tr>
      <w:tr w:rsidRPr="00910723" w:rsidR="00411573" w:rsidTr="00435435" w14:paraId="396ECB97" w14:textId="77777777">
        <w:trPr>
          <w:trHeight w:val="300"/>
        </w:trPr>
        <w:tc>
          <w:tcPr>
            <w:tcW w:w="6804" w:type="dxa"/>
            <w:gridSpan w:val="2"/>
            <w:tcBorders>
              <w:left w:val="nil"/>
              <w:right w:val="nil"/>
            </w:tcBorders>
            <w:noWrap/>
            <w:hideMark/>
          </w:tcPr>
          <w:p w:rsidRPr="00910723" w:rsidR="00411573" w:rsidP="00435435" w:rsidRDefault="00411573" w14:paraId="2ECE3648" w14:textId="77777777">
            <w:pPr>
              <w:ind w:firstLine="200" w:firstLineChars="100"/>
              <w:rPr>
                <w:rFonts w:ascii="Arial" w:hAnsi="Arial" w:eastAsia="Times New Roman" w:cs="Arial"/>
                <w:sz w:val="20"/>
                <w:szCs w:val="20"/>
              </w:rPr>
            </w:pPr>
            <w:r w:rsidRPr="00910723">
              <w:rPr>
                <w:rFonts w:ascii="Arial" w:hAnsi="Arial"/>
                <w:sz w:val="20"/>
              </w:rPr>
              <w:t xml:space="preserve">f. Finansų sistemos subjektų vidaus įsipareigojimų vidutinė mėnesio vertė </w:t>
            </w:r>
          </w:p>
        </w:tc>
        <w:tc>
          <w:tcPr>
            <w:tcW w:w="2745" w:type="dxa"/>
            <w:tcBorders>
              <w:left w:val="nil"/>
              <w:right w:val="nil"/>
            </w:tcBorders>
            <w:noWrap/>
            <w:hideMark/>
          </w:tcPr>
          <w:p w:rsidRPr="00910723" w:rsidR="00411573" w:rsidP="00435435" w:rsidRDefault="00411573" w14:paraId="38052BD1" w14:textId="77777777">
            <w:pPr>
              <w:jc w:val="right"/>
              <w:rPr>
                <w:rFonts w:ascii="Arial" w:hAnsi="Arial" w:eastAsia="Times New Roman" w:cs="Arial"/>
                <w:sz w:val="20"/>
                <w:szCs w:val="20"/>
              </w:rPr>
            </w:pPr>
            <w:r w:rsidRPr="00910723">
              <w:rPr>
                <w:rFonts w:ascii="Arial" w:hAnsi="Arial"/>
                <w:sz w:val="20"/>
              </w:rPr>
              <w:t> </w:t>
            </w:r>
          </w:p>
        </w:tc>
      </w:tr>
      <w:tr w:rsidRPr="00910723" w:rsidR="00411573" w:rsidTr="00435435" w14:paraId="7793C3A8" w14:textId="77777777">
        <w:trPr>
          <w:trHeight w:val="300"/>
        </w:trPr>
        <w:tc>
          <w:tcPr>
            <w:tcW w:w="6804" w:type="dxa"/>
            <w:gridSpan w:val="2"/>
            <w:tcBorders>
              <w:left w:val="nil"/>
              <w:right w:val="nil"/>
            </w:tcBorders>
            <w:noWrap/>
            <w:hideMark/>
          </w:tcPr>
          <w:p w:rsidRPr="00910723" w:rsidR="00411573" w:rsidP="00435435" w:rsidRDefault="00411573" w14:paraId="6A853173" w14:textId="77777777">
            <w:pPr>
              <w:ind w:firstLine="200" w:firstLineChars="100"/>
              <w:rPr>
                <w:rFonts w:ascii="Arial" w:hAnsi="Arial" w:eastAsia="Times New Roman" w:cs="Arial"/>
                <w:sz w:val="20"/>
                <w:szCs w:val="20"/>
              </w:rPr>
            </w:pPr>
            <w:r w:rsidRPr="00910723">
              <w:rPr>
                <w:rFonts w:ascii="Arial" w:hAnsi="Arial"/>
                <w:sz w:val="20"/>
              </w:rPr>
              <w:t>g. Neapmokėtų vertybinių popierių rodiklis (senasis rodiklis)</w:t>
            </w:r>
          </w:p>
        </w:tc>
        <w:tc>
          <w:tcPr>
            <w:tcW w:w="2745" w:type="dxa"/>
            <w:tcBorders>
              <w:left w:val="nil"/>
              <w:right w:val="nil"/>
            </w:tcBorders>
            <w:noWrap/>
            <w:hideMark/>
          </w:tcPr>
          <w:p w:rsidRPr="00910723" w:rsidR="00411573" w:rsidP="00435435" w:rsidRDefault="00411573" w14:paraId="12C70191" w14:textId="77777777">
            <w:pPr>
              <w:jc w:val="right"/>
              <w:rPr>
                <w:rFonts w:ascii="Arial" w:hAnsi="Arial" w:eastAsia="Times New Roman" w:cs="Arial"/>
                <w:sz w:val="20"/>
                <w:szCs w:val="20"/>
              </w:rPr>
            </w:pPr>
            <w:r w:rsidRPr="00910723">
              <w:rPr>
                <w:rFonts w:ascii="Arial" w:hAnsi="Arial"/>
                <w:sz w:val="20"/>
              </w:rPr>
              <w:t> </w:t>
            </w:r>
          </w:p>
        </w:tc>
      </w:tr>
      <w:tr w:rsidRPr="00910723" w:rsidR="00411573" w:rsidTr="00435435" w14:paraId="1E2216E7" w14:textId="77777777">
        <w:trPr>
          <w:trHeight w:val="300"/>
        </w:trPr>
        <w:tc>
          <w:tcPr>
            <w:tcW w:w="6804" w:type="dxa"/>
            <w:gridSpan w:val="2"/>
            <w:tcBorders>
              <w:left w:val="nil"/>
              <w:right w:val="nil"/>
            </w:tcBorders>
            <w:noWrap/>
            <w:hideMark/>
          </w:tcPr>
          <w:p w:rsidRPr="00910723" w:rsidR="00411573" w:rsidP="00435435" w:rsidRDefault="00411573" w14:paraId="7AC5F5C5" w14:textId="77777777">
            <w:pPr>
              <w:ind w:firstLine="200" w:firstLineChars="100"/>
              <w:rPr>
                <w:rFonts w:ascii="Arial" w:hAnsi="Arial" w:eastAsia="Times New Roman" w:cs="Arial"/>
                <w:sz w:val="20"/>
                <w:szCs w:val="20"/>
              </w:rPr>
            </w:pPr>
            <w:r w:rsidRPr="00910723">
              <w:rPr>
                <w:rFonts w:ascii="Arial" w:hAnsi="Arial"/>
                <w:sz w:val="20"/>
              </w:rPr>
              <w:t xml:space="preserve">h. Neapmokėtų vertybinių popierių vidutinė ketvirčio vertė </w:t>
            </w:r>
          </w:p>
        </w:tc>
        <w:tc>
          <w:tcPr>
            <w:tcW w:w="2745" w:type="dxa"/>
            <w:tcBorders>
              <w:left w:val="nil"/>
              <w:right w:val="nil"/>
            </w:tcBorders>
            <w:noWrap/>
            <w:hideMark/>
          </w:tcPr>
          <w:p w:rsidRPr="00910723" w:rsidR="00411573" w:rsidP="00435435" w:rsidRDefault="00411573" w14:paraId="17727C95" w14:textId="77777777">
            <w:pPr>
              <w:jc w:val="right"/>
              <w:rPr>
                <w:rFonts w:ascii="Arial" w:hAnsi="Arial" w:eastAsia="Times New Roman" w:cs="Arial"/>
                <w:sz w:val="20"/>
                <w:szCs w:val="20"/>
              </w:rPr>
            </w:pPr>
            <w:r w:rsidRPr="00910723">
              <w:rPr>
                <w:rFonts w:ascii="Arial" w:hAnsi="Arial"/>
                <w:sz w:val="20"/>
              </w:rPr>
              <w:t> </w:t>
            </w:r>
          </w:p>
        </w:tc>
      </w:tr>
      <w:tr w:rsidRPr="00910723" w:rsidR="00411573" w:rsidTr="00435435" w14:paraId="0A077E8E" w14:textId="77777777">
        <w:trPr>
          <w:trHeight w:val="300"/>
        </w:trPr>
        <w:tc>
          <w:tcPr>
            <w:tcW w:w="6804" w:type="dxa"/>
            <w:gridSpan w:val="2"/>
            <w:tcBorders>
              <w:left w:val="nil"/>
              <w:bottom w:val="single" w:color="auto" w:sz="4" w:space="0"/>
              <w:right w:val="nil"/>
            </w:tcBorders>
            <w:noWrap/>
            <w:hideMark/>
          </w:tcPr>
          <w:p w:rsidRPr="00910723" w:rsidR="00411573" w:rsidP="00435435" w:rsidRDefault="00411573" w14:paraId="1CD56D4B" w14:textId="77777777">
            <w:pPr>
              <w:ind w:firstLine="200" w:firstLineChars="100"/>
              <w:rPr>
                <w:rFonts w:ascii="Arial" w:hAnsi="Arial" w:eastAsia="Times New Roman" w:cs="Arial"/>
                <w:sz w:val="20"/>
                <w:szCs w:val="20"/>
              </w:rPr>
            </w:pPr>
            <w:r w:rsidRPr="00910723">
              <w:rPr>
                <w:rFonts w:ascii="Arial" w:hAnsi="Arial"/>
                <w:sz w:val="20"/>
              </w:rPr>
              <w:t xml:space="preserve">i. Neapmokėtų vertybinių popierių vidutinė mėnesio vertė </w:t>
            </w:r>
          </w:p>
        </w:tc>
        <w:tc>
          <w:tcPr>
            <w:tcW w:w="2745" w:type="dxa"/>
            <w:tcBorders>
              <w:left w:val="nil"/>
              <w:bottom w:val="single" w:color="auto" w:sz="4" w:space="0"/>
              <w:right w:val="nil"/>
            </w:tcBorders>
            <w:noWrap/>
            <w:hideMark/>
          </w:tcPr>
          <w:p w:rsidRPr="00910723" w:rsidR="00411573" w:rsidP="00435435" w:rsidRDefault="00411573" w14:paraId="42CE93C3" w14:textId="77777777">
            <w:pPr>
              <w:jc w:val="right"/>
              <w:rPr>
                <w:rFonts w:ascii="Arial" w:hAnsi="Arial" w:eastAsia="Times New Roman" w:cs="Arial"/>
                <w:sz w:val="20"/>
                <w:szCs w:val="20"/>
              </w:rPr>
            </w:pPr>
            <w:r w:rsidRPr="00910723">
              <w:rPr>
                <w:rFonts w:ascii="Arial" w:hAnsi="Arial"/>
                <w:sz w:val="20"/>
              </w:rPr>
              <w:t> </w:t>
            </w:r>
          </w:p>
        </w:tc>
      </w:tr>
      <w:tr w:rsidRPr="00910723" w:rsidR="00411573" w:rsidTr="00435435" w14:paraId="282CE92E" w14:textId="77777777">
        <w:trPr>
          <w:trHeight w:val="300"/>
        </w:trPr>
        <w:tc>
          <w:tcPr>
            <w:tcW w:w="6804" w:type="dxa"/>
            <w:gridSpan w:val="2"/>
            <w:tcBorders>
              <w:left w:val="nil"/>
              <w:bottom w:val="nil"/>
              <w:right w:val="nil"/>
            </w:tcBorders>
            <w:noWrap/>
          </w:tcPr>
          <w:p w:rsidRPr="00910723" w:rsidR="00411573" w:rsidP="00435435" w:rsidRDefault="00411573" w14:paraId="5C8EB17A"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910723" w:rsidR="00411573" w:rsidP="00435435" w:rsidRDefault="00411573" w14:paraId="693B6F62" w14:textId="77777777">
            <w:pPr>
              <w:jc w:val="center"/>
              <w:rPr>
                <w:rFonts w:ascii="Arial" w:hAnsi="Arial" w:eastAsia="Times New Roman" w:cs="Arial"/>
                <w:b/>
                <w:bCs/>
                <w:sz w:val="20"/>
                <w:szCs w:val="20"/>
                <w:lang w:eastAsia="en-GB"/>
              </w:rPr>
            </w:pPr>
          </w:p>
        </w:tc>
      </w:tr>
      <w:tr w:rsidRPr="00910723" w:rsidR="00411573" w:rsidTr="00435435" w14:paraId="59161447" w14:textId="77777777">
        <w:trPr>
          <w:trHeight w:val="300"/>
        </w:trPr>
        <w:tc>
          <w:tcPr>
            <w:tcW w:w="6804" w:type="dxa"/>
            <w:gridSpan w:val="2"/>
            <w:tcBorders>
              <w:top w:val="nil"/>
              <w:left w:val="nil"/>
              <w:bottom w:val="single" w:color="auto" w:sz="4" w:space="0"/>
              <w:right w:val="nil"/>
            </w:tcBorders>
            <w:noWrap/>
            <w:hideMark/>
          </w:tcPr>
          <w:p w:rsidRPr="00910723" w:rsidR="00411573" w:rsidP="00435435" w:rsidRDefault="00411573" w14:paraId="5DFA56BC" w14:textId="77777777">
            <w:pPr>
              <w:rPr>
                <w:rFonts w:ascii="Arial" w:hAnsi="Arial" w:eastAsia="Times New Roman" w:cs="Arial"/>
                <w:b/>
                <w:bCs/>
                <w:sz w:val="20"/>
                <w:szCs w:val="20"/>
              </w:rPr>
            </w:pPr>
            <w:r w:rsidRPr="00910723">
              <w:rPr>
                <w:rFonts w:ascii="Arial" w:hAnsi="Arial"/>
                <w:b/>
                <w:sz w:val="20"/>
              </w:rPr>
              <w:t>19 skirsnis. Pakeičiamumo / finansų infrastruktūros punktai</w:t>
            </w:r>
          </w:p>
        </w:tc>
        <w:tc>
          <w:tcPr>
            <w:tcW w:w="2745" w:type="dxa"/>
            <w:tcBorders>
              <w:top w:val="nil"/>
              <w:left w:val="nil"/>
              <w:right w:val="nil"/>
            </w:tcBorders>
            <w:hideMark/>
          </w:tcPr>
          <w:p w:rsidRPr="00910723" w:rsidR="00411573" w:rsidP="00435435" w:rsidRDefault="00411573" w14:paraId="67DE6002" w14:textId="77777777">
            <w:pPr>
              <w:jc w:val="center"/>
              <w:rPr>
                <w:rFonts w:ascii="Arial" w:hAnsi="Arial" w:eastAsia="Times New Roman" w:cs="Arial"/>
                <w:b/>
                <w:bCs/>
                <w:sz w:val="20"/>
                <w:szCs w:val="20"/>
              </w:rPr>
            </w:pPr>
            <w:r w:rsidRPr="00910723">
              <w:rPr>
                <w:rFonts w:ascii="Arial" w:hAnsi="Arial"/>
                <w:b/>
                <w:sz w:val="20"/>
              </w:rPr>
              <w:t>Suma</w:t>
            </w:r>
          </w:p>
        </w:tc>
      </w:tr>
      <w:tr w:rsidRPr="00910723" w:rsidR="00411573" w:rsidTr="00435435" w14:paraId="59CCF98A" w14:textId="77777777">
        <w:trPr>
          <w:trHeight w:val="300"/>
        </w:trPr>
        <w:tc>
          <w:tcPr>
            <w:tcW w:w="6804" w:type="dxa"/>
            <w:gridSpan w:val="2"/>
            <w:tcBorders>
              <w:left w:val="nil"/>
              <w:right w:val="nil"/>
            </w:tcBorders>
            <w:noWrap/>
          </w:tcPr>
          <w:p w:rsidRPr="00910723" w:rsidR="00411573" w:rsidP="00435435" w:rsidRDefault="00411573" w14:paraId="3F14C2AE" w14:textId="77777777">
            <w:pPr>
              <w:ind w:left="171" w:firstLine="28" w:firstLineChars="14"/>
              <w:rPr>
                <w:rFonts w:ascii="Arial" w:hAnsi="Arial" w:eastAsia="Times New Roman" w:cs="Arial"/>
                <w:sz w:val="20"/>
                <w:szCs w:val="20"/>
              </w:rPr>
            </w:pPr>
            <w:r w:rsidRPr="00910723">
              <w:rPr>
                <w:rFonts w:ascii="Arial" w:hAnsi="Arial"/>
                <w:sz w:val="20"/>
              </w:rPr>
              <w:t>a. Prekybos valstybių išleistais vertybiniais popieriais mastas, išskyrus grupės vidaus sandorius</w:t>
            </w:r>
          </w:p>
        </w:tc>
        <w:tc>
          <w:tcPr>
            <w:tcW w:w="2745" w:type="dxa"/>
            <w:tcBorders>
              <w:left w:val="nil"/>
              <w:right w:val="nil"/>
            </w:tcBorders>
            <w:noWrap/>
          </w:tcPr>
          <w:p w:rsidRPr="00910723" w:rsidR="00411573" w:rsidP="00435435" w:rsidRDefault="00411573" w14:paraId="1A7D73B7" w14:textId="77777777">
            <w:pPr>
              <w:jc w:val="right"/>
              <w:rPr>
                <w:rFonts w:ascii="Arial" w:hAnsi="Arial" w:eastAsia="Times New Roman" w:cs="Arial"/>
                <w:sz w:val="20"/>
                <w:szCs w:val="20"/>
                <w:lang w:eastAsia="en-GB"/>
              </w:rPr>
            </w:pPr>
          </w:p>
        </w:tc>
      </w:tr>
      <w:tr w:rsidRPr="00910723" w:rsidR="00411573" w:rsidTr="00435435" w14:paraId="3579D8AC" w14:textId="77777777">
        <w:trPr>
          <w:trHeight w:val="300"/>
        </w:trPr>
        <w:tc>
          <w:tcPr>
            <w:tcW w:w="6804" w:type="dxa"/>
            <w:gridSpan w:val="2"/>
            <w:tcBorders>
              <w:left w:val="nil"/>
              <w:right w:val="nil"/>
            </w:tcBorders>
            <w:noWrap/>
          </w:tcPr>
          <w:p w:rsidRPr="00910723" w:rsidR="00411573" w:rsidP="00435435" w:rsidRDefault="00411573" w14:paraId="278DF69B" w14:textId="77777777">
            <w:pPr>
              <w:ind w:left="171"/>
              <w:rPr>
                <w:rFonts w:ascii="Arial" w:hAnsi="Arial" w:eastAsia="Times New Roman" w:cs="Arial"/>
                <w:sz w:val="20"/>
                <w:szCs w:val="20"/>
              </w:rPr>
            </w:pPr>
            <w:r w:rsidRPr="00910723">
              <w:rPr>
                <w:rFonts w:ascii="Arial" w:hAnsi="Arial"/>
                <w:sz w:val="20"/>
              </w:rPr>
              <w:t>b. Pradinė garantinė įmoka, perduota pagrindinėms sandorio šalims klientų vardu</w:t>
            </w:r>
          </w:p>
        </w:tc>
        <w:tc>
          <w:tcPr>
            <w:tcW w:w="2745" w:type="dxa"/>
            <w:tcBorders>
              <w:left w:val="nil"/>
              <w:right w:val="nil"/>
            </w:tcBorders>
            <w:noWrap/>
          </w:tcPr>
          <w:p w:rsidRPr="00910723" w:rsidR="00411573" w:rsidP="00435435" w:rsidRDefault="00411573" w14:paraId="0C3A5920" w14:textId="77777777">
            <w:pPr>
              <w:jc w:val="right"/>
              <w:rPr>
                <w:rFonts w:ascii="Arial" w:hAnsi="Arial" w:eastAsia="Times New Roman" w:cs="Arial"/>
                <w:sz w:val="20"/>
                <w:szCs w:val="20"/>
                <w:lang w:eastAsia="en-GB"/>
              </w:rPr>
            </w:pPr>
          </w:p>
        </w:tc>
      </w:tr>
      <w:tr w:rsidRPr="00910723" w:rsidR="00411573" w:rsidTr="00435435" w14:paraId="61DFCC7A" w14:textId="77777777">
        <w:trPr>
          <w:trHeight w:val="300"/>
        </w:trPr>
        <w:tc>
          <w:tcPr>
            <w:tcW w:w="6804" w:type="dxa"/>
            <w:gridSpan w:val="2"/>
            <w:tcBorders>
              <w:left w:val="nil"/>
              <w:right w:val="nil"/>
            </w:tcBorders>
            <w:noWrap/>
          </w:tcPr>
          <w:p w:rsidRPr="00910723" w:rsidR="00411573" w:rsidP="00435435" w:rsidRDefault="00411573" w14:paraId="1E7A133B" w14:textId="77777777">
            <w:pPr>
              <w:ind w:firstLine="200" w:firstLineChars="100"/>
              <w:rPr>
                <w:rFonts w:ascii="Arial" w:hAnsi="Arial" w:eastAsia="Times New Roman" w:cs="Arial"/>
                <w:sz w:val="20"/>
                <w:szCs w:val="20"/>
              </w:rPr>
            </w:pPr>
            <w:r w:rsidRPr="00910723">
              <w:rPr>
                <w:rFonts w:ascii="Arial" w:hAnsi="Arial"/>
                <w:sz w:val="20"/>
              </w:rPr>
              <w:t>c. Pradinė garantinė įmoka, perduota pagrindinėms sandorio šalims pačios atskaitingosios grupės vardu</w:t>
            </w:r>
          </w:p>
        </w:tc>
        <w:tc>
          <w:tcPr>
            <w:tcW w:w="2745" w:type="dxa"/>
            <w:tcBorders>
              <w:left w:val="nil"/>
              <w:right w:val="nil"/>
            </w:tcBorders>
            <w:noWrap/>
          </w:tcPr>
          <w:p w:rsidRPr="00910723" w:rsidR="00411573" w:rsidP="00435435" w:rsidRDefault="00411573" w14:paraId="4C40829E" w14:textId="77777777">
            <w:pPr>
              <w:jc w:val="right"/>
              <w:rPr>
                <w:rFonts w:ascii="Arial" w:hAnsi="Arial" w:eastAsia="Times New Roman" w:cs="Arial"/>
                <w:sz w:val="20"/>
                <w:szCs w:val="20"/>
                <w:lang w:eastAsia="en-GB"/>
              </w:rPr>
            </w:pPr>
          </w:p>
        </w:tc>
      </w:tr>
      <w:tr w:rsidRPr="00910723" w:rsidR="00411573" w:rsidTr="00435435" w14:paraId="1E81A835" w14:textId="77777777">
        <w:trPr>
          <w:trHeight w:val="300"/>
        </w:trPr>
        <w:tc>
          <w:tcPr>
            <w:tcW w:w="6804" w:type="dxa"/>
            <w:gridSpan w:val="2"/>
            <w:tcBorders>
              <w:left w:val="nil"/>
              <w:right w:val="nil"/>
            </w:tcBorders>
            <w:noWrap/>
            <w:hideMark/>
          </w:tcPr>
          <w:p w:rsidRPr="00910723" w:rsidR="00411573" w:rsidP="00435435" w:rsidRDefault="00411573" w14:paraId="61B43F6E" w14:textId="77777777">
            <w:pPr>
              <w:ind w:firstLine="200" w:firstLineChars="100"/>
              <w:rPr>
                <w:rFonts w:ascii="Arial" w:hAnsi="Arial" w:eastAsia="Times New Roman" w:cs="Arial"/>
                <w:sz w:val="20"/>
                <w:szCs w:val="20"/>
              </w:rPr>
            </w:pPr>
            <w:r w:rsidRPr="00910723">
              <w:rPr>
                <w:rFonts w:ascii="Arial" w:hAnsi="Arial"/>
                <w:sz w:val="20"/>
              </w:rPr>
              <w:t>d. Įmokos pagrindinėms sandorio šalims į įsipareigojimų nevykdymo fondą</w:t>
            </w:r>
          </w:p>
        </w:tc>
        <w:tc>
          <w:tcPr>
            <w:tcW w:w="2745" w:type="dxa"/>
            <w:tcBorders>
              <w:left w:val="nil"/>
              <w:right w:val="nil"/>
            </w:tcBorders>
            <w:noWrap/>
            <w:hideMark/>
          </w:tcPr>
          <w:p w:rsidRPr="00910723" w:rsidR="00411573" w:rsidP="00435435" w:rsidRDefault="00411573" w14:paraId="5AF25A5E" w14:textId="77777777">
            <w:pPr>
              <w:jc w:val="right"/>
              <w:rPr>
                <w:rFonts w:ascii="Arial" w:hAnsi="Arial" w:eastAsia="Times New Roman" w:cs="Arial"/>
                <w:sz w:val="20"/>
                <w:szCs w:val="20"/>
              </w:rPr>
            </w:pPr>
            <w:r w:rsidRPr="00910723">
              <w:rPr>
                <w:rFonts w:ascii="Arial" w:hAnsi="Arial"/>
                <w:sz w:val="20"/>
              </w:rPr>
              <w:t> </w:t>
            </w:r>
          </w:p>
        </w:tc>
      </w:tr>
      <w:tr w:rsidRPr="00910723" w:rsidR="00411573" w:rsidTr="00435435" w14:paraId="26880E5F" w14:textId="77777777">
        <w:trPr>
          <w:trHeight w:val="300"/>
        </w:trPr>
        <w:tc>
          <w:tcPr>
            <w:tcW w:w="6804" w:type="dxa"/>
            <w:gridSpan w:val="2"/>
            <w:tcBorders>
              <w:left w:val="nil"/>
              <w:right w:val="nil"/>
            </w:tcBorders>
            <w:noWrap/>
            <w:hideMark/>
          </w:tcPr>
          <w:p w:rsidRPr="00910723" w:rsidR="00411573" w:rsidP="00435435" w:rsidRDefault="00411573" w14:paraId="6F1ECDD8" w14:textId="77777777">
            <w:pPr>
              <w:ind w:firstLine="200" w:firstLineChars="100"/>
              <w:rPr>
                <w:rFonts w:ascii="Arial" w:hAnsi="Arial" w:eastAsia="Times New Roman" w:cs="Arial"/>
                <w:sz w:val="20"/>
                <w:szCs w:val="20"/>
              </w:rPr>
            </w:pPr>
            <w:r w:rsidRPr="00910723">
              <w:rPr>
                <w:rFonts w:ascii="Arial" w:hAnsi="Arial"/>
                <w:sz w:val="20"/>
              </w:rPr>
              <w:t>e. Kitos pagrindinėms sandorio šalims perduodamos priemonės</w:t>
            </w:r>
          </w:p>
        </w:tc>
        <w:tc>
          <w:tcPr>
            <w:tcW w:w="2745" w:type="dxa"/>
            <w:tcBorders>
              <w:left w:val="nil"/>
              <w:right w:val="nil"/>
            </w:tcBorders>
            <w:noWrap/>
            <w:hideMark/>
          </w:tcPr>
          <w:p w:rsidRPr="00910723" w:rsidR="00411573" w:rsidP="00435435" w:rsidRDefault="00411573" w14:paraId="0BCBDA72" w14:textId="77777777">
            <w:pPr>
              <w:jc w:val="right"/>
              <w:rPr>
                <w:rFonts w:ascii="Arial" w:hAnsi="Arial" w:eastAsia="Times New Roman" w:cs="Arial"/>
                <w:sz w:val="20"/>
                <w:szCs w:val="20"/>
              </w:rPr>
            </w:pPr>
            <w:r w:rsidRPr="00910723">
              <w:rPr>
                <w:rFonts w:ascii="Arial" w:hAnsi="Arial"/>
                <w:sz w:val="20"/>
              </w:rPr>
              <w:t> </w:t>
            </w:r>
          </w:p>
        </w:tc>
      </w:tr>
      <w:tr w:rsidRPr="00910723" w:rsidR="00411573" w:rsidTr="00435435" w14:paraId="1E726977" w14:textId="77777777">
        <w:trPr>
          <w:gridAfter w:val="1"/>
          <w:wAfter w:w="2745" w:type="dxa"/>
          <w:trHeight w:val="300"/>
        </w:trPr>
        <w:tc>
          <w:tcPr>
            <w:tcW w:w="6804" w:type="dxa"/>
            <w:gridSpan w:val="2"/>
            <w:tcBorders>
              <w:left w:val="nil"/>
              <w:right w:val="nil"/>
            </w:tcBorders>
            <w:noWrap/>
            <w:hideMark/>
          </w:tcPr>
          <w:p w:rsidRPr="00910723" w:rsidR="00411573" w:rsidP="00435435" w:rsidRDefault="00411573" w14:paraId="4C9C2CE0" w14:textId="77777777">
            <w:pPr>
              <w:ind w:left="171"/>
              <w:rPr>
                <w:rFonts w:ascii="Arial" w:hAnsi="Arial" w:eastAsia="Times New Roman" w:cs="Arial"/>
                <w:sz w:val="20"/>
                <w:szCs w:val="20"/>
              </w:rPr>
            </w:pPr>
            <w:r w:rsidRPr="00910723">
              <w:rPr>
                <w:rFonts w:ascii="Arial" w:hAnsi="Arial"/>
                <w:sz w:val="20"/>
              </w:rPr>
              <w:t>f. Atsiskaitymo paslaugų teikimas, susijęs su sandoriais, kurių tarpuskaita vykdoma per pagrindinę sandorio šalį</w:t>
            </w:r>
          </w:p>
        </w:tc>
      </w:tr>
      <w:tr w:rsidRPr="00910723" w:rsidR="00411573" w:rsidTr="00435435" w14:paraId="58529DC2" w14:textId="77777777">
        <w:trPr>
          <w:trHeight w:val="300"/>
        </w:trPr>
        <w:tc>
          <w:tcPr>
            <w:tcW w:w="6804" w:type="dxa"/>
            <w:gridSpan w:val="2"/>
            <w:tcBorders>
              <w:left w:val="nil"/>
              <w:right w:val="nil"/>
            </w:tcBorders>
            <w:noWrap/>
            <w:hideMark/>
          </w:tcPr>
          <w:p w:rsidRPr="00910723" w:rsidR="00411573" w:rsidP="00435435" w:rsidRDefault="00411573" w14:paraId="2644B6C6" w14:textId="77777777">
            <w:pPr>
              <w:ind w:firstLine="200" w:firstLineChars="100"/>
              <w:rPr>
                <w:rFonts w:ascii="Arial" w:hAnsi="Arial" w:eastAsia="Times New Roman" w:cs="Arial"/>
                <w:sz w:val="20"/>
                <w:szCs w:val="20"/>
              </w:rPr>
            </w:pPr>
            <w:r w:rsidRPr="00910723">
              <w:rPr>
                <w:rFonts w:ascii="Arial" w:hAnsi="Arial"/>
                <w:sz w:val="20"/>
              </w:rPr>
              <w:t xml:space="preserve">g. Saugomo turto vidutinė ketvirčio vertė </w:t>
            </w:r>
          </w:p>
        </w:tc>
        <w:tc>
          <w:tcPr>
            <w:tcW w:w="2745" w:type="dxa"/>
            <w:tcBorders>
              <w:left w:val="nil"/>
              <w:right w:val="nil"/>
            </w:tcBorders>
            <w:noWrap/>
            <w:hideMark/>
          </w:tcPr>
          <w:p w:rsidRPr="00910723" w:rsidR="00411573" w:rsidP="00435435" w:rsidRDefault="00411573" w14:paraId="35249AC7" w14:textId="77777777">
            <w:pPr>
              <w:jc w:val="right"/>
              <w:rPr>
                <w:rFonts w:ascii="Arial" w:hAnsi="Arial" w:eastAsia="Times New Roman" w:cs="Arial"/>
                <w:sz w:val="20"/>
                <w:szCs w:val="20"/>
              </w:rPr>
            </w:pPr>
            <w:r w:rsidRPr="00910723">
              <w:rPr>
                <w:rFonts w:ascii="Arial" w:hAnsi="Arial"/>
                <w:sz w:val="20"/>
              </w:rPr>
              <w:t> </w:t>
            </w:r>
          </w:p>
        </w:tc>
      </w:tr>
      <w:tr w:rsidRPr="00910723" w:rsidR="00411573" w:rsidTr="00435435" w14:paraId="78DD513F" w14:textId="77777777">
        <w:trPr>
          <w:trHeight w:val="300"/>
        </w:trPr>
        <w:tc>
          <w:tcPr>
            <w:tcW w:w="6804" w:type="dxa"/>
            <w:gridSpan w:val="2"/>
            <w:tcBorders>
              <w:left w:val="nil"/>
              <w:bottom w:val="single" w:color="auto" w:sz="4" w:space="0"/>
              <w:right w:val="nil"/>
            </w:tcBorders>
            <w:noWrap/>
            <w:hideMark/>
          </w:tcPr>
          <w:p w:rsidRPr="00910723" w:rsidR="00411573" w:rsidP="00435435" w:rsidRDefault="00411573" w14:paraId="747AF0AB" w14:textId="77777777">
            <w:pPr>
              <w:ind w:firstLine="200" w:firstLineChars="100"/>
              <w:rPr>
                <w:rFonts w:ascii="Arial" w:hAnsi="Arial" w:eastAsia="Times New Roman" w:cs="Arial"/>
                <w:sz w:val="20"/>
                <w:szCs w:val="20"/>
              </w:rPr>
            </w:pPr>
            <w:r w:rsidRPr="00910723">
              <w:rPr>
                <w:rFonts w:ascii="Arial" w:hAnsi="Arial"/>
                <w:sz w:val="20"/>
              </w:rPr>
              <w:t xml:space="preserve">h. Saugomo turto vidutinė mėnesio vertė </w:t>
            </w:r>
          </w:p>
        </w:tc>
        <w:tc>
          <w:tcPr>
            <w:tcW w:w="2745" w:type="dxa"/>
            <w:tcBorders>
              <w:left w:val="nil"/>
              <w:bottom w:val="single" w:color="auto" w:sz="4" w:space="0"/>
              <w:right w:val="nil"/>
            </w:tcBorders>
            <w:noWrap/>
            <w:hideMark/>
          </w:tcPr>
          <w:p w:rsidRPr="00910723" w:rsidR="00411573" w:rsidP="00435435" w:rsidRDefault="00411573" w14:paraId="2B6FBE1E" w14:textId="77777777">
            <w:pPr>
              <w:jc w:val="right"/>
              <w:rPr>
                <w:rFonts w:ascii="Arial" w:hAnsi="Arial" w:eastAsia="Times New Roman" w:cs="Arial"/>
                <w:sz w:val="20"/>
                <w:szCs w:val="20"/>
              </w:rPr>
            </w:pPr>
            <w:r w:rsidRPr="00910723">
              <w:rPr>
                <w:rFonts w:ascii="Arial" w:hAnsi="Arial"/>
                <w:sz w:val="20"/>
              </w:rPr>
              <w:t> </w:t>
            </w:r>
          </w:p>
        </w:tc>
      </w:tr>
      <w:tr w:rsidRPr="00910723" w:rsidR="00411573" w:rsidTr="00435435" w14:paraId="44A81889" w14:textId="77777777">
        <w:trPr>
          <w:trHeight w:val="300"/>
        </w:trPr>
        <w:tc>
          <w:tcPr>
            <w:tcW w:w="6804" w:type="dxa"/>
            <w:gridSpan w:val="2"/>
            <w:tcBorders>
              <w:left w:val="nil"/>
              <w:bottom w:val="nil"/>
              <w:right w:val="nil"/>
            </w:tcBorders>
            <w:noWrap/>
          </w:tcPr>
          <w:p w:rsidRPr="00910723" w:rsidR="00411573" w:rsidP="00435435" w:rsidRDefault="00411573" w14:paraId="5D82E19C"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910723" w:rsidR="00411573" w:rsidP="00435435" w:rsidRDefault="00411573" w14:paraId="0116041A" w14:textId="77777777">
            <w:pPr>
              <w:jc w:val="center"/>
              <w:rPr>
                <w:rFonts w:ascii="Arial" w:hAnsi="Arial" w:eastAsia="Times New Roman" w:cs="Arial"/>
                <w:b/>
                <w:bCs/>
                <w:sz w:val="20"/>
                <w:szCs w:val="20"/>
                <w:lang w:eastAsia="en-GB"/>
              </w:rPr>
            </w:pPr>
          </w:p>
        </w:tc>
      </w:tr>
      <w:tr w:rsidRPr="00910723" w:rsidR="00411573" w:rsidTr="00435435" w14:paraId="2EFE37EE" w14:textId="77777777">
        <w:trPr>
          <w:trHeight w:val="300"/>
        </w:trPr>
        <w:tc>
          <w:tcPr>
            <w:tcW w:w="6804" w:type="dxa"/>
            <w:gridSpan w:val="2"/>
            <w:tcBorders>
              <w:top w:val="nil"/>
              <w:left w:val="nil"/>
              <w:right w:val="nil"/>
            </w:tcBorders>
            <w:noWrap/>
            <w:hideMark/>
          </w:tcPr>
          <w:p w:rsidRPr="00910723" w:rsidR="00411573" w:rsidP="00435435" w:rsidRDefault="00411573" w14:paraId="7FC2175C" w14:textId="77777777">
            <w:pPr>
              <w:rPr>
                <w:rFonts w:ascii="Arial" w:hAnsi="Arial" w:eastAsia="Times New Roman" w:cs="Arial"/>
                <w:b/>
                <w:bCs/>
                <w:sz w:val="20"/>
                <w:szCs w:val="20"/>
              </w:rPr>
            </w:pPr>
            <w:r w:rsidRPr="00910723">
              <w:rPr>
                <w:rFonts w:ascii="Arial" w:hAnsi="Arial"/>
                <w:b/>
                <w:sz w:val="20"/>
              </w:rPr>
              <w:t>20 skirsnis. Sudėtingumo punktai</w:t>
            </w:r>
          </w:p>
        </w:tc>
        <w:tc>
          <w:tcPr>
            <w:tcW w:w="2745" w:type="dxa"/>
            <w:tcBorders>
              <w:top w:val="nil"/>
              <w:left w:val="nil"/>
              <w:right w:val="nil"/>
            </w:tcBorders>
            <w:hideMark/>
          </w:tcPr>
          <w:p w:rsidRPr="00910723" w:rsidR="00411573" w:rsidP="00435435" w:rsidRDefault="00411573" w14:paraId="540716B0" w14:textId="77777777">
            <w:pPr>
              <w:jc w:val="center"/>
              <w:rPr>
                <w:rFonts w:ascii="Arial" w:hAnsi="Arial" w:eastAsia="Times New Roman" w:cs="Arial"/>
                <w:b/>
                <w:bCs/>
                <w:sz w:val="20"/>
                <w:szCs w:val="20"/>
              </w:rPr>
            </w:pPr>
            <w:r w:rsidRPr="00910723">
              <w:rPr>
                <w:rFonts w:ascii="Arial" w:hAnsi="Arial"/>
                <w:b/>
                <w:sz w:val="20"/>
              </w:rPr>
              <w:t>Suma</w:t>
            </w:r>
          </w:p>
        </w:tc>
      </w:tr>
      <w:tr w:rsidRPr="00910723" w:rsidR="00411573" w:rsidTr="00435435" w14:paraId="30556AE5" w14:textId="77777777">
        <w:trPr>
          <w:trHeight w:val="300"/>
        </w:trPr>
        <w:tc>
          <w:tcPr>
            <w:tcW w:w="6804" w:type="dxa"/>
            <w:gridSpan w:val="2"/>
            <w:tcBorders>
              <w:left w:val="nil"/>
              <w:right w:val="nil"/>
            </w:tcBorders>
            <w:noWrap/>
            <w:hideMark/>
          </w:tcPr>
          <w:p w:rsidRPr="00910723" w:rsidR="00411573" w:rsidP="00435435" w:rsidRDefault="00411573" w14:paraId="69B45EB4" w14:textId="77777777">
            <w:pPr>
              <w:ind w:firstLine="200" w:firstLineChars="100"/>
              <w:rPr>
                <w:rFonts w:ascii="Arial" w:hAnsi="Arial" w:eastAsia="Times New Roman" w:cs="Arial"/>
                <w:sz w:val="20"/>
                <w:szCs w:val="20"/>
              </w:rPr>
            </w:pPr>
            <w:r w:rsidRPr="00910723">
              <w:rPr>
                <w:rFonts w:ascii="Arial" w:hAnsi="Arial"/>
                <w:sz w:val="20"/>
              </w:rPr>
              <w:t>a. Ne biržos (OTC) išvestinių finansinių priemonių rodiklis (senasis rodiklis)</w:t>
            </w:r>
          </w:p>
        </w:tc>
        <w:tc>
          <w:tcPr>
            <w:tcW w:w="2745" w:type="dxa"/>
            <w:tcBorders>
              <w:left w:val="nil"/>
              <w:right w:val="nil"/>
            </w:tcBorders>
            <w:noWrap/>
            <w:hideMark/>
          </w:tcPr>
          <w:p w:rsidRPr="00910723" w:rsidR="00411573" w:rsidP="00435435" w:rsidRDefault="00411573" w14:paraId="47A216E7" w14:textId="77777777">
            <w:pPr>
              <w:jc w:val="right"/>
              <w:rPr>
                <w:rFonts w:ascii="Arial" w:hAnsi="Arial" w:eastAsia="Times New Roman" w:cs="Arial"/>
                <w:sz w:val="20"/>
                <w:szCs w:val="20"/>
              </w:rPr>
            </w:pPr>
            <w:r w:rsidRPr="00910723">
              <w:rPr>
                <w:rFonts w:ascii="Arial" w:hAnsi="Arial"/>
                <w:sz w:val="20"/>
              </w:rPr>
              <w:t> </w:t>
            </w:r>
          </w:p>
        </w:tc>
      </w:tr>
      <w:tr w:rsidRPr="00910723" w:rsidR="00411573" w:rsidTr="00435435" w14:paraId="5484AAFD" w14:textId="77777777">
        <w:trPr>
          <w:trHeight w:val="300"/>
        </w:trPr>
        <w:tc>
          <w:tcPr>
            <w:tcW w:w="6804" w:type="dxa"/>
            <w:gridSpan w:val="2"/>
            <w:tcBorders>
              <w:left w:val="nil"/>
              <w:right w:val="nil"/>
            </w:tcBorders>
            <w:noWrap/>
          </w:tcPr>
          <w:p w:rsidRPr="00910723" w:rsidR="00411573" w:rsidP="00435435" w:rsidRDefault="00411573" w14:paraId="57F297E6" w14:textId="77777777">
            <w:pPr>
              <w:ind w:left="171" w:firstLine="28" w:firstLineChars="14"/>
              <w:rPr>
                <w:rFonts w:ascii="Arial" w:hAnsi="Arial" w:eastAsia="Times New Roman" w:cs="Arial"/>
                <w:sz w:val="20"/>
                <w:szCs w:val="20"/>
              </w:rPr>
            </w:pPr>
            <w:r w:rsidRPr="00910723">
              <w:rPr>
                <w:rFonts w:ascii="Arial" w:hAnsi="Arial"/>
                <w:sz w:val="20"/>
              </w:rPr>
              <w:t>b. Tariamoji ne biržos (OTC) išvestinių finansinių priemonių suma, įskaitant draudimo patronuojamąsias įmones</w:t>
            </w:r>
          </w:p>
        </w:tc>
        <w:tc>
          <w:tcPr>
            <w:tcW w:w="2745" w:type="dxa"/>
            <w:tcBorders>
              <w:left w:val="nil"/>
              <w:right w:val="nil"/>
            </w:tcBorders>
            <w:noWrap/>
          </w:tcPr>
          <w:p w:rsidRPr="00910723" w:rsidR="00411573" w:rsidP="00435435" w:rsidRDefault="00411573" w14:paraId="10BA420D" w14:textId="77777777">
            <w:pPr>
              <w:jc w:val="right"/>
              <w:rPr>
                <w:rFonts w:ascii="Arial" w:hAnsi="Arial" w:eastAsia="Times New Roman" w:cs="Arial"/>
                <w:sz w:val="20"/>
                <w:szCs w:val="20"/>
                <w:lang w:eastAsia="en-GB"/>
              </w:rPr>
            </w:pPr>
          </w:p>
        </w:tc>
      </w:tr>
      <w:tr w:rsidRPr="00910723" w:rsidR="00411573" w:rsidTr="00435435" w14:paraId="62E251CB" w14:textId="77777777">
        <w:trPr>
          <w:trHeight w:val="300"/>
        </w:trPr>
        <w:tc>
          <w:tcPr>
            <w:tcW w:w="6804" w:type="dxa"/>
            <w:gridSpan w:val="2"/>
            <w:tcBorders>
              <w:left w:val="nil"/>
              <w:right w:val="nil"/>
            </w:tcBorders>
            <w:noWrap/>
          </w:tcPr>
          <w:p w:rsidRPr="00910723" w:rsidR="00411573" w:rsidP="00435435" w:rsidRDefault="00411573" w14:paraId="00A08395" w14:textId="77777777">
            <w:pPr>
              <w:ind w:left="313"/>
              <w:rPr>
                <w:rFonts w:ascii="Arial" w:hAnsi="Arial" w:eastAsia="Times New Roman" w:cs="Arial"/>
                <w:sz w:val="20"/>
                <w:szCs w:val="20"/>
              </w:rPr>
            </w:pPr>
            <w:r w:rsidRPr="00910723">
              <w:rPr>
                <w:rFonts w:ascii="Arial" w:hAnsi="Arial"/>
                <w:sz w:val="20"/>
                <w:lang w:eastAsia="en-GB"/>
              </w:rPr>
              <w:t xml:space="preserve">(1) </w:t>
            </w:r>
            <w:r w:rsidRPr="00910723">
              <w:rPr>
                <w:rFonts w:ascii="Arial" w:hAnsi="Arial"/>
                <w:sz w:val="20"/>
              </w:rPr>
              <w:t>Tarpuskaitą atlieka pagrindinė sandorio šalis, kai grupė (įskaitant draudimo patronuojamąsias įmones) veikia kaip finansų tarpininkas (pagrindinės sandorio šalies dalis)</w:t>
            </w:r>
          </w:p>
        </w:tc>
        <w:tc>
          <w:tcPr>
            <w:tcW w:w="2745" w:type="dxa"/>
            <w:tcBorders>
              <w:left w:val="nil"/>
              <w:right w:val="nil"/>
            </w:tcBorders>
            <w:noWrap/>
          </w:tcPr>
          <w:p w:rsidRPr="00910723" w:rsidR="00411573" w:rsidP="00435435" w:rsidRDefault="00411573" w14:paraId="28E48C2D" w14:textId="77777777">
            <w:pPr>
              <w:jc w:val="right"/>
              <w:rPr>
                <w:rFonts w:ascii="Arial" w:hAnsi="Arial" w:eastAsia="Times New Roman" w:cs="Arial"/>
                <w:sz w:val="20"/>
                <w:szCs w:val="20"/>
                <w:lang w:eastAsia="en-GB"/>
              </w:rPr>
            </w:pPr>
          </w:p>
        </w:tc>
      </w:tr>
      <w:tr w:rsidRPr="00910723" w:rsidR="00411573" w:rsidTr="00435435" w14:paraId="6855219E" w14:textId="77777777">
        <w:trPr>
          <w:trHeight w:val="300"/>
        </w:trPr>
        <w:tc>
          <w:tcPr>
            <w:tcW w:w="6804" w:type="dxa"/>
            <w:gridSpan w:val="2"/>
            <w:tcBorders>
              <w:left w:val="nil"/>
              <w:right w:val="nil"/>
            </w:tcBorders>
            <w:noWrap/>
          </w:tcPr>
          <w:p w:rsidRPr="00910723" w:rsidR="00411573" w:rsidP="00435435" w:rsidRDefault="00411573" w14:paraId="1F68CDF9" w14:textId="77777777">
            <w:pPr>
              <w:ind w:left="313" w:firstLine="58" w:firstLineChars="29"/>
              <w:rPr>
                <w:rFonts w:ascii="Arial" w:hAnsi="Arial" w:eastAsia="Times New Roman" w:cs="Arial"/>
                <w:sz w:val="20"/>
                <w:szCs w:val="20"/>
              </w:rPr>
            </w:pPr>
            <w:r w:rsidRPr="00910723">
              <w:rPr>
                <w:rFonts w:ascii="Arial" w:hAnsi="Arial"/>
                <w:sz w:val="20"/>
                <w:lang w:eastAsia="en-GB"/>
              </w:rPr>
              <w:t xml:space="preserve">(2) </w:t>
            </w:r>
            <w:r w:rsidRPr="00910723">
              <w:rPr>
                <w:rFonts w:ascii="Arial" w:hAnsi="Arial"/>
                <w:sz w:val="20"/>
              </w:rPr>
              <w:t xml:space="preserve">Tarpuskaitą atlieka pagrindinė sandorio šalis, kai grupė (įskaitant draudimo patronuojamąsias įmones) veikia kaip finansų tarpininkas (kliento dalis) </w:t>
            </w:r>
          </w:p>
        </w:tc>
        <w:tc>
          <w:tcPr>
            <w:tcW w:w="2745" w:type="dxa"/>
            <w:tcBorders>
              <w:left w:val="nil"/>
              <w:right w:val="nil"/>
            </w:tcBorders>
            <w:noWrap/>
          </w:tcPr>
          <w:p w:rsidRPr="00910723" w:rsidR="00411573" w:rsidP="00435435" w:rsidRDefault="00411573" w14:paraId="12B296F0" w14:textId="77777777">
            <w:pPr>
              <w:jc w:val="right"/>
              <w:rPr>
                <w:rFonts w:ascii="Arial" w:hAnsi="Arial" w:eastAsia="Times New Roman" w:cs="Arial"/>
                <w:sz w:val="20"/>
                <w:szCs w:val="20"/>
                <w:lang w:eastAsia="en-GB"/>
              </w:rPr>
            </w:pPr>
          </w:p>
        </w:tc>
      </w:tr>
      <w:tr w:rsidRPr="00910723" w:rsidR="00411573" w:rsidTr="00435435" w14:paraId="2DB463DD" w14:textId="77777777">
        <w:trPr>
          <w:trHeight w:val="300"/>
        </w:trPr>
        <w:tc>
          <w:tcPr>
            <w:tcW w:w="6804" w:type="dxa"/>
            <w:gridSpan w:val="2"/>
            <w:tcBorders>
              <w:left w:val="nil"/>
              <w:right w:val="nil"/>
            </w:tcBorders>
            <w:noWrap/>
          </w:tcPr>
          <w:p w:rsidRPr="00910723" w:rsidR="00411573" w:rsidP="00435435" w:rsidRDefault="00411573" w14:paraId="24F79F97" w14:textId="77777777">
            <w:pPr>
              <w:ind w:left="313"/>
              <w:rPr>
                <w:rFonts w:ascii="Arial" w:hAnsi="Arial" w:eastAsia="Times New Roman" w:cs="Arial"/>
                <w:sz w:val="20"/>
                <w:szCs w:val="20"/>
              </w:rPr>
            </w:pPr>
            <w:r w:rsidRPr="00910723">
              <w:rPr>
                <w:rFonts w:ascii="Arial" w:hAnsi="Arial"/>
                <w:sz w:val="20"/>
                <w:lang w:eastAsia="en-GB"/>
              </w:rPr>
              <w:t xml:space="preserve">(3) </w:t>
            </w:r>
            <w:r w:rsidRPr="00910723">
              <w:rPr>
                <w:rFonts w:ascii="Arial" w:hAnsi="Arial"/>
                <w:sz w:val="20"/>
              </w:rPr>
              <w:t xml:space="preserve">Tarpuskaitą atlieka pagrindinė sandorio šalis, kai grupė, įskaitant draudimo patronuojamąsias įmones, veikia kaip agentas </w:t>
            </w:r>
          </w:p>
        </w:tc>
        <w:tc>
          <w:tcPr>
            <w:tcW w:w="2745" w:type="dxa"/>
            <w:tcBorders>
              <w:left w:val="nil"/>
              <w:right w:val="nil"/>
            </w:tcBorders>
            <w:noWrap/>
          </w:tcPr>
          <w:p w:rsidRPr="00910723" w:rsidR="00411573" w:rsidP="00435435" w:rsidRDefault="00411573" w14:paraId="4AB21AA1" w14:textId="77777777">
            <w:pPr>
              <w:jc w:val="right"/>
              <w:rPr>
                <w:rFonts w:ascii="Arial" w:hAnsi="Arial" w:eastAsia="Times New Roman" w:cs="Arial"/>
                <w:sz w:val="20"/>
                <w:szCs w:val="20"/>
                <w:lang w:eastAsia="en-GB"/>
              </w:rPr>
            </w:pPr>
          </w:p>
        </w:tc>
      </w:tr>
      <w:tr w:rsidRPr="00910723" w:rsidR="00411573" w:rsidTr="00435435" w14:paraId="73E19253" w14:textId="77777777">
        <w:trPr>
          <w:trHeight w:val="300"/>
        </w:trPr>
        <w:tc>
          <w:tcPr>
            <w:tcW w:w="6804" w:type="dxa"/>
            <w:gridSpan w:val="2"/>
            <w:tcBorders>
              <w:left w:val="nil"/>
              <w:right w:val="nil"/>
            </w:tcBorders>
            <w:noWrap/>
          </w:tcPr>
          <w:p w:rsidRPr="00910723" w:rsidR="00411573" w:rsidP="00435435" w:rsidRDefault="00411573" w14:paraId="7C67D2CC" w14:textId="77777777">
            <w:pPr>
              <w:ind w:left="313" w:hanging="1"/>
              <w:rPr>
                <w:rFonts w:ascii="Arial" w:hAnsi="Arial" w:eastAsia="Times New Roman" w:cs="Arial"/>
                <w:sz w:val="20"/>
                <w:szCs w:val="20"/>
              </w:rPr>
            </w:pPr>
            <w:r w:rsidRPr="00910723">
              <w:rPr>
                <w:rFonts w:ascii="Arial" w:hAnsi="Arial"/>
                <w:sz w:val="20"/>
                <w:lang w:eastAsia="en-GB"/>
              </w:rPr>
              <w:t xml:space="preserve">(4) </w:t>
            </w:r>
            <w:r w:rsidRPr="00910723">
              <w:rPr>
                <w:rFonts w:ascii="Arial" w:hAnsi="Arial"/>
                <w:sz w:val="20"/>
              </w:rPr>
              <w:t>Tarpuskaitą atlieka pagrindinė sandorio šalis, kai grupė, įskaitant draudimo patronuojamąsias įmones, prekiauja savo sąskaita</w:t>
            </w:r>
          </w:p>
        </w:tc>
        <w:tc>
          <w:tcPr>
            <w:tcW w:w="2745" w:type="dxa"/>
            <w:tcBorders>
              <w:left w:val="nil"/>
              <w:right w:val="nil"/>
            </w:tcBorders>
            <w:noWrap/>
          </w:tcPr>
          <w:p w:rsidRPr="00910723" w:rsidR="00411573" w:rsidP="00435435" w:rsidRDefault="00411573" w14:paraId="360EE12F" w14:textId="77777777">
            <w:pPr>
              <w:jc w:val="right"/>
              <w:rPr>
                <w:rFonts w:ascii="Arial" w:hAnsi="Arial" w:eastAsia="Times New Roman" w:cs="Arial"/>
                <w:sz w:val="20"/>
                <w:szCs w:val="20"/>
                <w:lang w:eastAsia="en-GB"/>
              </w:rPr>
            </w:pPr>
          </w:p>
        </w:tc>
      </w:tr>
      <w:tr w:rsidRPr="00910723" w:rsidR="00411573" w:rsidTr="00435435" w14:paraId="1DF6CABD" w14:textId="77777777">
        <w:trPr>
          <w:trHeight w:val="300"/>
        </w:trPr>
        <w:tc>
          <w:tcPr>
            <w:tcW w:w="6804" w:type="dxa"/>
            <w:gridSpan w:val="2"/>
            <w:tcBorders>
              <w:left w:val="nil"/>
              <w:right w:val="nil"/>
            </w:tcBorders>
            <w:noWrap/>
          </w:tcPr>
          <w:p w:rsidRPr="00910723" w:rsidR="00411573" w:rsidP="00435435" w:rsidRDefault="00411573" w14:paraId="2FB77A95" w14:textId="77777777">
            <w:pPr>
              <w:ind w:left="171" w:firstLine="28" w:firstLineChars="14"/>
              <w:rPr>
                <w:rFonts w:ascii="Arial" w:hAnsi="Arial" w:eastAsia="Times New Roman" w:cs="Arial"/>
                <w:sz w:val="20"/>
                <w:szCs w:val="20"/>
              </w:rPr>
            </w:pPr>
            <w:r w:rsidRPr="00910723">
              <w:rPr>
                <w:rFonts w:ascii="Arial" w:hAnsi="Arial"/>
                <w:sz w:val="20"/>
              </w:rPr>
              <w:t>c. Ne biržos (OTC) išvestinės finansinės priemonės, kurių tarpuskaita atliekama per pagrindinę sandorio šalį (LIBOR pereinamojo laikotarpio išimtis)</w:t>
            </w:r>
          </w:p>
        </w:tc>
        <w:tc>
          <w:tcPr>
            <w:tcW w:w="2745" w:type="dxa"/>
            <w:tcBorders>
              <w:left w:val="nil"/>
              <w:right w:val="nil"/>
            </w:tcBorders>
            <w:noWrap/>
          </w:tcPr>
          <w:p w:rsidRPr="00910723" w:rsidR="00411573" w:rsidP="00435435" w:rsidRDefault="00411573" w14:paraId="2CE6667E" w14:textId="77777777">
            <w:pPr>
              <w:jc w:val="right"/>
              <w:rPr>
                <w:rFonts w:ascii="Arial" w:hAnsi="Arial" w:eastAsia="Times New Roman" w:cs="Arial"/>
                <w:sz w:val="20"/>
                <w:szCs w:val="20"/>
                <w:lang w:eastAsia="en-GB"/>
              </w:rPr>
            </w:pPr>
          </w:p>
        </w:tc>
      </w:tr>
      <w:tr w:rsidRPr="00910723" w:rsidR="00411573" w:rsidTr="00435435" w14:paraId="736186B5" w14:textId="77777777">
        <w:trPr>
          <w:trHeight w:val="300"/>
        </w:trPr>
        <w:tc>
          <w:tcPr>
            <w:tcW w:w="6804" w:type="dxa"/>
            <w:gridSpan w:val="2"/>
            <w:tcBorders>
              <w:left w:val="nil"/>
              <w:right w:val="nil"/>
            </w:tcBorders>
            <w:noWrap/>
          </w:tcPr>
          <w:p w:rsidRPr="00910723" w:rsidR="00411573" w:rsidP="00435435" w:rsidRDefault="00411573" w14:paraId="1FCC7BC5" w14:textId="77777777">
            <w:pPr>
              <w:ind w:left="171" w:firstLine="28" w:firstLineChars="14"/>
              <w:rPr>
                <w:rFonts w:ascii="Arial" w:hAnsi="Arial" w:eastAsia="Times New Roman" w:cs="Arial"/>
                <w:sz w:val="20"/>
                <w:szCs w:val="20"/>
              </w:rPr>
            </w:pPr>
            <w:r w:rsidRPr="00910723">
              <w:rPr>
                <w:rFonts w:ascii="Arial" w:hAnsi="Arial"/>
                <w:sz w:val="20"/>
              </w:rPr>
              <w:t xml:space="preserve">d. Tariamosios ne biržos (OTC) išvestinių finansinių priemonių sumos vidutinė ketvirčio vertė </w:t>
            </w:r>
          </w:p>
        </w:tc>
        <w:tc>
          <w:tcPr>
            <w:tcW w:w="2745" w:type="dxa"/>
            <w:tcBorders>
              <w:left w:val="nil"/>
              <w:right w:val="nil"/>
            </w:tcBorders>
            <w:noWrap/>
          </w:tcPr>
          <w:p w:rsidRPr="00910723" w:rsidR="00411573" w:rsidP="00435435" w:rsidRDefault="00411573" w14:paraId="02B4F682" w14:textId="77777777">
            <w:pPr>
              <w:jc w:val="right"/>
              <w:rPr>
                <w:rFonts w:ascii="Arial" w:hAnsi="Arial" w:eastAsia="Times New Roman" w:cs="Arial"/>
                <w:sz w:val="20"/>
                <w:szCs w:val="20"/>
                <w:lang w:eastAsia="en-GB"/>
              </w:rPr>
            </w:pPr>
          </w:p>
        </w:tc>
      </w:tr>
      <w:tr w:rsidRPr="00910723" w:rsidR="00411573" w:rsidTr="00435435" w14:paraId="30F9E323" w14:textId="77777777">
        <w:trPr>
          <w:trHeight w:val="300"/>
        </w:trPr>
        <w:tc>
          <w:tcPr>
            <w:tcW w:w="6804" w:type="dxa"/>
            <w:gridSpan w:val="2"/>
            <w:tcBorders>
              <w:left w:val="nil"/>
              <w:right w:val="nil"/>
            </w:tcBorders>
            <w:noWrap/>
          </w:tcPr>
          <w:p w:rsidRPr="00910723" w:rsidR="00411573" w:rsidP="00435435" w:rsidRDefault="00411573" w14:paraId="7F79B168" w14:textId="77777777">
            <w:pPr>
              <w:ind w:left="171" w:firstLine="28" w:firstLineChars="14"/>
              <w:rPr>
                <w:rFonts w:ascii="Arial" w:hAnsi="Arial" w:eastAsia="Times New Roman" w:cs="Arial"/>
                <w:sz w:val="20"/>
                <w:szCs w:val="20"/>
              </w:rPr>
            </w:pPr>
            <w:r w:rsidRPr="00910723">
              <w:rPr>
                <w:rFonts w:ascii="Arial" w:hAnsi="Arial"/>
                <w:sz w:val="20"/>
              </w:rPr>
              <w:t xml:space="preserve">e. Tariamosios ne biržos (OTC) išvestinių finansinių priemonių sumos vidutinė mėnesio vertė </w:t>
            </w:r>
          </w:p>
        </w:tc>
        <w:tc>
          <w:tcPr>
            <w:tcW w:w="2745" w:type="dxa"/>
            <w:tcBorders>
              <w:left w:val="nil"/>
              <w:right w:val="nil"/>
            </w:tcBorders>
            <w:noWrap/>
          </w:tcPr>
          <w:p w:rsidRPr="00910723" w:rsidR="00411573" w:rsidP="00435435" w:rsidRDefault="00411573" w14:paraId="7A97EA06" w14:textId="77777777">
            <w:pPr>
              <w:jc w:val="right"/>
              <w:rPr>
                <w:rFonts w:ascii="Arial" w:hAnsi="Arial" w:eastAsia="Times New Roman" w:cs="Arial"/>
                <w:sz w:val="20"/>
                <w:szCs w:val="20"/>
                <w:lang w:eastAsia="en-GB"/>
              </w:rPr>
            </w:pPr>
          </w:p>
        </w:tc>
      </w:tr>
      <w:tr w:rsidRPr="00910723" w:rsidR="00411573" w:rsidTr="00435435" w14:paraId="30C9D136" w14:textId="77777777">
        <w:trPr>
          <w:trHeight w:val="300"/>
        </w:trPr>
        <w:tc>
          <w:tcPr>
            <w:tcW w:w="6804" w:type="dxa"/>
            <w:gridSpan w:val="2"/>
            <w:tcBorders>
              <w:left w:val="nil"/>
              <w:right w:val="nil"/>
            </w:tcBorders>
            <w:noWrap/>
          </w:tcPr>
          <w:p w:rsidRPr="00910723" w:rsidR="00411573" w:rsidP="00435435" w:rsidRDefault="00411573" w14:paraId="7D8B9266" w14:textId="77777777">
            <w:pPr>
              <w:ind w:firstLine="200" w:firstLineChars="100"/>
              <w:rPr>
                <w:rFonts w:ascii="Arial" w:hAnsi="Arial" w:eastAsia="Times New Roman" w:cs="Arial"/>
                <w:sz w:val="20"/>
                <w:szCs w:val="20"/>
              </w:rPr>
            </w:pPr>
            <w:r w:rsidRPr="00910723">
              <w:rPr>
                <w:rFonts w:ascii="Arial" w:hAnsi="Arial"/>
                <w:sz w:val="20"/>
              </w:rPr>
              <w:lastRenderedPageBreak/>
              <w:t xml:space="preserve">f. Prekybai laikomų ir skirtų parduoti vertybinių popierių vidutinė ketvirčio vertė </w:t>
            </w:r>
          </w:p>
        </w:tc>
        <w:tc>
          <w:tcPr>
            <w:tcW w:w="2745" w:type="dxa"/>
            <w:tcBorders>
              <w:left w:val="nil"/>
              <w:right w:val="nil"/>
            </w:tcBorders>
            <w:noWrap/>
          </w:tcPr>
          <w:p w:rsidRPr="00910723" w:rsidR="00411573" w:rsidP="00435435" w:rsidRDefault="00411573" w14:paraId="6E7C4757" w14:textId="77777777">
            <w:pPr>
              <w:jc w:val="right"/>
              <w:rPr>
                <w:rFonts w:ascii="Arial" w:hAnsi="Arial" w:eastAsia="Times New Roman" w:cs="Arial"/>
                <w:sz w:val="20"/>
                <w:szCs w:val="20"/>
                <w:lang w:eastAsia="en-GB"/>
              </w:rPr>
            </w:pPr>
          </w:p>
        </w:tc>
      </w:tr>
      <w:tr w:rsidRPr="00910723" w:rsidR="00411573" w:rsidTr="00435435" w14:paraId="62F47BCD" w14:textId="77777777">
        <w:trPr>
          <w:trHeight w:val="300"/>
        </w:trPr>
        <w:tc>
          <w:tcPr>
            <w:tcW w:w="6804" w:type="dxa"/>
            <w:gridSpan w:val="2"/>
            <w:tcBorders>
              <w:left w:val="nil"/>
              <w:right w:val="nil"/>
            </w:tcBorders>
            <w:noWrap/>
          </w:tcPr>
          <w:p w:rsidRPr="00910723" w:rsidR="00411573" w:rsidP="00435435" w:rsidRDefault="00411573" w14:paraId="496BE127" w14:textId="77777777">
            <w:pPr>
              <w:ind w:firstLine="200" w:firstLineChars="100"/>
              <w:rPr>
                <w:rFonts w:ascii="Arial" w:hAnsi="Arial" w:eastAsia="Times New Roman" w:cs="Arial"/>
                <w:sz w:val="20"/>
                <w:szCs w:val="20"/>
              </w:rPr>
            </w:pPr>
            <w:r w:rsidRPr="00910723">
              <w:rPr>
                <w:rFonts w:ascii="Arial" w:hAnsi="Arial"/>
                <w:sz w:val="20"/>
              </w:rPr>
              <w:t xml:space="preserve">g. Prekybai laikomų ir skirtų parduoti vertybinių popierių vidutinė mėnesio vertė </w:t>
            </w:r>
          </w:p>
        </w:tc>
        <w:tc>
          <w:tcPr>
            <w:tcW w:w="2745" w:type="dxa"/>
            <w:tcBorders>
              <w:left w:val="nil"/>
              <w:right w:val="nil"/>
            </w:tcBorders>
            <w:noWrap/>
          </w:tcPr>
          <w:p w:rsidRPr="00910723" w:rsidR="00411573" w:rsidP="00435435" w:rsidRDefault="00411573" w14:paraId="4AA97B85" w14:textId="77777777">
            <w:pPr>
              <w:jc w:val="right"/>
              <w:rPr>
                <w:rFonts w:ascii="Arial" w:hAnsi="Arial" w:eastAsia="Times New Roman" w:cs="Arial"/>
                <w:sz w:val="20"/>
                <w:szCs w:val="20"/>
                <w:lang w:eastAsia="en-GB"/>
              </w:rPr>
            </w:pPr>
          </w:p>
        </w:tc>
      </w:tr>
      <w:tr w:rsidRPr="00910723" w:rsidR="00411573" w:rsidTr="00435435" w14:paraId="247E3BF4" w14:textId="77777777">
        <w:trPr>
          <w:trHeight w:val="300"/>
        </w:trPr>
        <w:tc>
          <w:tcPr>
            <w:tcW w:w="6804" w:type="dxa"/>
            <w:gridSpan w:val="2"/>
            <w:tcBorders>
              <w:left w:val="nil"/>
              <w:right w:val="nil"/>
            </w:tcBorders>
            <w:noWrap/>
          </w:tcPr>
          <w:p w:rsidRPr="00910723" w:rsidR="00411573" w:rsidP="00435435" w:rsidRDefault="00411573" w14:paraId="583E432F" w14:textId="77777777">
            <w:pPr>
              <w:ind w:firstLine="200" w:firstLineChars="100"/>
              <w:rPr>
                <w:rFonts w:ascii="Arial" w:hAnsi="Arial" w:eastAsia="Times New Roman" w:cs="Arial"/>
                <w:sz w:val="20"/>
                <w:szCs w:val="20"/>
              </w:rPr>
            </w:pPr>
            <w:r w:rsidRPr="00910723">
              <w:rPr>
                <w:rFonts w:ascii="Arial" w:hAnsi="Arial"/>
                <w:sz w:val="20"/>
              </w:rPr>
              <w:t>h. 3 lygio turto rodiklis (ankstesnis rodiklis)</w:t>
            </w:r>
          </w:p>
        </w:tc>
        <w:tc>
          <w:tcPr>
            <w:tcW w:w="2745" w:type="dxa"/>
            <w:tcBorders>
              <w:left w:val="nil"/>
              <w:right w:val="nil"/>
            </w:tcBorders>
            <w:noWrap/>
          </w:tcPr>
          <w:p w:rsidRPr="00910723" w:rsidR="00411573" w:rsidP="00435435" w:rsidRDefault="00411573" w14:paraId="67A44880" w14:textId="77777777">
            <w:pPr>
              <w:jc w:val="right"/>
              <w:rPr>
                <w:rFonts w:ascii="Arial" w:hAnsi="Arial" w:eastAsia="Times New Roman" w:cs="Arial"/>
                <w:sz w:val="20"/>
                <w:szCs w:val="20"/>
                <w:lang w:eastAsia="en-GB"/>
              </w:rPr>
            </w:pPr>
          </w:p>
        </w:tc>
      </w:tr>
      <w:tr w:rsidRPr="00910723" w:rsidR="00411573" w:rsidTr="00435435" w14:paraId="0D51B4BB" w14:textId="77777777">
        <w:trPr>
          <w:trHeight w:val="300"/>
        </w:trPr>
        <w:tc>
          <w:tcPr>
            <w:tcW w:w="6804" w:type="dxa"/>
            <w:gridSpan w:val="2"/>
            <w:tcBorders>
              <w:left w:val="nil"/>
              <w:right w:val="nil"/>
            </w:tcBorders>
            <w:noWrap/>
          </w:tcPr>
          <w:p w:rsidRPr="00910723" w:rsidR="00411573" w:rsidP="00435435" w:rsidRDefault="00411573" w14:paraId="19CED73C" w14:textId="77777777">
            <w:pPr>
              <w:ind w:firstLine="200" w:firstLineChars="100"/>
              <w:rPr>
                <w:rFonts w:ascii="Arial" w:hAnsi="Arial" w:eastAsia="Times New Roman" w:cs="Arial"/>
                <w:sz w:val="20"/>
                <w:szCs w:val="20"/>
              </w:rPr>
            </w:pPr>
            <w:r w:rsidRPr="00910723">
              <w:rPr>
                <w:rFonts w:ascii="Arial" w:hAnsi="Arial"/>
                <w:sz w:val="20"/>
              </w:rPr>
              <w:t xml:space="preserve">i. 3 lygio turto vidutinė ketvirčio vertė </w:t>
            </w:r>
          </w:p>
        </w:tc>
        <w:tc>
          <w:tcPr>
            <w:tcW w:w="2745" w:type="dxa"/>
            <w:tcBorders>
              <w:left w:val="nil"/>
              <w:right w:val="nil"/>
            </w:tcBorders>
            <w:noWrap/>
          </w:tcPr>
          <w:p w:rsidRPr="00910723" w:rsidR="00411573" w:rsidP="00435435" w:rsidRDefault="00411573" w14:paraId="2F23D93D" w14:textId="77777777">
            <w:pPr>
              <w:jc w:val="right"/>
              <w:rPr>
                <w:rFonts w:ascii="Arial" w:hAnsi="Arial" w:eastAsia="Times New Roman" w:cs="Arial"/>
                <w:sz w:val="20"/>
                <w:szCs w:val="20"/>
                <w:lang w:eastAsia="en-GB"/>
              </w:rPr>
            </w:pPr>
          </w:p>
        </w:tc>
      </w:tr>
      <w:tr w:rsidRPr="00910723" w:rsidR="00411573" w:rsidTr="00435435" w14:paraId="3A2FC8AF" w14:textId="77777777">
        <w:trPr>
          <w:trHeight w:val="300"/>
        </w:trPr>
        <w:tc>
          <w:tcPr>
            <w:tcW w:w="6804" w:type="dxa"/>
            <w:gridSpan w:val="2"/>
            <w:tcBorders>
              <w:left w:val="nil"/>
              <w:right w:val="nil"/>
            </w:tcBorders>
            <w:noWrap/>
          </w:tcPr>
          <w:p w:rsidRPr="00910723" w:rsidR="00411573" w:rsidP="00435435" w:rsidRDefault="00411573" w14:paraId="128F2CEC" w14:textId="77777777">
            <w:pPr>
              <w:ind w:firstLine="200" w:firstLineChars="100"/>
              <w:rPr>
                <w:rFonts w:ascii="Arial" w:hAnsi="Arial" w:eastAsia="Times New Roman" w:cs="Arial"/>
                <w:sz w:val="20"/>
                <w:szCs w:val="20"/>
              </w:rPr>
            </w:pPr>
            <w:r w:rsidRPr="00910723">
              <w:rPr>
                <w:rFonts w:ascii="Arial" w:hAnsi="Arial"/>
                <w:sz w:val="20"/>
              </w:rPr>
              <w:t xml:space="preserve">j. 3 lygio turto vidutinė mėnesio vertė  </w:t>
            </w:r>
          </w:p>
        </w:tc>
        <w:tc>
          <w:tcPr>
            <w:tcW w:w="2745" w:type="dxa"/>
            <w:tcBorders>
              <w:left w:val="nil"/>
              <w:right w:val="nil"/>
            </w:tcBorders>
            <w:noWrap/>
          </w:tcPr>
          <w:p w:rsidRPr="00910723" w:rsidR="00411573" w:rsidP="00435435" w:rsidRDefault="00411573" w14:paraId="19BB1C0C" w14:textId="77777777">
            <w:pPr>
              <w:jc w:val="right"/>
              <w:rPr>
                <w:rFonts w:ascii="Arial" w:hAnsi="Arial" w:eastAsia="Times New Roman" w:cs="Arial"/>
                <w:sz w:val="20"/>
                <w:szCs w:val="20"/>
                <w:lang w:eastAsia="en-GB"/>
              </w:rPr>
            </w:pPr>
          </w:p>
        </w:tc>
      </w:tr>
      <w:tr w:rsidRPr="00910723" w:rsidR="00411573" w:rsidTr="00435435" w14:paraId="568164D8" w14:textId="77777777">
        <w:trPr>
          <w:trHeight w:val="300"/>
        </w:trPr>
        <w:tc>
          <w:tcPr>
            <w:tcW w:w="6804" w:type="dxa"/>
            <w:gridSpan w:val="2"/>
            <w:tcBorders>
              <w:left w:val="nil"/>
              <w:right w:val="nil"/>
            </w:tcBorders>
            <w:noWrap/>
          </w:tcPr>
          <w:p w:rsidRPr="00910723" w:rsidR="00411573" w:rsidP="00435435" w:rsidRDefault="00411573" w14:paraId="5632B09F" w14:textId="77777777">
            <w:pPr>
              <w:ind w:firstLine="200" w:firstLineChars="100"/>
              <w:rPr>
                <w:rFonts w:ascii="Arial" w:hAnsi="Arial" w:eastAsia="Times New Roman" w:cs="Arial"/>
                <w:sz w:val="20"/>
                <w:szCs w:val="20"/>
              </w:rPr>
            </w:pPr>
            <w:r w:rsidRPr="00910723">
              <w:rPr>
                <w:rFonts w:ascii="Arial" w:hAnsi="Arial"/>
                <w:sz w:val="20"/>
              </w:rPr>
              <w:t>k. 2 lygio turtas, įskaitant draudimo patronuojamąsias įmones</w:t>
            </w:r>
          </w:p>
        </w:tc>
        <w:tc>
          <w:tcPr>
            <w:tcW w:w="2745" w:type="dxa"/>
            <w:tcBorders>
              <w:left w:val="nil"/>
              <w:right w:val="nil"/>
            </w:tcBorders>
            <w:noWrap/>
          </w:tcPr>
          <w:p w:rsidRPr="00910723" w:rsidR="00411573" w:rsidP="00435435" w:rsidRDefault="00411573" w14:paraId="71AEB5CD" w14:textId="77777777">
            <w:pPr>
              <w:jc w:val="right"/>
              <w:rPr>
                <w:rFonts w:ascii="Arial" w:hAnsi="Arial" w:eastAsia="Times New Roman" w:cs="Arial"/>
                <w:sz w:val="20"/>
                <w:szCs w:val="20"/>
                <w:lang w:eastAsia="en-GB"/>
              </w:rPr>
            </w:pPr>
          </w:p>
        </w:tc>
      </w:tr>
      <w:tr w:rsidRPr="00910723" w:rsidR="00411573" w:rsidTr="00435435" w14:paraId="6CC21580" w14:textId="77777777">
        <w:trPr>
          <w:trHeight w:val="300"/>
        </w:trPr>
        <w:tc>
          <w:tcPr>
            <w:tcW w:w="6804" w:type="dxa"/>
            <w:gridSpan w:val="2"/>
            <w:tcBorders>
              <w:left w:val="nil"/>
              <w:right w:val="nil"/>
            </w:tcBorders>
            <w:noWrap/>
          </w:tcPr>
          <w:p w:rsidRPr="00910723" w:rsidR="00411573" w:rsidP="00435435" w:rsidRDefault="00411573" w14:paraId="3D06978C" w14:textId="77777777">
            <w:pPr>
              <w:ind w:left="454" w:hanging="141"/>
              <w:rPr>
                <w:rFonts w:ascii="Arial" w:hAnsi="Arial" w:eastAsia="Times New Roman" w:cs="Arial"/>
                <w:sz w:val="20"/>
                <w:szCs w:val="20"/>
              </w:rPr>
            </w:pPr>
            <w:r w:rsidRPr="00910723">
              <w:rPr>
                <w:rFonts w:ascii="Arial" w:hAnsi="Arial"/>
                <w:sz w:val="20"/>
                <w:lang w:eastAsia="en-GB"/>
              </w:rPr>
              <w:t xml:space="preserve">(1) </w:t>
            </w:r>
            <w:r w:rsidRPr="00910723">
              <w:rPr>
                <w:rFonts w:ascii="Arial" w:hAnsi="Arial"/>
                <w:sz w:val="20"/>
              </w:rPr>
              <w:t>2 lygio turtas, įskaitant draudimo patronuojamąsias įmones, kurio tarpuskaitą atlieka pagrindinė sandorio šalis</w:t>
            </w:r>
          </w:p>
        </w:tc>
        <w:tc>
          <w:tcPr>
            <w:tcW w:w="2745" w:type="dxa"/>
            <w:tcBorders>
              <w:left w:val="nil"/>
              <w:right w:val="nil"/>
            </w:tcBorders>
            <w:noWrap/>
          </w:tcPr>
          <w:p w:rsidRPr="00910723" w:rsidR="00411573" w:rsidP="00435435" w:rsidRDefault="00411573" w14:paraId="40F0B0F9" w14:textId="77777777">
            <w:pPr>
              <w:jc w:val="right"/>
              <w:rPr>
                <w:rFonts w:ascii="Arial" w:hAnsi="Arial" w:eastAsia="Times New Roman" w:cs="Arial"/>
                <w:sz w:val="20"/>
                <w:szCs w:val="20"/>
                <w:lang w:eastAsia="en-GB"/>
              </w:rPr>
            </w:pPr>
          </w:p>
        </w:tc>
      </w:tr>
      <w:tr w:rsidRPr="00910723" w:rsidR="00411573" w:rsidTr="00435435" w14:paraId="0418D1ED" w14:textId="77777777">
        <w:trPr>
          <w:trHeight w:val="300"/>
        </w:trPr>
        <w:tc>
          <w:tcPr>
            <w:tcW w:w="6804" w:type="dxa"/>
            <w:gridSpan w:val="2"/>
            <w:tcBorders>
              <w:left w:val="nil"/>
              <w:right w:val="nil"/>
            </w:tcBorders>
            <w:noWrap/>
          </w:tcPr>
          <w:p w:rsidRPr="00910723" w:rsidR="00411573" w:rsidP="00435435" w:rsidRDefault="00411573" w14:paraId="6CBFAF8E" w14:textId="77777777">
            <w:pPr>
              <w:ind w:left="454" w:hanging="141"/>
              <w:rPr>
                <w:rFonts w:ascii="Arial" w:hAnsi="Arial" w:eastAsia="Times New Roman" w:cs="Arial"/>
                <w:sz w:val="20"/>
                <w:szCs w:val="20"/>
              </w:rPr>
            </w:pPr>
            <w:r w:rsidRPr="00910723">
              <w:t>(</w:t>
            </w:r>
            <w:r w:rsidRPr="00910723">
              <w:rPr>
                <w:rFonts w:ascii="Arial" w:hAnsi="Arial"/>
                <w:sz w:val="20"/>
                <w:lang w:eastAsia="en-GB"/>
              </w:rPr>
              <w:t xml:space="preserve">(2) </w:t>
            </w:r>
            <w:r w:rsidRPr="00910723">
              <w:rPr>
                <w:rFonts w:ascii="Arial" w:hAnsi="Arial"/>
                <w:sz w:val="20"/>
              </w:rPr>
              <w:t>2 lygio turtas, įskaitant draudimo patronuojamąsias įmones, už kurį atsiskaitoma dvišaliu būdu</w:t>
            </w:r>
          </w:p>
        </w:tc>
        <w:tc>
          <w:tcPr>
            <w:tcW w:w="2745" w:type="dxa"/>
            <w:tcBorders>
              <w:left w:val="nil"/>
              <w:right w:val="nil"/>
            </w:tcBorders>
            <w:noWrap/>
          </w:tcPr>
          <w:p w:rsidRPr="00910723" w:rsidR="00411573" w:rsidP="00435435" w:rsidRDefault="00411573" w14:paraId="10BED5B2" w14:textId="77777777">
            <w:pPr>
              <w:jc w:val="right"/>
              <w:rPr>
                <w:rFonts w:ascii="Arial" w:hAnsi="Arial" w:eastAsia="Times New Roman" w:cs="Arial"/>
                <w:sz w:val="20"/>
                <w:szCs w:val="20"/>
                <w:lang w:eastAsia="en-GB"/>
              </w:rPr>
            </w:pPr>
          </w:p>
        </w:tc>
      </w:tr>
      <w:tr w:rsidRPr="00910723" w:rsidR="00411573" w:rsidTr="00435435" w14:paraId="04FF4EBA" w14:textId="77777777">
        <w:trPr>
          <w:trHeight w:val="300"/>
        </w:trPr>
        <w:tc>
          <w:tcPr>
            <w:tcW w:w="6804" w:type="dxa"/>
            <w:gridSpan w:val="2"/>
            <w:tcBorders>
              <w:left w:val="nil"/>
              <w:right w:val="nil"/>
            </w:tcBorders>
            <w:noWrap/>
          </w:tcPr>
          <w:p w:rsidRPr="00910723" w:rsidR="00411573" w:rsidP="00435435" w:rsidRDefault="00411573" w14:paraId="473A36C8" w14:textId="77777777">
            <w:pPr>
              <w:ind w:firstLine="313"/>
              <w:rPr>
                <w:rFonts w:ascii="Arial" w:hAnsi="Arial" w:eastAsia="Times New Roman" w:cs="Arial"/>
                <w:sz w:val="20"/>
                <w:szCs w:val="20"/>
              </w:rPr>
            </w:pPr>
            <w:r w:rsidRPr="00910723">
              <w:rPr>
                <w:rFonts w:ascii="Arial" w:hAnsi="Arial"/>
                <w:sz w:val="20"/>
                <w:lang w:eastAsia="en-GB"/>
              </w:rPr>
              <w:t xml:space="preserve">(3) </w:t>
            </w:r>
            <w:r w:rsidRPr="00910723">
              <w:rPr>
                <w:rFonts w:ascii="Arial" w:hAnsi="Arial"/>
                <w:sz w:val="20"/>
              </w:rPr>
              <w:t>Kitas 2 lygio turtas, įskaitant draudimo patronuojamąsias įmones</w:t>
            </w:r>
          </w:p>
        </w:tc>
        <w:tc>
          <w:tcPr>
            <w:tcW w:w="2745" w:type="dxa"/>
            <w:tcBorders>
              <w:left w:val="nil"/>
              <w:right w:val="nil"/>
            </w:tcBorders>
            <w:noWrap/>
          </w:tcPr>
          <w:p w:rsidRPr="00910723" w:rsidR="00411573" w:rsidP="00435435" w:rsidRDefault="00411573" w14:paraId="1F546DA6" w14:textId="77777777">
            <w:pPr>
              <w:jc w:val="right"/>
              <w:rPr>
                <w:rFonts w:ascii="Arial" w:hAnsi="Arial" w:eastAsia="Times New Roman" w:cs="Arial"/>
                <w:sz w:val="20"/>
                <w:szCs w:val="20"/>
                <w:lang w:eastAsia="en-GB"/>
              </w:rPr>
            </w:pPr>
          </w:p>
        </w:tc>
      </w:tr>
      <w:tr w:rsidRPr="00910723" w:rsidR="00411573" w:rsidTr="00435435" w14:paraId="6907475B" w14:textId="77777777">
        <w:trPr>
          <w:trHeight w:val="300"/>
        </w:trPr>
        <w:tc>
          <w:tcPr>
            <w:tcW w:w="6804" w:type="dxa"/>
            <w:gridSpan w:val="2"/>
            <w:tcBorders>
              <w:left w:val="nil"/>
              <w:bottom w:val="single" w:color="auto" w:sz="4" w:space="0"/>
              <w:right w:val="nil"/>
            </w:tcBorders>
            <w:noWrap/>
          </w:tcPr>
          <w:p w:rsidRPr="00910723" w:rsidR="00411573" w:rsidP="00435435" w:rsidRDefault="00411573" w14:paraId="517BEBBE" w14:textId="77777777">
            <w:pPr>
              <w:ind w:firstLine="200" w:firstLineChars="100"/>
              <w:rPr>
                <w:rFonts w:ascii="Arial" w:hAnsi="Arial" w:eastAsia="Times New Roman" w:cs="Arial"/>
                <w:sz w:val="20"/>
                <w:szCs w:val="20"/>
              </w:rPr>
            </w:pPr>
            <w:r w:rsidRPr="00910723">
              <w:rPr>
                <w:rFonts w:ascii="Arial" w:hAnsi="Arial"/>
                <w:sz w:val="20"/>
              </w:rPr>
              <w:t>l. 2 lygio turto, įskaitant draudimo patronuojamąsias įmones, vidutinė vertė</w:t>
            </w:r>
          </w:p>
        </w:tc>
        <w:tc>
          <w:tcPr>
            <w:tcW w:w="2745" w:type="dxa"/>
            <w:tcBorders>
              <w:left w:val="nil"/>
              <w:bottom w:val="single" w:color="auto" w:sz="4" w:space="0"/>
              <w:right w:val="nil"/>
            </w:tcBorders>
            <w:noWrap/>
          </w:tcPr>
          <w:p w:rsidRPr="00910723" w:rsidR="00411573" w:rsidP="00435435" w:rsidRDefault="00411573" w14:paraId="1A0FBE61" w14:textId="77777777">
            <w:pPr>
              <w:jc w:val="right"/>
              <w:rPr>
                <w:rFonts w:ascii="Arial" w:hAnsi="Arial" w:eastAsia="Times New Roman" w:cs="Arial"/>
                <w:sz w:val="20"/>
                <w:szCs w:val="20"/>
                <w:lang w:eastAsia="en-GB"/>
              </w:rPr>
            </w:pPr>
          </w:p>
        </w:tc>
      </w:tr>
      <w:tr w:rsidRPr="00910723" w:rsidR="00411573" w:rsidTr="00435435" w14:paraId="6CC0EDBE" w14:textId="77777777">
        <w:trPr>
          <w:trHeight w:val="300"/>
        </w:trPr>
        <w:tc>
          <w:tcPr>
            <w:tcW w:w="6804" w:type="dxa"/>
            <w:gridSpan w:val="2"/>
            <w:tcBorders>
              <w:left w:val="nil"/>
              <w:bottom w:val="nil"/>
              <w:right w:val="nil"/>
            </w:tcBorders>
            <w:noWrap/>
          </w:tcPr>
          <w:p w:rsidRPr="00910723" w:rsidR="00411573" w:rsidP="00435435" w:rsidRDefault="00411573" w14:paraId="57497022" w14:textId="77777777">
            <w:pPr>
              <w:rPr>
                <w:rFonts w:ascii="Arial" w:hAnsi="Arial" w:eastAsia="Times New Roman" w:cs="Arial"/>
                <w:b/>
                <w:bCs/>
                <w:sz w:val="20"/>
                <w:szCs w:val="20"/>
                <w:lang w:eastAsia="en-GB"/>
              </w:rPr>
            </w:pPr>
          </w:p>
        </w:tc>
        <w:tc>
          <w:tcPr>
            <w:tcW w:w="2745" w:type="dxa"/>
            <w:tcBorders>
              <w:left w:val="nil"/>
              <w:bottom w:val="nil"/>
              <w:right w:val="nil"/>
            </w:tcBorders>
            <w:noWrap/>
          </w:tcPr>
          <w:p w:rsidRPr="00910723" w:rsidR="00411573" w:rsidP="00435435" w:rsidRDefault="00411573" w14:paraId="375FAEC8" w14:textId="77777777">
            <w:pPr>
              <w:jc w:val="center"/>
              <w:rPr>
                <w:rFonts w:ascii="Arial" w:hAnsi="Arial" w:eastAsia="Times New Roman" w:cs="Arial"/>
                <w:b/>
                <w:bCs/>
                <w:sz w:val="20"/>
                <w:szCs w:val="20"/>
                <w:lang w:eastAsia="en-GB"/>
              </w:rPr>
            </w:pPr>
          </w:p>
        </w:tc>
      </w:tr>
      <w:tr w:rsidRPr="00910723" w:rsidR="00411573" w:rsidTr="00435435" w14:paraId="1FD9A591" w14:textId="77777777">
        <w:trPr>
          <w:trHeight w:val="300"/>
        </w:trPr>
        <w:tc>
          <w:tcPr>
            <w:tcW w:w="6804" w:type="dxa"/>
            <w:gridSpan w:val="2"/>
            <w:tcBorders>
              <w:top w:val="nil"/>
              <w:left w:val="nil"/>
              <w:right w:val="nil"/>
            </w:tcBorders>
            <w:noWrap/>
          </w:tcPr>
          <w:p w:rsidRPr="00910723" w:rsidR="00411573" w:rsidP="00435435" w:rsidRDefault="00411573" w14:paraId="406D8FFA" w14:textId="77777777">
            <w:pPr>
              <w:rPr>
                <w:rFonts w:ascii="Arial" w:hAnsi="Arial" w:eastAsia="Times New Roman" w:cs="Arial"/>
                <w:sz w:val="20"/>
                <w:szCs w:val="20"/>
              </w:rPr>
            </w:pPr>
            <w:r w:rsidRPr="00910723">
              <w:rPr>
                <w:rFonts w:ascii="Arial" w:hAnsi="Arial"/>
                <w:b/>
                <w:sz w:val="20"/>
              </w:rPr>
              <w:t>21 skirsnis. Tarpjurisdikcinės veiklos punktai</w:t>
            </w:r>
          </w:p>
        </w:tc>
        <w:tc>
          <w:tcPr>
            <w:tcW w:w="2745" w:type="dxa"/>
            <w:tcBorders>
              <w:top w:val="nil"/>
              <w:left w:val="nil"/>
              <w:right w:val="nil"/>
            </w:tcBorders>
            <w:noWrap/>
          </w:tcPr>
          <w:p w:rsidRPr="00910723" w:rsidR="00411573" w:rsidP="00435435" w:rsidRDefault="00411573" w14:paraId="463950B2" w14:textId="77777777">
            <w:pPr>
              <w:jc w:val="center"/>
              <w:rPr>
                <w:rFonts w:ascii="Arial" w:hAnsi="Arial" w:eastAsia="Times New Roman" w:cs="Arial"/>
                <w:b/>
                <w:bCs/>
                <w:sz w:val="20"/>
                <w:szCs w:val="20"/>
              </w:rPr>
            </w:pPr>
            <w:r w:rsidRPr="00910723">
              <w:rPr>
                <w:rFonts w:ascii="Arial" w:hAnsi="Arial"/>
                <w:b/>
                <w:sz w:val="20"/>
              </w:rPr>
              <w:t>Suma</w:t>
            </w:r>
          </w:p>
        </w:tc>
      </w:tr>
      <w:tr w:rsidRPr="00910723" w:rsidR="00411573" w:rsidTr="00435435" w14:paraId="223FED07" w14:textId="77777777">
        <w:trPr>
          <w:trHeight w:val="300"/>
        </w:trPr>
        <w:tc>
          <w:tcPr>
            <w:tcW w:w="6804" w:type="dxa"/>
            <w:gridSpan w:val="2"/>
            <w:tcBorders>
              <w:left w:val="nil"/>
              <w:right w:val="nil"/>
            </w:tcBorders>
            <w:noWrap/>
          </w:tcPr>
          <w:p w:rsidRPr="00910723" w:rsidR="00411573" w:rsidP="00435435" w:rsidRDefault="00411573" w14:paraId="7BB16A8A" w14:textId="77777777">
            <w:pPr>
              <w:rPr>
                <w:rFonts w:ascii="Arial" w:hAnsi="Arial" w:eastAsia="Times New Roman" w:cs="Arial"/>
                <w:sz w:val="20"/>
                <w:szCs w:val="20"/>
              </w:rPr>
            </w:pPr>
            <w:r w:rsidRPr="00910723">
              <w:rPr>
                <w:rFonts w:ascii="Arial" w:hAnsi="Arial"/>
                <w:sz w:val="20"/>
              </w:rPr>
              <w:t>a. Tarpjurisdikcinių įsipareigojimų rodiklis (senasis rodiklis)</w:t>
            </w:r>
          </w:p>
        </w:tc>
        <w:tc>
          <w:tcPr>
            <w:tcW w:w="2745" w:type="dxa"/>
            <w:tcBorders>
              <w:left w:val="nil"/>
              <w:right w:val="nil"/>
            </w:tcBorders>
            <w:noWrap/>
          </w:tcPr>
          <w:p w:rsidRPr="00910723" w:rsidR="00411573" w:rsidP="00435435" w:rsidRDefault="00411573" w14:paraId="6051192E" w14:textId="77777777">
            <w:pPr>
              <w:jc w:val="right"/>
              <w:rPr>
                <w:rFonts w:ascii="Arial" w:hAnsi="Arial" w:eastAsia="Times New Roman" w:cs="Arial"/>
                <w:sz w:val="20"/>
                <w:szCs w:val="20"/>
                <w:lang w:eastAsia="en-GB"/>
              </w:rPr>
            </w:pPr>
          </w:p>
        </w:tc>
      </w:tr>
      <w:tr w:rsidRPr="00910723" w:rsidR="00411573" w:rsidTr="00435435" w14:paraId="39440A4C" w14:textId="77777777">
        <w:trPr>
          <w:trHeight w:val="300"/>
        </w:trPr>
        <w:tc>
          <w:tcPr>
            <w:tcW w:w="6804" w:type="dxa"/>
            <w:gridSpan w:val="2"/>
            <w:tcBorders>
              <w:left w:val="nil"/>
              <w:right w:val="nil"/>
            </w:tcBorders>
            <w:noWrap/>
          </w:tcPr>
          <w:p w:rsidRPr="00910723" w:rsidR="00411573" w:rsidP="00435435" w:rsidRDefault="00411573" w14:paraId="0974EDED" w14:textId="77777777">
            <w:pPr>
              <w:ind w:left="313"/>
              <w:rPr>
                <w:rFonts w:ascii="Arial" w:hAnsi="Arial" w:eastAsia="Times New Roman" w:cs="Arial"/>
                <w:sz w:val="20"/>
                <w:szCs w:val="20"/>
              </w:rPr>
            </w:pPr>
            <w:r w:rsidRPr="00910723">
              <w:rPr>
                <w:rFonts w:ascii="Arial" w:hAnsi="Arial"/>
                <w:sz w:val="20"/>
                <w:lang w:eastAsia="en-GB"/>
              </w:rPr>
              <w:t xml:space="preserve">(1) </w:t>
            </w:r>
            <w:r w:rsidRPr="00910723">
              <w:rPr>
                <w:rFonts w:ascii="Arial" w:hAnsi="Arial"/>
                <w:sz w:val="20"/>
              </w:rPr>
              <w:t>Užsienio įsipareigojimai (be išvestinių finansinių priemonių ir vietos įsipareigojimų vietos valiuta)</w:t>
            </w:r>
          </w:p>
        </w:tc>
        <w:tc>
          <w:tcPr>
            <w:tcW w:w="2745" w:type="dxa"/>
            <w:tcBorders>
              <w:left w:val="nil"/>
              <w:right w:val="nil"/>
            </w:tcBorders>
            <w:noWrap/>
          </w:tcPr>
          <w:p w:rsidRPr="00910723" w:rsidR="00411573" w:rsidP="00435435" w:rsidRDefault="00411573" w14:paraId="65D86268" w14:textId="77777777">
            <w:pPr>
              <w:jc w:val="right"/>
              <w:rPr>
                <w:rFonts w:ascii="Arial" w:hAnsi="Arial" w:eastAsia="Times New Roman" w:cs="Arial"/>
                <w:sz w:val="20"/>
                <w:szCs w:val="20"/>
                <w:lang w:eastAsia="en-GB"/>
              </w:rPr>
            </w:pPr>
          </w:p>
        </w:tc>
      </w:tr>
      <w:tr w:rsidRPr="00910723" w:rsidR="00411573" w:rsidTr="00435435" w14:paraId="1BC17589" w14:textId="77777777">
        <w:trPr>
          <w:trHeight w:val="300"/>
        </w:trPr>
        <w:tc>
          <w:tcPr>
            <w:tcW w:w="6804" w:type="dxa"/>
            <w:gridSpan w:val="2"/>
            <w:tcBorders>
              <w:left w:val="nil"/>
              <w:right w:val="nil"/>
            </w:tcBorders>
            <w:noWrap/>
          </w:tcPr>
          <w:p w:rsidRPr="00910723" w:rsidR="00411573" w:rsidP="00435435" w:rsidRDefault="00411573" w14:paraId="024BC946" w14:textId="77777777">
            <w:pPr>
              <w:ind w:left="-2" w:leftChars="-1" w:firstLine="312" w:firstLineChars="156"/>
              <w:rPr>
                <w:rFonts w:ascii="Arial" w:hAnsi="Arial" w:eastAsia="Times New Roman" w:cs="Arial"/>
                <w:sz w:val="20"/>
                <w:szCs w:val="20"/>
              </w:rPr>
            </w:pPr>
            <w:r w:rsidRPr="00910723">
              <w:rPr>
                <w:rFonts w:ascii="Arial" w:hAnsi="Arial"/>
                <w:sz w:val="20"/>
                <w:lang w:eastAsia="en-GB"/>
              </w:rPr>
              <w:t xml:space="preserve">(2) </w:t>
            </w:r>
            <w:r w:rsidRPr="00910723">
              <w:rPr>
                <w:rFonts w:ascii="Arial" w:hAnsi="Arial"/>
                <w:sz w:val="20"/>
              </w:rPr>
              <w:t>Visi užsienio įsipareigojimai susijusioms įstaigoms, įtraukti į 21.a.1 punktą</w:t>
            </w:r>
          </w:p>
        </w:tc>
        <w:tc>
          <w:tcPr>
            <w:tcW w:w="2745" w:type="dxa"/>
            <w:tcBorders>
              <w:left w:val="nil"/>
              <w:right w:val="nil"/>
            </w:tcBorders>
            <w:noWrap/>
          </w:tcPr>
          <w:p w:rsidRPr="00910723" w:rsidR="00411573" w:rsidP="00435435" w:rsidRDefault="00411573" w14:paraId="307536BB" w14:textId="77777777">
            <w:pPr>
              <w:jc w:val="right"/>
              <w:rPr>
                <w:rFonts w:ascii="Arial" w:hAnsi="Arial" w:eastAsia="Times New Roman" w:cs="Arial"/>
                <w:sz w:val="20"/>
                <w:szCs w:val="20"/>
                <w:lang w:eastAsia="en-GB"/>
              </w:rPr>
            </w:pPr>
          </w:p>
        </w:tc>
      </w:tr>
      <w:tr w:rsidRPr="00910723" w:rsidR="00411573" w:rsidTr="00435435" w14:paraId="510FE699" w14:textId="77777777">
        <w:trPr>
          <w:trHeight w:val="300"/>
        </w:trPr>
        <w:tc>
          <w:tcPr>
            <w:tcW w:w="6804" w:type="dxa"/>
            <w:gridSpan w:val="2"/>
            <w:tcBorders>
              <w:left w:val="nil"/>
              <w:right w:val="nil"/>
            </w:tcBorders>
            <w:noWrap/>
          </w:tcPr>
          <w:p w:rsidRPr="00910723" w:rsidR="00411573" w:rsidP="00435435" w:rsidRDefault="00411573" w14:paraId="67C6CBD4" w14:textId="77777777">
            <w:pPr>
              <w:ind w:left="-2" w:leftChars="-1" w:firstLine="312" w:firstLineChars="156"/>
              <w:rPr>
                <w:rFonts w:ascii="Arial" w:hAnsi="Arial" w:eastAsia="Times New Roman" w:cs="Arial"/>
                <w:sz w:val="20"/>
                <w:szCs w:val="20"/>
              </w:rPr>
            </w:pPr>
            <w:r w:rsidRPr="00910723">
              <w:rPr>
                <w:rFonts w:ascii="Arial" w:hAnsi="Arial"/>
                <w:sz w:val="20"/>
                <w:lang w:eastAsia="en-GB"/>
              </w:rPr>
              <w:t xml:space="preserve">(3) </w:t>
            </w:r>
            <w:r w:rsidRPr="00910723">
              <w:rPr>
                <w:rFonts w:ascii="Arial" w:hAnsi="Arial"/>
                <w:sz w:val="20"/>
              </w:rPr>
              <w:t>Vietos įsipareigojimai vietos valiuta (be išvestinių finansinių priemonių veiklos)</w:t>
            </w:r>
          </w:p>
        </w:tc>
        <w:tc>
          <w:tcPr>
            <w:tcW w:w="2745" w:type="dxa"/>
            <w:tcBorders>
              <w:left w:val="nil"/>
              <w:right w:val="nil"/>
            </w:tcBorders>
            <w:noWrap/>
          </w:tcPr>
          <w:p w:rsidRPr="00910723" w:rsidR="00411573" w:rsidP="00435435" w:rsidRDefault="00411573" w14:paraId="508673A8" w14:textId="77777777">
            <w:pPr>
              <w:jc w:val="right"/>
              <w:rPr>
                <w:rFonts w:ascii="Arial" w:hAnsi="Arial" w:eastAsia="Times New Roman" w:cs="Arial"/>
                <w:sz w:val="20"/>
                <w:szCs w:val="20"/>
                <w:lang w:eastAsia="en-GB"/>
              </w:rPr>
            </w:pPr>
          </w:p>
        </w:tc>
      </w:tr>
      <w:tr w:rsidRPr="00910723" w:rsidR="00411573" w:rsidTr="00435435" w14:paraId="277EDBDF" w14:textId="77777777">
        <w:trPr>
          <w:trHeight w:val="300"/>
        </w:trPr>
        <w:tc>
          <w:tcPr>
            <w:tcW w:w="6804" w:type="dxa"/>
            <w:gridSpan w:val="2"/>
            <w:tcBorders>
              <w:left w:val="nil"/>
              <w:right w:val="nil"/>
            </w:tcBorders>
            <w:noWrap/>
          </w:tcPr>
          <w:p w:rsidRPr="00910723" w:rsidR="00411573" w:rsidP="00435435" w:rsidRDefault="00411573" w14:paraId="6A0E4B01" w14:textId="77777777">
            <w:pPr>
              <w:ind w:firstLine="200" w:firstLineChars="100"/>
              <w:rPr>
                <w:rFonts w:ascii="Arial" w:hAnsi="Arial" w:eastAsia="Times New Roman" w:cs="Arial"/>
                <w:sz w:val="20"/>
                <w:szCs w:val="20"/>
              </w:rPr>
            </w:pPr>
            <w:r w:rsidRPr="00910723">
              <w:rPr>
                <w:rFonts w:ascii="Arial" w:hAnsi="Arial"/>
                <w:sz w:val="20"/>
              </w:rPr>
              <w:t>b. Vietos įsipareigojimai vietos valiuta (be išvestinių finansinių priemonių veiklos)</w:t>
            </w:r>
          </w:p>
        </w:tc>
        <w:tc>
          <w:tcPr>
            <w:tcW w:w="2745" w:type="dxa"/>
            <w:tcBorders>
              <w:left w:val="nil"/>
              <w:right w:val="nil"/>
            </w:tcBorders>
            <w:noWrap/>
          </w:tcPr>
          <w:p w:rsidRPr="00910723" w:rsidR="00411573" w:rsidP="00435435" w:rsidRDefault="00411573" w14:paraId="416053E2" w14:textId="77777777">
            <w:pPr>
              <w:jc w:val="right"/>
              <w:rPr>
                <w:rFonts w:ascii="Arial" w:hAnsi="Arial" w:eastAsia="Times New Roman" w:cs="Arial"/>
                <w:sz w:val="20"/>
                <w:szCs w:val="20"/>
                <w:lang w:eastAsia="en-GB"/>
              </w:rPr>
            </w:pPr>
          </w:p>
        </w:tc>
      </w:tr>
      <w:tr w:rsidRPr="00910723" w:rsidR="00411573" w:rsidTr="00435435" w14:paraId="3F3E05FE" w14:textId="77777777">
        <w:trPr>
          <w:trHeight w:val="300"/>
        </w:trPr>
        <w:tc>
          <w:tcPr>
            <w:tcW w:w="6804" w:type="dxa"/>
            <w:gridSpan w:val="2"/>
            <w:tcBorders>
              <w:left w:val="nil"/>
              <w:right w:val="nil"/>
            </w:tcBorders>
            <w:noWrap/>
          </w:tcPr>
          <w:p w:rsidRPr="00910723" w:rsidR="00411573" w:rsidP="00435435" w:rsidRDefault="00411573" w14:paraId="48C5BA86" w14:textId="77777777">
            <w:pPr>
              <w:ind w:left="171" w:firstLine="28" w:firstLineChars="14"/>
              <w:rPr>
                <w:rFonts w:ascii="Arial" w:hAnsi="Arial" w:eastAsia="Times New Roman" w:cs="Arial"/>
                <w:sz w:val="20"/>
                <w:szCs w:val="20"/>
              </w:rPr>
            </w:pPr>
            <w:r w:rsidRPr="00910723">
              <w:rPr>
                <w:rFonts w:ascii="Arial" w:hAnsi="Arial"/>
                <w:sz w:val="20"/>
              </w:rPr>
              <w:t>c. Tarpjurisdikciniai vietos reikalavimai vietos valiuta (be išvestinių finansinių priemonių veiklos)</w:t>
            </w:r>
          </w:p>
        </w:tc>
        <w:tc>
          <w:tcPr>
            <w:tcW w:w="2745" w:type="dxa"/>
            <w:tcBorders>
              <w:left w:val="nil"/>
              <w:right w:val="nil"/>
            </w:tcBorders>
            <w:noWrap/>
          </w:tcPr>
          <w:p w:rsidRPr="00910723" w:rsidR="00411573" w:rsidP="00435435" w:rsidRDefault="00411573" w14:paraId="64918F94" w14:textId="77777777">
            <w:pPr>
              <w:jc w:val="right"/>
              <w:rPr>
                <w:rFonts w:ascii="Arial" w:hAnsi="Arial" w:eastAsia="Times New Roman" w:cs="Arial"/>
                <w:sz w:val="20"/>
                <w:szCs w:val="20"/>
                <w:lang w:eastAsia="en-GB"/>
              </w:rPr>
            </w:pPr>
          </w:p>
        </w:tc>
      </w:tr>
      <w:tr w:rsidRPr="00910723" w:rsidR="00411573" w:rsidTr="00435435" w14:paraId="453CD773" w14:textId="77777777">
        <w:trPr>
          <w:trHeight w:val="300"/>
        </w:trPr>
        <w:tc>
          <w:tcPr>
            <w:tcW w:w="6804" w:type="dxa"/>
            <w:gridSpan w:val="2"/>
            <w:tcBorders>
              <w:left w:val="nil"/>
              <w:right w:val="nil"/>
            </w:tcBorders>
            <w:noWrap/>
          </w:tcPr>
          <w:p w:rsidRPr="00910723" w:rsidR="00411573" w:rsidP="00435435" w:rsidRDefault="00411573" w14:paraId="4978CA53" w14:textId="77777777">
            <w:pPr>
              <w:ind w:left="171" w:firstLine="28" w:firstLineChars="14"/>
              <w:rPr>
                <w:rFonts w:ascii="Arial" w:hAnsi="Arial" w:eastAsia="Times New Roman" w:cs="Arial"/>
                <w:sz w:val="20"/>
                <w:szCs w:val="20"/>
              </w:rPr>
            </w:pPr>
            <w:r w:rsidRPr="00910723">
              <w:rPr>
                <w:rFonts w:ascii="Arial" w:hAnsi="Arial"/>
                <w:sz w:val="20"/>
              </w:rPr>
              <w:t>d. Tarpjurisdikciniai vietos reikalavimai vietos valiuta (įskaitant išvestinių finansinių priemonių veiklą)</w:t>
            </w:r>
          </w:p>
        </w:tc>
        <w:tc>
          <w:tcPr>
            <w:tcW w:w="2745" w:type="dxa"/>
            <w:tcBorders>
              <w:left w:val="nil"/>
              <w:right w:val="nil"/>
            </w:tcBorders>
            <w:noWrap/>
          </w:tcPr>
          <w:p w:rsidRPr="00910723" w:rsidR="00411573" w:rsidP="00435435" w:rsidRDefault="00411573" w14:paraId="39F69EF4" w14:textId="77777777">
            <w:pPr>
              <w:jc w:val="right"/>
              <w:rPr>
                <w:rFonts w:ascii="Arial" w:hAnsi="Arial" w:eastAsia="Times New Roman" w:cs="Arial"/>
                <w:sz w:val="20"/>
                <w:szCs w:val="20"/>
                <w:lang w:eastAsia="en-GB"/>
              </w:rPr>
            </w:pPr>
          </w:p>
        </w:tc>
      </w:tr>
      <w:tr w:rsidRPr="00910723" w:rsidR="00411573" w:rsidTr="00435435" w14:paraId="7F5788DB" w14:textId="77777777">
        <w:trPr>
          <w:trHeight w:val="300"/>
        </w:trPr>
        <w:tc>
          <w:tcPr>
            <w:tcW w:w="6804" w:type="dxa"/>
            <w:gridSpan w:val="2"/>
            <w:tcBorders>
              <w:left w:val="nil"/>
              <w:right w:val="nil"/>
            </w:tcBorders>
            <w:noWrap/>
          </w:tcPr>
          <w:p w:rsidRPr="00910723" w:rsidR="00411573" w:rsidP="00435435" w:rsidRDefault="00411573" w14:paraId="4A222454" w14:textId="77777777">
            <w:pPr>
              <w:ind w:left="171" w:firstLine="28" w:firstLineChars="14"/>
              <w:rPr>
                <w:rFonts w:ascii="Arial" w:hAnsi="Arial" w:eastAsia="Times New Roman" w:cs="Arial"/>
                <w:sz w:val="20"/>
                <w:szCs w:val="20"/>
              </w:rPr>
            </w:pPr>
            <w:r w:rsidRPr="00910723">
              <w:rPr>
                <w:rFonts w:ascii="Arial" w:hAnsi="Arial"/>
                <w:sz w:val="20"/>
              </w:rPr>
              <w:t>e. Visi užsienio reikalavimai pagal galutinę riziką (BPeM laikoma viena jurisdikcija)</w:t>
            </w:r>
          </w:p>
        </w:tc>
        <w:tc>
          <w:tcPr>
            <w:tcW w:w="2745" w:type="dxa"/>
            <w:tcBorders>
              <w:left w:val="nil"/>
              <w:right w:val="nil"/>
            </w:tcBorders>
            <w:noWrap/>
          </w:tcPr>
          <w:p w:rsidRPr="00910723" w:rsidR="00411573" w:rsidP="00435435" w:rsidRDefault="00411573" w14:paraId="1AD88448" w14:textId="77777777">
            <w:pPr>
              <w:jc w:val="right"/>
              <w:rPr>
                <w:rFonts w:ascii="Arial" w:hAnsi="Arial" w:eastAsia="Times New Roman" w:cs="Arial"/>
                <w:sz w:val="20"/>
                <w:szCs w:val="20"/>
                <w:lang w:eastAsia="en-GB"/>
              </w:rPr>
            </w:pPr>
          </w:p>
        </w:tc>
      </w:tr>
      <w:tr w:rsidRPr="00910723" w:rsidR="00411573" w:rsidTr="00435435" w14:paraId="6298229F" w14:textId="77777777">
        <w:trPr>
          <w:trHeight w:val="300"/>
        </w:trPr>
        <w:tc>
          <w:tcPr>
            <w:tcW w:w="6804" w:type="dxa"/>
            <w:gridSpan w:val="2"/>
            <w:tcBorders>
              <w:left w:val="nil"/>
              <w:right w:val="nil"/>
            </w:tcBorders>
            <w:noWrap/>
          </w:tcPr>
          <w:p w:rsidRPr="00910723" w:rsidR="00411573" w:rsidP="00435435" w:rsidRDefault="00411573" w14:paraId="5C2A3D6E" w14:textId="77777777">
            <w:pPr>
              <w:ind w:left="171" w:firstLine="28" w:firstLineChars="14"/>
              <w:rPr>
                <w:rFonts w:ascii="Arial" w:hAnsi="Arial" w:eastAsia="Times New Roman" w:cs="Arial"/>
                <w:sz w:val="20"/>
                <w:szCs w:val="20"/>
              </w:rPr>
            </w:pPr>
            <w:r w:rsidRPr="00910723">
              <w:rPr>
                <w:rFonts w:ascii="Arial" w:hAnsi="Arial"/>
                <w:sz w:val="20"/>
              </w:rPr>
              <w:t>f. Užsienio išvestinių finansinių priemonių reikalavimai pagal galutinę riziką (BPeM laikoma viena jurisdikcija)</w:t>
            </w:r>
          </w:p>
        </w:tc>
        <w:tc>
          <w:tcPr>
            <w:tcW w:w="2745" w:type="dxa"/>
            <w:tcBorders>
              <w:left w:val="nil"/>
              <w:right w:val="nil"/>
            </w:tcBorders>
            <w:noWrap/>
          </w:tcPr>
          <w:p w:rsidRPr="00910723" w:rsidR="00411573" w:rsidP="00435435" w:rsidRDefault="00411573" w14:paraId="5B83992C" w14:textId="77777777">
            <w:pPr>
              <w:jc w:val="right"/>
              <w:rPr>
                <w:rFonts w:ascii="Arial" w:hAnsi="Arial" w:eastAsia="Times New Roman" w:cs="Arial"/>
                <w:sz w:val="20"/>
                <w:szCs w:val="20"/>
                <w:lang w:eastAsia="en-GB"/>
              </w:rPr>
            </w:pPr>
          </w:p>
        </w:tc>
      </w:tr>
      <w:tr w:rsidRPr="00910723" w:rsidR="00411573" w:rsidTr="00435435" w14:paraId="53FB70F3" w14:textId="77777777">
        <w:trPr>
          <w:trHeight w:val="300"/>
        </w:trPr>
        <w:tc>
          <w:tcPr>
            <w:tcW w:w="6804" w:type="dxa"/>
            <w:gridSpan w:val="2"/>
            <w:tcBorders>
              <w:left w:val="nil"/>
              <w:right w:val="nil"/>
            </w:tcBorders>
            <w:noWrap/>
          </w:tcPr>
          <w:p w:rsidRPr="00910723" w:rsidR="00411573" w:rsidP="00435435" w:rsidRDefault="00411573" w14:paraId="01750E59" w14:textId="77777777">
            <w:pPr>
              <w:ind w:left="171" w:firstLine="28" w:firstLineChars="14"/>
              <w:rPr>
                <w:rFonts w:ascii="Arial" w:hAnsi="Arial" w:eastAsia="Times New Roman" w:cs="Arial"/>
                <w:sz w:val="20"/>
                <w:szCs w:val="20"/>
              </w:rPr>
            </w:pPr>
            <w:r w:rsidRPr="00910723">
              <w:rPr>
                <w:rFonts w:ascii="Arial" w:hAnsi="Arial"/>
                <w:sz w:val="20"/>
              </w:rPr>
              <w:t>g. Užsienio įsipareigojimai tiesioginės rizikos pagrindu, įskaitant išvestines finansines priemones (BPeM laikoma viena jurisdikcija)</w:t>
            </w:r>
          </w:p>
        </w:tc>
        <w:tc>
          <w:tcPr>
            <w:tcW w:w="2745" w:type="dxa"/>
            <w:tcBorders>
              <w:left w:val="nil"/>
              <w:right w:val="nil"/>
            </w:tcBorders>
            <w:noWrap/>
          </w:tcPr>
          <w:p w:rsidRPr="00910723" w:rsidR="00411573" w:rsidP="00435435" w:rsidRDefault="00411573" w14:paraId="02B424FB" w14:textId="77777777">
            <w:pPr>
              <w:jc w:val="right"/>
              <w:rPr>
                <w:rFonts w:ascii="Arial" w:hAnsi="Arial" w:eastAsia="Times New Roman" w:cs="Arial"/>
                <w:sz w:val="20"/>
                <w:szCs w:val="20"/>
                <w:lang w:eastAsia="en-GB"/>
              </w:rPr>
            </w:pPr>
          </w:p>
        </w:tc>
      </w:tr>
      <w:tr w:rsidRPr="00910723" w:rsidR="00411573" w:rsidTr="00435435" w14:paraId="7CB01228" w14:textId="77777777">
        <w:trPr>
          <w:trHeight w:val="300"/>
        </w:trPr>
        <w:tc>
          <w:tcPr>
            <w:tcW w:w="6804" w:type="dxa"/>
            <w:gridSpan w:val="2"/>
            <w:tcBorders>
              <w:left w:val="nil"/>
              <w:right w:val="nil"/>
            </w:tcBorders>
            <w:noWrap/>
          </w:tcPr>
          <w:p w:rsidRPr="00910723" w:rsidR="00411573" w:rsidP="00435435" w:rsidRDefault="00411573" w14:paraId="7028EF5A" w14:textId="77777777">
            <w:pPr>
              <w:ind w:left="171" w:firstLine="28" w:firstLineChars="14"/>
              <w:rPr>
                <w:rFonts w:ascii="Arial" w:hAnsi="Arial" w:eastAsia="Times New Roman" w:cs="Arial"/>
                <w:sz w:val="20"/>
                <w:szCs w:val="20"/>
              </w:rPr>
            </w:pPr>
            <w:r w:rsidRPr="00910723">
              <w:rPr>
                <w:rFonts w:ascii="Arial" w:hAnsi="Arial"/>
                <w:sz w:val="20"/>
                <w:lang w:eastAsia="en-GB"/>
              </w:rPr>
              <w:t xml:space="preserve">(1) </w:t>
            </w:r>
            <w:r w:rsidRPr="00910723">
              <w:rPr>
                <w:rFonts w:ascii="Arial" w:hAnsi="Arial"/>
                <w:sz w:val="20"/>
              </w:rPr>
              <w:t>Užsienio išvestinių finansinių priemonių įsipareigojimai tiesioginės rizikos pagrindu (BPeM laikoma viena jurisdikcija)</w:t>
            </w:r>
          </w:p>
        </w:tc>
        <w:tc>
          <w:tcPr>
            <w:tcW w:w="2745" w:type="dxa"/>
            <w:tcBorders>
              <w:left w:val="nil"/>
              <w:right w:val="nil"/>
            </w:tcBorders>
            <w:noWrap/>
          </w:tcPr>
          <w:p w:rsidRPr="00910723" w:rsidR="00411573" w:rsidP="00435435" w:rsidRDefault="00411573" w14:paraId="6D7355D1" w14:textId="77777777">
            <w:pPr>
              <w:jc w:val="right"/>
              <w:rPr>
                <w:rFonts w:ascii="Arial" w:hAnsi="Arial" w:eastAsia="Times New Roman" w:cs="Arial"/>
                <w:sz w:val="20"/>
                <w:szCs w:val="20"/>
                <w:lang w:eastAsia="en-GB"/>
              </w:rPr>
            </w:pPr>
          </w:p>
        </w:tc>
      </w:tr>
      <w:tr w:rsidRPr="00910723" w:rsidR="00411573" w:rsidTr="00435435" w14:paraId="60E273C9" w14:textId="77777777">
        <w:trPr>
          <w:trHeight w:val="300"/>
        </w:trPr>
        <w:tc>
          <w:tcPr>
            <w:tcW w:w="6804" w:type="dxa"/>
            <w:gridSpan w:val="2"/>
            <w:tcBorders>
              <w:left w:val="nil"/>
              <w:right w:val="nil"/>
            </w:tcBorders>
            <w:noWrap/>
          </w:tcPr>
          <w:p w:rsidRPr="00910723" w:rsidR="00411573" w:rsidP="00435435" w:rsidRDefault="00411573" w14:paraId="09B583A4" w14:textId="77777777">
            <w:pPr>
              <w:ind w:firstLine="200" w:firstLineChars="100"/>
              <w:rPr>
                <w:rFonts w:ascii="Arial" w:hAnsi="Arial" w:eastAsia="Times New Roman" w:cs="Arial"/>
                <w:sz w:val="20"/>
                <w:szCs w:val="20"/>
              </w:rPr>
            </w:pPr>
            <w:r w:rsidRPr="00910723">
              <w:rPr>
                <w:rFonts w:ascii="Arial" w:hAnsi="Arial"/>
                <w:sz w:val="20"/>
              </w:rPr>
              <w:t>h. Tarpjurisdikciniai vietos reikalavimai vietos valiuta, išskyrus išvestinių finansinių priemonių veiklą (BPeM laikoma viena jurisdikcija)</w:t>
            </w:r>
          </w:p>
        </w:tc>
        <w:tc>
          <w:tcPr>
            <w:tcW w:w="2745" w:type="dxa"/>
            <w:tcBorders>
              <w:left w:val="nil"/>
              <w:right w:val="nil"/>
            </w:tcBorders>
            <w:noWrap/>
          </w:tcPr>
          <w:p w:rsidRPr="00910723" w:rsidR="00411573" w:rsidP="00435435" w:rsidRDefault="00411573" w14:paraId="1387EED7" w14:textId="77777777">
            <w:pPr>
              <w:jc w:val="right"/>
              <w:rPr>
                <w:rFonts w:ascii="Arial" w:hAnsi="Arial" w:eastAsia="Times New Roman" w:cs="Arial"/>
                <w:sz w:val="20"/>
                <w:szCs w:val="20"/>
                <w:lang w:eastAsia="en-GB"/>
              </w:rPr>
            </w:pPr>
          </w:p>
        </w:tc>
      </w:tr>
      <w:tr w:rsidRPr="00910723" w:rsidR="00411573" w:rsidTr="00435435" w14:paraId="2214ACC9" w14:textId="77777777">
        <w:trPr>
          <w:trHeight w:val="300"/>
        </w:trPr>
        <w:tc>
          <w:tcPr>
            <w:tcW w:w="6804" w:type="dxa"/>
            <w:gridSpan w:val="2"/>
            <w:tcBorders>
              <w:left w:val="nil"/>
              <w:right w:val="nil"/>
            </w:tcBorders>
            <w:noWrap/>
          </w:tcPr>
          <w:p w:rsidRPr="00910723" w:rsidR="00411573" w:rsidP="00435435" w:rsidRDefault="00411573" w14:paraId="6A80E35F" w14:textId="77777777">
            <w:pPr>
              <w:ind w:left="171" w:firstLine="28" w:firstLineChars="14"/>
              <w:rPr>
                <w:rFonts w:ascii="Arial" w:hAnsi="Arial" w:eastAsia="Times New Roman" w:cs="Arial"/>
                <w:sz w:val="20"/>
                <w:szCs w:val="20"/>
              </w:rPr>
            </w:pPr>
            <w:r w:rsidRPr="00910723">
              <w:rPr>
                <w:rFonts w:ascii="Arial" w:hAnsi="Arial"/>
                <w:sz w:val="20"/>
              </w:rPr>
              <w:t>i. Tarpjurisdikciniai vietos reikalavimai vietos valiuta, įskaitant išvestinių finansinių priemonių veiklą (BPeM laikoma viena jurisdikcija)</w:t>
            </w:r>
          </w:p>
        </w:tc>
        <w:tc>
          <w:tcPr>
            <w:tcW w:w="2745" w:type="dxa"/>
            <w:tcBorders>
              <w:left w:val="nil"/>
              <w:right w:val="nil"/>
            </w:tcBorders>
            <w:noWrap/>
          </w:tcPr>
          <w:p w:rsidRPr="00910723" w:rsidR="00411573" w:rsidP="00435435" w:rsidRDefault="00411573" w14:paraId="6D9FAF4A" w14:textId="77777777">
            <w:pPr>
              <w:jc w:val="right"/>
              <w:rPr>
                <w:rFonts w:ascii="Arial" w:hAnsi="Arial" w:eastAsia="Times New Roman" w:cs="Arial"/>
                <w:sz w:val="20"/>
                <w:szCs w:val="20"/>
                <w:lang w:eastAsia="en-GB"/>
              </w:rPr>
            </w:pPr>
          </w:p>
        </w:tc>
      </w:tr>
      <w:tr w:rsidRPr="00910723" w:rsidR="00411573" w:rsidTr="00435435" w14:paraId="42996F38" w14:textId="77777777">
        <w:trPr>
          <w:trHeight w:val="300"/>
        </w:trPr>
        <w:tc>
          <w:tcPr>
            <w:tcW w:w="6804" w:type="dxa"/>
            <w:gridSpan w:val="2"/>
            <w:tcBorders>
              <w:left w:val="nil"/>
              <w:right w:val="nil"/>
            </w:tcBorders>
            <w:noWrap/>
          </w:tcPr>
          <w:p w:rsidRPr="00910723" w:rsidR="00411573" w:rsidP="00435435" w:rsidRDefault="00411573" w14:paraId="0E355B16" w14:textId="77777777">
            <w:pPr>
              <w:ind w:left="171" w:firstLine="28" w:firstLineChars="14"/>
              <w:rPr>
                <w:rFonts w:ascii="Arial" w:hAnsi="Arial" w:eastAsia="Times New Roman" w:cs="Arial"/>
                <w:sz w:val="20"/>
                <w:szCs w:val="20"/>
              </w:rPr>
            </w:pPr>
            <w:r w:rsidRPr="00910723">
              <w:rPr>
                <w:rFonts w:ascii="Arial" w:hAnsi="Arial"/>
                <w:sz w:val="20"/>
              </w:rPr>
              <w:t>j. Užsienio įsipareigojimai, išskyrus išvestines finansines priemones ir vietinius įsipareigojimus vietos valiuta (BPeM laikoma viena jurisdikcija)</w:t>
            </w:r>
          </w:p>
        </w:tc>
        <w:tc>
          <w:tcPr>
            <w:tcW w:w="2745" w:type="dxa"/>
            <w:tcBorders>
              <w:left w:val="nil"/>
              <w:right w:val="nil"/>
            </w:tcBorders>
            <w:noWrap/>
          </w:tcPr>
          <w:p w:rsidRPr="00910723" w:rsidR="00411573" w:rsidP="00435435" w:rsidRDefault="00411573" w14:paraId="2FF41A15" w14:textId="77777777">
            <w:pPr>
              <w:jc w:val="right"/>
              <w:rPr>
                <w:rFonts w:ascii="Arial" w:hAnsi="Arial" w:eastAsia="Times New Roman" w:cs="Arial"/>
                <w:sz w:val="20"/>
                <w:szCs w:val="20"/>
                <w:lang w:eastAsia="en-GB"/>
              </w:rPr>
            </w:pPr>
          </w:p>
        </w:tc>
      </w:tr>
      <w:tr w:rsidRPr="00910723" w:rsidR="00411573" w:rsidTr="00435435" w14:paraId="46C8CCDC" w14:textId="77777777">
        <w:trPr>
          <w:trHeight w:val="300"/>
        </w:trPr>
        <w:tc>
          <w:tcPr>
            <w:tcW w:w="6804" w:type="dxa"/>
            <w:gridSpan w:val="2"/>
            <w:tcBorders>
              <w:left w:val="nil"/>
              <w:right w:val="nil"/>
            </w:tcBorders>
            <w:noWrap/>
          </w:tcPr>
          <w:p w:rsidRPr="00910723" w:rsidR="00411573" w:rsidP="00435435" w:rsidRDefault="00411573" w14:paraId="134C9E26" w14:textId="77777777">
            <w:pPr>
              <w:ind w:left="171" w:firstLine="28" w:firstLineChars="14"/>
              <w:rPr>
                <w:rFonts w:ascii="Arial" w:hAnsi="Arial" w:eastAsia="Times New Roman" w:cs="Arial"/>
                <w:sz w:val="20"/>
                <w:szCs w:val="20"/>
              </w:rPr>
            </w:pPr>
            <w:r w:rsidRPr="00910723">
              <w:rPr>
                <w:rFonts w:ascii="Arial" w:hAnsi="Arial"/>
                <w:sz w:val="20"/>
                <w:lang w:eastAsia="en-GB"/>
              </w:rPr>
              <w:t xml:space="preserve">(1) </w:t>
            </w:r>
            <w:r w:rsidRPr="00910723">
              <w:rPr>
                <w:rFonts w:ascii="Arial" w:hAnsi="Arial"/>
                <w:sz w:val="20"/>
              </w:rPr>
              <w:t>Visi užsienio įsipareigojimai susijusioms įstaigoms, įtraukti į 20.j punktą (BPeM laikoma viena jurisdikcija)</w:t>
            </w:r>
          </w:p>
        </w:tc>
        <w:tc>
          <w:tcPr>
            <w:tcW w:w="2745" w:type="dxa"/>
            <w:tcBorders>
              <w:left w:val="nil"/>
              <w:right w:val="nil"/>
            </w:tcBorders>
            <w:noWrap/>
          </w:tcPr>
          <w:p w:rsidRPr="00910723" w:rsidR="00411573" w:rsidP="00435435" w:rsidRDefault="00411573" w14:paraId="7D5BD35F" w14:textId="77777777">
            <w:pPr>
              <w:jc w:val="right"/>
              <w:rPr>
                <w:rFonts w:ascii="Arial" w:hAnsi="Arial" w:eastAsia="Times New Roman" w:cs="Arial"/>
                <w:sz w:val="20"/>
                <w:szCs w:val="20"/>
                <w:lang w:eastAsia="en-GB"/>
              </w:rPr>
            </w:pPr>
          </w:p>
        </w:tc>
      </w:tr>
      <w:tr w:rsidRPr="00910723" w:rsidR="00411573" w:rsidTr="00435435" w14:paraId="5C76EC1C" w14:textId="77777777">
        <w:trPr>
          <w:trHeight w:val="300"/>
        </w:trPr>
        <w:tc>
          <w:tcPr>
            <w:tcW w:w="6804" w:type="dxa"/>
            <w:gridSpan w:val="2"/>
            <w:tcBorders>
              <w:left w:val="nil"/>
              <w:right w:val="nil"/>
            </w:tcBorders>
            <w:noWrap/>
          </w:tcPr>
          <w:p w:rsidRPr="00910723" w:rsidR="00411573" w:rsidP="00435435" w:rsidRDefault="00411573" w14:paraId="2067FCC0" w14:textId="77777777">
            <w:pPr>
              <w:ind w:left="171" w:firstLine="28" w:firstLineChars="14"/>
              <w:rPr>
                <w:rFonts w:ascii="Arial" w:hAnsi="Arial" w:eastAsia="Times New Roman" w:cs="Arial"/>
                <w:sz w:val="20"/>
                <w:szCs w:val="20"/>
              </w:rPr>
            </w:pPr>
            <w:r w:rsidRPr="00910723">
              <w:rPr>
                <w:rFonts w:ascii="Arial" w:hAnsi="Arial"/>
                <w:sz w:val="20"/>
              </w:rPr>
              <w:t>k. Vietiniai įsipareigojimai vietos valiuta, išskyrus išvestines finansines priemones (BPeM laikoma viena jurisdikcija)</w:t>
            </w:r>
          </w:p>
        </w:tc>
        <w:tc>
          <w:tcPr>
            <w:tcW w:w="2745" w:type="dxa"/>
            <w:tcBorders>
              <w:left w:val="nil"/>
              <w:right w:val="nil"/>
            </w:tcBorders>
            <w:noWrap/>
          </w:tcPr>
          <w:p w:rsidRPr="00910723" w:rsidR="00411573" w:rsidP="00435435" w:rsidRDefault="00411573" w14:paraId="505809A5" w14:textId="77777777">
            <w:pPr>
              <w:jc w:val="right"/>
              <w:rPr>
                <w:rFonts w:ascii="Arial" w:hAnsi="Arial" w:eastAsia="Times New Roman" w:cs="Arial"/>
                <w:sz w:val="20"/>
                <w:szCs w:val="20"/>
                <w:lang w:eastAsia="en-GB"/>
              </w:rPr>
            </w:pPr>
          </w:p>
        </w:tc>
      </w:tr>
      <w:tr w:rsidRPr="00910723" w:rsidR="00411573" w:rsidTr="00435435" w14:paraId="5D9C8BD2" w14:textId="77777777">
        <w:trPr>
          <w:trHeight w:val="300"/>
        </w:trPr>
        <w:tc>
          <w:tcPr>
            <w:tcW w:w="6804" w:type="dxa"/>
            <w:gridSpan w:val="2"/>
            <w:tcBorders>
              <w:left w:val="nil"/>
              <w:right w:val="nil"/>
            </w:tcBorders>
            <w:noWrap/>
          </w:tcPr>
          <w:p w:rsidRPr="00910723" w:rsidR="00411573" w:rsidP="00435435" w:rsidRDefault="00411573" w14:paraId="594CE0F6" w14:textId="77777777">
            <w:pPr>
              <w:ind w:left="171" w:firstLine="28" w:firstLineChars="14"/>
              <w:rPr>
                <w:rFonts w:ascii="Arial" w:hAnsi="Arial" w:eastAsia="Times New Roman" w:cs="Arial"/>
                <w:sz w:val="20"/>
                <w:szCs w:val="20"/>
              </w:rPr>
            </w:pPr>
            <w:r w:rsidRPr="00910723">
              <w:rPr>
                <w:rFonts w:ascii="Arial" w:hAnsi="Arial"/>
                <w:sz w:val="20"/>
              </w:rPr>
              <w:t>l. Vietiniai įsipareigojimai vietos valiuta įskaitant išvestines finansines priemones (BPeM laikoma viena jurisdikcija)</w:t>
            </w:r>
          </w:p>
        </w:tc>
        <w:tc>
          <w:tcPr>
            <w:tcW w:w="2745" w:type="dxa"/>
            <w:tcBorders>
              <w:left w:val="nil"/>
              <w:right w:val="nil"/>
            </w:tcBorders>
            <w:noWrap/>
          </w:tcPr>
          <w:p w:rsidRPr="00910723" w:rsidR="00411573" w:rsidP="00435435" w:rsidRDefault="00411573" w14:paraId="755F21B1" w14:textId="77777777">
            <w:pPr>
              <w:jc w:val="right"/>
              <w:rPr>
                <w:rFonts w:ascii="Arial" w:hAnsi="Arial" w:eastAsia="Times New Roman" w:cs="Arial"/>
                <w:sz w:val="20"/>
                <w:szCs w:val="20"/>
                <w:lang w:eastAsia="en-GB"/>
              </w:rPr>
            </w:pPr>
          </w:p>
        </w:tc>
      </w:tr>
      <w:tr w:rsidRPr="00910723" w:rsidR="00411573" w:rsidTr="00435435" w14:paraId="2AEF2F69" w14:textId="77777777">
        <w:trPr>
          <w:trHeight w:val="300"/>
        </w:trPr>
        <w:tc>
          <w:tcPr>
            <w:tcW w:w="6804" w:type="dxa"/>
            <w:gridSpan w:val="2"/>
            <w:tcBorders>
              <w:left w:val="nil"/>
              <w:right w:val="nil"/>
            </w:tcBorders>
            <w:noWrap/>
          </w:tcPr>
          <w:p w:rsidRPr="00910723" w:rsidR="00411573" w:rsidP="00435435" w:rsidRDefault="00411573" w14:paraId="59ACCF54" w14:textId="77777777">
            <w:pPr>
              <w:ind w:left="171" w:firstLine="28" w:firstLineChars="14"/>
              <w:rPr>
                <w:rFonts w:ascii="Arial" w:hAnsi="Arial" w:eastAsia="Times New Roman" w:cs="Arial"/>
                <w:sz w:val="20"/>
                <w:szCs w:val="20"/>
              </w:rPr>
            </w:pPr>
            <w:r w:rsidRPr="00910723">
              <w:rPr>
                <w:rFonts w:ascii="Arial" w:hAnsi="Arial"/>
                <w:sz w:val="20"/>
              </w:rPr>
              <w:t>m. Iš viso grynųjų vietos pozicijų vietos valiuta, įskaitant išvestines finansines priemones, jei grynosios pozicijos teigiamos</w:t>
            </w:r>
          </w:p>
        </w:tc>
        <w:tc>
          <w:tcPr>
            <w:tcW w:w="2745" w:type="dxa"/>
            <w:tcBorders>
              <w:left w:val="nil"/>
              <w:right w:val="nil"/>
            </w:tcBorders>
            <w:noWrap/>
          </w:tcPr>
          <w:p w:rsidRPr="00910723" w:rsidR="00411573" w:rsidP="00435435" w:rsidRDefault="00411573" w14:paraId="559AB3C3" w14:textId="77777777">
            <w:pPr>
              <w:jc w:val="right"/>
              <w:rPr>
                <w:rFonts w:ascii="Arial" w:hAnsi="Arial" w:eastAsia="Times New Roman" w:cs="Arial"/>
                <w:sz w:val="20"/>
                <w:szCs w:val="20"/>
                <w:lang w:eastAsia="en-GB"/>
              </w:rPr>
            </w:pPr>
          </w:p>
        </w:tc>
      </w:tr>
      <w:tr w:rsidRPr="00910723" w:rsidR="00411573" w:rsidTr="00435435" w14:paraId="07C586CE" w14:textId="77777777">
        <w:trPr>
          <w:trHeight w:val="300"/>
        </w:trPr>
        <w:tc>
          <w:tcPr>
            <w:tcW w:w="6804" w:type="dxa"/>
            <w:gridSpan w:val="2"/>
            <w:tcBorders>
              <w:left w:val="nil"/>
              <w:right w:val="nil"/>
            </w:tcBorders>
            <w:noWrap/>
          </w:tcPr>
          <w:p w:rsidRPr="00910723" w:rsidR="00411573" w:rsidP="00435435" w:rsidRDefault="00411573" w14:paraId="34FA9461" w14:textId="77777777">
            <w:pPr>
              <w:ind w:left="171" w:firstLine="28" w:firstLineChars="14"/>
              <w:rPr>
                <w:rFonts w:ascii="Arial" w:hAnsi="Arial" w:eastAsia="Times New Roman" w:cs="Arial"/>
                <w:sz w:val="20"/>
                <w:szCs w:val="20"/>
              </w:rPr>
            </w:pPr>
            <w:r w:rsidRPr="00910723">
              <w:rPr>
                <w:rFonts w:ascii="Arial" w:hAnsi="Arial"/>
                <w:sz w:val="20"/>
              </w:rPr>
              <w:t xml:space="preserve">n. Iš viso grynųjų vietos pozicijų vietos valiuta, įskaitant išvestines </w:t>
            </w:r>
            <w:r w:rsidRPr="00910723">
              <w:rPr>
                <w:rFonts w:ascii="Arial" w:hAnsi="Arial"/>
                <w:sz w:val="20"/>
              </w:rPr>
              <w:lastRenderedPageBreak/>
              <w:t>finansines priemones, jei grynosios pozicijos neigiamos</w:t>
            </w:r>
          </w:p>
        </w:tc>
        <w:tc>
          <w:tcPr>
            <w:tcW w:w="2745" w:type="dxa"/>
            <w:tcBorders>
              <w:left w:val="nil"/>
              <w:right w:val="nil"/>
            </w:tcBorders>
            <w:noWrap/>
          </w:tcPr>
          <w:p w:rsidRPr="00910723" w:rsidR="00411573" w:rsidP="00435435" w:rsidRDefault="00411573" w14:paraId="0C1B20C9" w14:textId="77777777">
            <w:pPr>
              <w:jc w:val="right"/>
              <w:rPr>
                <w:rFonts w:ascii="Arial" w:hAnsi="Arial" w:eastAsia="Times New Roman" w:cs="Arial"/>
                <w:sz w:val="20"/>
                <w:szCs w:val="20"/>
                <w:lang w:eastAsia="en-GB"/>
              </w:rPr>
            </w:pPr>
          </w:p>
        </w:tc>
      </w:tr>
      <w:tr w:rsidRPr="00910723" w:rsidR="00411573" w:rsidTr="00435435" w14:paraId="0EF19709" w14:textId="77777777">
        <w:trPr>
          <w:trHeight w:val="300"/>
        </w:trPr>
        <w:tc>
          <w:tcPr>
            <w:tcW w:w="6804" w:type="dxa"/>
            <w:gridSpan w:val="2"/>
            <w:tcBorders>
              <w:left w:val="nil"/>
              <w:right w:val="nil"/>
            </w:tcBorders>
            <w:noWrap/>
          </w:tcPr>
          <w:p w:rsidRPr="00910723" w:rsidR="00411573" w:rsidP="00435435" w:rsidRDefault="00411573" w14:paraId="3FD140C3" w14:textId="77777777">
            <w:pPr>
              <w:ind w:left="171" w:firstLine="28" w:firstLineChars="14"/>
              <w:rPr>
                <w:rFonts w:ascii="Arial" w:hAnsi="Arial" w:eastAsia="Times New Roman" w:cs="Arial"/>
                <w:sz w:val="20"/>
                <w:szCs w:val="20"/>
              </w:rPr>
            </w:pPr>
            <w:r w:rsidRPr="00910723">
              <w:rPr>
                <w:rFonts w:ascii="Arial" w:hAnsi="Arial"/>
                <w:sz w:val="20"/>
              </w:rPr>
              <w:t>o. Iš viso grynųjų vietos pozicijų vietos valiuta ne BPeM šalyse, įskaitant išvestines finansines priemones, jei grynosios pozicijos teigiamos (BPeM laikoma viena jurisdikcija)</w:t>
            </w:r>
          </w:p>
        </w:tc>
        <w:tc>
          <w:tcPr>
            <w:tcW w:w="2745" w:type="dxa"/>
            <w:tcBorders>
              <w:left w:val="nil"/>
              <w:right w:val="nil"/>
            </w:tcBorders>
            <w:noWrap/>
          </w:tcPr>
          <w:p w:rsidRPr="00910723" w:rsidR="00411573" w:rsidP="00435435" w:rsidRDefault="00411573" w14:paraId="59AE4DF5" w14:textId="77777777">
            <w:pPr>
              <w:jc w:val="right"/>
              <w:rPr>
                <w:rFonts w:ascii="Arial" w:hAnsi="Arial" w:eastAsia="Times New Roman" w:cs="Arial"/>
                <w:sz w:val="20"/>
                <w:szCs w:val="20"/>
                <w:lang w:eastAsia="en-GB"/>
              </w:rPr>
            </w:pPr>
          </w:p>
        </w:tc>
      </w:tr>
      <w:tr w:rsidRPr="00910723" w:rsidR="00411573" w:rsidTr="00435435" w14:paraId="5614D081" w14:textId="77777777">
        <w:trPr>
          <w:trHeight w:val="300"/>
        </w:trPr>
        <w:tc>
          <w:tcPr>
            <w:tcW w:w="6804" w:type="dxa"/>
            <w:gridSpan w:val="2"/>
            <w:tcBorders>
              <w:left w:val="nil"/>
              <w:right w:val="nil"/>
            </w:tcBorders>
            <w:noWrap/>
          </w:tcPr>
          <w:p w:rsidRPr="00910723" w:rsidR="00411573" w:rsidP="00435435" w:rsidRDefault="00411573" w14:paraId="653BDE61" w14:textId="77777777">
            <w:pPr>
              <w:ind w:left="171" w:firstLine="28" w:firstLineChars="14"/>
              <w:rPr>
                <w:rFonts w:ascii="Arial" w:hAnsi="Arial" w:eastAsia="Times New Roman" w:cs="Arial"/>
                <w:sz w:val="20"/>
                <w:szCs w:val="20"/>
              </w:rPr>
            </w:pPr>
            <w:r w:rsidRPr="00910723">
              <w:rPr>
                <w:rFonts w:ascii="Arial" w:hAnsi="Arial"/>
                <w:sz w:val="20"/>
              </w:rPr>
              <w:t>p. Iš viso grynųjų vietos pozicijų vietos valiuta ne BPeM šalyse, įskaitant išvestines finansines priemones, jei grynosios pozicijos neigiamos (BPeM laikoma viena jurisdikcija)</w:t>
            </w:r>
          </w:p>
        </w:tc>
        <w:tc>
          <w:tcPr>
            <w:tcW w:w="2745" w:type="dxa"/>
            <w:tcBorders>
              <w:left w:val="nil"/>
              <w:right w:val="nil"/>
            </w:tcBorders>
            <w:noWrap/>
          </w:tcPr>
          <w:p w:rsidRPr="00910723" w:rsidR="00411573" w:rsidP="00435435" w:rsidRDefault="00411573" w14:paraId="44CF0C39" w14:textId="77777777">
            <w:pPr>
              <w:jc w:val="right"/>
              <w:rPr>
                <w:rFonts w:ascii="Arial" w:hAnsi="Arial" w:eastAsia="Times New Roman" w:cs="Arial"/>
                <w:sz w:val="20"/>
                <w:szCs w:val="20"/>
                <w:lang w:eastAsia="en-GB"/>
              </w:rPr>
            </w:pPr>
          </w:p>
        </w:tc>
      </w:tr>
      <w:tr w:rsidRPr="00910723" w:rsidR="00411573" w:rsidTr="00435435" w14:paraId="3CE519AD" w14:textId="77777777">
        <w:trPr>
          <w:trHeight w:val="300"/>
        </w:trPr>
        <w:tc>
          <w:tcPr>
            <w:tcW w:w="6804" w:type="dxa"/>
            <w:gridSpan w:val="2"/>
            <w:tcBorders>
              <w:left w:val="nil"/>
              <w:right w:val="nil"/>
            </w:tcBorders>
            <w:noWrap/>
          </w:tcPr>
          <w:p w:rsidRPr="00910723" w:rsidR="00411573" w:rsidP="00435435" w:rsidRDefault="00411573" w14:paraId="778FD0FB" w14:textId="77777777">
            <w:pPr>
              <w:ind w:left="171" w:firstLine="28" w:firstLineChars="14"/>
              <w:rPr>
                <w:rFonts w:ascii="Arial" w:hAnsi="Arial" w:eastAsia="Times New Roman" w:cs="Arial"/>
                <w:sz w:val="20"/>
                <w:szCs w:val="20"/>
              </w:rPr>
            </w:pPr>
            <w:r w:rsidRPr="00910723">
              <w:rPr>
                <w:rFonts w:ascii="Arial" w:hAnsi="Arial"/>
                <w:sz w:val="20"/>
              </w:rPr>
              <w:t>q. Iš viso grynųjų vietos pozicijų vietos valiuta BPeM šalyse, įskaitant išvestines finansines priemones (BPeM laikoma viena jurisdikcija)</w:t>
            </w:r>
          </w:p>
        </w:tc>
        <w:tc>
          <w:tcPr>
            <w:tcW w:w="2745" w:type="dxa"/>
            <w:tcBorders>
              <w:left w:val="nil"/>
              <w:right w:val="nil"/>
            </w:tcBorders>
            <w:noWrap/>
          </w:tcPr>
          <w:p w:rsidRPr="00910723" w:rsidR="00411573" w:rsidP="00435435" w:rsidRDefault="00411573" w14:paraId="63513181" w14:textId="77777777">
            <w:pPr>
              <w:jc w:val="right"/>
              <w:rPr>
                <w:rFonts w:ascii="Arial" w:hAnsi="Arial" w:eastAsia="Times New Roman" w:cs="Arial"/>
                <w:sz w:val="20"/>
                <w:szCs w:val="20"/>
                <w:lang w:eastAsia="en-GB"/>
              </w:rPr>
            </w:pPr>
          </w:p>
        </w:tc>
      </w:tr>
      <w:tr w:rsidRPr="00910723" w:rsidR="00411573" w:rsidTr="00435435" w14:paraId="77E41738" w14:textId="77777777">
        <w:trPr>
          <w:trHeight w:val="300"/>
        </w:trPr>
        <w:tc>
          <w:tcPr>
            <w:tcW w:w="6804" w:type="dxa"/>
            <w:gridSpan w:val="2"/>
            <w:tcBorders>
              <w:left w:val="nil"/>
              <w:right w:val="nil"/>
            </w:tcBorders>
            <w:noWrap/>
          </w:tcPr>
          <w:p w:rsidRPr="00910723" w:rsidR="00411573" w:rsidP="00435435" w:rsidRDefault="00411573" w14:paraId="3C16C655" w14:textId="77777777">
            <w:pPr>
              <w:ind w:firstLine="200" w:firstLineChars="100"/>
              <w:rPr>
                <w:rFonts w:ascii="Arial" w:hAnsi="Arial" w:eastAsia="Times New Roman" w:cs="Arial"/>
                <w:sz w:val="20"/>
                <w:szCs w:val="20"/>
              </w:rPr>
            </w:pPr>
            <w:r w:rsidRPr="00910723">
              <w:rPr>
                <w:rFonts w:ascii="Arial" w:hAnsi="Arial"/>
                <w:sz w:val="20"/>
              </w:rPr>
              <w:t xml:space="preserve">r. Užsienio patronuojamųjų įmonių apskaityti vidaus reikalavimai </w:t>
            </w:r>
          </w:p>
        </w:tc>
        <w:tc>
          <w:tcPr>
            <w:tcW w:w="2745" w:type="dxa"/>
            <w:tcBorders>
              <w:left w:val="nil"/>
              <w:right w:val="nil"/>
            </w:tcBorders>
            <w:noWrap/>
          </w:tcPr>
          <w:p w:rsidRPr="00910723" w:rsidR="00411573" w:rsidP="00435435" w:rsidRDefault="00411573" w14:paraId="50C38577" w14:textId="77777777">
            <w:pPr>
              <w:jc w:val="right"/>
              <w:rPr>
                <w:rFonts w:ascii="Arial" w:hAnsi="Arial" w:eastAsia="Times New Roman" w:cs="Arial"/>
                <w:sz w:val="20"/>
                <w:szCs w:val="20"/>
                <w:lang w:eastAsia="en-GB"/>
              </w:rPr>
            </w:pPr>
          </w:p>
        </w:tc>
      </w:tr>
      <w:tr w:rsidRPr="00910723" w:rsidR="00411573" w:rsidTr="00435435" w14:paraId="2FA4FA7B" w14:textId="77777777">
        <w:trPr>
          <w:trHeight w:val="300"/>
        </w:trPr>
        <w:tc>
          <w:tcPr>
            <w:tcW w:w="6804" w:type="dxa"/>
            <w:gridSpan w:val="2"/>
            <w:tcBorders>
              <w:left w:val="nil"/>
              <w:right w:val="nil"/>
            </w:tcBorders>
            <w:noWrap/>
          </w:tcPr>
          <w:p w:rsidRPr="00910723" w:rsidR="00411573" w:rsidP="00435435" w:rsidRDefault="00411573" w14:paraId="045BBC41" w14:textId="77777777">
            <w:pPr>
              <w:ind w:firstLine="200" w:firstLineChars="100"/>
              <w:rPr>
                <w:rFonts w:ascii="Arial" w:hAnsi="Arial" w:eastAsia="Times New Roman" w:cs="Arial"/>
                <w:sz w:val="20"/>
                <w:szCs w:val="20"/>
              </w:rPr>
            </w:pPr>
            <w:r w:rsidRPr="00910723">
              <w:rPr>
                <w:rFonts w:ascii="Arial" w:hAnsi="Arial"/>
                <w:sz w:val="20"/>
              </w:rPr>
              <w:t xml:space="preserve">s. Užsienio filialų apskaityti vidaus reikalavimai </w:t>
            </w:r>
          </w:p>
        </w:tc>
        <w:tc>
          <w:tcPr>
            <w:tcW w:w="2745" w:type="dxa"/>
            <w:tcBorders>
              <w:left w:val="nil"/>
              <w:right w:val="nil"/>
            </w:tcBorders>
            <w:noWrap/>
          </w:tcPr>
          <w:p w:rsidRPr="00910723" w:rsidR="00411573" w:rsidP="00435435" w:rsidRDefault="00411573" w14:paraId="4E51B54C" w14:textId="77777777">
            <w:pPr>
              <w:jc w:val="right"/>
              <w:rPr>
                <w:rFonts w:ascii="Arial" w:hAnsi="Arial" w:eastAsia="Times New Roman" w:cs="Arial"/>
                <w:sz w:val="20"/>
                <w:szCs w:val="20"/>
                <w:lang w:eastAsia="en-GB"/>
              </w:rPr>
            </w:pPr>
          </w:p>
        </w:tc>
      </w:tr>
      <w:tr w:rsidRPr="00910723" w:rsidR="00411573" w:rsidTr="00435435" w14:paraId="192C711A" w14:textId="77777777">
        <w:trPr>
          <w:trHeight w:val="300"/>
        </w:trPr>
        <w:tc>
          <w:tcPr>
            <w:tcW w:w="6804" w:type="dxa"/>
            <w:gridSpan w:val="2"/>
            <w:tcBorders>
              <w:left w:val="nil"/>
              <w:right w:val="nil"/>
            </w:tcBorders>
            <w:noWrap/>
          </w:tcPr>
          <w:p w:rsidRPr="00910723" w:rsidR="00411573" w:rsidP="00435435" w:rsidRDefault="00411573" w14:paraId="6729FA4D" w14:textId="77777777">
            <w:pPr>
              <w:ind w:firstLine="200" w:firstLineChars="100"/>
              <w:rPr>
                <w:rFonts w:ascii="Arial" w:hAnsi="Arial" w:eastAsia="Times New Roman" w:cs="Arial"/>
                <w:sz w:val="20"/>
                <w:szCs w:val="20"/>
              </w:rPr>
            </w:pPr>
            <w:r w:rsidRPr="00910723">
              <w:rPr>
                <w:rFonts w:ascii="Arial" w:hAnsi="Arial"/>
                <w:sz w:val="20"/>
              </w:rPr>
              <w:t>t. Užsienio patronuojamųjų įmonių apskaityti vidaus įsipareigojimai</w:t>
            </w:r>
          </w:p>
        </w:tc>
        <w:tc>
          <w:tcPr>
            <w:tcW w:w="2745" w:type="dxa"/>
            <w:tcBorders>
              <w:left w:val="nil"/>
              <w:right w:val="nil"/>
            </w:tcBorders>
            <w:noWrap/>
          </w:tcPr>
          <w:p w:rsidRPr="00910723" w:rsidR="00411573" w:rsidP="00435435" w:rsidRDefault="00411573" w14:paraId="50744FF6" w14:textId="77777777">
            <w:pPr>
              <w:jc w:val="right"/>
              <w:rPr>
                <w:rFonts w:ascii="Arial" w:hAnsi="Arial" w:eastAsia="Times New Roman" w:cs="Arial"/>
                <w:sz w:val="20"/>
                <w:szCs w:val="20"/>
                <w:lang w:eastAsia="en-GB"/>
              </w:rPr>
            </w:pPr>
          </w:p>
        </w:tc>
      </w:tr>
      <w:tr w:rsidRPr="00910723" w:rsidR="00411573" w:rsidTr="00435435" w14:paraId="3C20894A" w14:textId="77777777">
        <w:trPr>
          <w:trHeight w:val="300"/>
        </w:trPr>
        <w:tc>
          <w:tcPr>
            <w:tcW w:w="6804" w:type="dxa"/>
            <w:gridSpan w:val="2"/>
            <w:tcBorders>
              <w:left w:val="nil"/>
              <w:right w:val="nil"/>
            </w:tcBorders>
            <w:noWrap/>
          </w:tcPr>
          <w:p w:rsidRPr="00910723" w:rsidR="00411573" w:rsidP="00435435" w:rsidRDefault="00411573" w14:paraId="58FBB907" w14:textId="77777777">
            <w:pPr>
              <w:ind w:firstLine="200" w:firstLineChars="100"/>
              <w:rPr>
                <w:rFonts w:ascii="Arial" w:hAnsi="Arial" w:eastAsia="Times New Roman" w:cs="Arial"/>
                <w:sz w:val="20"/>
                <w:szCs w:val="20"/>
              </w:rPr>
            </w:pPr>
            <w:r w:rsidRPr="00910723">
              <w:rPr>
                <w:rFonts w:ascii="Arial" w:hAnsi="Arial"/>
                <w:sz w:val="20"/>
              </w:rPr>
              <w:t xml:space="preserve">u. Užsienio filialų apskaityti vidaus įsipareigojimai </w:t>
            </w:r>
          </w:p>
        </w:tc>
        <w:tc>
          <w:tcPr>
            <w:tcW w:w="2745" w:type="dxa"/>
            <w:tcBorders>
              <w:left w:val="nil"/>
              <w:right w:val="nil"/>
            </w:tcBorders>
            <w:noWrap/>
          </w:tcPr>
          <w:p w:rsidRPr="00910723" w:rsidR="00411573" w:rsidP="00435435" w:rsidRDefault="00411573" w14:paraId="4BF61F6D" w14:textId="77777777">
            <w:pPr>
              <w:jc w:val="right"/>
              <w:rPr>
                <w:rFonts w:ascii="Arial" w:hAnsi="Arial" w:eastAsia="Times New Roman" w:cs="Arial"/>
                <w:sz w:val="20"/>
                <w:szCs w:val="20"/>
                <w:lang w:eastAsia="en-GB"/>
              </w:rPr>
            </w:pPr>
          </w:p>
        </w:tc>
      </w:tr>
      <w:tr w:rsidRPr="00910723" w:rsidR="00411573" w:rsidTr="00435435" w14:paraId="5C7285A1" w14:textId="77777777">
        <w:trPr>
          <w:trHeight w:val="300"/>
        </w:trPr>
        <w:tc>
          <w:tcPr>
            <w:tcW w:w="6804" w:type="dxa"/>
            <w:gridSpan w:val="2"/>
            <w:tcBorders>
              <w:left w:val="nil"/>
              <w:right w:val="nil"/>
            </w:tcBorders>
            <w:noWrap/>
          </w:tcPr>
          <w:p w:rsidRPr="00910723" w:rsidR="00411573" w:rsidP="00435435" w:rsidRDefault="00411573" w14:paraId="473FBCEA" w14:textId="77777777">
            <w:pPr>
              <w:ind w:firstLine="200" w:firstLineChars="100"/>
              <w:rPr>
                <w:rFonts w:ascii="Arial" w:hAnsi="Arial" w:eastAsia="Times New Roman" w:cs="Arial"/>
                <w:sz w:val="20"/>
                <w:szCs w:val="20"/>
              </w:rPr>
            </w:pPr>
            <w:r w:rsidRPr="00910723">
              <w:rPr>
                <w:rFonts w:ascii="Arial" w:hAnsi="Arial"/>
                <w:sz w:val="20"/>
              </w:rPr>
              <w:t xml:space="preserve">v. Tarpjurisdikcinių reikalavimų vidutinė ketvirčio vertė </w:t>
            </w:r>
          </w:p>
        </w:tc>
        <w:tc>
          <w:tcPr>
            <w:tcW w:w="2745" w:type="dxa"/>
            <w:tcBorders>
              <w:left w:val="nil"/>
              <w:right w:val="nil"/>
            </w:tcBorders>
            <w:noWrap/>
          </w:tcPr>
          <w:p w:rsidRPr="00910723" w:rsidR="00411573" w:rsidP="00435435" w:rsidRDefault="00411573" w14:paraId="733F3F76" w14:textId="77777777">
            <w:pPr>
              <w:jc w:val="right"/>
              <w:rPr>
                <w:rFonts w:ascii="Arial" w:hAnsi="Arial" w:eastAsia="Times New Roman" w:cs="Arial"/>
                <w:sz w:val="20"/>
                <w:szCs w:val="20"/>
                <w:lang w:eastAsia="en-GB"/>
              </w:rPr>
            </w:pPr>
          </w:p>
        </w:tc>
      </w:tr>
      <w:tr w:rsidRPr="00910723" w:rsidR="00411573" w:rsidTr="00435435" w14:paraId="2E288E2F" w14:textId="77777777">
        <w:trPr>
          <w:trHeight w:val="300"/>
        </w:trPr>
        <w:tc>
          <w:tcPr>
            <w:tcW w:w="6804" w:type="dxa"/>
            <w:gridSpan w:val="2"/>
            <w:tcBorders>
              <w:left w:val="nil"/>
              <w:right w:val="nil"/>
            </w:tcBorders>
            <w:noWrap/>
          </w:tcPr>
          <w:p w:rsidRPr="00910723" w:rsidR="00411573" w:rsidP="00435435" w:rsidRDefault="00411573" w14:paraId="307D63C1" w14:textId="77777777">
            <w:pPr>
              <w:ind w:firstLine="200" w:firstLineChars="100"/>
              <w:rPr>
                <w:rFonts w:ascii="Arial" w:hAnsi="Arial" w:eastAsia="Times New Roman" w:cs="Arial"/>
                <w:sz w:val="20"/>
                <w:szCs w:val="20"/>
              </w:rPr>
            </w:pPr>
            <w:r w:rsidRPr="00910723">
              <w:rPr>
                <w:rFonts w:ascii="Arial" w:hAnsi="Arial"/>
                <w:sz w:val="20"/>
              </w:rPr>
              <w:t xml:space="preserve">w. Tarpjurisdikcinių reikalavimų vidutinė mėnesio vertė </w:t>
            </w:r>
          </w:p>
        </w:tc>
        <w:tc>
          <w:tcPr>
            <w:tcW w:w="2745" w:type="dxa"/>
            <w:tcBorders>
              <w:left w:val="nil"/>
              <w:right w:val="nil"/>
            </w:tcBorders>
            <w:noWrap/>
          </w:tcPr>
          <w:p w:rsidRPr="00910723" w:rsidR="00411573" w:rsidP="00435435" w:rsidRDefault="00411573" w14:paraId="5568BD07" w14:textId="77777777">
            <w:pPr>
              <w:jc w:val="right"/>
              <w:rPr>
                <w:rFonts w:ascii="Arial" w:hAnsi="Arial" w:eastAsia="Times New Roman" w:cs="Arial"/>
                <w:sz w:val="20"/>
                <w:szCs w:val="20"/>
                <w:lang w:eastAsia="en-GB"/>
              </w:rPr>
            </w:pPr>
          </w:p>
        </w:tc>
      </w:tr>
      <w:tr w:rsidRPr="00910723" w:rsidR="00411573" w:rsidTr="00435435" w14:paraId="7DFD9544" w14:textId="77777777">
        <w:trPr>
          <w:trHeight w:val="300"/>
        </w:trPr>
        <w:tc>
          <w:tcPr>
            <w:tcW w:w="6804" w:type="dxa"/>
            <w:gridSpan w:val="2"/>
            <w:tcBorders>
              <w:left w:val="nil"/>
              <w:right w:val="nil"/>
            </w:tcBorders>
            <w:noWrap/>
          </w:tcPr>
          <w:p w:rsidRPr="00910723" w:rsidR="00411573" w:rsidP="00435435" w:rsidRDefault="00411573" w14:paraId="64E37657" w14:textId="77777777">
            <w:pPr>
              <w:ind w:firstLine="200" w:firstLineChars="100"/>
              <w:rPr>
                <w:rFonts w:ascii="Arial" w:hAnsi="Arial" w:eastAsia="Times New Roman" w:cs="Arial"/>
                <w:sz w:val="20"/>
                <w:szCs w:val="20"/>
              </w:rPr>
            </w:pPr>
            <w:r w:rsidRPr="00910723">
              <w:rPr>
                <w:rFonts w:ascii="Arial" w:hAnsi="Arial"/>
                <w:sz w:val="20"/>
              </w:rPr>
              <w:t xml:space="preserve">x. Tarpjurisdikcinių įsipareigojimų vidutinė ketvirčio vertė </w:t>
            </w:r>
          </w:p>
        </w:tc>
        <w:tc>
          <w:tcPr>
            <w:tcW w:w="2745" w:type="dxa"/>
            <w:tcBorders>
              <w:left w:val="nil"/>
              <w:right w:val="nil"/>
            </w:tcBorders>
            <w:noWrap/>
          </w:tcPr>
          <w:p w:rsidRPr="00910723" w:rsidR="00411573" w:rsidP="00435435" w:rsidRDefault="00411573" w14:paraId="053FDC93" w14:textId="77777777">
            <w:pPr>
              <w:jc w:val="right"/>
              <w:rPr>
                <w:rFonts w:ascii="Arial" w:hAnsi="Arial" w:eastAsia="Times New Roman" w:cs="Arial"/>
                <w:sz w:val="20"/>
                <w:szCs w:val="20"/>
                <w:lang w:eastAsia="en-GB"/>
              </w:rPr>
            </w:pPr>
          </w:p>
        </w:tc>
      </w:tr>
      <w:tr w:rsidRPr="00910723" w:rsidR="00411573" w:rsidTr="00435435" w14:paraId="06E98638" w14:textId="77777777">
        <w:trPr>
          <w:trHeight w:val="300"/>
        </w:trPr>
        <w:tc>
          <w:tcPr>
            <w:tcW w:w="6804" w:type="dxa"/>
            <w:gridSpan w:val="2"/>
            <w:tcBorders>
              <w:left w:val="nil"/>
              <w:bottom w:val="single" w:color="auto" w:sz="4" w:space="0"/>
              <w:right w:val="nil"/>
            </w:tcBorders>
            <w:noWrap/>
          </w:tcPr>
          <w:p w:rsidRPr="00910723" w:rsidR="00411573" w:rsidP="00435435" w:rsidRDefault="00411573" w14:paraId="045455CE" w14:textId="77777777">
            <w:pPr>
              <w:ind w:firstLine="200" w:firstLineChars="100"/>
              <w:rPr>
                <w:rFonts w:ascii="Arial" w:hAnsi="Arial" w:eastAsia="Times New Roman" w:cs="Arial"/>
                <w:sz w:val="20"/>
                <w:szCs w:val="20"/>
              </w:rPr>
            </w:pPr>
            <w:r w:rsidRPr="00910723">
              <w:rPr>
                <w:rFonts w:ascii="Arial" w:hAnsi="Arial"/>
                <w:sz w:val="20"/>
              </w:rPr>
              <w:t xml:space="preserve">y. Tarpjurisdikcinių įsipareigojimų vidutinė mėnesio vertė </w:t>
            </w:r>
          </w:p>
        </w:tc>
        <w:tc>
          <w:tcPr>
            <w:tcW w:w="2745" w:type="dxa"/>
            <w:tcBorders>
              <w:left w:val="nil"/>
              <w:bottom w:val="single" w:color="auto" w:sz="4" w:space="0"/>
              <w:right w:val="nil"/>
            </w:tcBorders>
            <w:noWrap/>
          </w:tcPr>
          <w:p w:rsidRPr="00910723" w:rsidR="00411573" w:rsidP="00435435" w:rsidRDefault="00411573" w14:paraId="326C7C4E" w14:textId="77777777">
            <w:pPr>
              <w:jc w:val="right"/>
              <w:rPr>
                <w:rFonts w:ascii="Arial" w:hAnsi="Arial" w:eastAsia="Times New Roman" w:cs="Arial"/>
                <w:sz w:val="20"/>
                <w:szCs w:val="20"/>
                <w:lang w:eastAsia="en-GB"/>
              </w:rPr>
            </w:pPr>
          </w:p>
        </w:tc>
      </w:tr>
      <w:tr w:rsidRPr="00910723" w:rsidR="00411573" w:rsidTr="00435435" w14:paraId="1AA8974B" w14:textId="77777777">
        <w:trPr>
          <w:trHeight w:val="300"/>
        </w:trPr>
        <w:tc>
          <w:tcPr>
            <w:tcW w:w="6804" w:type="dxa"/>
            <w:gridSpan w:val="2"/>
            <w:tcBorders>
              <w:left w:val="nil"/>
              <w:bottom w:val="nil"/>
              <w:right w:val="nil"/>
            </w:tcBorders>
            <w:noWrap/>
          </w:tcPr>
          <w:p w:rsidRPr="00910723" w:rsidR="00411573" w:rsidP="00435435" w:rsidRDefault="00411573" w14:paraId="47CEC991" w14:textId="77777777">
            <w:pPr>
              <w:rPr>
                <w:rFonts w:ascii="Arial" w:hAnsi="Arial" w:eastAsia="Times New Roman" w:cs="Arial"/>
                <w:b/>
                <w:bCs/>
                <w:sz w:val="20"/>
                <w:szCs w:val="20"/>
                <w:lang w:eastAsia="en-GB"/>
              </w:rPr>
            </w:pPr>
          </w:p>
        </w:tc>
        <w:tc>
          <w:tcPr>
            <w:tcW w:w="2745" w:type="dxa"/>
            <w:tcBorders>
              <w:left w:val="nil"/>
              <w:bottom w:val="nil"/>
              <w:right w:val="nil"/>
            </w:tcBorders>
            <w:noWrap/>
          </w:tcPr>
          <w:p w:rsidRPr="00910723" w:rsidR="00411573" w:rsidP="00435435" w:rsidRDefault="00411573" w14:paraId="6317947E" w14:textId="77777777">
            <w:pPr>
              <w:jc w:val="right"/>
              <w:rPr>
                <w:rFonts w:ascii="Arial" w:hAnsi="Arial" w:eastAsia="Times New Roman" w:cs="Arial"/>
                <w:sz w:val="20"/>
                <w:szCs w:val="20"/>
                <w:lang w:eastAsia="en-GB"/>
              </w:rPr>
            </w:pPr>
          </w:p>
        </w:tc>
      </w:tr>
      <w:tr w:rsidRPr="00910723" w:rsidR="00411573" w:rsidTr="00435435" w14:paraId="1BC461BE" w14:textId="77777777">
        <w:trPr>
          <w:trHeight w:val="300"/>
        </w:trPr>
        <w:tc>
          <w:tcPr>
            <w:tcW w:w="6804" w:type="dxa"/>
            <w:gridSpan w:val="2"/>
            <w:tcBorders>
              <w:top w:val="nil"/>
              <w:left w:val="nil"/>
              <w:right w:val="nil"/>
            </w:tcBorders>
            <w:noWrap/>
          </w:tcPr>
          <w:p w:rsidRPr="00910723" w:rsidR="00411573" w:rsidP="00435435" w:rsidRDefault="00411573" w14:paraId="50C0D2D7" w14:textId="77777777">
            <w:pPr>
              <w:rPr>
                <w:rFonts w:ascii="Arial" w:hAnsi="Arial" w:eastAsia="Times New Roman" w:cs="Arial"/>
                <w:sz w:val="20"/>
                <w:szCs w:val="20"/>
              </w:rPr>
            </w:pPr>
            <w:r w:rsidRPr="00910723">
              <w:rPr>
                <w:rFonts w:ascii="Arial" w:hAnsi="Arial"/>
                <w:b/>
                <w:sz w:val="20"/>
              </w:rPr>
              <w:t>22 skirsnis. Papildomi rodikliai</w:t>
            </w:r>
          </w:p>
        </w:tc>
        <w:tc>
          <w:tcPr>
            <w:tcW w:w="2745" w:type="dxa"/>
            <w:tcBorders>
              <w:top w:val="nil"/>
              <w:left w:val="nil"/>
              <w:right w:val="nil"/>
            </w:tcBorders>
            <w:noWrap/>
          </w:tcPr>
          <w:p w:rsidRPr="00910723" w:rsidR="00411573" w:rsidP="00435435" w:rsidRDefault="00411573" w14:paraId="10655D99" w14:textId="77777777">
            <w:pPr>
              <w:jc w:val="right"/>
              <w:rPr>
                <w:rFonts w:ascii="Arial" w:hAnsi="Arial" w:eastAsia="Times New Roman" w:cs="Arial"/>
                <w:sz w:val="20"/>
                <w:szCs w:val="20"/>
                <w:lang w:eastAsia="en-GB"/>
              </w:rPr>
            </w:pPr>
          </w:p>
        </w:tc>
      </w:tr>
      <w:tr w:rsidRPr="00910723" w:rsidR="00411573" w:rsidTr="00435435" w14:paraId="04253F64" w14:textId="77777777">
        <w:trPr>
          <w:trHeight w:val="300"/>
        </w:trPr>
        <w:tc>
          <w:tcPr>
            <w:tcW w:w="6804" w:type="dxa"/>
            <w:gridSpan w:val="2"/>
            <w:tcBorders>
              <w:left w:val="nil"/>
              <w:right w:val="nil"/>
            </w:tcBorders>
            <w:noWrap/>
          </w:tcPr>
          <w:p w:rsidRPr="00910723" w:rsidR="00411573" w:rsidP="00435435" w:rsidRDefault="00411573" w14:paraId="57E6817A" w14:textId="77777777">
            <w:pPr>
              <w:ind w:firstLine="200" w:firstLineChars="100"/>
              <w:rPr>
                <w:rFonts w:ascii="Arial" w:hAnsi="Arial" w:eastAsia="Times New Roman" w:cs="Arial"/>
                <w:sz w:val="20"/>
                <w:szCs w:val="20"/>
              </w:rPr>
            </w:pPr>
            <w:r w:rsidRPr="00910723">
              <w:rPr>
                <w:rFonts w:ascii="Arial" w:hAnsi="Arial"/>
                <w:sz w:val="20"/>
              </w:rPr>
              <w:t>a. Užsienyje gautos grynosios pajamos (BPeM laikoma viena jurisdikcija)</w:t>
            </w:r>
          </w:p>
        </w:tc>
        <w:tc>
          <w:tcPr>
            <w:tcW w:w="2745" w:type="dxa"/>
            <w:tcBorders>
              <w:left w:val="nil"/>
              <w:right w:val="nil"/>
            </w:tcBorders>
            <w:noWrap/>
          </w:tcPr>
          <w:p w:rsidRPr="00910723" w:rsidR="00411573" w:rsidP="00435435" w:rsidRDefault="00411573" w14:paraId="4101FBCA" w14:textId="77777777">
            <w:pPr>
              <w:jc w:val="right"/>
              <w:rPr>
                <w:rFonts w:ascii="Arial" w:hAnsi="Arial" w:eastAsia="Times New Roman" w:cs="Arial"/>
                <w:sz w:val="20"/>
                <w:szCs w:val="20"/>
                <w:lang w:eastAsia="en-GB"/>
              </w:rPr>
            </w:pPr>
          </w:p>
        </w:tc>
      </w:tr>
      <w:tr w:rsidRPr="00910723" w:rsidR="00411573" w:rsidTr="00435435" w14:paraId="27F94291" w14:textId="77777777">
        <w:trPr>
          <w:trHeight w:val="300"/>
        </w:trPr>
        <w:tc>
          <w:tcPr>
            <w:tcW w:w="6804" w:type="dxa"/>
            <w:gridSpan w:val="2"/>
            <w:tcBorders>
              <w:left w:val="nil"/>
              <w:bottom w:val="single" w:color="auto" w:sz="4" w:space="0"/>
              <w:right w:val="nil"/>
            </w:tcBorders>
            <w:noWrap/>
          </w:tcPr>
          <w:p w:rsidRPr="00910723" w:rsidR="00411573" w:rsidP="00435435" w:rsidRDefault="00411573" w14:paraId="23FD8BFD" w14:textId="77777777">
            <w:pPr>
              <w:ind w:firstLine="200" w:firstLineChars="100"/>
              <w:rPr>
                <w:rFonts w:ascii="Arial" w:hAnsi="Arial" w:eastAsia="Times New Roman" w:cs="Arial"/>
                <w:sz w:val="20"/>
                <w:szCs w:val="20"/>
              </w:rPr>
            </w:pPr>
            <w:r w:rsidRPr="00910723">
              <w:rPr>
                <w:rFonts w:ascii="Arial" w:hAnsi="Arial"/>
                <w:sz w:val="20"/>
              </w:rPr>
              <w:t>b. Jurisdikcijų skaičius (BPeM laikoma viena jurisdikcija)</w:t>
            </w:r>
          </w:p>
        </w:tc>
        <w:tc>
          <w:tcPr>
            <w:tcW w:w="2745" w:type="dxa"/>
            <w:tcBorders>
              <w:left w:val="nil"/>
              <w:right w:val="nil"/>
            </w:tcBorders>
            <w:noWrap/>
          </w:tcPr>
          <w:p w:rsidRPr="00910723" w:rsidR="00411573" w:rsidP="00435435" w:rsidRDefault="00411573" w14:paraId="50F02647" w14:textId="77777777">
            <w:pPr>
              <w:jc w:val="right"/>
              <w:rPr>
                <w:rFonts w:ascii="Arial" w:hAnsi="Arial" w:eastAsia="Times New Roman" w:cs="Arial"/>
                <w:sz w:val="20"/>
                <w:szCs w:val="20"/>
                <w:lang w:eastAsia="en-GB"/>
              </w:rPr>
            </w:pPr>
          </w:p>
        </w:tc>
      </w:tr>
      <w:tr w:rsidRPr="00910723" w:rsidR="00411573" w:rsidTr="00435435" w14:paraId="40965D3B" w14:textId="77777777">
        <w:trPr>
          <w:trHeight w:val="300"/>
        </w:trPr>
        <w:tc>
          <w:tcPr>
            <w:tcW w:w="6804" w:type="dxa"/>
            <w:gridSpan w:val="2"/>
            <w:tcBorders>
              <w:left w:val="nil"/>
              <w:bottom w:val="nil"/>
              <w:right w:val="nil"/>
            </w:tcBorders>
            <w:noWrap/>
          </w:tcPr>
          <w:p w:rsidRPr="00910723" w:rsidR="00411573" w:rsidP="00435435" w:rsidRDefault="00411573" w14:paraId="207B872D" w14:textId="77777777">
            <w:pPr>
              <w:ind w:firstLine="200" w:firstLineChars="100"/>
              <w:rPr>
                <w:rFonts w:ascii="Arial" w:hAnsi="Arial" w:eastAsia="Times New Roman" w:cs="Arial"/>
                <w:sz w:val="20"/>
                <w:szCs w:val="20"/>
                <w:lang w:eastAsia="en-GB"/>
              </w:rPr>
            </w:pPr>
          </w:p>
        </w:tc>
        <w:tc>
          <w:tcPr>
            <w:tcW w:w="2745" w:type="dxa"/>
            <w:tcBorders>
              <w:left w:val="nil"/>
              <w:bottom w:val="nil"/>
              <w:right w:val="nil"/>
            </w:tcBorders>
            <w:noWrap/>
          </w:tcPr>
          <w:p w:rsidRPr="00910723" w:rsidR="00411573" w:rsidP="00435435" w:rsidRDefault="00411573" w14:paraId="3DFD7C4D" w14:textId="77777777">
            <w:pPr>
              <w:jc w:val="right"/>
              <w:rPr>
                <w:rFonts w:ascii="Arial" w:hAnsi="Arial" w:eastAsia="Times New Roman" w:cs="Arial"/>
                <w:sz w:val="20"/>
                <w:szCs w:val="20"/>
                <w:lang w:eastAsia="en-GB"/>
              </w:rPr>
            </w:pPr>
          </w:p>
        </w:tc>
      </w:tr>
      <w:tr w:rsidRPr="00910723" w:rsidR="00411573" w:rsidTr="00435435" w14:paraId="56FA3860" w14:textId="77777777">
        <w:trPr>
          <w:trHeight w:val="300"/>
        </w:trPr>
        <w:tc>
          <w:tcPr>
            <w:tcW w:w="6804" w:type="dxa"/>
            <w:gridSpan w:val="2"/>
            <w:tcBorders>
              <w:top w:val="nil"/>
              <w:left w:val="nil"/>
              <w:bottom w:val="nil"/>
              <w:right w:val="nil"/>
            </w:tcBorders>
            <w:noWrap/>
          </w:tcPr>
          <w:p w:rsidRPr="00910723" w:rsidR="00411573" w:rsidP="00435435" w:rsidRDefault="00411573" w14:paraId="6383704E" w14:textId="77777777">
            <w:pPr>
              <w:ind w:firstLine="221" w:firstLineChars="100"/>
              <w:rPr>
                <w:rFonts w:ascii="Arial" w:hAnsi="Arial" w:eastAsia="Times New Roman" w:cs="Arial"/>
                <w:sz w:val="20"/>
                <w:szCs w:val="20"/>
              </w:rPr>
            </w:pPr>
            <w:r w:rsidRPr="00910723">
              <w:rPr>
                <w:rFonts w:asciiTheme="majorHAnsi" w:hAnsiTheme="majorHAnsi"/>
                <w:b/>
                <w:i/>
                <w:caps/>
              </w:rPr>
              <w:t>Patikrinimų santrauka</w:t>
            </w:r>
          </w:p>
        </w:tc>
        <w:tc>
          <w:tcPr>
            <w:tcW w:w="2745" w:type="dxa"/>
            <w:tcBorders>
              <w:top w:val="nil"/>
              <w:left w:val="nil"/>
              <w:bottom w:val="nil"/>
              <w:right w:val="nil"/>
            </w:tcBorders>
            <w:noWrap/>
          </w:tcPr>
          <w:p w:rsidRPr="00910723" w:rsidR="00411573" w:rsidP="00435435" w:rsidRDefault="00411573" w14:paraId="4478524D" w14:textId="77777777">
            <w:pPr>
              <w:jc w:val="right"/>
              <w:rPr>
                <w:rFonts w:ascii="Arial" w:hAnsi="Arial" w:eastAsia="Times New Roman" w:cs="Arial"/>
                <w:sz w:val="20"/>
                <w:szCs w:val="20"/>
                <w:lang w:eastAsia="en-GB"/>
              </w:rPr>
            </w:pPr>
          </w:p>
        </w:tc>
      </w:tr>
      <w:tr w:rsidRPr="00910723" w:rsidR="00411573" w:rsidTr="00435435" w14:paraId="5052CD41" w14:textId="77777777">
        <w:trPr>
          <w:trHeight w:val="300"/>
        </w:trPr>
        <w:tc>
          <w:tcPr>
            <w:tcW w:w="6804" w:type="dxa"/>
            <w:gridSpan w:val="2"/>
            <w:tcBorders>
              <w:top w:val="nil"/>
              <w:left w:val="nil"/>
              <w:bottom w:val="single" w:color="auto" w:sz="4" w:space="0"/>
              <w:right w:val="nil"/>
            </w:tcBorders>
            <w:noWrap/>
          </w:tcPr>
          <w:p w:rsidRPr="00910723" w:rsidR="00411573" w:rsidP="00435435" w:rsidRDefault="00411573" w14:paraId="5851A400" w14:textId="77777777">
            <w:pPr>
              <w:ind w:firstLine="200" w:firstLineChars="100"/>
              <w:rPr>
                <w:rFonts w:ascii="Arial" w:hAnsi="Arial" w:eastAsia="Times New Roman" w:cs="Arial"/>
                <w:sz w:val="20"/>
                <w:szCs w:val="20"/>
                <w:lang w:eastAsia="en-GB"/>
              </w:rPr>
            </w:pPr>
          </w:p>
        </w:tc>
        <w:tc>
          <w:tcPr>
            <w:tcW w:w="2745" w:type="dxa"/>
            <w:tcBorders>
              <w:top w:val="nil"/>
              <w:left w:val="nil"/>
              <w:right w:val="nil"/>
            </w:tcBorders>
            <w:noWrap/>
          </w:tcPr>
          <w:p w:rsidRPr="00910723" w:rsidR="00411573" w:rsidP="00435435" w:rsidRDefault="00411573" w14:paraId="4F0D67C5" w14:textId="77777777">
            <w:pPr>
              <w:jc w:val="right"/>
              <w:rPr>
                <w:rFonts w:ascii="Arial" w:hAnsi="Arial" w:eastAsia="Times New Roman" w:cs="Arial"/>
                <w:sz w:val="20"/>
                <w:szCs w:val="20"/>
                <w:lang w:eastAsia="en-GB"/>
              </w:rPr>
            </w:pPr>
          </w:p>
        </w:tc>
      </w:tr>
      <w:tr w:rsidRPr="00910723" w:rsidR="00411573" w:rsidTr="00435435" w14:paraId="46F85756" w14:textId="77777777">
        <w:trPr>
          <w:trHeight w:val="300"/>
        </w:trPr>
        <w:tc>
          <w:tcPr>
            <w:tcW w:w="6804" w:type="dxa"/>
            <w:gridSpan w:val="2"/>
            <w:tcBorders>
              <w:left w:val="nil"/>
              <w:bottom w:val="single" w:color="auto" w:sz="4" w:space="0"/>
              <w:right w:val="nil"/>
            </w:tcBorders>
            <w:noWrap/>
          </w:tcPr>
          <w:p w:rsidRPr="00910723" w:rsidR="00411573" w:rsidP="00435435" w:rsidRDefault="00411573" w14:paraId="1399048B" w14:textId="77777777">
            <w:pPr>
              <w:rPr>
                <w:rFonts w:ascii="Arial" w:hAnsi="Arial" w:eastAsia="Times New Roman" w:cs="Arial"/>
                <w:sz w:val="20"/>
                <w:szCs w:val="20"/>
              </w:rPr>
            </w:pPr>
            <w:r w:rsidRPr="00910723">
              <w:rPr>
                <w:b/>
              </w:rPr>
              <w:t>23 skirsnis. Rodiklių vertės (peržiūrėta metodika)</w:t>
            </w:r>
          </w:p>
        </w:tc>
        <w:tc>
          <w:tcPr>
            <w:tcW w:w="2745" w:type="dxa"/>
            <w:tcBorders>
              <w:left w:val="nil"/>
              <w:right w:val="nil"/>
            </w:tcBorders>
            <w:noWrap/>
          </w:tcPr>
          <w:p w:rsidRPr="00910723" w:rsidR="00411573" w:rsidP="00435435" w:rsidRDefault="00411573" w14:paraId="704FF85F" w14:textId="77777777">
            <w:pPr>
              <w:jc w:val="center"/>
              <w:rPr>
                <w:rFonts w:ascii="Arial" w:hAnsi="Arial" w:eastAsia="Times New Roman" w:cs="Arial"/>
                <w:sz w:val="20"/>
                <w:szCs w:val="20"/>
              </w:rPr>
            </w:pPr>
            <w:r w:rsidRPr="00910723">
              <w:rPr>
                <w:b/>
              </w:rPr>
              <w:t>Rodiklio vertė pranešamos informacijos valiuta</w:t>
            </w:r>
          </w:p>
        </w:tc>
      </w:tr>
      <w:tr w:rsidRPr="00910723" w:rsidR="00411573" w:rsidTr="00435435" w14:paraId="7206A60D" w14:textId="77777777">
        <w:trPr>
          <w:trHeight w:val="300"/>
        </w:trPr>
        <w:tc>
          <w:tcPr>
            <w:tcW w:w="6804" w:type="dxa"/>
            <w:gridSpan w:val="2"/>
            <w:tcBorders>
              <w:left w:val="nil"/>
              <w:bottom w:val="single" w:color="auto" w:sz="4" w:space="0"/>
              <w:right w:val="nil"/>
            </w:tcBorders>
            <w:noWrap/>
          </w:tcPr>
          <w:p w:rsidRPr="00910723" w:rsidR="00411573" w:rsidP="00435435" w:rsidRDefault="00411573" w14:paraId="403B5DC7" w14:textId="77777777">
            <w:pPr>
              <w:ind w:left="171" w:firstLine="48" w:firstLineChars="22"/>
              <w:rPr>
                <w:rFonts w:ascii="Arial" w:hAnsi="Arial" w:eastAsia="Times New Roman" w:cs="Arial"/>
                <w:sz w:val="20"/>
                <w:szCs w:val="20"/>
              </w:rPr>
            </w:pPr>
            <w:r w:rsidRPr="00910723">
              <w:t>a. 2 skirsnis. Bendros pozicijų sumos rodiklis, įskaitant draudimo patronuojamąsias įmones</w:t>
            </w:r>
          </w:p>
        </w:tc>
        <w:tc>
          <w:tcPr>
            <w:tcW w:w="2745" w:type="dxa"/>
            <w:tcBorders>
              <w:left w:val="nil"/>
              <w:right w:val="nil"/>
            </w:tcBorders>
            <w:noWrap/>
          </w:tcPr>
          <w:p w:rsidRPr="00910723" w:rsidR="00411573" w:rsidP="00435435" w:rsidRDefault="00411573" w14:paraId="40896579" w14:textId="77777777">
            <w:pPr>
              <w:jc w:val="right"/>
              <w:rPr>
                <w:rFonts w:ascii="Arial" w:hAnsi="Arial" w:eastAsia="Times New Roman" w:cs="Arial"/>
                <w:sz w:val="20"/>
                <w:szCs w:val="20"/>
                <w:lang w:eastAsia="en-GB"/>
              </w:rPr>
            </w:pPr>
          </w:p>
        </w:tc>
      </w:tr>
      <w:tr w:rsidRPr="00910723" w:rsidR="00411573" w:rsidTr="00435435" w14:paraId="1A9DC957" w14:textId="77777777">
        <w:trPr>
          <w:trHeight w:val="300"/>
        </w:trPr>
        <w:tc>
          <w:tcPr>
            <w:tcW w:w="6804" w:type="dxa"/>
            <w:gridSpan w:val="2"/>
            <w:tcBorders>
              <w:left w:val="nil"/>
              <w:bottom w:val="single" w:color="auto" w:sz="4" w:space="0"/>
              <w:right w:val="nil"/>
            </w:tcBorders>
            <w:noWrap/>
          </w:tcPr>
          <w:p w:rsidRPr="00910723" w:rsidR="00411573" w:rsidP="00435435" w:rsidRDefault="00411573" w14:paraId="041D2B6D" w14:textId="77777777">
            <w:pPr>
              <w:ind w:left="171" w:firstLine="48" w:firstLineChars="22"/>
              <w:rPr>
                <w:rFonts w:ascii="Arial" w:hAnsi="Arial" w:eastAsia="Times New Roman" w:cs="Arial"/>
                <w:sz w:val="20"/>
                <w:szCs w:val="20"/>
              </w:rPr>
            </w:pPr>
            <w:r w:rsidRPr="00910723">
              <w:t>b. 3 skirsnis. Finansų sistemos subjektų vidaus turto rodiklis, įskaitant draudimo patronuojamąsias įmones</w:t>
            </w:r>
          </w:p>
        </w:tc>
        <w:tc>
          <w:tcPr>
            <w:tcW w:w="2745" w:type="dxa"/>
            <w:tcBorders>
              <w:left w:val="nil"/>
              <w:right w:val="nil"/>
            </w:tcBorders>
            <w:noWrap/>
          </w:tcPr>
          <w:p w:rsidRPr="00910723" w:rsidR="00411573" w:rsidP="00435435" w:rsidRDefault="00411573" w14:paraId="6E179AE2" w14:textId="77777777">
            <w:pPr>
              <w:jc w:val="right"/>
              <w:rPr>
                <w:rFonts w:ascii="Arial" w:hAnsi="Arial" w:eastAsia="Times New Roman" w:cs="Arial"/>
                <w:sz w:val="20"/>
                <w:szCs w:val="20"/>
                <w:lang w:eastAsia="en-GB"/>
              </w:rPr>
            </w:pPr>
          </w:p>
        </w:tc>
      </w:tr>
      <w:tr w:rsidRPr="00910723" w:rsidR="00411573" w:rsidTr="00435435" w14:paraId="281CEE0D" w14:textId="77777777">
        <w:trPr>
          <w:trHeight w:val="300"/>
        </w:trPr>
        <w:tc>
          <w:tcPr>
            <w:tcW w:w="6804" w:type="dxa"/>
            <w:gridSpan w:val="2"/>
            <w:tcBorders>
              <w:left w:val="nil"/>
              <w:bottom w:val="single" w:color="auto" w:sz="4" w:space="0"/>
              <w:right w:val="nil"/>
            </w:tcBorders>
            <w:noWrap/>
          </w:tcPr>
          <w:p w:rsidRPr="00910723" w:rsidR="00411573" w:rsidP="00435435" w:rsidRDefault="00411573" w14:paraId="3241BE30" w14:textId="77777777">
            <w:pPr>
              <w:ind w:left="171" w:firstLine="48" w:firstLineChars="22"/>
              <w:rPr>
                <w:rFonts w:ascii="Arial" w:hAnsi="Arial" w:eastAsia="Times New Roman" w:cs="Arial"/>
                <w:sz w:val="20"/>
                <w:szCs w:val="20"/>
              </w:rPr>
            </w:pPr>
            <w:r w:rsidRPr="00910723">
              <w:t>c. 4 skirsnis. Finansų sistemos subjektų vidaus įsipareigojimų rodiklis, įskaitant draudimo patronuojamąsias įmones</w:t>
            </w:r>
          </w:p>
        </w:tc>
        <w:tc>
          <w:tcPr>
            <w:tcW w:w="2745" w:type="dxa"/>
            <w:tcBorders>
              <w:left w:val="nil"/>
              <w:right w:val="nil"/>
            </w:tcBorders>
            <w:noWrap/>
          </w:tcPr>
          <w:p w:rsidRPr="00910723" w:rsidR="00411573" w:rsidP="00435435" w:rsidRDefault="00411573" w14:paraId="1F29F807" w14:textId="77777777">
            <w:pPr>
              <w:jc w:val="right"/>
              <w:rPr>
                <w:rFonts w:ascii="Arial" w:hAnsi="Arial" w:eastAsia="Times New Roman" w:cs="Arial"/>
                <w:sz w:val="20"/>
                <w:szCs w:val="20"/>
                <w:lang w:eastAsia="en-GB"/>
              </w:rPr>
            </w:pPr>
          </w:p>
        </w:tc>
      </w:tr>
      <w:tr w:rsidRPr="00910723" w:rsidR="00411573" w:rsidTr="00435435" w14:paraId="39447763" w14:textId="77777777">
        <w:trPr>
          <w:trHeight w:val="300"/>
        </w:trPr>
        <w:tc>
          <w:tcPr>
            <w:tcW w:w="6804" w:type="dxa"/>
            <w:gridSpan w:val="2"/>
            <w:tcBorders>
              <w:left w:val="nil"/>
              <w:bottom w:val="single" w:color="auto" w:sz="4" w:space="0"/>
              <w:right w:val="nil"/>
            </w:tcBorders>
            <w:noWrap/>
          </w:tcPr>
          <w:p w:rsidRPr="00910723" w:rsidR="00411573" w:rsidP="00435435" w:rsidRDefault="00411573" w14:paraId="78E52377" w14:textId="77777777">
            <w:pPr>
              <w:ind w:left="171" w:firstLine="48" w:firstLineChars="22"/>
              <w:rPr>
                <w:rFonts w:ascii="Arial" w:hAnsi="Arial" w:eastAsia="Times New Roman" w:cs="Arial"/>
                <w:sz w:val="20"/>
                <w:szCs w:val="20"/>
              </w:rPr>
            </w:pPr>
            <w:r w:rsidRPr="00910723">
              <w:t>d. 5 skirsnis. Neapmokėtų vertybinių popierių rodiklis, įskaitant draudimo patronuojamąsias įmones</w:t>
            </w:r>
          </w:p>
        </w:tc>
        <w:tc>
          <w:tcPr>
            <w:tcW w:w="2745" w:type="dxa"/>
            <w:tcBorders>
              <w:left w:val="nil"/>
              <w:right w:val="nil"/>
            </w:tcBorders>
            <w:noWrap/>
          </w:tcPr>
          <w:p w:rsidRPr="00910723" w:rsidR="00411573" w:rsidP="00435435" w:rsidRDefault="00411573" w14:paraId="098E75A9" w14:textId="77777777">
            <w:pPr>
              <w:jc w:val="right"/>
              <w:rPr>
                <w:rFonts w:ascii="Arial" w:hAnsi="Arial" w:eastAsia="Times New Roman" w:cs="Arial"/>
                <w:sz w:val="20"/>
                <w:szCs w:val="20"/>
                <w:lang w:eastAsia="en-GB"/>
              </w:rPr>
            </w:pPr>
          </w:p>
        </w:tc>
      </w:tr>
      <w:tr w:rsidRPr="00910723" w:rsidR="00411573" w:rsidTr="00435435" w14:paraId="19E22E5A" w14:textId="77777777">
        <w:trPr>
          <w:trHeight w:val="300"/>
        </w:trPr>
        <w:tc>
          <w:tcPr>
            <w:tcW w:w="6804" w:type="dxa"/>
            <w:gridSpan w:val="2"/>
            <w:tcBorders>
              <w:left w:val="nil"/>
              <w:bottom w:val="single" w:color="auto" w:sz="4" w:space="0"/>
              <w:right w:val="nil"/>
            </w:tcBorders>
            <w:noWrap/>
          </w:tcPr>
          <w:p w:rsidRPr="00910723" w:rsidR="00411573" w:rsidP="00435435" w:rsidRDefault="00411573" w14:paraId="12A4E423" w14:textId="77777777">
            <w:pPr>
              <w:ind w:firstLine="220" w:firstLineChars="100"/>
              <w:rPr>
                <w:rFonts w:ascii="Arial" w:hAnsi="Arial" w:eastAsia="Times New Roman" w:cs="Arial"/>
                <w:sz w:val="20"/>
                <w:szCs w:val="20"/>
              </w:rPr>
            </w:pPr>
            <w:r w:rsidRPr="00910723">
              <w:t>e. 6 skirsnis. Mokėjimų veiklos rodiklis</w:t>
            </w:r>
          </w:p>
        </w:tc>
        <w:tc>
          <w:tcPr>
            <w:tcW w:w="2745" w:type="dxa"/>
            <w:tcBorders>
              <w:left w:val="nil"/>
              <w:right w:val="nil"/>
            </w:tcBorders>
            <w:noWrap/>
          </w:tcPr>
          <w:p w:rsidRPr="00910723" w:rsidR="00411573" w:rsidP="00435435" w:rsidRDefault="00411573" w14:paraId="5AD0DE04" w14:textId="77777777">
            <w:pPr>
              <w:jc w:val="right"/>
              <w:rPr>
                <w:rFonts w:ascii="Arial" w:hAnsi="Arial" w:eastAsia="Times New Roman" w:cs="Arial"/>
                <w:sz w:val="20"/>
                <w:szCs w:val="20"/>
                <w:lang w:eastAsia="en-GB"/>
              </w:rPr>
            </w:pPr>
          </w:p>
        </w:tc>
      </w:tr>
      <w:tr w:rsidRPr="00910723" w:rsidR="00411573" w:rsidTr="00435435" w14:paraId="76EF5B0A" w14:textId="77777777">
        <w:trPr>
          <w:trHeight w:val="300"/>
        </w:trPr>
        <w:tc>
          <w:tcPr>
            <w:tcW w:w="6804" w:type="dxa"/>
            <w:gridSpan w:val="2"/>
            <w:tcBorders>
              <w:left w:val="nil"/>
              <w:bottom w:val="single" w:color="auto" w:sz="4" w:space="0"/>
              <w:right w:val="nil"/>
            </w:tcBorders>
            <w:noWrap/>
          </w:tcPr>
          <w:p w:rsidRPr="00910723" w:rsidR="00411573" w:rsidP="00435435" w:rsidRDefault="00411573" w14:paraId="1518DF95" w14:textId="77777777">
            <w:pPr>
              <w:ind w:firstLine="220" w:firstLineChars="100"/>
              <w:rPr>
                <w:rFonts w:ascii="Arial" w:hAnsi="Arial" w:eastAsia="Times New Roman" w:cs="Arial"/>
                <w:sz w:val="20"/>
                <w:szCs w:val="20"/>
              </w:rPr>
            </w:pPr>
            <w:r w:rsidRPr="00910723">
              <w:t>f. 7 skirsnis. Saugomo turto rodiklis</w:t>
            </w:r>
          </w:p>
        </w:tc>
        <w:tc>
          <w:tcPr>
            <w:tcW w:w="2745" w:type="dxa"/>
            <w:tcBorders>
              <w:left w:val="nil"/>
              <w:right w:val="nil"/>
            </w:tcBorders>
            <w:noWrap/>
          </w:tcPr>
          <w:p w:rsidRPr="00910723" w:rsidR="00411573" w:rsidP="00435435" w:rsidRDefault="00411573" w14:paraId="76460309" w14:textId="77777777">
            <w:pPr>
              <w:jc w:val="right"/>
              <w:rPr>
                <w:rFonts w:ascii="Arial" w:hAnsi="Arial" w:eastAsia="Times New Roman" w:cs="Arial"/>
                <w:sz w:val="20"/>
                <w:szCs w:val="20"/>
                <w:lang w:eastAsia="en-GB"/>
              </w:rPr>
            </w:pPr>
          </w:p>
        </w:tc>
      </w:tr>
      <w:tr w:rsidRPr="00910723" w:rsidR="00411573" w:rsidTr="00435435" w14:paraId="577BA5BC" w14:textId="77777777">
        <w:trPr>
          <w:trHeight w:val="300"/>
        </w:trPr>
        <w:tc>
          <w:tcPr>
            <w:tcW w:w="6804" w:type="dxa"/>
            <w:gridSpan w:val="2"/>
            <w:tcBorders>
              <w:left w:val="nil"/>
              <w:bottom w:val="single" w:color="auto" w:sz="4" w:space="0"/>
              <w:right w:val="nil"/>
            </w:tcBorders>
            <w:noWrap/>
          </w:tcPr>
          <w:p w:rsidRPr="00910723" w:rsidR="00411573" w:rsidP="00435435" w:rsidRDefault="00411573" w14:paraId="578488B1" w14:textId="77777777">
            <w:pPr>
              <w:ind w:firstLine="220" w:firstLineChars="100"/>
              <w:rPr>
                <w:rFonts w:ascii="Arial" w:hAnsi="Arial" w:eastAsia="Times New Roman" w:cs="Arial"/>
                <w:sz w:val="20"/>
                <w:szCs w:val="20"/>
              </w:rPr>
            </w:pPr>
            <w:r w:rsidRPr="00910723">
              <w:t>g. 8 skirsnis. Platinimo veiklos rodiklis</w:t>
            </w:r>
          </w:p>
        </w:tc>
        <w:tc>
          <w:tcPr>
            <w:tcW w:w="2745" w:type="dxa"/>
            <w:tcBorders>
              <w:left w:val="nil"/>
              <w:right w:val="nil"/>
            </w:tcBorders>
            <w:noWrap/>
          </w:tcPr>
          <w:p w:rsidRPr="00910723" w:rsidR="00411573" w:rsidP="00435435" w:rsidRDefault="00411573" w14:paraId="127CC419" w14:textId="77777777">
            <w:pPr>
              <w:jc w:val="right"/>
              <w:rPr>
                <w:rFonts w:ascii="Arial" w:hAnsi="Arial" w:eastAsia="Times New Roman" w:cs="Arial"/>
                <w:sz w:val="20"/>
                <w:szCs w:val="20"/>
                <w:lang w:eastAsia="en-GB"/>
              </w:rPr>
            </w:pPr>
          </w:p>
        </w:tc>
      </w:tr>
      <w:tr w:rsidRPr="00910723" w:rsidR="00411573" w:rsidTr="00435435" w14:paraId="7D4CC229" w14:textId="77777777">
        <w:trPr>
          <w:trHeight w:val="300"/>
        </w:trPr>
        <w:tc>
          <w:tcPr>
            <w:tcW w:w="6804" w:type="dxa"/>
            <w:gridSpan w:val="2"/>
            <w:tcBorders>
              <w:left w:val="nil"/>
              <w:bottom w:val="single" w:color="auto" w:sz="4" w:space="0"/>
              <w:right w:val="nil"/>
            </w:tcBorders>
            <w:noWrap/>
          </w:tcPr>
          <w:p w:rsidRPr="00910723" w:rsidR="00411573" w:rsidP="00435435" w:rsidRDefault="00411573" w14:paraId="3D91EF0B" w14:textId="77777777">
            <w:pPr>
              <w:ind w:firstLine="220" w:firstLineChars="100"/>
              <w:rPr>
                <w:rFonts w:ascii="Arial" w:hAnsi="Arial" w:eastAsia="Times New Roman" w:cs="Arial"/>
                <w:sz w:val="20"/>
                <w:szCs w:val="20"/>
              </w:rPr>
            </w:pPr>
            <w:r w:rsidRPr="00910723">
              <w:t>h. 9.c skirsnis. Prekybos pastovių pajamų vertybiniais popieriais masto subrodiklis</w:t>
            </w:r>
          </w:p>
        </w:tc>
        <w:tc>
          <w:tcPr>
            <w:tcW w:w="2745" w:type="dxa"/>
            <w:tcBorders>
              <w:left w:val="nil"/>
              <w:right w:val="nil"/>
            </w:tcBorders>
            <w:noWrap/>
          </w:tcPr>
          <w:p w:rsidRPr="00910723" w:rsidR="00411573" w:rsidP="00435435" w:rsidRDefault="00411573" w14:paraId="228C595B" w14:textId="77777777">
            <w:pPr>
              <w:jc w:val="right"/>
              <w:rPr>
                <w:rFonts w:ascii="Arial" w:hAnsi="Arial" w:eastAsia="Times New Roman" w:cs="Arial"/>
                <w:sz w:val="20"/>
                <w:szCs w:val="20"/>
                <w:lang w:eastAsia="en-GB"/>
              </w:rPr>
            </w:pPr>
          </w:p>
        </w:tc>
      </w:tr>
      <w:tr w:rsidRPr="00910723" w:rsidR="00411573" w:rsidTr="00435435" w14:paraId="60A13A82" w14:textId="77777777">
        <w:trPr>
          <w:trHeight w:val="300"/>
        </w:trPr>
        <w:tc>
          <w:tcPr>
            <w:tcW w:w="6804" w:type="dxa"/>
            <w:gridSpan w:val="2"/>
            <w:tcBorders>
              <w:left w:val="nil"/>
              <w:bottom w:val="single" w:color="auto" w:sz="4" w:space="0"/>
              <w:right w:val="nil"/>
            </w:tcBorders>
            <w:noWrap/>
          </w:tcPr>
          <w:p w:rsidRPr="00910723" w:rsidR="00411573" w:rsidP="00435435" w:rsidRDefault="00411573" w14:paraId="04C19164" w14:textId="77777777">
            <w:pPr>
              <w:ind w:left="171" w:firstLine="77" w:firstLineChars="35"/>
              <w:rPr>
                <w:rFonts w:ascii="Arial" w:hAnsi="Arial" w:eastAsia="Times New Roman" w:cs="Arial"/>
                <w:sz w:val="20"/>
                <w:szCs w:val="20"/>
              </w:rPr>
            </w:pPr>
            <w:r w:rsidRPr="00910723">
              <w:t>i. 9.f skirsnis. Prekybos nuosavybės vertybiniais popieriais ir kitais vertybiniais popieriais masto subrodiklis</w:t>
            </w:r>
          </w:p>
        </w:tc>
        <w:tc>
          <w:tcPr>
            <w:tcW w:w="2745" w:type="dxa"/>
            <w:tcBorders>
              <w:left w:val="nil"/>
              <w:right w:val="nil"/>
            </w:tcBorders>
            <w:noWrap/>
          </w:tcPr>
          <w:p w:rsidRPr="00910723" w:rsidR="00411573" w:rsidP="00435435" w:rsidRDefault="00411573" w14:paraId="10F34B6C" w14:textId="77777777">
            <w:pPr>
              <w:jc w:val="right"/>
              <w:rPr>
                <w:rFonts w:ascii="Arial" w:hAnsi="Arial" w:eastAsia="Times New Roman" w:cs="Arial"/>
                <w:sz w:val="20"/>
                <w:szCs w:val="20"/>
                <w:lang w:eastAsia="en-GB"/>
              </w:rPr>
            </w:pPr>
          </w:p>
        </w:tc>
      </w:tr>
      <w:tr w:rsidRPr="00910723" w:rsidR="00411573" w:rsidTr="00435435" w14:paraId="3056C746" w14:textId="77777777">
        <w:trPr>
          <w:trHeight w:val="300"/>
        </w:trPr>
        <w:tc>
          <w:tcPr>
            <w:tcW w:w="6804" w:type="dxa"/>
            <w:gridSpan w:val="2"/>
            <w:tcBorders>
              <w:left w:val="nil"/>
              <w:bottom w:val="single" w:color="auto" w:sz="4" w:space="0"/>
              <w:right w:val="nil"/>
            </w:tcBorders>
            <w:noWrap/>
          </w:tcPr>
          <w:p w:rsidRPr="00910723" w:rsidR="00411573" w:rsidP="00435435" w:rsidRDefault="00411573" w14:paraId="244E89FC" w14:textId="77777777">
            <w:pPr>
              <w:ind w:left="171" w:firstLine="77" w:firstLineChars="35"/>
              <w:rPr>
                <w:rFonts w:ascii="Arial" w:hAnsi="Arial" w:eastAsia="Times New Roman" w:cs="Arial"/>
                <w:sz w:val="20"/>
                <w:szCs w:val="20"/>
              </w:rPr>
            </w:pPr>
            <w:r w:rsidRPr="00910723">
              <w:t>j. 10 skirsnis. Ne biržos (OTC) išvestinių finansinių priemonių rodiklis, įskaitant draudimo patronuojamąsias įmones</w:t>
            </w:r>
          </w:p>
        </w:tc>
        <w:tc>
          <w:tcPr>
            <w:tcW w:w="2745" w:type="dxa"/>
            <w:tcBorders>
              <w:left w:val="nil"/>
              <w:right w:val="nil"/>
            </w:tcBorders>
            <w:noWrap/>
          </w:tcPr>
          <w:p w:rsidRPr="00910723" w:rsidR="00411573" w:rsidP="00435435" w:rsidRDefault="00411573" w14:paraId="74104C94" w14:textId="77777777">
            <w:pPr>
              <w:jc w:val="right"/>
              <w:rPr>
                <w:rFonts w:ascii="Arial" w:hAnsi="Arial" w:eastAsia="Times New Roman" w:cs="Arial"/>
                <w:sz w:val="20"/>
                <w:szCs w:val="20"/>
                <w:lang w:eastAsia="en-GB"/>
              </w:rPr>
            </w:pPr>
          </w:p>
        </w:tc>
      </w:tr>
      <w:tr w:rsidRPr="00910723" w:rsidR="00411573" w:rsidTr="00435435" w14:paraId="249C1009" w14:textId="77777777">
        <w:trPr>
          <w:trHeight w:val="300"/>
        </w:trPr>
        <w:tc>
          <w:tcPr>
            <w:tcW w:w="6804" w:type="dxa"/>
            <w:gridSpan w:val="2"/>
            <w:tcBorders>
              <w:left w:val="nil"/>
              <w:bottom w:val="single" w:color="auto" w:sz="4" w:space="0"/>
              <w:right w:val="nil"/>
            </w:tcBorders>
            <w:noWrap/>
          </w:tcPr>
          <w:p w:rsidRPr="00910723" w:rsidR="00411573" w:rsidP="00435435" w:rsidRDefault="00411573" w14:paraId="0C278580" w14:textId="77777777">
            <w:pPr>
              <w:ind w:firstLine="220" w:firstLineChars="100"/>
              <w:rPr>
                <w:rFonts w:ascii="Arial" w:hAnsi="Arial" w:eastAsia="Times New Roman" w:cs="Arial"/>
                <w:sz w:val="20"/>
                <w:szCs w:val="20"/>
              </w:rPr>
            </w:pPr>
            <w:r w:rsidRPr="00910723">
              <w:t>k. 11 skirsnis. Prekybai laikomų ir skirtų parduoti vertybinių popierių rodiklis</w:t>
            </w:r>
          </w:p>
        </w:tc>
        <w:tc>
          <w:tcPr>
            <w:tcW w:w="2745" w:type="dxa"/>
            <w:tcBorders>
              <w:left w:val="nil"/>
              <w:right w:val="nil"/>
            </w:tcBorders>
            <w:noWrap/>
          </w:tcPr>
          <w:p w:rsidRPr="00910723" w:rsidR="00411573" w:rsidP="00435435" w:rsidRDefault="00411573" w14:paraId="63393466" w14:textId="77777777">
            <w:pPr>
              <w:jc w:val="right"/>
              <w:rPr>
                <w:rFonts w:ascii="Arial" w:hAnsi="Arial" w:eastAsia="Times New Roman" w:cs="Arial"/>
                <w:sz w:val="20"/>
                <w:szCs w:val="20"/>
                <w:lang w:eastAsia="en-GB"/>
              </w:rPr>
            </w:pPr>
          </w:p>
        </w:tc>
      </w:tr>
      <w:tr w:rsidRPr="00910723" w:rsidR="00411573" w:rsidTr="00435435" w14:paraId="6FB97ECF" w14:textId="77777777">
        <w:trPr>
          <w:trHeight w:val="300"/>
        </w:trPr>
        <w:tc>
          <w:tcPr>
            <w:tcW w:w="6804" w:type="dxa"/>
            <w:gridSpan w:val="2"/>
            <w:tcBorders>
              <w:left w:val="nil"/>
              <w:bottom w:val="single" w:color="auto" w:sz="4" w:space="0"/>
              <w:right w:val="nil"/>
            </w:tcBorders>
            <w:noWrap/>
          </w:tcPr>
          <w:p w:rsidRPr="00910723" w:rsidR="00411573" w:rsidP="00435435" w:rsidRDefault="00411573" w14:paraId="12200117" w14:textId="77777777">
            <w:pPr>
              <w:ind w:firstLine="220" w:firstLineChars="100"/>
              <w:rPr>
                <w:rFonts w:ascii="Arial" w:hAnsi="Arial" w:eastAsia="Times New Roman" w:cs="Arial"/>
                <w:sz w:val="20"/>
                <w:szCs w:val="20"/>
              </w:rPr>
            </w:pPr>
            <w:r w:rsidRPr="00910723">
              <w:t xml:space="preserve">l. 12 skirsnis. 3 lygio turto rodiklis, įskaitant draudimo </w:t>
            </w:r>
            <w:r w:rsidRPr="00910723">
              <w:lastRenderedPageBreak/>
              <w:t>patronuojamąsias įmones</w:t>
            </w:r>
          </w:p>
        </w:tc>
        <w:tc>
          <w:tcPr>
            <w:tcW w:w="2745" w:type="dxa"/>
            <w:tcBorders>
              <w:left w:val="nil"/>
              <w:right w:val="nil"/>
            </w:tcBorders>
            <w:noWrap/>
          </w:tcPr>
          <w:p w:rsidRPr="00910723" w:rsidR="00411573" w:rsidP="00435435" w:rsidRDefault="00411573" w14:paraId="70D67E55" w14:textId="77777777">
            <w:pPr>
              <w:jc w:val="right"/>
              <w:rPr>
                <w:rFonts w:ascii="Arial" w:hAnsi="Arial" w:eastAsia="Times New Roman" w:cs="Arial"/>
                <w:sz w:val="20"/>
                <w:szCs w:val="20"/>
                <w:lang w:eastAsia="en-GB"/>
              </w:rPr>
            </w:pPr>
          </w:p>
        </w:tc>
      </w:tr>
      <w:tr w:rsidRPr="00910723" w:rsidR="00411573" w:rsidTr="00435435" w14:paraId="1A160B1B" w14:textId="77777777">
        <w:trPr>
          <w:trHeight w:val="300"/>
        </w:trPr>
        <w:tc>
          <w:tcPr>
            <w:tcW w:w="6804" w:type="dxa"/>
            <w:gridSpan w:val="2"/>
            <w:tcBorders>
              <w:left w:val="nil"/>
              <w:bottom w:val="single" w:color="auto" w:sz="4" w:space="0"/>
              <w:right w:val="nil"/>
            </w:tcBorders>
            <w:noWrap/>
          </w:tcPr>
          <w:p w:rsidRPr="00910723" w:rsidR="00411573" w:rsidP="00435435" w:rsidRDefault="00411573" w14:paraId="3A42B5D3" w14:textId="77777777">
            <w:pPr>
              <w:ind w:firstLine="220" w:firstLineChars="100"/>
              <w:rPr>
                <w:rFonts w:ascii="Arial" w:hAnsi="Arial" w:eastAsia="Times New Roman" w:cs="Arial"/>
                <w:sz w:val="20"/>
                <w:szCs w:val="20"/>
              </w:rPr>
            </w:pPr>
            <w:r w:rsidRPr="00910723">
              <w:t>m. 13 skirsnis. Tarpjurisdikcinių reikalavimų rodiklis</w:t>
            </w:r>
          </w:p>
        </w:tc>
        <w:tc>
          <w:tcPr>
            <w:tcW w:w="2745" w:type="dxa"/>
            <w:tcBorders>
              <w:left w:val="nil"/>
              <w:right w:val="nil"/>
            </w:tcBorders>
            <w:noWrap/>
          </w:tcPr>
          <w:p w:rsidRPr="00910723" w:rsidR="00411573" w:rsidP="00435435" w:rsidRDefault="00411573" w14:paraId="2C46256A" w14:textId="77777777">
            <w:pPr>
              <w:jc w:val="right"/>
              <w:rPr>
                <w:rFonts w:ascii="Arial" w:hAnsi="Arial" w:eastAsia="Times New Roman" w:cs="Arial"/>
                <w:sz w:val="20"/>
                <w:szCs w:val="20"/>
                <w:lang w:eastAsia="en-GB"/>
              </w:rPr>
            </w:pPr>
          </w:p>
        </w:tc>
      </w:tr>
      <w:tr w:rsidRPr="00910723" w:rsidR="00411573" w:rsidTr="00435435" w14:paraId="552979AC" w14:textId="77777777">
        <w:trPr>
          <w:trHeight w:val="300"/>
        </w:trPr>
        <w:tc>
          <w:tcPr>
            <w:tcW w:w="6804" w:type="dxa"/>
            <w:gridSpan w:val="2"/>
            <w:tcBorders>
              <w:left w:val="nil"/>
              <w:bottom w:val="single" w:color="auto" w:sz="4" w:space="0"/>
              <w:right w:val="nil"/>
            </w:tcBorders>
            <w:noWrap/>
          </w:tcPr>
          <w:p w:rsidRPr="00910723" w:rsidR="00411573" w:rsidP="00435435" w:rsidRDefault="00411573" w14:paraId="5AB4DC1B" w14:textId="77777777">
            <w:pPr>
              <w:ind w:firstLine="220" w:firstLineChars="100"/>
              <w:rPr>
                <w:rFonts w:ascii="Arial" w:hAnsi="Arial" w:eastAsia="Times New Roman" w:cs="Arial"/>
                <w:sz w:val="20"/>
                <w:szCs w:val="20"/>
              </w:rPr>
            </w:pPr>
            <w:r w:rsidRPr="00910723">
              <w:t>n. 14 skirsnis. Tarpjurisdikcinių įsipareigojimų rodiklis</w:t>
            </w:r>
          </w:p>
        </w:tc>
        <w:tc>
          <w:tcPr>
            <w:tcW w:w="2745" w:type="dxa"/>
            <w:tcBorders>
              <w:left w:val="nil"/>
              <w:right w:val="nil"/>
            </w:tcBorders>
            <w:noWrap/>
          </w:tcPr>
          <w:p w:rsidRPr="00910723" w:rsidR="00411573" w:rsidP="00435435" w:rsidRDefault="00411573" w14:paraId="676CD4B8" w14:textId="77777777">
            <w:pPr>
              <w:jc w:val="right"/>
              <w:rPr>
                <w:rFonts w:ascii="Arial" w:hAnsi="Arial" w:eastAsia="Times New Roman" w:cs="Arial"/>
                <w:sz w:val="20"/>
                <w:szCs w:val="20"/>
                <w:lang w:eastAsia="en-GB"/>
              </w:rPr>
            </w:pPr>
          </w:p>
        </w:tc>
      </w:tr>
      <w:tr w:rsidRPr="00910723" w:rsidR="00411573" w:rsidTr="00435435" w14:paraId="0007BF5B" w14:textId="77777777">
        <w:trPr>
          <w:trHeight w:val="300"/>
        </w:trPr>
        <w:tc>
          <w:tcPr>
            <w:tcW w:w="6804" w:type="dxa"/>
            <w:gridSpan w:val="2"/>
            <w:tcBorders>
              <w:left w:val="nil"/>
              <w:bottom w:val="single" w:color="auto" w:sz="4" w:space="0"/>
              <w:right w:val="nil"/>
            </w:tcBorders>
            <w:noWrap/>
          </w:tcPr>
          <w:p w:rsidRPr="00910723" w:rsidR="00411573" w:rsidP="00435435" w:rsidRDefault="00411573" w14:paraId="332DABBA" w14:textId="77777777">
            <w:pPr>
              <w:ind w:firstLine="220" w:firstLineChars="100"/>
              <w:rPr>
                <w:rFonts w:ascii="Arial" w:hAnsi="Arial" w:eastAsia="Times New Roman" w:cs="Arial"/>
                <w:sz w:val="20"/>
                <w:szCs w:val="20"/>
              </w:rPr>
            </w:pPr>
            <w:r w:rsidRPr="00910723">
              <w:t>o. Kiti skirsniai</w:t>
            </w:r>
          </w:p>
        </w:tc>
        <w:tc>
          <w:tcPr>
            <w:tcW w:w="2745" w:type="dxa"/>
            <w:tcBorders>
              <w:left w:val="nil"/>
              <w:right w:val="nil"/>
            </w:tcBorders>
            <w:noWrap/>
          </w:tcPr>
          <w:p w:rsidRPr="00910723" w:rsidR="00411573" w:rsidP="00435435" w:rsidRDefault="00411573" w14:paraId="7A21DC27" w14:textId="77777777">
            <w:pPr>
              <w:jc w:val="right"/>
              <w:rPr>
                <w:rFonts w:ascii="Arial" w:hAnsi="Arial" w:eastAsia="Times New Roman" w:cs="Arial"/>
                <w:sz w:val="20"/>
                <w:szCs w:val="20"/>
                <w:lang w:eastAsia="en-GB"/>
              </w:rPr>
            </w:pPr>
          </w:p>
        </w:tc>
      </w:tr>
      <w:tr w:rsidRPr="00910723" w:rsidR="00411573" w:rsidTr="00435435" w14:paraId="59125982" w14:textId="77777777">
        <w:trPr>
          <w:trHeight w:val="300"/>
        </w:trPr>
        <w:tc>
          <w:tcPr>
            <w:tcW w:w="6804" w:type="dxa"/>
            <w:gridSpan w:val="2"/>
            <w:tcBorders>
              <w:left w:val="nil"/>
              <w:bottom w:val="single" w:color="auto" w:sz="4" w:space="0"/>
              <w:right w:val="nil"/>
            </w:tcBorders>
            <w:noWrap/>
          </w:tcPr>
          <w:p w:rsidRPr="00910723" w:rsidR="00411573" w:rsidP="00435435" w:rsidRDefault="00411573" w14:paraId="4444AAD9" w14:textId="77777777">
            <w:pPr>
              <w:ind w:firstLine="220" w:firstLineChars="100"/>
              <w:rPr>
                <w:rFonts w:ascii="Arial" w:hAnsi="Arial" w:eastAsia="Times New Roman" w:cs="Arial"/>
                <w:sz w:val="20"/>
                <w:szCs w:val="20"/>
              </w:rPr>
            </w:pPr>
            <w:r w:rsidRPr="00910723">
              <w:t>(1) 1.a punktas. Priežiūros institucijos pateikta bendroji informacija</w:t>
            </w:r>
          </w:p>
        </w:tc>
        <w:tc>
          <w:tcPr>
            <w:tcW w:w="2745" w:type="dxa"/>
            <w:tcBorders>
              <w:left w:val="nil"/>
              <w:right w:val="nil"/>
            </w:tcBorders>
            <w:noWrap/>
          </w:tcPr>
          <w:p w:rsidRPr="00910723" w:rsidR="00411573" w:rsidP="00435435" w:rsidRDefault="00411573" w14:paraId="195B27CB" w14:textId="77777777">
            <w:pPr>
              <w:jc w:val="right"/>
              <w:rPr>
                <w:rFonts w:ascii="Arial" w:hAnsi="Arial" w:eastAsia="Times New Roman" w:cs="Arial"/>
                <w:sz w:val="20"/>
                <w:szCs w:val="20"/>
                <w:lang w:eastAsia="en-GB"/>
              </w:rPr>
            </w:pPr>
          </w:p>
        </w:tc>
      </w:tr>
      <w:tr w:rsidRPr="00910723" w:rsidR="00411573" w:rsidTr="00435435" w14:paraId="57502014" w14:textId="77777777">
        <w:trPr>
          <w:trHeight w:val="300"/>
        </w:trPr>
        <w:tc>
          <w:tcPr>
            <w:tcW w:w="6804" w:type="dxa"/>
            <w:gridSpan w:val="2"/>
            <w:tcBorders>
              <w:left w:val="nil"/>
              <w:bottom w:val="single" w:color="auto" w:sz="4" w:space="0"/>
              <w:right w:val="nil"/>
            </w:tcBorders>
            <w:noWrap/>
          </w:tcPr>
          <w:p w:rsidRPr="00910723" w:rsidR="00411573" w:rsidP="00435435" w:rsidRDefault="00411573" w14:paraId="3000A3FF" w14:textId="77777777">
            <w:pPr>
              <w:ind w:firstLine="220" w:firstLineChars="100"/>
              <w:rPr>
                <w:rFonts w:ascii="Arial" w:hAnsi="Arial" w:eastAsia="Times New Roman" w:cs="Arial"/>
                <w:sz w:val="20"/>
                <w:szCs w:val="20"/>
              </w:rPr>
            </w:pPr>
            <w:r w:rsidRPr="00910723">
              <w:t>(2) 1.b punktas. Atskaitingosios institucijos pateikta bendroji informacija</w:t>
            </w:r>
          </w:p>
        </w:tc>
        <w:tc>
          <w:tcPr>
            <w:tcW w:w="2745" w:type="dxa"/>
            <w:tcBorders>
              <w:left w:val="nil"/>
              <w:right w:val="nil"/>
            </w:tcBorders>
            <w:noWrap/>
          </w:tcPr>
          <w:p w:rsidRPr="00910723" w:rsidR="00411573" w:rsidP="00435435" w:rsidRDefault="00411573" w14:paraId="23A04A53" w14:textId="77777777">
            <w:pPr>
              <w:jc w:val="right"/>
              <w:rPr>
                <w:rFonts w:ascii="Arial" w:hAnsi="Arial" w:eastAsia="Times New Roman" w:cs="Arial"/>
                <w:sz w:val="20"/>
                <w:szCs w:val="20"/>
                <w:lang w:eastAsia="en-GB"/>
              </w:rPr>
            </w:pPr>
          </w:p>
        </w:tc>
      </w:tr>
      <w:tr w:rsidRPr="00910723" w:rsidR="00411573" w:rsidTr="00435435" w14:paraId="4B10B752" w14:textId="77777777">
        <w:trPr>
          <w:trHeight w:val="300"/>
        </w:trPr>
        <w:tc>
          <w:tcPr>
            <w:tcW w:w="6804" w:type="dxa"/>
            <w:gridSpan w:val="2"/>
            <w:tcBorders>
              <w:left w:val="nil"/>
              <w:bottom w:val="single" w:color="auto" w:sz="4" w:space="0"/>
              <w:right w:val="nil"/>
            </w:tcBorders>
            <w:noWrap/>
          </w:tcPr>
          <w:p w:rsidRPr="00910723" w:rsidR="00411573" w:rsidP="00435435" w:rsidRDefault="00411573" w14:paraId="37EB7582" w14:textId="77777777">
            <w:pPr>
              <w:ind w:firstLine="220" w:firstLineChars="100"/>
              <w:rPr>
                <w:rFonts w:ascii="Arial" w:hAnsi="Arial" w:eastAsia="Times New Roman" w:cs="Arial"/>
                <w:sz w:val="20"/>
                <w:szCs w:val="20"/>
              </w:rPr>
            </w:pPr>
            <w:r w:rsidRPr="00910723">
              <w:t>(3) 15 skirsnis. Papildomi rodikliai</w:t>
            </w:r>
          </w:p>
        </w:tc>
        <w:tc>
          <w:tcPr>
            <w:tcW w:w="2745" w:type="dxa"/>
            <w:tcBorders>
              <w:left w:val="nil"/>
              <w:right w:val="nil"/>
            </w:tcBorders>
            <w:noWrap/>
          </w:tcPr>
          <w:p w:rsidRPr="00910723" w:rsidR="00411573" w:rsidP="00435435" w:rsidRDefault="00411573" w14:paraId="5F07D8B0" w14:textId="77777777">
            <w:pPr>
              <w:jc w:val="right"/>
              <w:rPr>
                <w:rFonts w:ascii="Arial" w:hAnsi="Arial" w:eastAsia="Times New Roman" w:cs="Arial"/>
                <w:sz w:val="20"/>
                <w:szCs w:val="20"/>
                <w:lang w:eastAsia="en-GB"/>
              </w:rPr>
            </w:pPr>
          </w:p>
        </w:tc>
      </w:tr>
      <w:tr w:rsidRPr="00910723" w:rsidR="00411573" w:rsidTr="00435435" w14:paraId="27785B7E" w14:textId="77777777">
        <w:trPr>
          <w:trHeight w:val="300"/>
        </w:trPr>
        <w:tc>
          <w:tcPr>
            <w:tcW w:w="6804" w:type="dxa"/>
            <w:gridSpan w:val="2"/>
            <w:tcBorders>
              <w:left w:val="nil"/>
              <w:bottom w:val="single" w:color="auto" w:sz="4" w:space="0"/>
              <w:right w:val="nil"/>
            </w:tcBorders>
            <w:noWrap/>
          </w:tcPr>
          <w:p w:rsidRPr="00910723" w:rsidR="00411573" w:rsidP="00435435" w:rsidRDefault="00411573" w14:paraId="5B55A765" w14:textId="77777777">
            <w:pPr>
              <w:ind w:firstLine="220" w:firstLineChars="100"/>
              <w:rPr>
                <w:rFonts w:ascii="Arial" w:hAnsi="Arial" w:eastAsia="Times New Roman" w:cs="Arial"/>
                <w:sz w:val="20"/>
                <w:szCs w:val="20"/>
              </w:rPr>
            </w:pPr>
            <w:r w:rsidRPr="00910723">
              <w:t>(4) 16 skirsnis. Papildomi punktai</w:t>
            </w:r>
          </w:p>
        </w:tc>
        <w:tc>
          <w:tcPr>
            <w:tcW w:w="2745" w:type="dxa"/>
            <w:tcBorders>
              <w:left w:val="nil"/>
              <w:right w:val="nil"/>
            </w:tcBorders>
            <w:noWrap/>
          </w:tcPr>
          <w:p w:rsidRPr="00910723" w:rsidR="00411573" w:rsidP="00435435" w:rsidRDefault="00411573" w14:paraId="0003A909" w14:textId="77777777">
            <w:pPr>
              <w:jc w:val="right"/>
              <w:rPr>
                <w:rFonts w:ascii="Arial" w:hAnsi="Arial" w:eastAsia="Times New Roman" w:cs="Arial"/>
                <w:sz w:val="20"/>
                <w:szCs w:val="20"/>
                <w:lang w:eastAsia="en-GB"/>
              </w:rPr>
            </w:pPr>
          </w:p>
        </w:tc>
      </w:tr>
      <w:tr w:rsidRPr="00910723" w:rsidR="00411573" w:rsidTr="00435435" w14:paraId="175AF84A" w14:textId="77777777">
        <w:trPr>
          <w:trHeight w:val="300"/>
        </w:trPr>
        <w:tc>
          <w:tcPr>
            <w:tcW w:w="6804" w:type="dxa"/>
            <w:gridSpan w:val="2"/>
            <w:tcBorders>
              <w:left w:val="nil"/>
              <w:bottom w:val="single" w:color="auto" w:sz="4" w:space="0"/>
              <w:right w:val="nil"/>
            </w:tcBorders>
            <w:noWrap/>
          </w:tcPr>
          <w:p w:rsidRPr="00910723" w:rsidR="00411573" w:rsidP="00435435" w:rsidRDefault="00411573" w14:paraId="4F5AC478" w14:textId="77777777">
            <w:pPr>
              <w:ind w:firstLine="220" w:firstLineChars="100"/>
              <w:rPr>
                <w:rFonts w:ascii="Arial" w:hAnsi="Arial" w:eastAsia="Times New Roman" w:cs="Arial"/>
                <w:sz w:val="20"/>
                <w:szCs w:val="20"/>
              </w:rPr>
            </w:pPr>
            <w:r w:rsidRPr="00910723">
              <w:t>(5) 17 skirsnis. Tarpusavio sąsajų punktai</w:t>
            </w:r>
          </w:p>
        </w:tc>
        <w:tc>
          <w:tcPr>
            <w:tcW w:w="2745" w:type="dxa"/>
            <w:tcBorders>
              <w:left w:val="nil"/>
              <w:right w:val="nil"/>
            </w:tcBorders>
            <w:noWrap/>
          </w:tcPr>
          <w:p w:rsidRPr="00910723" w:rsidR="00411573" w:rsidP="00435435" w:rsidRDefault="00411573" w14:paraId="68301322" w14:textId="77777777">
            <w:pPr>
              <w:jc w:val="right"/>
              <w:rPr>
                <w:rFonts w:ascii="Arial" w:hAnsi="Arial" w:eastAsia="Times New Roman" w:cs="Arial"/>
                <w:sz w:val="20"/>
                <w:szCs w:val="20"/>
                <w:lang w:eastAsia="en-GB"/>
              </w:rPr>
            </w:pPr>
          </w:p>
        </w:tc>
      </w:tr>
      <w:tr w:rsidRPr="00910723" w:rsidR="00411573" w:rsidTr="00435435" w14:paraId="6CBAC5B4" w14:textId="77777777">
        <w:trPr>
          <w:trHeight w:val="300"/>
        </w:trPr>
        <w:tc>
          <w:tcPr>
            <w:tcW w:w="6804" w:type="dxa"/>
            <w:gridSpan w:val="2"/>
            <w:tcBorders>
              <w:left w:val="nil"/>
              <w:bottom w:val="single" w:color="auto" w:sz="4" w:space="0"/>
              <w:right w:val="nil"/>
            </w:tcBorders>
            <w:noWrap/>
          </w:tcPr>
          <w:p w:rsidRPr="00910723" w:rsidR="00411573" w:rsidP="00435435" w:rsidRDefault="00411573" w14:paraId="17F3E8CE" w14:textId="77777777">
            <w:pPr>
              <w:ind w:firstLine="220" w:firstLineChars="100"/>
              <w:rPr>
                <w:rFonts w:ascii="Arial" w:hAnsi="Arial" w:eastAsia="Times New Roman" w:cs="Arial"/>
                <w:sz w:val="20"/>
                <w:szCs w:val="20"/>
              </w:rPr>
            </w:pPr>
            <w:r w:rsidRPr="00910723">
              <w:t>(6) 18 skirsnis. Tarpusavio sąsajų punktai</w:t>
            </w:r>
          </w:p>
        </w:tc>
        <w:tc>
          <w:tcPr>
            <w:tcW w:w="2745" w:type="dxa"/>
            <w:tcBorders>
              <w:left w:val="nil"/>
              <w:right w:val="nil"/>
            </w:tcBorders>
            <w:noWrap/>
          </w:tcPr>
          <w:p w:rsidRPr="00910723" w:rsidR="00411573" w:rsidP="00435435" w:rsidRDefault="00411573" w14:paraId="0336E9FA" w14:textId="77777777">
            <w:pPr>
              <w:jc w:val="right"/>
              <w:rPr>
                <w:rFonts w:ascii="Arial" w:hAnsi="Arial" w:eastAsia="Times New Roman" w:cs="Arial"/>
                <w:sz w:val="20"/>
                <w:szCs w:val="20"/>
                <w:lang w:eastAsia="en-GB"/>
              </w:rPr>
            </w:pPr>
          </w:p>
        </w:tc>
      </w:tr>
      <w:tr w:rsidRPr="00910723" w:rsidR="00411573" w:rsidTr="00435435" w14:paraId="30B7E64D" w14:textId="77777777">
        <w:trPr>
          <w:trHeight w:val="300"/>
        </w:trPr>
        <w:tc>
          <w:tcPr>
            <w:tcW w:w="6804" w:type="dxa"/>
            <w:gridSpan w:val="2"/>
            <w:tcBorders>
              <w:left w:val="nil"/>
              <w:bottom w:val="single" w:color="auto" w:sz="4" w:space="0"/>
              <w:right w:val="nil"/>
            </w:tcBorders>
            <w:noWrap/>
          </w:tcPr>
          <w:p w:rsidRPr="00910723" w:rsidR="00411573" w:rsidP="00435435" w:rsidRDefault="00411573" w14:paraId="543F78D6" w14:textId="77777777">
            <w:pPr>
              <w:ind w:firstLine="220" w:firstLineChars="100"/>
              <w:rPr>
                <w:rFonts w:ascii="Arial" w:hAnsi="Arial" w:eastAsia="Times New Roman" w:cs="Arial"/>
                <w:sz w:val="20"/>
                <w:szCs w:val="20"/>
              </w:rPr>
            </w:pPr>
            <w:r w:rsidRPr="00910723">
              <w:t>(7) 19 skirsnis. Pakeičiamumo / finansų infrastruktūros punktai</w:t>
            </w:r>
          </w:p>
        </w:tc>
        <w:tc>
          <w:tcPr>
            <w:tcW w:w="2745" w:type="dxa"/>
            <w:tcBorders>
              <w:left w:val="nil"/>
              <w:right w:val="nil"/>
            </w:tcBorders>
            <w:noWrap/>
          </w:tcPr>
          <w:p w:rsidRPr="00910723" w:rsidR="00411573" w:rsidP="00435435" w:rsidRDefault="00411573" w14:paraId="220B909F" w14:textId="77777777">
            <w:pPr>
              <w:jc w:val="right"/>
              <w:rPr>
                <w:rFonts w:ascii="Arial" w:hAnsi="Arial" w:eastAsia="Times New Roman" w:cs="Arial"/>
                <w:sz w:val="20"/>
                <w:szCs w:val="20"/>
                <w:lang w:eastAsia="en-GB"/>
              </w:rPr>
            </w:pPr>
          </w:p>
        </w:tc>
      </w:tr>
      <w:tr w:rsidRPr="00910723" w:rsidR="00411573" w:rsidTr="00435435" w14:paraId="441E108C" w14:textId="77777777">
        <w:trPr>
          <w:trHeight w:val="300"/>
        </w:trPr>
        <w:tc>
          <w:tcPr>
            <w:tcW w:w="6804" w:type="dxa"/>
            <w:gridSpan w:val="2"/>
            <w:tcBorders>
              <w:left w:val="nil"/>
              <w:bottom w:val="single" w:color="auto" w:sz="4" w:space="0"/>
              <w:right w:val="nil"/>
            </w:tcBorders>
            <w:noWrap/>
          </w:tcPr>
          <w:p w:rsidRPr="00910723" w:rsidR="00411573" w:rsidP="00435435" w:rsidRDefault="00411573" w14:paraId="1A0AD6D7" w14:textId="77777777">
            <w:pPr>
              <w:ind w:firstLine="220" w:firstLineChars="100"/>
              <w:rPr>
                <w:rFonts w:ascii="Arial" w:hAnsi="Arial" w:eastAsia="Times New Roman" w:cs="Arial"/>
                <w:sz w:val="20"/>
                <w:szCs w:val="20"/>
              </w:rPr>
            </w:pPr>
            <w:r w:rsidRPr="00910723">
              <w:t>(8) 20 skirsnis. Sudėtingumo punktai</w:t>
            </w:r>
          </w:p>
        </w:tc>
        <w:tc>
          <w:tcPr>
            <w:tcW w:w="2745" w:type="dxa"/>
            <w:tcBorders>
              <w:left w:val="nil"/>
              <w:right w:val="nil"/>
            </w:tcBorders>
            <w:noWrap/>
          </w:tcPr>
          <w:p w:rsidRPr="00910723" w:rsidR="00411573" w:rsidP="00435435" w:rsidRDefault="00411573" w14:paraId="2CE0B8CB" w14:textId="77777777">
            <w:pPr>
              <w:jc w:val="right"/>
              <w:rPr>
                <w:rFonts w:ascii="Arial" w:hAnsi="Arial" w:eastAsia="Times New Roman" w:cs="Arial"/>
                <w:sz w:val="20"/>
                <w:szCs w:val="20"/>
                <w:lang w:eastAsia="en-GB"/>
              </w:rPr>
            </w:pPr>
          </w:p>
        </w:tc>
      </w:tr>
      <w:tr w:rsidRPr="00910723" w:rsidR="00411573" w:rsidTr="00435435" w14:paraId="5EA47C3F" w14:textId="77777777">
        <w:trPr>
          <w:trHeight w:val="300"/>
        </w:trPr>
        <w:tc>
          <w:tcPr>
            <w:tcW w:w="6804" w:type="dxa"/>
            <w:gridSpan w:val="2"/>
            <w:tcBorders>
              <w:left w:val="nil"/>
              <w:bottom w:val="single" w:color="auto" w:sz="4" w:space="0"/>
              <w:right w:val="nil"/>
            </w:tcBorders>
            <w:noWrap/>
          </w:tcPr>
          <w:p w:rsidRPr="00910723" w:rsidR="00411573" w:rsidP="00435435" w:rsidRDefault="00411573" w14:paraId="506DABAB" w14:textId="77777777">
            <w:pPr>
              <w:ind w:firstLine="220" w:firstLineChars="100"/>
              <w:rPr>
                <w:rFonts w:ascii="Arial" w:hAnsi="Arial" w:eastAsia="Times New Roman" w:cs="Arial"/>
                <w:sz w:val="20"/>
                <w:szCs w:val="20"/>
              </w:rPr>
            </w:pPr>
            <w:r w:rsidRPr="00910723">
              <w:t>(9) 21 skirsnis. Tarpjurisdikcinės veiklos punktai</w:t>
            </w:r>
          </w:p>
        </w:tc>
        <w:tc>
          <w:tcPr>
            <w:tcW w:w="2745" w:type="dxa"/>
            <w:tcBorders>
              <w:left w:val="nil"/>
              <w:right w:val="nil"/>
            </w:tcBorders>
            <w:noWrap/>
          </w:tcPr>
          <w:p w:rsidRPr="00910723" w:rsidR="00411573" w:rsidP="00435435" w:rsidRDefault="00411573" w14:paraId="1A5F8CAD" w14:textId="77777777">
            <w:pPr>
              <w:jc w:val="right"/>
              <w:rPr>
                <w:rFonts w:ascii="Arial" w:hAnsi="Arial" w:eastAsia="Times New Roman" w:cs="Arial"/>
                <w:sz w:val="20"/>
                <w:szCs w:val="20"/>
                <w:lang w:eastAsia="en-GB"/>
              </w:rPr>
            </w:pPr>
          </w:p>
        </w:tc>
      </w:tr>
      <w:tr w:rsidRPr="00910723" w:rsidR="00411573" w:rsidTr="00435435" w14:paraId="09A13106" w14:textId="77777777">
        <w:trPr>
          <w:trHeight w:val="300"/>
        </w:trPr>
        <w:tc>
          <w:tcPr>
            <w:tcW w:w="6804" w:type="dxa"/>
            <w:gridSpan w:val="2"/>
            <w:tcBorders>
              <w:left w:val="nil"/>
              <w:bottom w:val="single" w:color="auto" w:sz="4" w:space="0"/>
              <w:right w:val="nil"/>
            </w:tcBorders>
            <w:noWrap/>
          </w:tcPr>
          <w:p w:rsidRPr="00910723" w:rsidR="00411573" w:rsidP="00435435" w:rsidRDefault="00411573" w14:paraId="673F6DF4" w14:textId="77777777">
            <w:pPr>
              <w:ind w:firstLine="220" w:firstLineChars="100"/>
              <w:rPr>
                <w:rFonts w:ascii="Arial" w:hAnsi="Arial" w:eastAsia="Times New Roman" w:cs="Arial"/>
                <w:sz w:val="20"/>
                <w:szCs w:val="20"/>
              </w:rPr>
            </w:pPr>
            <w:r w:rsidRPr="00910723">
              <w:t>(10) 22 skirsnis. Papildomi rodikliai</w:t>
            </w:r>
          </w:p>
        </w:tc>
        <w:tc>
          <w:tcPr>
            <w:tcW w:w="2745" w:type="dxa"/>
            <w:tcBorders>
              <w:left w:val="nil"/>
              <w:right w:val="nil"/>
            </w:tcBorders>
            <w:noWrap/>
          </w:tcPr>
          <w:p w:rsidRPr="00910723" w:rsidR="00411573" w:rsidP="00435435" w:rsidRDefault="00411573" w14:paraId="076A0728" w14:textId="77777777">
            <w:pPr>
              <w:jc w:val="right"/>
              <w:rPr>
                <w:rFonts w:ascii="Arial" w:hAnsi="Arial" w:eastAsia="Times New Roman" w:cs="Arial"/>
                <w:sz w:val="20"/>
                <w:szCs w:val="20"/>
                <w:lang w:eastAsia="en-GB"/>
              </w:rPr>
            </w:pPr>
          </w:p>
        </w:tc>
      </w:tr>
      <w:tr w:rsidRPr="00910723" w:rsidR="00411573" w:rsidTr="00435435" w14:paraId="4EF0DC32" w14:textId="77777777">
        <w:trPr>
          <w:trHeight w:val="300"/>
        </w:trPr>
        <w:tc>
          <w:tcPr>
            <w:tcW w:w="6804" w:type="dxa"/>
            <w:gridSpan w:val="2"/>
            <w:tcBorders>
              <w:left w:val="nil"/>
              <w:bottom w:val="single" w:color="auto" w:sz="4" w:space="0"/>
              <w:right w:val="nil"/>
            </w:tcBorders>
            <w:noWrap/>
          </w:tcPr>
          <w:p w:rsidRPr="00910723" w:rsidR="00411573" w:rsidP="00435435" w:rsidRDefault="00411573" w14:paraId="07E25C18" w14:textId="77777777">
            <w:pPr>
              <w:rPr>
                <w:b/>
                <w:bCs/>
              </w:rPr>
            </w:pPr>
          </w:p>
        </w:tc>
        <w:tc>
          <w:tcPr>
            <w:tcW w:w="2745" w:type="dxa"/>
            <w:tcBorders>
              <w:left w:val="nil"/>
              <w:right w:val="nil"/>
            </w:tcBorders>
            <w:noWrap/>
          </w:tcPr>
          <w:p w:rsidRPr="00910723" w:rsidR="00411573" w:rsidP="00435435" w:rsidRDefault="00411573" w14:paraId="11F3BEF1" w14:textId="77777777">
            <w:pPr>
              <w:jc w:val="center"/>
              <w:rPr>
                <w:b/>
                <w:bCs/>
              </w:rPr>
            </w:pPr>
          </w:p>
        </w:tc>
      </w:tr>
      <w:tr w:rsidRPr="00910723" w:rsidR="00411573" w:rsidTr="00435435" w14:paraId="7B3584B9" w14:textId="77777777">
        <w:trPr>
          <w:trHeight w:val="300"/>
        </w:trPr>
        <w:tc>
          <w:tcPr>
            <w:tcW w:w="6804" w:type="dxa"/>
            <w:gridSpan w:val="2"/>
            <w:tcBorders>
              <w:left w:val="nil"/>
              <w:bottom w:val="single" w:color="auto" w:sz="4" w:space="0"/>
              <w:right w:val="nil"/>
            </w:tcBorders>
            <w:noWrap/>
          </w:tcPr>
          <w:p w:rsidRPr="00910723" w:rsidR="00411573" w:rsidP="00435435" w:rsidRDefault="00411573" w14:paraId="093C504C" w14:textId="77777777">
            <w:pPr>
              <w:rPr>
                <w:rFonts w:ascii="Arial" w:hAnsi="Arial" w:eastAsia="Times New Roman" w:cs="Arial"/>
                <w:sz w:val="20"/>
                <w:szCs w:val="20"/>
              </w:rPr>
            </w:pPr>
            <w:r w:rsidRPr="00910723">
              <w:rPr>
                <w:b/>
              </w:rPr>
              <w:t>24 skirsnis. Rodiklių vertės (senoji metodika)</w:t>
            </w:r>
          </w:p>
        </w:tc>
        <w:tc>
          <w:tcPr>
            <w:tcW w:w="2745" w:type="dxa"/>
            <w:tcBorders>
              <w:left w:val="nil"/>
              <w:right w:val="nil"/>
            </w:tcBorders>
            <w:noWrap/>
          </w:tcPr>
          <w:p w:rsidRPr="00910723" w:rsidR="00411573" w:rsidP="00435435" w:rsidRDefault="00411573" w14:paraId="69E116D3" w14:textId="77777777">
            <w:pPr>
              <w:jc w:val="center"/>
              <w:rPr>
                <w:rFonts w:ascii="Arial" w:hAnsi="Arial" w:eastAsia="Times New Roman" w:cs="Arial"/>
                <w:sz w:val="20"/>
                <w:szCs w:val="20"/>
              </w:rPr>
            </w:pPr>
            <w:r w:rsidRPr="00910723">
              <w:rPr>
                <w:b/>
              </w:rPr>
              <w:t>Rodiklio vertė pranešamos informacijos valiuta</w:t>
            </w:r>
          </w:p>
        </w:tc>
      </w:tr>
      <w:tr w:rsidRPr="00910723" w:rsidR="00411573" w:rsidTr="00435435" w14:paraId="07488297" w14:textId="77777777">
        <w:trPr>
          <w:trHeight w:val="300"/>
        </w:trPr>
        <w:tc>
          <w:tcPr>
            <w:tcW w:w="6804" w:type="dxa"/>
            <w:gridSpan w:val="2"/>
            <w:tcBorders>
              <w:left w:val="nil"/>
              <w:bottom w:val="single" w:color="auto" w:sz="4" w:space="0"/>
              <w:right w:val="nil"/>
            </w:tcBorders>
            <w:noWrap/>
          </w:tcPr>
          <w:p w:rsidRPr="00910723" w:rsidR="00411573" w:rsidP="00435435" w:rsidRDefault="00411573" w14:paraId="4F31B8DF" w14:textId="77777777">
            <w:pPr>
              <w:ind w:firstLine="220" w:firstLineChars="100"/>
              <w:rPr>
                <w:rFonts w:ascii="Arial" w:hAnsi="Arial" w:eastAsia="Times New Roman" w:cs="Arial"/>
                <w:sz w:val="20"/>
                <w:szCs w:val="20"/>
              </w:rPr>
            </w:pPr>
            <w:r w:rsidRPr="00910723">
              <w:t>a. 2 skirsnis. Bendros pozicijų sumos rodiklis</w:t>
            </w:r>
          </w:p>
        </w:tc>
        <w:tc>
          <w:tcPr>
            <w:tcW w:w="2745" w:type="dxa"/>
            <w:tcBorders>
              <w:left w:val="nil"/>
              <w:right w:val="nil"/>
            </w:tcBorders>
            <w:noWrap/>
          </w:tcPr>
          <w:p w:rsidRPr="00910723" w:rsidR="00411573" w:rsidP="00435435" w:rsidRDefault="00411573" w14:paraId="418E3308" w14:textId="77777777">
            <w:pPr>
              <w:jc w:val="right"/>
              <w:rPr>
                <w:rFonts w:ascii="Arial" w:hAnsi="Arial" w:eastAsia="Times New Roman" w:cs="Arial"/>
                <w:sz w:val="20"/>
                <w:szCs w:val="20"/>
                <w:lang w:eastAsia="en-GB"/>
              </w:rPr>
            </w:pPr>
          </w:p>
        </w:tc>
      </w:tr>
      <w:tr w:rsidRPr="00910723" w:rsidR="00411573" w:rsidTr="00435435" w14:paraId="752E97E5" w14:textId="77777777">
        <w:trPr>
          <w:trHeight w:val="300"/>
        </w:trPr>
        <w:tc>
          <w:tcPr>
            <w:tcW w:w="6804" w:type="dxa"/>
            <w:gridSpan w:val="2"/>
            <w:tcBorders>
              <w:left w:val="nil"/>
              <w:bottom w:val="single" w:color="auto" w:sz="4" w:space="0"/>
              <w:right w:val="nil"/>
            </w:tcBorders>
            <w:noWrap/>
          </w:tcPr>
          <w:p w:rsidRPr="00910723" w:rsidR="00411573" w:rsidP="00435435" w:rsidRDefault="00411573" w14:paraId="03C695AE" w14:textId="77777777">
            <w:pPr>
              <w:ind w:firstLine="220" w:firstLineChars="100"/>
              <w:rPr>
                <w:rFonts w:ascii="Arial" w:hAnsi="Arial" w:eastAsia="Times New Roman" w:cs="Arial"/>
                <w:sz w:val="20"/>
                <w:szCs w:val="20"/>
              </w:rPr>
            </w:pPr>
            <w:r w:rsidRPr="00910723">
              <w:t>b. 18 skirsnis. Finansų sistemos subjektų vidaus turto rodiklis</w:t>
            </w:r>
          </w:p>
        </w:tc>
        <w:tc>
          <w:tcPr>
            <w:tcW w:w="2745" w:type="dxa"/>
            <w:tcBorders>
              <w:left w:val="nil"/>
              <w:right w:val="nil"/>
            </w:tcBorders>
            <w:noWrap/>
          </w:tcPr>
          <w:p w:rsidRPr="00910723" w:rsidR="00411573" w:rsidP="00435435" w:rsidRDefault="00411573" w14:paraId="7468D7E0" w14:textId="77777777">
            <w:pPr>
              <w:jc w:val="right"/>
              <w:rPr>
                <w:rFonts w:ascii="Arial" w:hAnsi="Arial" w:eastAsia="Times New Roman" w:cs="Arial"/>
                <w:sz w:val="20"/>
                <w:szCs w:val="20"/>
                <w:lang w:eastAsia="en-GB"/>
              </w:rPr>
            </w:pPr>
          </w:p>
        </w:tc>
      </w:tr>
      <w:tr w:rsidRPr="00910723" w:rsidR="00411573" w:rsidTr="00435435" w14:paraId="24E90C4A" w14:textId="77777777">
        <w:trPr>
          <w:trHeight w:val="300"/>
        </w:trPr>
        <w:tc>
          <w:tcPr>
            <w:tcW w:w="6804" w:type="dxa"/>
            <w:gridSpan w:val="2"/>
            <w:tcBorders>
              <w:left w:val="nil"/>
              <w:bottom w:val="single" w:color="auto" w:sz="4" w:space="0"/>
              <w:right w:val="nil"/>
            </w:tcBorders>
            <w:noWrap/>
          </w:tcPr>
          <w:p w:rsidRPr="00910723" w:rsidR="00411573" w:rsidP="00435435" w:rsidRDefault="00411573" w14:paraId="17861F36" w14:textId="77777777">
            <w:pPr>
              <w:ind w:firstLine="220" w:firstLineChars="100"/>
              <w:rPr>
                <w:rFonts w:ascii="Arial" w:hAnsi="Arial" w:eastAsia="Times New Roman" w:cs="Arial"/>
                <w:sz w:val="20"/>
                <w:szCs w:val="20"/>
              </w:rPr>
            </w:pPr>
            <w:r w:rsidRPr="00910723">
              <w:t>c. 18 skirsnis. Finansų sistemos subjektų vidaus įsipareigojimų rodiklis</w:t>
            </w:r>
          </w:p>
        </w:tc>
        <w:tc>
          <w:tcPr>
            <w:tcW w:w="2745" w:type="dxa"/>
            <w:tcBorders>
              <w:left w:val="nil"/>
              <w:right w:val="nil"/>
            </w:tcBorders>
            <w:noWrap/>
          </w:tcPr>
          <w:p w:rsidRPr="00910723" w:rsidR="00411573" w:rsidP="00435435" w:rsidRDefault="00411573" w14:paraId="0F680734" w14:textId="77777777">
            <w:pPr>
              <w:jc w:val="right"/>
              <w:rPr>
                <w:rFonts w:ascii="Arial" w:hAnsi="Arial" w:eastAsia="Times New Roman" w:cs="Arial"/>
                <w:sz w:val="20"/>
                <w:szCs w:val="20"/>
                <w:lang w:eastAsia="en-GB"/>
              </w:rPr>
            </w:pPr>
          </w:p>
        </w:tc>
      </w:tr>
      <w:tr w:rsidRPr="00910723" w:rsidR="00411573" w:rsidTr="00435435" w14:paraId="3F261258" w14:textId="77777777">
        <w:trPr>
          <w:trHeight w:val="300"/>
        </w:trPr>
        <w:tc>
          <w:tcPr>
            <w:tcW w:w="6804" w:type="dxa"/>
            <w:gridSpan w:val="2"/>
            <w:tcBorders>
              <w:left w:val="nil"/>
              <w:bottom w:val="single" w:color="auto" w:sz="4" w:space="0"/>
              <w:right w:val="nil"/>
            </w:tcBorders>
            <w:noWrap/>
          </w:tcPr>
          <w:p w:rsidRPr="00910723" w:rsidR="00411573" w:rsidP="00435435" w:rsidRDefault="00411573" w14:paraId="1B8947C7" w14:textId="77777777">
            <w:pPr>
              <w:ind w:firstLine="220" w:firstLineChars="100"/>
              <w:rPr>
                <w:rFonts w:ascii="Arial" w:hAnsi="Arial" w:eastAsia="Times New Roman" w:cs="Arial"/>
                <w:sz w:val="20"/>
                <w:szCs w:val="20"/>
              </w:rPr>
            </w:pPr>
            <w:r w:rsidRPr="00910723">
              <w:t>d. 18 skirsnis. Neapmokėtų vertybinių popierių rodiklis</w:t>
            </w:r>
          </w:p>
        </w:tc>
        <w:tc>
          <w:tcPr>
            <w:tcW w:w="2745" w:type="dxa"/>
            <w:tcBorders>
              <w:left w:val="nil"/>
              <w:right w:val="nil"/>
            </w:tcBorders>
            <w:noWrap/>
          </w:tcPr>
          <w:p w:rsidRPr="00910723" w:rsidR="00411573" w:rsidP="00435435" w:rsidRDefault="00411573" w14:paraId="7C936F69" w14:textId="77777777">
            <w:pPr>
              <w:jc w:val="right"/>
              <w:rPr>
                <w:rFonts w:ascii="Arial" w:hAnsi="Arial" w:eastAsia="Times New Roman" w:cs="Arial"/>
                <w:sz w:val="20"/>
                <w:szCs w:val="20"/>
                <w:lang w:eastAsia="en-GB"/>
              </w:rPr>
            </w:pPr>
          </w:p>
        </w:tc>
      </w:tr>
      <w:tr w:rsidRPr="00910723" w:rsidR="00411573" w:rsidTr="00435435" w14:paraId="12770258" w14:textId="77777777">
        <w:trPr>
          <w:trHeight w:val="300"/>
        </w:trPr>
        <w:tc>
          <w:tcPr>
            <w:tcW w:w="6804" w:type="dxa"/>
            <w:gridSpan w:val="2"/>
            <w:tcBorders>
              <w:left w:val="nil"/>
              <w:bottom w:val="single" w:color="auto" w:sz="4" w:space="0"/>
              <w:right w:val="nil"/>
            </w:tcBorders>
            <w:noWrap/>
          </w:tcPr>
          <w:p w:rsidRPr="00910723" w:rsidR="00411573" w:rsidP="00435435" w:rsidRDefault="00411573" w14:paraId="329A95E8" w14:textId="77777777">
            <w:pPr>
              <w:ind w:firstLine="220" w:firstLineChars="100"/>
              <w:rPr>
                <w:rFonts w:ascii="Arial" w:hAnsi="Arial" w:eastAsia="Times New Roman" w:cs="Arial"/>
                <w:sz w:val="20"/>
                <w:szCs w:val="20"/>
              </w:rPr>
            </w:pPr>
            <w:r w:rsidRPr="00910723">
              <w:t>e. 6 skirsnis. Mokėjimų veiklos rodiklis</w:t>
            </w:r>
          </w:p>
        </w:tc>
        <w:tc>
          <w:tcPr>
            <w:tcW w:w="2745" w:type="dxa"/>
            <w:tcBorders>
              <w:left w:val="nil"/>
              <w:right w:val="nil"/>
            </w:tcBorders>
            <w:noWrap/>
          </w:tcPr>
          <w:p w:rsidRPr="00910723" w:rsidR="00411573" w:rsidP="00435435" w:rsidRDefault="00411573" w14:paraId="6F75BA3F" w14:textId="77777777">
            <w:pPr>
              <w:jc w:val="right"/>
              <w:rPr>
                <w:rFonts w:ascii="Arial" w:hAnsi="Arial" w:eastAsia="Times New Roman" w:cs="Arial"/>
                <w:sz w:val="20"/>
                <w:szCs w:val="20"/>
                <w:lang w:eastAsia="en-GB"/>
              </w:rPr>
            </w:pPr>
          </w:p>
        </w:tc>
      </w:tr>
      <w:tr w:rsidRPr="00910723" w:rsidR="00411573" w:rsidTr="00435435" w14:paraId="1A2A8AEA" w14:textId="77777777">
        <w:trPr>
          <w:trHeight w:val="300"/>
        </w:trPr>
        <w:tc>
          <w:tcPr>
            <w:tcW w:w="6804" w:type="dxa"/>
            <w:gridSpan w:val="2"/>
            <w:tcBorders>
              <w:left w:val="nil"/>
              <w:bottom w:val="single" w:color="auto" w:sz="4" w:space="0"/>
              <w:right w:val="nil"/>
            </w:tcBorders>
            <w:noWrap/>
          </w:tcPr>
          <w:p w:rsidRPr="00910723" w:rsidR="00411573" w:rsidP="00435435" w:rsidRDefault="00411573" w14:paraId="7AA19C64" w14:textId="77777777">
            <w:pPr>
              <w:ind w:firstLine="220" w:firstLineChars="100"/>
              <w:rPr>
                <w:rFonts w:ascii="Arial" w:hAnsi="Arial" w:eastAsia="Times New Roman" w:cs="Arial"/>
                <w:sz w:val="20"/>
                <w:szCs w:val="20"/>
              </w:rPr>
            </w:pPr>
            <w:r w:rsidRPr="00910723">
              <w:t>f. 7 skirsnis. Saugomo turto rodiklis</w:t>
            </w:r>
          </w:p>
        </w:tc>
        <w:tc>
          <w:tcPr>
            <w:tcW w:w="2745" w:type="dxa"/>
            <w:tcBorders>
              <w:left w:val="nil"/>
              <w:right w:val="nil"/>
            </w:tcBorders>
            <w:noWrap/>
          </w:tcPr>
          <w:p w:rsidRPr="00910723" w:rsidR="00411573" w:rsidP="00435435" w:rsidRDefault="00411573" w14:paraId="24F9B1E6" w14:textId="77777777">
            <w:pPr>
              <w:jc w:val="right"/>
              <w:rPr>
                <w:rFonts w:ascii="Arial" w:hAnsi="Arial" w:eastAsia="Times New Roman" w:cs="Arial"/>
                <w:sz w:val="20"/>
                <w:szCs w:val="20"/>
                <w:lang w:eastAsia="en-GB"/>
              </w:rPr>
            </w:pPr>
          </w:p>
        </w:tc>
      </w:tr>
      <w:tr w:rsidRPr="00910723" w:rsidR="00411573" w:rsidTr="00435435" w14:paraId="147EC6EE" w14:textId="77777777">
        <w:trPr>
          <w:trHeight w:val="300"/>
        </w:trPr>
        <w:tc>
          <w:tcPr>
            <w:tcW w:w="6804" w:type="dxa"/>
            <w:gridSpan w:val="2"/>
            <w:tcBorders>
              <w:left w:val="nil"/>
              <w:bottom w:val="single" w:color="auto" w:sz="4" w:space="0"/>
              <w:right w:val="nil"/>
            </w:tcBorders>
            <w:noWrap/>
          </w:tcPr>
          <w:p w:rsidRPr="00910723" w:rsidR="00411573" w:rsidP="00435435" w:rsidRDefault="00411573" w14:paraId="6D1FFBFC" w14:textId="77777777">
            <w:pPr>
              <w:ind w:firstLine="220" w:firstLineChars="100"/>
              <w:rPr>
                <w:rFonts w:ascii="Arial" w:hAnsi="Arial" w:eastAsia="Times New Roman" w:cs="Arial"/>
                <w:sz w:val="20"/>
                <w:szCs w:val="20"/>
              </w:rPr>
            </w:pPr>
            <w:r w:rsidRPr="00910723">
              <w:t>g. 8 skirsnis. Platinimo veiklos rodiklis</w:t>
            </w:r>
          </w:p>
        </w:tc>
        <w:tc>
          <w:tcPr>
            <w:tcW w:w="2745" w:type="dxa"/>
            <w:tcBorders>
              <w:left w:val="nil"/>
              <w:right w:val="nil"/>
            </w:tcBorders>
            <w:noWrap/>
          </w:tcPr>
          <w:p w:rsidRPr="00910723" w:rsidR="00411573" w:rsidP="00435435" w:rsidRDefault="00411573" w14:paraId="7F12EF99" w14:textId="77777777">
            <w:pPr>
              <w:jc w:val="right"/>
              <w:rPr>
                <w:rFonts w:ascii="Arial" w:hAnsi="Arial" w:eastAsia="Times New Roman" w:cs="Arial"/>
                <w:sz w:val="20"/>
                <w:szCs w:val="20"/>
                <w:lang w:eastAsia="en-GB"/>
              </w:rPr>
            </w:pPr>
          </w:p>
        </w:tc>
      </w:tr>
      <w:tr w:rsidRPr="00910723" w:rsidR="00411573" w:rsidTr="00435435" w14:paraId="11A7220C" w14:textId="77777777">
        <w:trPr>
          <w:trHeight w:val="300"/>
        </w:trPr>
        <w:tc>
          <w:tcPr>
            <w:tcW w:w="6804" w:type="dxa"/>
            <w:gridSpan w:val="2"/>
            <w:tcBorders>
              <w:left w:val="nil"/>
              <w:bottom w:val="single" w:color="auto" w:sz="4" w:space="0"/>
              <w:right w:val="nil"/>
            </w:tcBorders>
            <w:noWrap/>
          </w:tcPr>
          <w:p w:rsidRPr="00910723" w:rsidR="00411573" w:rsidP="00435435" w:rsidRDefault="00411573" w14:paraId="5EA26629" w14:textId="77777777">
            <w:pPr>
              <w:ind w:firstLine="220" w:firstLineChars="100"/>
              <w:rPr>
                <w:rFonts w:ascii="Arial" w:hAnsi="Arial" w:eastAsia="Times New Roman" w:cs="Arial"/>
                <w:sz w:val="20"/>
                <w:szCs w:val="20"/>
              </w:rPr>
            </w:pPr>
            <w:r w:rsidRPr="00910723">
              <w:t>h. 20 skirsnis. Ne biržos (OTC) išvestinių finansinių priemonių rodiklis</w:t>
            </w:r>
          </w:p>
        </w:tc>
        <w:tc>
          <w:tcPr>
            <w:tcW w:w="2745" w:type="dxa"/>
            <w:tcBorders>
              <w:left w:val="nil"/>
              <w:right w:val="nil"/>
            </w:tcBorders>
            <w:noWrap/>
          </w:tcPr>
          <w:p w:rsidRPr="00910723" w:rsidR="00411573" w:rsidP="00435435" w:rsidRDefault="00411573" w14:paraId="17361A99" w14:textId="77777777">
            <w:pPr>
              <w:jc w:val="right"/>
              <w:rPr>
                <w:rFonts w:ascii="Arial" w:hAnsi="Arial" w:eastAsia="Times New Roman" w:cs="Arial"/>
                <w:sz w:val="20"/>
                <w:szCs w:val="20"/>
                <w:lang w:eastAsia="en-GB"/>
              </w:rPr>
            </w:pPr>
          </w:p>
        </w:tc>
      </w:tr>
      <w:tr w:rsidRPr="00910723" w:rsidR="00411573" w:rsidTr="00435435" w14:paraId="324FFB73" w14:textId="77777777">
        <w:trPr>
          <w:trHeight w:val="300"/>
        </w:trPr>
        <w:tc>
          <w:tcPr>
            <w:tcW w:w="6804" w:type="dxa"/>
            <w:gridSpan w:val="2"/>
            <w:tcBorders>
              <w:left w:val="nil"/>
              <w:bottom w:val="single" w:color="auto" w:sz="4" w:space="0"/>
              <w:right w:val="nil"/>
            </w:tcBorders>
            <w:noWrap/>
          </w:tcPr>
          <w:p w:rsidRPr="00910723" w:rsidR="00411573" w:rsidP="00435435" w:rsidRDefault="00411573" w14:paraId="53D1DE41" w14:textId="77777777">
            <w:pPr>
              <w:ind w:firstLine="220" w:firstLineChars="100"/>
              <w:rPr>
                <w:rFonts w:ascii="Arial" w:hAnsi="Arial" w:eastAsia="Times New Roman" w:cs="Arial"/>
                <w:sz w:val="20"/>
                <w:szCs w:val="20"/>
              </w:rPr>
            </w:pPr>
            <w:r w:rsidRPr="00910723">
              <w:t>i. 11 skirsnis. Prekybai laikomų ir skirtų parduoti vertybinių popierių rodiklis</w:t>
            </w:r>
          </w:p>
        </w:tc>
        <w:tc>
          <w:tcPr>
            <w:tcW w:w="2745" w:type="dxa"/>
            <w:tcBorders>
              <w:left w:val="nil"/>
              <w:right w:val="nil"/>
            </w:tcBorders>
            <w:noWrap/>
          </w:tcPr>
          <w:p w:rsidRPr="00910723" w:rsidR="00411573" w:rsidP="00435435" w:rsidRDefault="00411573" w14:paraId="354850C9" w14:textId="77777777">
            <w:pPr>
              <w:jc w:val="right"/>
              <w:rPr>
                <w:rFonts w:ascii="Arial" w:hAnsi="Arial" w:eastAsia="Times New Roman" w:cs="Arial"/>
                <w:sz w:val="20"/>
                <w:szCs w:val="20"/>
                <w:lang w:eastAsia="en-GB"/>
              </w:rPr>
            </w:pPr>
          </w:p>
        </w:tc>
      </w:tr>
      <w:tr w:rsidRPr="00910723" w:rsidR="00411573" w:rsidTr="00435435" w14:paraId="27A1339B" w14:textId="77777777">
        <w:trPr>
          <w:trHeight w:val="300"/>
        </w:trPr>
        <w:tc>
          <w:tcPr>
            <w:tcW w:w="6804" w:type="dxa"/>
            <w:gridSpan w:val="2"/>
            <w:tcBorders>
              <w:left w:val="nil"/>
              <w:bottom w:val="single" w:color="auto" w:sz="4" w:space="0"/>
              <w:right w:val="nil"/>
            </w:tcBorders>
            <w:noWrap/>
          </w:tcPr>
          <w:p w:rsidRPr="00910723" w:rsidR="00411573" w:rsidP="00435435" w:rsidRDefault="00411573" w14:paraId="416E28BE" w14:textId="77777777">
            <w:pPr>
              <w:ind w:firstLine="220" w:firstLineChars="100"/>
              <w:rPr>
                <w:rFonts w:ascii="Arial" w:hAnsi="Arial" w:eastAsia="Times New Roman" w:cs="Arial"/>
                <w:sz w:val="20"/>
                <w:szCs w:val="20"/>
              </w:rPr>
            </w:pPr>
            <w:r w:rsidRPr="00910723">
              <w:t>j. 20 skirsnis. 3 lygio turto rodiklis</w:t>
            </w:r>
          </w:p>
        </w:tc>
        <w:tc>
          <w:tcPr>
            <w:tcW w:w="2745" w:type="dxa"/>
            <w:tcBorders>
              <w:left w:val="nil"/>
              <w:right w:val="nil"/>
            </w:tcBorders>
            <w:noWrap/>
          </w:tcPr>
          <w:p w:rsidRPr="00910723" w:rsidR="00411573" w:rsidP="00435435" w:rsidRDefault="00411573" w14:paraId="3A1DE32E" w14:textId="77777777">
            <w:pPr>
              <w:jc w:val="right"/>
              <w:rPr>
                <w:rFonts w:ascii="Arial" w:hAnsi="Arial" w:eastAsia="Times New Roman" w:cs="Arial"/>
                <w:sz w:val="20"/>
                <w:szCs w:val="20"/>
                <w:lang w:eastAsia="en-GB"/>
              </w:rPr>
            </w:pPr>
          </w:p>
        </w:tc>
      </w:tr>
      <w:tr w:rsidRPr="00910723" w:rsidR="00411573" w:rsidTr="00435435" w14:paraId="77A04A27" w14:textId="77777777">
        <w:trPr>
          <w:trHeight w:val="300"/>
        </w:trPr>
        <w:tc>
          <w:tcPr>
            <w:tcW w:w="6804" w:type="dxa"/>
            <w:gridSpan w:val="2"/>
            <w:tcBorders>
              <w:left w:val="nil"/>
              <w:bottom w:val="single" w:color="auto" w:sz="4" w:space="0"/>
              <w:right w:val="nil"/>
            </w:tcBorders>
            <w:noWrap/>
          </w:tcPr>
          <w:p w:rsidRPr="00910723" w:rsidR="00411573" w:rsidP="00435435" w:rsidRDefault="00411573" w14:paraId="6E457741" w14:textId="77777777">
            <w:pPr>
              <w:ind w:firstLine="220" w:firstLineChars="100"/>
              <w:rPr>
                <w:rFonts w:ascii="Arial" w:hAnsi="Arial" w:eastAsia="Times New Roman" w:cs="Arial"/>
                <w:sz w:val="20"/>
                <w:szCs w:val="20"/>
              </w:rPr>
            </w:pPr>
            <w:r w:rsidRPr="00910723">
              <w:t>k. 13 skirsnis. Tarpjurisdikcinių reikalavimų rodiklis</w:t>
            </w:r>
          </w:p>
        </w:tc>
        <w:tc>
          <w:tcPr>
            <w:tcW w:w="2745" w:type="dxa"/>
            <w:tcBorders>
              <w:left w:val="nil"/>
              <w:right w:val="nil"/>
            </w:tcBorders>
            <w:noWrap/>
          </w:tcPr>
          <w:p w:rsidRPr="00910723" w:rsidR="00411573" w:rsidP="00435435" w:rsidRDefault="00411573" w14:paraId="79FCF06C" w14:textId="77777777">
            <w:pPr>
              <w:jc w:val="right"/>
              <w:rPr>
                <w:rFonts w:ascii="Arial" w:hAnsi="Arial" w:eastAsia="Times New Roman" w:cs="Arial"/>
                <w:sz w:val="20"/>
                <w:szCs w:val="20"/>
                <w:lang w:eastAsia="en-GB"/>
              </w:rPr>
            </w:pPr>
          </w:p>
        </w:tc>
      </w:tr>
      <w:tr w:rsidRPr="00910723" w:rsidR="00411573" w:rsidTr="00435435" w14:paraId="25CEE8F7" w14:textId="77777777">
        <w:trPr>
          <w:trHeight w:val="300"/>
        </w:trPr>
        <w:tc>
          <w:tcPr>
            <w:tcW w:w="6804" w:type="dxa"/>
            <w:gridSpan w:val="2"/>
            <w:tcBorders>
              <w:left w:val="nil"/>
              <w:bottom w:val="single" w:color="auto" w:sz="4" w:space="0"/>
              <w:right w:val="nil"/>
            </w:tcBorders>
            <w:noWrap/>
          </w:tcPr>
          <w:p w:rsidRPr="00910723" w:rsidR="00411573" w:rsidP="00435435" w:rsidRDefault="00411573" w14:paraId="5B49C229" w14:textId="77777777">
            <w:pPr>
              <w:ind w:firstLine="220" w:firstLineChars="100"/>
              <w:rPr>
                <w:rFonts w:ascii="Arial" w:hAnsi="Arial" w:eastAsia="Times New Roman" w:cs="Arial"/>
                <w:sz w:val="20"/>
                <w:szCs w:val="20"/>
              </w:rPr>
            </w:pPr>
            <w:r w:rsidRPr="00910723">
              <w:t>l. 21 skirsnis. Tarpjurisdikcinių įsipareigojimų rodiklis</w:t>
            </w:r>
          </w:p>
        </w:tc>
        <w:tc>
          <w:tcPr>
            <w:tcW w:w="2745" w:type="dxa"/>
            <w:tcBorders>
              <w:left w:val="nil"/>
              <w:right w:val="nil"/>
            </w:tcBorders>
            <w:noWrap/>
          </w:tcPr>
          <w:p w:rsidRPr="00910723" w:rsidR="00411573" w:rsidP="00435435" w:rsidRDefault="00411573" w14:paraId="37AA92CF" w14:textId="77777777">
            <w:pPr>
              <w:jc w:val="right"/>
              <w:rPr>
                <w:rFonts w:ascii="Arial" w:hAnsi="Arial" w:eastAsia="Times New Roman" w:cs="Arial"/>
                <w:sz w:val="20"/>
                <w:szCs w:val="20"/>
                <w:lang w:eastAsia="en-GB"/>
              </w:rPr>
            </w:pPr>
          </w:p>
        </w:tc>
      </w:tr>
    </w:tbl>
    <w:p w:rsidRPr="00910723" w:rsidR="00411573" w:rsidP="00411573" w:rsidRDefault="00411573" w14:paraId="0DCC1670" w14:textId="77777777">
      <w:pPr>
        <w:widowControl w:val="0"/>
        <w:tabs>
          <w:tab w:val="left" w:pos="1116"/>
        </w:tabs>
        <w:autoSpaceDE w:val="0"/>
        <w:spacing w:before="10"/>
      </w:pPr>
    </w:p>
    <w:p w:rsidRPr="00910723" w:rsidR="00411573" w:rsidP="00411573" w:rsidRDefault="00411573" w14:paraId="69857DD5" w14:textId="77777777">
      <w:pPr>
        <w:pStyle w:val="BodyText"/>
        <w:spacing w:line="20" w:lineRule="exact"/>
        <w:rPr>
          <w:sz w:val="2"/>
        </w:rPr>
      </w:pPr>
    </w:p>
    <w:p w:rsidRPr="005D4C29" w:rsidR="005D4C29" w:rsidP="00411573" w:rsidRDefault="005D4C29" w14:paraId="2CAD25A2" w14:textId="77777777">
      <w:pPr>
        <w:widowControl w:val="0"/>
        <w:tabs>
          <w:tab w:val="left" w:pos="525"/>
        </w:tabs>
        <w:autoSpaceDE w:val="0"/>
        <w:autoSpaceDN w:val="0"/>
        <w:spacing w:before="240" w:after="120" w:line="276" w:lineRule="auto"/>
        <w:jc w:val="both"/>
      </w:pPr>
    </w:p>
    <w:sectPr w:rsidRPr="005D4C29" w:rsidR="005D4C29" w:rsidSect="000F33D3">
      <w:pgSz w:w="11900" w:h="16840"/>
      <w:pgMar w:top="2268" w:right="1418" w:bottom="1134" w:left="1701"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4B256" w14:textId="77777777" w:rsidR="003576B7" w:rsidRDefault="003576B7" w:rsidP="00A00E34">
      <w:r>
        <w:separator/>
      </w:r>
    </w:p>
    <w:p w14:paraId="444A6296" w14:textId="77777777" w:rsidR="003576B7" w:rsidRDefault="003576B7"/>
  </w:endnote>
  <w:endnote w:type="continuationSeparator" w:id="0">
    <w:p w14:paraId="5B842BEC" w14:textId="77777777" w:rsidR="003576B7" w:rsidRDefault="003576B7" w:rsidP="00A00E34">
      <w:r>
        <w:continuationSeparator/>
      </w:r>
    </w:p>
    <w:p w14:paraId="7895DAEB" w14:textId="77777777" w:rsidR="003576B7" w:rsidRDefault="003576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76B7" w:rsidP="0017667F" w:rsidRDefault="003576B7" w14:paraId="080CB608" w14:textId="77777777">
    <w:pPr>
      <w:pStyle w:val="Footer"/>
      <w:rPr>
        <w:rStyle w:val="PageNumber"/>
        <w:noProof/>
      </w:rPr>
    </w:pPr>
    <w:r>
      <w:rPr>
        <w:rStyle w:val="PageNumber"/>
      </w:rPr>
      <w:fldChar w:fldCharType="begin"/>
    </w:r>
    <w:r>
      <w:rPr>
        <w:rStyle w:val="PageNumber"/>
      </w:rPr>
      <w:instrText xml:space="preserve">PAGE  </w:instrText>
    </w:r>
    <w:r>
      <w:rPr>
        <w:rStyle w:val="PageNumber"/>
      </w:rPr>
      <w:fldChar w:fldCharType="end"/>
    </w:r>
  </w:p>
  <w:p w:rsidR="003576B7" w:rsidP="00610305" w:rsidRDefault="003576B7" w14:paraId="6AB0007C" w14:textId="77777777">
    <w:pPr>
      <w:pStyle w:val="Footer"/>
      <w:ind w:right="360"/>
      <w:rPr>
        <w:noProof/>
      </w:rPr>
    </w:pPr>
  </w:p>
</w:ftr>
</file>

<file path=word/footer2.xml><?xml version="1.0" encoding="utf-8"?>
<w:ftr xmlns:a="http://schemas.openxmlformats.org/drawingml/2006/main" xmlns:ma14="http://schemas.microsoft.com/office/mac/drawingml/2011/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D4C29" w:rsidR="003576B7" w:rsidP="0017667F" w:rsidRDefault="003576B7" w14:paraId="5614D581" w14:textId="2EE7E91E">
    <w:pPr>
      <w:pStyle w:val="Footer"/>
      <w:rPr>
        <w:rStyle w:val="PageNumber"/>
        <w:noProof/>
      </w:rPr>
    </w:pPr>
    <w:r w:rsidRPr="005D4C29">
      <w:rPr>
        <w:rStyle w:val="PageNumber"/>
      </w:rPr>
      <w:fldChar w:fldCharType="begin"/>
    </w:r>
    <w:r w:rsidRPr="005D4C29">
      <w:rPr>
        <w:rStyle w:val="PageNumber"/>
      </w:rPr>
      <w:instrText xml:space="preserve">PAGE  </w:instrText>
    </w:r>
    <w:r w:rsidRPr="005D4C29">
      <w:rPr>
        <w:rStyle w:val="PageNumber"/>
      </w:rPr>
      <w:fldChar w:fldCharType="separate"/>
    </w:r>
    <w:r w:rsidR="00862D62">
      <w:rPr>
        <w:rStyle w:val="PageNumber"/>
        <w:noProof/>
      </w:rPr>
      <w:t>1</w:t>
    </w:r>
    <w:r w:rsidRPr="005D4C29">
      <w:rPr>
        <w:rStyle w:val="PageNumber"/>
      </w:rPr>
      <w:fldChar w:fldCharType="end"/>
    </w:r>
  </w:p>
  <w:p w:rsidRPr="005D4C29" w:rsidR="003576B7" w:rsidP="00610305" w:rsidRDefault="003576B7" w14:paraId="784F970B" w14:textId="77777777">
    <w:pPr>
      <w:pStyle w:val="Footer"/>
      <w:ind w:right="360"/>
      <w:rPr>
        <w:noProof/>
      </w:rPr>
    </w:pPr>
    <w:r w:rsidRPr="005D4C29">
      <w:rPr>
        <w:noProof/>
        <w:lang w:val="en-GB" w:eastAsia="en-GB"/>
      </w:rPr>
      <mc:AlternateContent>
        <mc:Choice Requires="wps">
          <w:drawing>
            <wp:anchor distT="4294967295" distB="4294967295" distL="114300" distR="114300" simplePos="0" relativeHeight="251657728" behindDoc="1" locked="1" layoutInCell="1" allowOverlap="1" wp14:editId="79C4ED7B" wp14:anchorId="03980358">
              <wp:simplePos x="0" y="0"/>
              <wp:positionH relativeFrom="column">
                <wp:posOffset>-71120</wp:posOffset>
              </wp:positionH>
              <wp:positionV relativeFrom="page">
                <wp:posOffset>9973309</wp:posOffset>
              </wp:positionV>
              <wp:extent cx="5723890" cy="0"/>
              <wp:effectExtent l="0" t="0" r="1016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3890" cy="0"/>
                      </a:xfrm>
                      <a:prstGeom prst="line">
                        <a:avLst/>
                      </a:prstGeom>
                      <a:ln w="12700" cmpd="sng"/>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o:spid="_x0000_s1026" strokecolor="#2f5773 [3204]"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" from="-5.6pt,785.3pt" to="445.1pt,785.3pt" w14:anchorId="72C27AA2">
              <o:lock v:ext="edit" shapetype="f"/>
              <w10:wrap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76B7" w:rsidRDefault="003576B7" w14:paraId="162C7EF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797A6" w14:textId="77777777" w:rsidR="003576B7" w:rsidRPr="00DB5E8F" w:rsidRDefault="003576B7">
      <w:pPr>
        <w:rPr>
          <w:sz w:val="12"/>
          <w:szCs w:val="12"/>
        </w:rPr>
      </w:pPr>
      <w:r w:rsidRPr="00DB5E8F">
        <w:rPr>
          <w:sz w:val="12"/>
          <w:szCs w:val="12"/>
        </w:rPr>
        <w:separator/>
      </w:r>
    </w:p>
  </w:footnote>
  <w:footnote w:type="continuationSeparator" w:id="0">
    <w:p w14:paraId="3E9CCBC4" w14:textId="77777777" w:rsidR="003576B7" w:rsidRDefault="003576B7" w:rsidP="00A00E34">
      <w:r>
        <w:continuationSeparator/>
      </w:r>
    </w:p>
    <w:p w14:paraId="2041F486" w14:textId="77777777" w:rsidR="003576B7" w:rsidRDefault="003576B7"/>
  </w:footnote>
  <w:footnote w:type="continuationNotice" w:id="1">
    <w:p w14:paraId="6607FBA6" w14:textId="77777777" w:rsidR="003576B7" w:rsidRDefault="003576B7"/>
  </w:footnote>
  <w:footnote w:id="2">
    <w:p w14:paraId="2415DC9F" w14:textId="77777777" w:rsidR="003576B7" w:rsidRPr="005D4C29" w:rsidRDefault="003576B7" w:rsidP="00C92B4B">
      <w:pPr>
        <w:pStyle w:val="FootnoteText"/>
        <w:rPr>
          <w:rFonts w:ascii="Calibri" w:hAnsi="Calibri" w:cs="Calibri"/>
        </w:rPr>
      </w:pPr>
      <w:r w:rsidRPr="005D4C29">
        <w:rPr>
          <w:rStyle w:val="FootnoteReference"/>
          <w:rFonts w:ascii="Calibri" w:hAnsi="Calibri" w:cs="Calibri"/>
          <w:sz w:val="18"/>
        </w:rPr>
        <w:footnoteRef/>
      </w:r>
      <w:r w:rsidRPr="005D4C29">
        <w:rPr>
          <w:rFonts w:ascii="Calibri" w:hAnsi="Calibri"/>
        </w:rPr>
        <w:t xml:space="preserve"> 2010 m. lapkričio 24 d. Europos Parlamento ir Tarybos reglamentas (ES) Nr. 1093/2010, kuriuo įsteigiama Europos priežiūros institucija (Europos bankininkystės institucija), iš dalies keičiamas Sprendimas Nr. 716/2009/EB ir panaikinamas Komisijos sprendimas 2009/78/EB (OL L 331, 2010 12 15, p. 12).</w:t>
      </w:r>
    </w:p>
  </w:footnote>
  <w:footnote w:id="3">
    <w:p w14:paraId="5C151746" w14:textId="77777777" w:rsidR="00411573" w:rsidRPr="00910723" w:rsidRDefault="00411573" w:rsidP="00411573">
      <w:pPr>
        <w:pStyle w:val="FootnoteText"/>
      </w:pPr>
      <w:r w:rsidRPr="00910723">
        <w:rPr>
          <w:rStyle w:val="FootnoteReference"/>
          <w:lang w:val="en-GB"/>
        </w:rPr>
        <w:footnoteRef/>
      </w:r>
      <w:r w:rsidRPr="00910723">
        <w:t xml:space="preserve"> https://www.eba.europa.eu/risk-analysis-and-data/global-systemically-important-institutions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76B7" w:rsidRDefault="003576B7" w14:paraId="15858AF4" w14:textId="77777777">
    <w:pPr>
      <w:rPr>
        <w:noProof/>
      </w:rPr>
    </w:pPr>
    <w:r>
      <w:ptab w:alignment="center" w:relativeTo="margin" w:leader="none"/>
    </w:r>
    <w:r>
      <w:ptab w:alignment="right" w:relativeTo="margin" w:leader="none"/>
    </w:r>
  </w:p>
  <w:p w:rsidR="003576B7" w:rsidRDefault="003576B7" w14:paraId="3F30703B" w14:textId="77777777">
    <w:pPr>
      <w:rPr>
        <w:noProof/>
      </w:rPr>
    </w:pPr>
  </w:p>
</w:hdr>
</file>

<file path=word/header2.xml><?xml version="1.0" encoding="utf-8"?>
<w:hdr xmlns:a="http://schemas.openxmlformats.org/drawingml/2006/main" xmlns:pic="http://schemas.openxmlformats.org/drawingml/2006/picture" xmlns:a14="http://schemas.microsoft.com/office/drawing/2010/main" xmlns:arto="http://schemas.microsoft.com/office/word/2006/arto" xmlns:mo="http://schemas.microsoft.com/office/mac/office/2008/main" xmlns:mv="urn:schemas-microsoft-com:mac:vml" xmlns:ma14="http://schemas.microsoft.com/office/mac/drawingml/2011/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D4C29" w:rsidR="003576B7" w:rsidP="002215B5" w:rsidRDefault="003576B7" w14:paraId="1BBCB7AC" w14:textId="77777777">
    <w:pPr>
      <w:pStyle w:val="Runningtitle"/>
      <w:rPr>
        <w:noProof/>
      </w:rPr>
    </w:pPr>
    <w:r w:rsidRPr="005D4C29">
      <w:rPr>
        <w:noProof/>
        <w:lang w:val="en-GB" w:eastAsia="en-GB"/>
      </w:rPr>
      <w:drawing>
        <wp:anchor distT="0" distB="0" distL="114300" distR="114300" simplePos="0" relativeHeight="251671040" behindDoc="0" locked="0" layoutInCell="1" allowOverlap="1" wp14:editId="5F05FBC1" wp14:anchorId="24AEBFEF">
          <wp:simplePos x="0" y="0"/>
          <wp:positionH relativeFrom="column">
            <wp:posOffset>4739392</wp:posOffset>
          </wp:positionH>
          <wp:positionV relativeFrom="page">
            <wp:posOffset>450215</wp:posOffset>
          </wp:positionV>
          <wp:extent cx="1207770" cy="4476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207770" cy="447675"/>
                  </a:xfrm>
                  <a:prstGeom prst="rect">
                    <a:avLst/>
                  </a:prstGeom>
                  <a:extLst>
                    <a:ext uri="{FAA26D3D-D897-4be2-8F04-BA451C77F1D7}">
                      <ma14:placeholderFlag xmlns:arto="http://schemas.microsoft.com/office/word/2006/arto"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14="http://schemas.microsoft.com/office/drawing/2010/main"/>
                    </a:ext>
                  </a:extLst>
                </pic:spPr>
              </pic:pic>
            </a:graphicData>
          </a:graphic>
        </wp:anchor>
      </w:drawing>
    </w:r>
    <w:r w:rsidRPr="005D4C29">
      <w:t>GALUTINĖ ataskaita dėl EBI sisteminės svarbos rodiklių</w:t>
    </w:r>
  </w:p>
  <w:p w:rsidRPr="005D4C29" w:rsidR="003576B7" w:rsidP="002215B5" w:rsidRDefault="003576B7" w14:paraId="31DEF590" w14:textId="77777777">
    <w:pPr>
      <w:pStyle w:val="Runningtitle"/>
      <w:rPr>
        <w:noProof/>
      </w:rPr>
    </w:pPr>
    <w:r w:rsidRPr="005D4C29">
      <w:t>nurodymo ir atskleidimo gairių</w:t>
    </w:r>
  </w:p>
  <w:p w:rsidRPr="005D4C29" w:rsidR="003576B7" w:rsidP="002215B5" w:rsidRDefault="003576B7" w14:paraId="517F5201" w14:textId="77777777">
    <w:pPr>
      <w:pStyle w:val="Header"/>
      <w:rPr>
        <w:noProof/>
      </w:rPr>
    </w:pPr>
  </w:p>
</w:hdr>
</file>

<file path=word/header3.xml><?xml version="1.0" encoding="utf-8"?>
<w:hdr xmlns:a="http://schemas.openxmlformats.org/drawingml/2006/main" xmlns:pic="http://schemas.openxmlformats.org/drawingml/2006/picture" xmlns:a14="http://schemas.microsoft.com/office/drawing/2010/main" xmlns:ma14="http://schemas.microsoft.com/office/mac/drawingml/2011/main" xmlns:mv="urn:schemas-microsoft-com:mac:vml" xmlns:mo="http://schemas.microsoft.com/office/mac/office/2008/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76B7" w:rsidP="00E677EF" w:rsidRDefault="003576B7" w14:paraId="7BA4CE7C" w14:textId="77777777">
    <w:pPr>
      <w:pStyle w:val="Runningtitle"/>
      <w:rPr>
        <w:noProof/>
      </w:rPr>
    </w:pPr>
    <w:r>
      <w:t>running title comes here in running title style</w:t>
    </w:r>
    <w:r>
      <w:rPr>
        <w:noProof/>
        <w:lang w:val="en-GB" w:eastAsia="en-GB"/>
      </w:rPr>
      <w:drawing>
        <wp:anchor distT="0" distB="0" distL="114300" distR="114300" simplePos="0" relativeHeight="251653632" behindDoc="1" locked="1" layoutInCell="1" allowOverlap="0" wp14:editId="6DDBCB5F" wp14:anchorId="12D76F76">
          <wp:simplePos x="0" y="0"/>
          <wp:positionH relativeFrom="page">
            <wp:posOffset>4702175</wp:posOffset>
          </wp:positionH>
          <wp:positionV relativeFrom="page">
            <wp:posOffset>450215</wp:posOffset>
          </wp:positionV>
          <wp:extent cx="1941830" cy="719455"/>
          <wp:effectExtent l="0" t="0" r="0" b="0"/>
          <wp:wrapNone/>
          <wp:docPr id="2"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941830" cy="719455"/>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a14="http://schemas.microsoft.com/office/drawing/2010/main" val="1"/>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B7860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5078C"/>
    <w:multiLevelType w:val="hybridMultilevel"/>
    <w:tmpl w:val="D53853DA"/>
    <w:lvl w:ilvl="0" w:tplc="AFE0D250">
      <w:start w:val="1"/>
      <w:numFmt w:val="bullet"/>
      <w:pStyle w:val="List"/>
      <w:lvlText w:val=""/>
      <w:lvlJc w:val="left"/>
      <w:pPr>
        <w:tabs>
          <w:tab w:val="num" w:pos="680"/>
        </w:tabs>
        <w:ind w:left="680" w:hanging="68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313DF"/>
    <w:multiLevelType w:val="hybridMultilevel"/>
    <w:tmpl w:val="A8C659F6"/>
    <w:lvl w:ilvl="0" w:tplc="9174AD42">
      <w:start w:val="1"/>
      <w:numFmt w:val="bullet"/>
      <w:pStyle w:val="bullet1"/>
      <w:lvlText w:val=""/>
      <w:lvlJc w:val="left"/>
      <w:pPr>
        <w:tabs>
          <w:tab w:val="num" w:pos="340"/>
        </w:tabs>
        <w:ind w:left="340" w:hanging="34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32270F"/>
    <w:multiLevelType w:val="hybridMultilevel"/>
    <w:tmpl w:val="5B16EA34"/>
    <w:lvl w:ilvl="0" w:tplc="D50E11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FA148C"/>
    <w:multiLevelType w:val="hybridMultilevel"/>
    <w:tmpl w:val="271A5E36"/>
    <w:lvl w:ilvl="0" w:tplc="9B42E0A2">
      <w:start w:val="1"/>
      <w:numFmt w:val="bullet"/>
      <w:lvlText w:val=""/>
      <w:lvlJc w:val="left"/>
      <w:pPr>
        <w:ind w:left="4904" w:hanging="360"/>
      </w:pPr>
      <w:rPr>
        <w:rFonts w:ascii="Symbol" w:hAnsi="Symbol" w:hint="default"/>
        <w:b w:val="0"/>
        <w:i w:val="0"/>
        <w:caps w:val="0"/>
        <w:strike w:val="0"/>
        <w:dstrike w:val="0"/>
        <w:vanish w:val="0"/>
        <w:color w:val="2F5773" w:themeColor="accent1"/>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1" w:tplc="A6848682">
      <w:start w:val="1"/>
      <w:numFmt w:val="bullet"/>
      <w:lvlText w:val="–"/>
      <w:lvlJc w:val="left"/>
      <w:pPr>
        <w:tabs>
          <w:tab w:val="num" w:pos="8819"/>
        </w:tabs>
        <w:ind w:left="8771" w:hanging="312"/>
      </w:pPr>
      <w:rPr>
        <w:rFonts w:hint="default"/>
      </w:rPr>
    </w:lvl>
    <w:lvl w:ilvl="2" w:tplc="993055DA">
      <w:start w:val="1"/>
      <w:numFmt w:val="bullet"/>
      <w:lvlText w:val=""/>
      <w:lvlJc w:val="left"/>
      <w:pPr>
        <w:tabs>
          <w:tab w:val="num" w:pos="9539"/>
        </w:tabs>
        <w:ind w:left="9539" w:hanging="360"/>
      </w:pPr>
      <w:rPr>
        <w:rFonts w:ascii="Wingdings" w:hAnsi="Wingdings" w:hint="default"/>
      </w:rPr>
    </w:lvl>
    <w:lvl w:ilvl="3" w:tplc="22C2BE88">
      <w:start w:val="1"/>
      <w:numFmt w:val="bullet"/>
      <w:lvlText w:val=""/>
      <w:lvlJc w:val="left"/>
      <w:pPr>
        <w:tabs>
          <w:tab w:val="num" w:pos="10259"/>
        </w:tabs>
        <w:ind w:left="10259" w:hanging="360"/>
      </w:pPr>
      <w:rPr>
        <w:rFonts w:ascii="Symbol" w:hAnsi="Symbol" w:hint="default"/>
      </w:rPr>
    </w:lvl>
    <w:lvl w:ilvl="4" w:tplc="FD0073C0">
      <w:start w:val="1"/>
      <w:numFmt w:val="bullet"/>
      <w:lvlText w:val="o"/>
      <w:lvlJc w:val="left"/>
      <w:pPr>
        <w:tabs>
          <w:tab w:val="num" w:pos="10979"/>
        </w:tabs>
        <w:ind w:left="10979" w:hanging="360"/>
      </w:pPr>
      <w:rPr>
        <w:rFonts w:ascii="Courier New" w:hAnsi="Courier New" w:hint="default"/>
      </w:rPr>
    </w:lvl>
    <w:lvl w:ilvl="5" w:tplc="FBD6D0BE">
      <w:start w:val="1"/>
      <w:numFmt w:val="bullet"/>
      <w:lvlText w:val=""/>
      <w:lvlJc w:val="left"/>
      <w:pPr>
        <w:tabs>
          <w:tab w:val="num" w:pos="11699"/>
        </w:tabs>
        <w:ind w:left="11699" w:hanging="360"/>
      </w:pPr>
      <w:rPr>
        <w:rFonts w:ascii="Wingdings" w:hAnsi="Wingdings" w:hint="default"/>
      </w:rPr>
    </w:lvl>
    <w:lvl w:ilvl="6" w:tplc="C00E4D52">
      <w:start w:val="1"/>
      <w:numFmt w:val="bullet"/>
      <w:lvlText w:val=""/>
      <w:lvlJc w:val="left"/>
      <w:pPr>
        <w:tabs>
          <w:tab w:val="num" w:pos="12419"/>
        </w:tabs>
        <w:ind w:left="12419" w:hanging="360"/>
      </w:pPr>
      <w:rPr>
        <w:rFonts w:ascii="Symbol" w:hAnsi="Symbol" w:hint="default"/>
      </w:rPr>
    </w:lvl>
    <w:lvl w:ilvl="7" w:tplc="CE60E00E">
      <w:start w:val="1"/>
      <w:numFmt w:val="bullet"/>
      <w:lvlText w:val="o"/>
      <w:lvlJc w:val="left"/>
      <w:pPr>
        <w:tabs>
          <w:tab w:val="num" w:pos="13139"/>
        </w:tabs>
        <w:ind w:left="13139" w:hanging="360"/>
      </w:pPr>
      <w:rPr>
        <w:rFonts w:ascii="Courier New" w:hAnsi="Courier New" w:hint="default"/>
      </w:rPr>
    </w:lvl>
    <w:lvl w:ilvl="8" w:tplc="FA3C6548" w:tentative="1">
      <w:start w:val="1"/>
      <w:numFmt w:val="bullet"/>
      <w:lvlText w:val=""/>
      <w:lvlJc w:val="left"/>
      <w:pPr>
        <w:tabs>
          <w:tab w:val="num" w:pos="13859"/>
        </w:tabs>
        <w:ind w:left="13859" w:hanging="360"/>
      </w:pPr>
      <w:rPr>
        <w:rFonts w:ascii="Wingdings" w:hAnsi="Wingdings" w:hint="default"/>
      </w:rPr>
    </w:lvl>
  </w:abstractNum>
  <w:abstractNum w:abstractNumId="5" w15:restartNumberingAfterBreak="0">
    <w:nsid w:val="15453EDA"/>
    <w:multiLevelType w:val="hybridMultilevel"/>
    <w:tmpl w:val="31527A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AB4168"/>
    <w:multiLevelType w:val="multilevel"/>
    <w:tmpl w:val="AD9E135A"/>
    <w:lvl w:ilvl="0">
      <w:start w:val="1"/>
      <w:numFmt w:val="decimal"/>
      <w:lvlText w:val="%1."/>
      <w:lvlJc w:val="left"/>
      <w:pPr>
        <w:ind w:left="0" w:firstLine="0"/>
      </w:pPr>
      <w:rPr>
        <w:rFonts w:hint="default"/>
      </w:rPr>
    </w:lvl>
    <w:lvl w:ilvl="1">
      <w:start w:val="1"/>
      <w:numFmt w:val="none"/>
      <w:isLgl/>
      <w:lvlText w:val="1.%1"/>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7" w15:restartNumberingAfterBreak="0">
    <w:nsid w:val="1B180EB8"/>
    <w:multiLevelType w:val="singleLevel"/>
    <w:tmpl w:val="CB4A6434"/>
    <w:lvl w:ilvl="0">
      <w:start w:val="1"/>
      <w:numFmt w:val="decimal"/>
      <w:lvlRestart w:val="0"/>
      <w:lvlText w:val="(%1)"/>
      <w:lvlJc w:val="left"/>
      <w:pPr>
        <w:tabs>
          <w:tab w:val="num" w:pos="709"/>
        </w:tabs>
        <w:ind w:left="709" w:hanging="709"/>
      </w:pPr>
    </w:lvl>
  </w:abstractNum>
  <w:abstractNum w:abstractNumId="8" w15:restartNumberingAfterBreak="0">
    <w:nsid w:val="1E3333AC"/>
    <w:multiLevelType w:val="multilevel"/>
    <w:tmpl w:val="CBCABAAE"/>
    <w:lvl w:ilvl="0">
      <w:start w:val="1"/>
      <w:numFmt w:val="decimal"/>
      <w:lvlText w:val="%1."/>
      <w:lvlJc w:val="left"/>
      <w:pPr>
        <w:ind w:left="0" w:firstLine="0"/>
      </w:pPr>
      <w:rPr>
        <w:rFonts w:hint="default"/>
      </w:rPr>
    </w:lvl>
    <w:lvl w:ilvl="1">
      <w:start w:val="1"/>
      <w:numFmt w:val="decimal"/>
      <w:lvlText w:val="%2.%1"/>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9" w15:restartNumberingAfterBreak="0">
    <w:nsid w:val="21503BE3"/>
    <w:multiLevelType w:val="hybridMultilevel"/>
    <w:tmpl w:val="5DC83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8F008E"/>
    <w:multiLevelType w:val="hybridMultilevel"/>
    <w:tmpl w:val="0CEAE5E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340760A"/>
    <w:multiLevelType w:val="multilevel"/>
    <w:tmpl w:val="C95A32BC"/>
    <w:lvl w:ilvl="0">
      <w:start w:val="1"/>
      <w:numFmt w:val="decimal"/>
      <w:lvlText w:val="%1."/>
      <w:lvlJc w:val="left"/>
      <w:pPr>
        <w:ind w:left="0" w:firstLine="0"/>
      </w:pPr>
      <w:rPr>
        <w:rFonts w:hint="default"/>
      </w:rPr>
    </w:lvl>
    <w:lvl w:ilvl="1">
      <w:start w:val="1"/>
      <w:numFmt w:val="decimal"/>
      <w:lvlText w:val="%2.%1"/>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2" w15:restartNumberingAfterBreak="0">
    <w:nsid w:val="2A9A15F4"/>
    <w:multiLevelType w:val="hybridMultilevel"/>
    <w:tmpl w:val="44B2CE44"/>
    <w:lvl w:ilvl="0" w:tplc="67FA7E14">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B2B3A92"/>
    <w:multiLevelType w:val="singleLevel"/>
    <w:tmpl w:val="73D64A0E"/>
    <w:name w:val="Considérant__1"/>
    <w:lvl w:ilvl="0">
      <w:start w:val="1"/>
      <w:numFmt w:val="decimal"/>
      <w:lvlRestart w:val="0"/>
      <w:pStyle w:val="Considrant"/>
      <w:lvlText w:val="(%1)"/>
      <w:lvlJc w:val="left"/>
      <w:pPr>
        <w:tabs>
          <w:tab w:val="num" w:pos="709"/>
        </w:tabs>
        <w:ind w:left="709" w:hanging="709"/>
      </w:pPr>
    </w:lvl>
  </w:abstractNum>
  <w:abstractNum w:abstractNumId="14" w15:restartNumberingAfterBreak="0">
    <w:nsid w:val="2D0B464E"/>
    <w:multiLevelType w:val="multilevel"/>
    <w:tmpl w:val="D26C2EE4"/>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15" w15:restartNumberingAfterBreak="0">
    <w:nsid w:val="3A0333F1"/>
    <w:multiLevelType w:val="hybridMultilevel"/>
    <w:tmpl w:val="8B967D4E"/>
    <w:lvl w:ilvl="0" w:tplc="963C153A">
      <w:start w:val="1"/>
      <w:numFmt w:val="lowerLetter"/>
      <w:pStyle w:val="Numberedtitlelevel4"/>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435DEC"/>
    <w:multiLevelType w:val="hybridMultilevel"/>
    <w:tmpl w:val="BC245978"/>
    <w:lvl w:ilvl="0" w:tplc="0809000F">
      <w:start w:val="1"/>
      <w:numFmt w:val="decimal"/>
      <w:lvlText w:val="%1."/>
      <w:lvlJc w:val="left"/>
      <w:pPr>
        <w:ind w:left="360" w:hanging="360"/>
      </w:p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E684A36"/>
    <w:multiLevelType w:val="hybridMultilevel"/>
    <w:tmpl w:val="95C2B722"/>
    <w:lvl w:ilvl="0" w:tplc="770A29DE">
      <w:start w:val="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C27D48"/>
    <w:multiLevelType w:val="hybridMultilevel"/>
    <w:tmpl w:val="B15CC8FC"/>
    <w:lvl w:ilvl="0" w:tplc="090C4D3E">
      <w:start w:val="1"/>
      <w:numFmt w:val="bullet"/>
      <w:pStyle w:val="bullet2"/>
      <w:lvlText w:val=""/>
      <w:lvlJc w:val="left"/>
      <w:pPr>
        <w:tabs>
          <w:tab w:val="num" w:pos="680"/>
        </w:tabs>
        <w:ind w:left="680" w:hanging="34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0227369"/>
    <w:multiLevelType w:val="hybridMultilevel"/>
    <w:tmpl w:val="C2D88122"/>
    <w:lvl w:ilvl="0" w:tplc="4A2A8390">
      <w:start w:val="1"/>
      <w:numFmt w:val="decimal"/>
      <w:pStyle w:val="numberedparagraph"/>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5904CD"/>
    <w:multiLevelType w:val="hybridMultilevel"/>
    <w:tmpl w:val="7842D9F2"/>
    <w:lvl w:ilvl="0" w:tplc="14AC8834">
      <w:start w:val="1"/>
      <w:numFmt w:val="decimal"/>
      <w:lvlText w:val="%1."/>
      <w:lvlJc w:val="left"/>
      <w:pPr>
        <w:ind w:left="720" w:hanging="360"/>
      </w:pPr>
      <w:rPr>
        <w:rFonts w:hint="default"/>
      </w:rPr>
    </w:lvl>
    <w:lvl w:ilvl="1" w:tplc="CE0E9A62">
      <w:start w:val="1"/>
      <w:numFmt w:val="lowerLetter"/>
      <w:lvlText w:val="(%2)"/>
      <w:lvlJc w:val="left"/>
      <w:pPr>
        <w:ind w:left="1440" w:hanging="360"/>
      </w:pPr>
      <w:rPr>
        <w:rFonts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CD57BB"/>
    <w:multiLevelType w:val="multilevel"/>
    <w:tmpl w:val="201419E8"/>
    <w:lvl w:ilvl="0">
      <w:start w:val="1"/>
      <w:numFmt w:val="decimal"/>
      <w:pStyle w:val="Numberedtilelevel1"/>
      <w:lvlText w:val="%1."/>
      <w:lvlJc w:val="left"/>
      <w:pPr>
        <w:ind w:left="0" w:firstLine="0"/>
      </w:pPr>
      <w:rPr>
        <w:rFonts w:hint="default"/>
      </w:rPr>
    </w:lvl>
    <w:lvl w:ilvl="1">
      <w:start w:val="1"/>
      <w:numFmt w:val="decimal"/>
      <w:pStyle w:val="Numberedtitlelevel2"/>
      <w:lvlText w:val="%1.%2"/>
      <w:lvlJc w:val="left"/>
      <w:pPr>
        <w:ind w:left="0" w:firstLine="0"/>
      </w:pPr>
      <w:rPr>
        <w:rFonts w:hint="default"/>
      </w:rPr>
    </w:lvl>
    <w:lvl w:ilvl="2">
      <w:start w:val="1"/>
      <w:numFmt w:val="decimal"/>
      <w:pStyle w:val="Numberedtitlelevel3"/>
      <w:lvlText w:val="%1.%2.%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2" w15:restartNumberingAfterBreak="0">
    <w:nsid w:val="71064D88"/>
    <w:multiLevelType w:val="hybridMultilevel"/>
    <w:tmpl w:val="DACEA436"/>
    <w:lvl w:ilvl="0" w:tplc="3502039C">
      <w:start w:val="1"/>
      <w:numFmt w:val="bullet"/>
      <w:pStyle w:val="List1"/>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DF4E5C"/>
    <w:multiLevelType w:val="multilevel"/>
    <w:tmpl w:val="7C92914C"/>
    <w:lvl w:ilvl="0">
      <w:start w:val="1"/>
      <w:numFmt w:val="decimal"/>
      <w:lvlText w:val="%1."/>
      <w:lvlJc w:val="left"/>
      <w:pPr>
        <w:ind w:left="0" w:firstLine="0"/>
      </w:pPr>
      <w:rPr>
        <w:rFonts w:hint="default"/>
      </w:rPr>
    </w:lvl>
    <w:lvl w:ilvl="1">
      <w:start w:val="1"/>
      <w:numFmt w:val="none"/>
      <w:isLgl/>
      <w:lvlText w:val="1.%1"/>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4" w15:restartNumberingAfterBreak="0">
    <w:nsid w:val="7A0A1380"/>
    <w:multiLevelType w:val="hybridMultilevel"/>
    <w:tmpl w:val="9D64AE7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D5B6DB2"/>
    <w:multiLevelType w:val="hybridMultilevel"/>
    <w:tmpl w:val="38F22D3E"/>
    <w:lvl w:ilvl="0" w:tplc="08090017">
      <w:start w:val="1"/>
      <w:numFmt w:val="low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14"/>
  </w:num>
  <w:num w:numId="4">
    <w:abstractNumId w:val="15"/>
  </w:num>
  <w:num w:numId="5">
    <w:abstractNumId w:val="22"/>
  </w:num>
  <w:num w:numId="6">
    <w:abstractNumId w:val="1"/>
  </w:num>
  <w:num w:numId="7">
    <w:abstractNumId w:val="21"/>
  </w:num>
  <w:num w:numId="8">
    <w:abstractNumId w:val="19"/>
  </w:num>
  <w:num w:numId="9">
    <w:abstractNumId w:val="19"/>
    <w:lvlOverride w:ilvl="0">
      <w:startOverride w:val="1"/>
    </w:lvlOverride>
  </w:num>
  <w:num w:numId="10">
    <w:abstractNumId w:val="19"/>
    <w:lvlOverride w:ilvl="0">
      <w:startOverride w:val="1"/>
    </w:lvlOverride>
  </w:num>
  <w:num w:numId="11">
    <w:abstractNumId w:val="19"/>
    <w:lvlOverride w:ilvl="0">
      <w:startOverride w:val="1"/>
    </w:lvlOverride>
  </w:num>
  <w:num w:numId="12">
    <w:abstractNumId w:val="19"/>
    <w:lvlOverride w:ilvl="0">
      <w:startOverride w:val="1"/>
    </w:lvlOverride>
  </w:num>
  <w:num w:numId="13">
    <w:abstractNumId w:val="19"/>
    <w:lvlOverride w:ilvl="0">
      <w:startOverride w:val="1"/>
    </w:lvlOverride>
  </w:num>
  <w:num w:numId="14">
    <w:abstractNumId w:val="19"/>
    <w:lvlOverride w:ilvl="0">
      <w:startOverride w:val="1"/>
    </w:lvlOverride>
  </w:num>
  <w:num w:numId="15">
    <w:abstractNumId w:val="0"/>
  </w:num>
  <w:num w:numId="16">
    <w:abstractNumId w:val="4"/>
  </w:num>
  <w:num w:numId="17">
    <w:abstractNumId w:val="11"/>
  </w:num>
  <w:num w:numId="18">
    <w:abstractNumId w:val="23"/>
  </w:num>
  <w:num w:numId="19">
    <w:abstractNumId w:val="6"/>
  </w:num>
  <w:num w:numId="20">
    <w:abstractNumId w:val="8"/>
  </w:num>
  <w:num w:numId="21">
    <w:abstractNumId w:val="21"/>
  </w:num>
  <w:num w:numId="22">
    <w:abstractNumId w:val="21"/>
  </w:num>
  <w:num w:numId="23">
    <w:abstractNumId w:val="21"/>
  </w:num>
  <w:num w:numId="24">
    <w:abstractNumId w:val="21"/>
  </w:num>
  <w:num w:numId="25">
    <w:abstractNumId w:val="21"/>
  </w:num>
  <w:num w:numId="26">
    <w:abstractNumId w:val="21"/>
  </w:num>
  <w:num w:numId="27">
    <w:abstractNumId w:val="21"/>
  </w:num>
  <w:num w:numId="28">
    <w:abstractNumId w:val="24"/>
  </w:num>
  <w:num w:numId="29">
    <w:abstractNumId w:val="13"/>
  </w:num>
  <w:num w:numId="30">
    <w:abstractNumId w:val="7"/>
  </w:num>
  <w:num w:numId="31">
    <w:abstractNumId w:val="9"/>
  </w:num>
  <w:num w:numId="32">
    <w:abstractNumId w:val="25"/>
    <w:lvlOverride w:ilvl="0">
      <w:startOverride w:val="1"/>
    </w:lvlOverride>
    <w:lvlOverride w:ilvl="1"/>
    <w:lvlOverride w:ilvl="2"/>
    <w:lvlOverride w:ilvl="3"/>
    <w:lvlOverride w:ilvl="4"/>
    <w:lvlOverride w:ilvl="5"/>
    <w:lvlOverride w:ilvl="6"/>
    <w:lvlOverride w:ilvl="7"/>
    <w:lvlOverride w:ilvl="8"/>
  </w:num>
  <w:num w:numId="33">
    <w:abstractNumId w:val="25"/>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10"/>
  </w:num>
  <w:num w:numId="37">
    <w:abstractNumId w:val="5"/>
  </w:num>
  <w:num w:numId="38">
    <w:abstractNumId w:val="17"/>
  </w:num>
  <w:num w:numId="39">
    <w:abstractNumId w:val="21"/>
  </w:num>
  <w:num w:numId="40">
    <w:abstractNumId w:val="21"/>
  </w:num>
  <w:num w:numId="41">
    <w:abstractNumId w:val="21"/>
  </w:num>
  <w:num w:numId="42">
    <w:abstractNumId w:val="21"/>
  </w:num>
  <w:num w:numId="43">
    <w:abstractNumId w:val="21"/>
  </w:num>
  <w:num w:numId="44">
    <w:abstractNumId w:val="21"/>
  </w:num>
  <w:num w:numId="45">
    <w:abstractNumId w:val="21"/>
  </w:num>
  <w:num w:numId="46">
    <w:abstractNumId w:val="3"/>
  </w:num>
  <w:num w:numId="47">
    <w:abstractNumId w:val="12"/>
  </w:num>
  <w:num w:numId="48">
    <w:abstractNumId w:val="20"/>
  </w:num>
  <w:num w:numId="49">
    <w:abstractNumId w:val="21"/>
  </w:num>
  <w:num w:numId="50">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EBA GL-REC 20XX XX (FINAL GLS-REC ON"/>
  </w:docVars>
  <w:rsids>
    <w:rsidRoot w:val="006307A5"/>
    <w:rsid w:val="00001873"/>
    <w:rsid w:val="00002BCF"/>
    <w:rsid w:val="00003F50"/>
    <w:rsid w:val="000079DF"/>
    <w:rsid w:val="0001213D"/>
    <w:rsid w:val="00013281"/>
    <w:rsid w:val="00021E10"/>
    <w:rsid w:val="000231B7"/>
    <w:rsid w:val="00027CA0"/>
    <w:rsid w:val="00030D65"/>
    <w:rsid w:val="00040129"/>
    <w:rsid w:val="00051823"/>
    <w:rsid w:val="00060F40"/>
    <w:rsid w:val="00062830"/>
    <w:rsid w:val="0007574B"/>
    <w:rsid w:val="000774B3"/>
    <w:rsid w:val="000815E2"/>
    <w:rsid w:val="000843CD"/>
    <w:rsid w:val="00087EEC"/>
    <w:rsid w:val="000933F3"/>
    <w:rsid w:val="000A1C81"/>
    <w:rsid w:val="000A3851"/>
    <w:rsid w:val="000A5345"/>
    <w:rsid w:val="000B1645"/>
    <w:rsid w:val="000B2614"/>
    <w:rsid w:val="000C2B79"/>
    <w:rsid w:val="000C5A8A"/>
    <w:rsid w:val="000C7FD8"/>
    <w:rsid w:val="000D7A44"/>
    <w:rsid w:val="000E07F0"/>
    <w:rsid w:val="000E0C27"/>
    <w:rsid w:val="000E6D15"/>
    <w:rsid w:val="000F33D3"/>
    <w:rsid w:val="000F3C24"/>
    <w:rsid w:val="000F607B"/>
    <w:rsid w:val="000F6495"/>
    <w:rsid w:val="000F6FD8"/>
    <w:rsid w:val="00100F5D"/>
    <w:rsid w:val="001061FA"/>
    <w:rsid w:val="00112BF2"/>
    <w:rsid w:val="0011517F"/>
    <w:rsid w:val="00117062"/>
    <w:rsid w:val="0012173D"/>
    <w:rsid w:val="00121BB0"/>
    <w:rsid w:val="0012686C"/>
    <w:rsid w:val="0013090C"/>
    <w:rsid w:val="00131C5D"/>
    <w:rsid w:val="00132059"/>
    <w:rsid w:val="00132F74"/>
    <w:rsid w:val="0014310A"/>
    <w:rsid w:val="00143427"/>
    <w:rsid w:val="00145D24"/>
    <w:rsid w:val="00145E0A"/>
    <w:rsid w:val="00152832"/>
    <w:rsid w:val="001539A2"/>
    <w:rsid w:val="001600FC"/>
    <w:rsid w:val="00160815"/>
    <w:rsid w:val="00172007"/>
    <w:rsid w:val="00172E57"/>
    <w:rsid w:val="0017446F"/>
    <w:rsid w:val="0017667F"/>
    <w:rsid w:val="00177CB9"/>
    <w:rsid w:val="001834D4"/>
    <w:rsid w:val="00192287"/>
    <w:rsid w:val="00197E14"/>
    <w:rsid w:val="001A016C"/>
    <w:rsid w:val="001A2A81"/>
    <w:rsid w:val="001A32D5"/>
    <w:rsid w:val="001A47D0"/>
    <w:rsid w:val="001A5BD4"/>
    <w:rsid w:val="001A70A8"/>
    <w:rsid w:val="001B2C0D"/>
    <w:rsid w:val="001B3341"/>
    <w:rsid w:val="001B6017"/>
    <w:rsid w:val="001B7A0B"/>
    <w:rsid w:val="001B7EB3"/>
    <w:rsid w:val="001C1FD9"/>
    <w:rsid w:val="001C5BC2"/>
    <w:rsid w:val="001D0179"/>
    <w:rsid w:val="001E0B2E"/>
    <w:rsid w:val="001E1188"/>
    <w:rsid w:val="001E3599"/>
    <w:rsid w:val="001F1CB9"/>
    <w:rsid w:val="001F7501"/>
    <w:rsid w:val="00205878"/>
    <w:rsid w:val="00213D7B"/>
    <w:rsid w:val="00214DEC"/>
    <w:rsid w:val="00215B80"/>
    <w:rsid w:val="002215B5"/>
    <w:rsid w:val="00221B74"/>
    <w:rsid w:val="00224761"/>
    <w:rsid w:val="00224A3F"/>
    <w:rsid w:val="00224D96"/>
    <w:rsid w:val="002306C7"/>
    <w:rsid w:val="00231819"/>
    <w:rsid w:val="002351E9"/>
    <w:rsid w:val="00236329"/>
    <w:rsid w:val="00241BD8"/>
    <w:rsid w:val="002422FB"/>
    <w:rsid w:val="002434B0"/>
    <w:rsid w:val="0025016C"/>
    <w:rsid w:val="002501CB"/>
    <w:rsid w:val="00254CA9"/>
    <w:rsid w:val="0026681D"/>
    <w:rsid w:val="00267452"/>
    <w:rsid w:val="00272CCA"/>
    <w:rsid w:val="00273421"/>
    <w:rsid w:val="0027418E"/>
    <w:rsid w:val="00290DA3"/>
    <w:rsid w:val="002A3A19"/>
    <w:rsid w:val="002A6F7C"/>
    <w:rsid w:val="002B19D7"/>
    <w:rsid w:val="002C06C1"/>
    <w:rsid w:val="002C0DCF"/>
    <w:rsid w:val="002C1673"/>
    <w:rsid w:val="002C2703"/>
    <w:rsid w:val="002C5415"/>
    <w:rsid w:val="002D1867"/>
    <w:rsid w:val="002F2009"/>
    <w:rsid w:val="002F2269"/>
    <w:rsid w:val="00300924"/>
    <w:rsid w:val="003025A8"/>
    <w:rsid w:val="003129B6"/>
    <w:rsid w:val="00314D6E"/>
    <w:rsid w:val="00315AB3"/>
    <w:rsid w:val="00320E57"/>
    <w:rsid w:val="003221EF"/>
    <w:rsid w:val="00322C23"/>
    <w:rsid w:val="003248A2"/>
    <w:rsid w:val="0033587C"/>
    <w:rsid w:val="00352A51"/>
    <w:rsid w:val="0035477B"/>
    <w:rsid w:val="00355109"/>
    <w:rsid w:val="00355E53"/>
    <w:rsid w:val="003576B7"/>
    <w:rsid w:val="003604AA"/>
    <w:rsid w:val="00362309"/>
    <w:rsid w:val="00363390"/>
    <w:rsid w:val="0036783B"/>
    <w:rsid w:val="00370D44"/>
    <w:rsid w:val="00372BEC"/>
    <w:rsid w:val="00392385"/>
    <w:rsid w:val="003953B5"/>
    <w:rsid w:val="003A2221"/>
    <w:rsid w:val="003A5B60"/>
    <w:rsid w:val="003C34A3"/>
    <w:rsid w:val="003C3DE8"/>
    <w:rsid w:val="003D7A72"/>
    <w:rsid w:val="003E2A9D"/>
    <w:rsid w:val="003E318D"/>
    <w:rsid w:val="003F3AA3"/>
    <w:rsid w:val="00400925"/>
    <w:rsid w:val="00411573"/>
    <w:rsid w:val="00412567"/>
    <w:rsid w:val="004172D1"/>
    <w:rsid w:val="00424530"/>
    <w:rsid w:val="004318C2"/>
    <w:rsid w:val="0043577F"/>
    <w:rsid w:val="0043675A"/>
    <w:rsid w:val="00441F85"/>
    <w:rsid w:val="00446D76"/>
    <w:rsid w:val="00452CF3"/>
    <w:rsid w:val="0045301B"/>
    <w:rsid w:val="00454B24"/>
    <w:rsid w:val="00455E0E"/>
    <w:rsid w:val="004637D3"/>
    <w:rsid w:val="004719B4"/>
    <w:rsid w:val="00471CA1"/>
    <w:rsid w:val="00471CCE"/>
    <w:rsid w:val="00481AC4"/>
    <w:rsid w:val="00482FB6"/>
    <w:rsid w:val="00490251"/>
    <w:rsid w:val="004955E7"/>
    <w:rsid w:val="004A5D8B"/>
    <w:rsid w:val="004A76C6"/>
    <w:rsid w:val="004B2FC0"/>
    <w:rsid w:val="004B7784"/>
    <w:rsid w:val="004C1B19"/>
    <w:rsid w:val="004C6392"/>
    <w:rsid w:val="004D3523"/>
    <w:rsid w:val="004D7668"/>
    <w:rsid w:val="004E405B"/>
    <w:rsid w:val="004F0AB6"/>
    <w:rsid w:val="004F63DB"/>
    <w:rsid w:val="005037F2"/>
    <w:rsid w:val="00505C64"/>
    <w:rsid w:val="005105EF"/>
    <w:rsid w:val="00511FD7"/>
    <w:rsid w:val="0051571A"/>
    <w:rsid w:val="00522627"/>
    <w:rsid w:val="00523895"/>
    <w:rsid w:val="00526B39"/>
    <w:rsid w:val="00532EBE"/>
    <w:rsid w:val="005410AB"/>
    <w:rsid w:val="00543A44"/>
    <w:rsid w:val="00556196"/>
    <w:rsid w:val="005574DA"/>
    <w:rsid w:val="00565691"/>
    <w:rsid w:val="005706A6"/>
    <w:rsid w:val="00571BB6"/>
    <w:rsid w:val="00572BF1"/>
    <w:rsid w:val="00574B26"/>
    <w:rsid w:val="00575BA7"/>
    <w:rsid w:val="00582AA7"/>
    <w:rsid w:val="00583504"/>
    <w:rsid w:val="0058477C"/>
    <w:rsid w:val="0058568F"/>
    <w:rsid w:val="005A11A7"/>
    <w:rsid w:val="005A6911"/>
    <w:rsid w:val="005B3658"/>
    <w:rsid w:val="005B5C09"/>
    <w:rsid w:val="005B6804"/>
    <w:rsid w:val="005C3DFF"/>
    <w:rsid w:val="005C498B"/>
    <w:rsid w:val="005D033E"/>
    <w:rsid w:val="005D4005"/>
    <w:rsid w:val="005D40D1"/>
    <w:rsid w:val="005D4C29"/>
    <w:rsid w:val="005D6612"/>
    <w:rsid w:val="005E167D"/>
    <w:rsid w:val="005E62CD"/>
    <w:rsid w:val="005F4011"/>
    <w:rsid w:val="00600024"/>
    <w:rsid w:val="00600065"/>
    <w:rsid w:val="006017FA"/>
    <w:rsid w:val="006059B2"/>
    <w:rsid w:val="00610305"/>
    <w:rsid w:val="00610419"/>
    <w:rsid w:val="00611DDB"/>
    <w:rsid w:val="00612C7B"/>
    <w:rsid w:val="00613CF7"/>
    <w:rsid w:val="006209BD"/>
    <w:rsid w:val="006224C1"/>
    <w:rsid w:val="006241B4"/>
    <w:rsid w:val="006269B7"/>
    <w:rsid w:val="006307A5"/>
    <w:rsid w:val="006336C8"/>
    <w:rsid w:val="00633DC7"/>
    <w:rsid w:val="00636E1D"/>
    <w:rsid w:val="00641A7A"/>
    <w:rsid w:val="00644425"/>
    <w:rsid w:val="00645495"/>
    <w:rsid w:val="00655112"/>
    <w:rsid w:val="00663B0A"/>
    <w:rsid w:val="006641F8"/>
    <w:rsid w:val="0066422C"/>
    <w:rsid w:val="00667BEF"/>
    <w:rsid w:val="00670254"/>
    <w:rsid w:val="00675E42"/>
    <w:rsid w:val="00683BFB"/>
    <w:rsid w:val="006915A4"/>
    <w:rsid w:val="00692AB7"/>
    <w:rsid w:val="00692AD8"/>
    <w:rsid w:val="006973AC"/>
    <w:rsid w:val="006C186D"/>
    <w:rsid w:val="006C499D"/>
    <w:rsid w:val="006C6D8E"/>
    <w:rsid w:val="006C7F0D"/>
    <w:rsid w:val="006D4C7C"/>
    <w:rsid w:val="006D7393"/>
    <w:rsid w:val="006E0D7A"/>
    <w:rsid w:val="006E3CE5"/>
    <w:rsid w:val="006E55E1"/>
    <w:rsid w:val="006F1596"/>
    <w:rsid w:val="006F2E13"/>
    <w:rsid w:val="006F445D"/>
    <w:rsid w:val="006F72C6"/>
    <w:rsid w:val="006F7529"/>
    <w:rsid w:val="00703E4E"/>
    <w:rsid w:val="007071C6"/>
    <w:rsid w:val="00711E1C"/>
    <w:rsid w:val="00721D07"/>
    <w:rsid w:val="00721FBA"/>
    <w:rsid w:val="00723921"/>
    <w:rsid w:val="00730352"/>
    <w:rsid w:val="00731463"/>
    <w:rsid w:val="0073336B"/>
    <w:rsid w:val="00734CF5"/>
    <w:rsid w:val="007373D2"/>
    <w:rsid w:val="00740F65"/>
    <w:rsid w:val="00742839"/>
    <w:rsid w:val="00755505"/>
    <w:rsid w:val="0076316D"/>
    <w:rsid w:val="00771BCE"/>
    <w:rsid w:val="00772993"/>
    <w:rsid w:val="007815FB"/>
    <w:rsid w:val="00781A37"/>
    <w:rsid w:val="00781D80"/>
    <w:rsid w:val="007850AB"/>
    <w:rsid w:val="00791EAE"/>
    <w:rsid w:val="00792341"/>
    <w:rsid w:val="007A0054"/>
    <w:rsid w:val="007A44A6"/>
    <w:rsid w:val="007A5353"/>
    <w:rsid w:val="007B3D63"/>
    <w:rsid w:val="007B6077"/>
    <w:rsid w:val="007B69D6"/>
    <w:rsid w:val="007B793D"/>
    <w:rsid w:val="007C08B0"/>
    <w:rsid w:val="007C3A00"/>
    <w:rsid w:val="007C55D0"/>
    <w:rsid w:val="007D2626"/>
    <w:rsid w:val="007F5092"/>
    <w:rsid w:val="007F6B00"/>
    <w:rsid w:val="007F7895"/>
    <w:rsid w:val="00804A88"/>
    <w:rsid w:val="00813BAC"/>
    <w:rsid w:val="00813CD4"/>
    <w:rsid w:val="00817C42"/>
    <w:rsid w:val="00821B9D"/>
    <w:rsid w:val="0084468C"/>
    <w:rsid w:val="008552A0"/>
    <w:rsid w:val="00862D62"/>
    <w:rsid w:val="008651AA"/>
    <w:rsid w:val="00865492"/>
    <w:rsid w:val="00865A3C"/>
    <w:rsid w:val="00867CB4"/>
    <w:rsid w:val="008708AB"/>
    <w:rsid w:val="00870A33"/>
    <w:rsid w:val="00871962"/>
    <w:rsid w:val="008725EC"/>
    <w:rsid w:val="00874ED5"/>
    <w:rsid w:val="008A4100"/>
    <w:rsid w:val="008A7288"/>
    <w:rsid w:val="008B6155"/>
    <w:rsid w:val="008C1A94"/>
    <w:rsid w:val="008C567C"/>
    <w:rsid w:val="008C5B82"/>
    <w:rsid w:val="008E297F"/>
    <w:rsid w:val="008F3908"/>
    <w:rsid w:val="009014B6"/>
    <w:rsid w:val="009041D9"/>
    <w:rsid w:val="00907439"/>
    <w:rsid w:val="00907D57"/>
    <w:rsid w:val="00911860"/>
    <w:rsid w:val="0091231C"/>
    <w:rsid w:val="00912882"/>
    <w:rsid w:val="00912895"/>
    <w:rsid w:val="00913422"/>
    <w:rsid w:val="009151D3"/>
    <w:rsid w:val="009210DE"/>
    <w:rsid w:val="009257BE"/>
    <w:rsid w:val="009337EE"/>
    <w:rsid w:val="00943B87"/>
    <w:rsid w:val="00944AD8"/>
    <w:rsid w:val="009549FF"/>
    <w:rsid w:val="00954FC6"/>
    <w:rsid w:val="0096160F"/>
    <w:rsid w:val="009642A9"/>
    <w:rsid w:val="00965B80"/>
    <w:rsid w:val="009730FB"/>
    <w:rsid w:val="00976A15"/>
    <w:rsid w:val="00980519"/>
    <w:rsid w:val="009846C5"/>
    <w:rsid w:val="0099008B"/>
    <w:rsid w:val="00993B1E"/>
    <w:rsid w:val="00993BAA"/>
    <w:rsid w:val="00994F87"/>
    <w:rsid w:val="009A1966"/>
    <w:rsid w:val="009A294D"/>
    <w:rsid w:val="009A5AF6"/>
    <w:rsid w:val="009B7C11"/>
    <w:rsid w:val="009C12C9"/>
    <w:rsid w:val="009C1CE7"/>
    <w:rsid w:val="009D55F7"/>
    <w:rsid w:val="009E300F"/>
    <w:rsid w:val="009E38A2"/>
    <w:rsid w:val="009E697F"/>
    <w:rsid w:val="009E76BE"/>
    <w:rsid w:val="009E79BF"/>
    <w:rsid w:val="009F12DA"/>
    <w:rsid w:val="009F3FE6"/>
    <w:rsid w:val="009F53AF"/>
    <w:rsid w:val="00A00E34"/>
    <w:rsid w:val="00A02BBA"/>
    <w:rsid w:val="00A062C7"/>
    <w:rsid w:val="00A10257"/>
    <w:rsid w:val="00A13558"/>
    <w:rsid w:val="00A14332"/>
    <w:rsid w:val="00A2290D"/>
    <w:rsid w:val="00A23608"/>
    <w:rsid w:val="00A23D22"/>
    <w:rsid w:val="00A25403"/>
    <w:rsid w:val="00A27B9D"/>
    <w:rsid w:val="00A27D88"/>
    <w:rsid w:val="00A304D0"/>
    <w:rsid w:val="00A41338"/>
    <w:rsid w:val="00A4361D"/>
    <w:rsid w:val="00A43A77"/>
    <w:rsid w:val="00A44695"/>
    <w:rsid w:val="00A4607D"/>
    <w:rsid w:val="00A53EC9"/>
    <w:rsid w:val="00A725D6"/>
    <w:rsid w:val="00A72C7D"/>
    <w:rsid w:val="00A81586"/>
    <w:rsid w:val="00A92440"/>
    <w:rsid w:val="00AA435E"/>
    <w:rsid w:val="00AA796D"/>
    <w:rsid w:val="00AA79A8"/>
    <w:rsid w:val="00AB104D"/>
    <w:rsid w:val="00AB21B0"/>
    <w:rsid w:val="00AB2476"/>
    <w:rsid w:val="00AB4B80"/>
    <w:rsid w:val="00AC2312"/>
    <w:rsid w:val="00AD0C73"/>
    <w:rsid w:val="00AD3179"/>
    <w:rsid w:val="00AE1A2D"/>
    <w:rsid w:val="00AE5347"/>
    <w:rsid w:val="00AE55F6"/>
    <w:rsid w:val="00AE56DB"/>
    <w:rsid w:val="00AF0781"/>
    <w:rsid w:val="00AF21F6"/>
    <w:rsid w:val="00AF2BCB"/>
    <w:rsid w:val="00AF4C86"/>
    <w:rsid w:val="00B025DB"/>
    <w:rsid w:val="00B13504"/>
    <w:rsid w:val="00B13C87"/>
    <w:rsid w:val="00B161C7"/>
    <w:rsid w:val="00B1710D"/>
    <w:rsid w:val="00B2771A"/>
    <w:rsid w:val="00B32510"/>
    <w:rsid w:val="00B33222"/>
    <w:rsid w:val="00B3595C"/>
    <w:rsid w:val="00B36D5E"/>
    <w:rsid w:val="00B43E07"/>
    <w:rsid w:val="00B51926"/>
    <w:rsid w:val="00B51BB3"/>
    <w:rsid w:val="00B526A8"/>
    <w:rsid w:val="00B55FAB"/>
    <w:rsid w:val="00B56F17"/>
    <w:rsid w:val="00B6734E"/>
    <w:rsid w:val="00B708BA"/>
    <w:rsid w:val="00B76198"/>
    <w:rsid w:val="00B77DC8"/>
    <w:rsid w:val="00B77F65"/>
    <w:rsid w:val="00B82515"/>
    <w:rsid w:val="00B83D9D"/>
    <w:rsid w:val="00B84529"/>
    <w:rsid w:val="00B954E5"/>
    <w:rsid w:val="00B96F7F"/>
    <w:rsid w:val="00BA1766"/>
    <w:rsid w:val="00BB2111"/>
    <w:rsid w:val="00BC1D4B"/>
    <w:rsid w:val="00BC3450"/>
    <w:rsid w:val="00BC7FD2"/>
    <w:rsid w:val="00BD1538"/>
    <w:rsid w:val="00BD1DD9"/>
    <w:rsid w:val="00BE2989"/>
    <w:rsid w:val="00BF4906"/>
    <w:rsid w:val="00BF4EC0"/>
    <w:rsid w:val="00BF78EE"/>
    <w:rsid w:val="00C03AE7"/>
    <w:rsid w:val="00C05D9D"/>
    <w:rsid w:val="00C12FA8"/>
    <w:rsid w:val="00C35592"/>
    <w:rsid w:val="00C356AF"/>
    <w:rsid w:val="00C41927"/>
    <w:rsid w:val="00C439D6"/>
    <w:rsid w:val="00C43FD9"/>
    <w:rsid w:val="00C44EB2"/>
    <w:rsid w:val="00C47E8F"/>
    <w:rsid w:val="00C57BC4"/>
    <w:rsid w:val="00C60915"/>
    <w:rsid w:val="00C60EEB"/>
    <w:rsid w:val="00C64E27"/>
    <w:rsid w:val="00C84497"/>
    <w:rsid w:val="00C87ACE"/>
    <w:rsid w:val="00C91A9F"/>
    <w:rsid w:val="00C92B4B"/>
    <w:rsid w:val="00C95F54"/>
    <w:rsid w:val="00C964B8"/>
    <w:rsid w:val="00CA1DF9"/>
    <w:rsid w:val="00CA7C14"/>
    <w:rsid w:val="00CB6121"/>
    <w:rsid w:val="00CB6EBB"/>
    <w:rsid w:val="00CD4AF7"/>
    <w:rsid w:val="00CE3517"/>
    <w:rsid w:val="00CE3F04"/>
    <w:rsid w:val="00CF15C6"/>
    <w:rsid w:val="00CF1880"/>
    <w:rsid w:val="00D01670"/>
    <w:rsid w:val="00D0474C"/>
    <w:rsid w:val="00D05C26"/>
    <w:rsid w:val="00D062AC"/>
    <w:rsid w:val="00D152E7"/>
    <w:rsid w:val="00D21F91"/>
    <w:rsid w:val="00D23F6E"/>
    <w:rsid w:val="00D251D0"/>
    <w:rsid w:val="00D3796C"/>
    <w:rsid w:val="00D43C43"/>
    <w:rsid w:val="00D44360"/>
    <w:rsid w:val="00D512D3"/>
    <w:rsid w:val="00D53948"/>
    <w:rsid w:val="00D549B9"/>
    <w:rsid w:val="00D557EE"/>
    <w:rsid w:val="00D56058"/>
    <w:rsid w:val="00D57759"/>
    <w:rsid w:val="00D57F4B"/>
    <w:rsid w:val="00D61CDA"/>
    <w:rsid w:val="00D656AD"/>
    <w:rsid w:val="00D6692C"/>
    <w:rsid w:val="00D76E91"/>
    <w:rsid w:val="00D823B5"/>
    <w:rsid w:val="00D849AA"/>
    <w:rsid w:val="00D872D1"/>
    <w:rsid w:val="00D873F3"/>
    <w:rsid w:val="00D90F63"/>
    <w:rsid w:val="00D91A71"/>
    <w:rsid w:val="00D930B6"/>
    <w:rsid w:val="00D97E0F"/>
    <w:rsid w:val="00DA6122"/>
    <w:rsid w:val="00DB4809"/>
    <w:rsid w:val="00DB5E8F"/>
    <w:rsid w:val="00DC3E99"/>
    <w:rsid w:val="00DC5214"/>
    <w:rsid w:val="00DC61B4"/>
    <w:rsid w:val="00DC7C3E"/>
    <w:rsid w:val="00DD247B"/>
    <w:rsid w:val="00DE0FE1"/>
    <w:rsid w:val="00DE30E0"/>
    <w:rsid w:val="00DE46D0"/>
    <w:rsid w:val="00E21FC7"/>
    <w:rsid w:val="00E22BCE"/>
    <w:rsid w:val="00E255BF"/>
    <w:rsid w:val="00E2590B"/>
    <w:rsid w:val="00E26355"/>
    <w:rsid w:val="00E326FF"/>
    <w:rsid w:val="00E337DC"/>
    <w:rsid w:val="00E35F55"/>
    <w:rsid w:val="00E361B0"/>
    <w:rsid w:val="00E410F0"/>
    <w:rsid w:val="00E5738D"/>
    <w:rsid w:val="00E5771C"/>
    <w:rsid w:val="00E62DB8"/>
    <w:rsid w:val="00E67711"/>
    <w:rsid w:val="00E677EF"/>
    <w:rsid w:val="00E7536F"/>
    <w:rsid w:val="00E826F5"/>
    <w:rsid w:val="00E859DF"/>
    <w:rsid w:val="00E87041"/>
    <w:rsid w:val="00E90EDD"/>
    <w:rsid w:val="00E94506"/>
    <w:rsid w:val="00E94D8E"/>
    <w:rsid w:val="00E95201"/>
    <w:rsid w:val="00EA13B4"/>
    <w:rsid w:val="00EA16F3"/>
    <w:rsid w:val="00EA1807"/>
    <w:rsid w:val="00EA4947"/>
    <w:rsid w:val="00EC0C41"/>
    <w:rsid w:val="00EC11F0"/>
    <w:rsid w:val="00EC1594"/>
    <w:rsid w:val="00EC3368"/>
    <w:rsid w:val="00ED2521"/>
    <w:rsid w:val="00ED2FB9"/>
    <w:rsid w:val="00ED41FD"/>
    <w:rsid w:val="00ED4A40"/>
    <w:rsid w:val="00ED675F"/>
    <w:rsid w:val="00EE0D57"/>
    <w:rsid w:val="00EE456B"/>
    <w:rsid w:val="00EF35BF"/>
    <w:rsid w:val="00EF765E"/>
    <w:rsid w:val="00F00C37"/>
    <w:rsid w:val="00F00C8E"/>
    <w:rsid w:val="00F01EA6"/>
    <w:rsid w:val="00F02D51"/>
    <w:rsid w:val="00F033B6"/>
    <w:rsid w:val="00F034AC"/>
    <w:rsid w:val="00F160D2"/>
    <w:rsid w:val="00F221AB"/>
    <w:rsid w:val="00F23DC0"/>
    <w:rsid w:val="00F311CD"/>
    <w:rsid w:val="00F3669D"/>
    <w:rsid w:val="00F42F3F"/>
    <w:rsid w:val="00F4748D"/>
    <w:rsid w:val="00F56DC4"/>
    <w:rsid w:val="00F57DE0"/>
    <w:rsid w:val="00F612B3"/>
    <w:rsid w:val="00F647A3"/>
    <w:rsid w:val="00F653FF"/>
    <w:rsid w:val="00F7064A"/>
    <w:rsid w:val="00F720FF"/>
    <w:rsid w:val="00F747AD"/>
    <w:rsid w:val="00F764A1"/>
    <w:rsid w:val="00F85823"/>
    <w:rsid w:val="00F86AD4"/>
    <w:rsid w:val="00F87FF5"/>
    <w:rsid w:val="00F9329F"/>
    <w:rsid w:val="00F942CA"/>
    <w:rsid w:val="00F9452C"/>
    <w:rsid w:val="00FA459D"/>
    <w:rsid w:val="00FB28E1"/>
    <w:rsid w:val="00FB43F9"/>
    <w:rsid w:val="00FB7206"/>
    <w:rsid w:val="00FC1255"/>
    <w:rsid w:val="00FC1D72"/>
    <w:rsid w:val="00FE0C92"/>
    <w:rsid w:val="00FE0E60"/>
    <w:rsid w:val="00FE438F"/>
    <w:rsid w:val="00FE5577"/>
    <w:rsid w:val="00FF0C19"/>
    <w:rsid w:val="00FF34CA"/>
    <w:rsid w:val="00FF40EC"/>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6A611A2D"/>
  <w15:docId w15:val="{23E666E0-C4F3-4B62-8CAE-F5B550B8D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DA3"/>
    <w:rPr>
      <w:sz w:val="22"/>
    </w:rPr>
  </w:style>
  <w:style w:type="paragraph" w:styleId="Heading1">
    <w:name w:val="heading 1"/>
    <w:aliases w:val="Cover title white"/>
    <w:next w:val="Normal"/>
    <w:link w:val="Heading1Char"/>
    <w:semiHidden/>
    <w:qFormat/>
    <w:rsid w:val="00B32510"/>
    <w:pPr>
      <w:keepNext/>
      <w:keepLines/>
      <w:outlineLvl w:val="0"/>
    </w:pPr>
    <w:rPr>
      <w:rFonts w:asciiTheme="majorHAnsi" w:eastAsiaTheme="majorEastAsia" w:hAnsiTheme="majorHAnsi" w:cstheme="majorBidi"/>
      <w:b/>
      <w:bCs/>
      <w:caps/>
      <w:color w:val="FFFFFF" w:themeColor="background1"/>
      <w:sz w:val="40"/>
      <w:szCs w:val="40"/>
    </w:rPr>
  </w:style>
  <w:style w:type="paragraph" w:styleId="Heading2">
    <w:name w:val="heading 2"/>
    <w:basedOn w:val="Numberedtilelevel1"/>
    <w:next w:val="Normal"/>
    <w:link w:val="Heading2Char"/>
    <w:uiPriority w:val="9"/>
    <w:semiHidden/>
    <w:qFormat/>
    <w:rsid w:val="002F2009"/>
    <w:pPr>
      <w:outlineLvl w:val="1"/>
    </w:pPr>
  </w:style>
  <w:style w:type="paragraph" w:styleId="Heading3">
    <w:name w:val="heading 3"/>
    <w:aliases w:val="Title 2"/>
    <w:basedOn w:val="Numberedtitlelevel2"/>
    <w:next w:val="Normal"/>
    <w:link w:val="Heading3Char"/>
    <w:uiPriority w:val="9"/>
    <w:semiHidden/>
    <w:rsid w:val="002F2009"/>
    <w:pPr>
      <w:outlineLvl w:val="2"/>
    </w:pPr>
  </w:style>
  <w:style w:type="paragraph" w:styleId="Heading4">
    <w:name w:val="heading 4"/>
    <w:basedOn w:val="Normal"/>
    <w:next w:val="Normal"/>
    <w:link w:val="Heading4Char"/>
    <w:uiPriority w:val="9"/>
    <w:semiHidden/>
    <w:qFormat/>
    <w:rsid w:val="001C5BC2"/>
    <w:pPr>
      <w:keepNext/>
      <w:keepLines/>
      <w:numPr>
        <w:ilvl w:val="3"/>
        <w:numId w:val="3"/>
      </w:numPr>
      <w:spacing w:before="200"/>
      <w:outlineLvl w:val="3"/>
    </w:pPr>
    <w:rPr>
      <w:rFonts w:asciiTheme="majorHAnsi" w:eastAsiaTheme="majorEastAsia" w:hAnsiTheme="majorHAnsi" w:cstheme="majorBidi"/>
      <w:b/>
      <w:bCs/>
      <w:i/>
      <w:iCs/>
      <w:color w:val="2F5773" w:themeColor="accent1"/>
    </w:rPr>
  </w:style>
  <w:style w:type="paragraph" w:styleId="Heading5">
    <w:name w:val="heading 5"/>
    <w:aliases w:val="Cover subtitle white"/>
    <w:next w:val="Normal"/>
    <w:link w:val="Heading5Char"/>
    <w:semiHidden/>
    <w:qFormat/>
    <w:rsid w:val="00B32510"/>
    <w:pPr>
      <w:keepNext/>
      <w:keepLines/>
      <w:spacing w:before="200"/>
      <w:outlineLvl w:val="4"/>
    </w:pPr>
    <w:rPr>
      <w:rFonts w:asciiTheme="majorHAnsi" w:eastAsiaTheme="majorEastAsia" w:hAnsiTheme="majorHAnsi" w:cstheme="majorBidi"/>
      <w:caps/>
      <w:color w:val="FFFFFF" w:themeColor="background1"/>
      <w:sz w:val="28"/>
      <w:szCs w:val="28"/>
    </w:rPr>
  </w:style>
  <w:style w:type="paragraph" w:styleId="Heading6">
    <w:name w:val="heading 6"/>
    <w:basedOn w:val="Normal"/>
    <w:next w:val="Normal"/>
    <w:link w:val="Heading6Char"/>
    <w:uiPriority w:val="9"/>
    <w:semiHidden/>
    <w:qFormat/>
    <w:rsid w:val="001C5BC2"/>
    <w:pPr>
      <w:keepNext/>
      <w:keepLines/>
      <w:numPr>
        <w:ilvl w:val="5"/>
        <w:numId w:val="3"/>
      </w:numPr>
      <w:spacing w:before="200"/>
      <w:outlineLvl w:val="5"/>
    </w:pPr>
    <w:rPr>
      <w:rFonts w:asciiTheme="majorHAnsi" w:eastAsiaTheme="majorEastAsia" w:hAnsiTheme="majorHAnsi" w:cstheme="majorBidi"/>
      <w:i/>
      <w:iCs/>
      <w:color w:val="172B39" w:themeColor="accent1" w:themeShade="7F"/>
    </w:rPr>
  </w:style>
  <w:style w:type="paragraph" w:styleId="Heading7">
    <w:name w:val="heading 7"/>
    <w:basedOn w:val="Normal"/>
    <w:next w:val="Normal"/>
    <w:link w:val="Heading7Char"/>
    <w:uiPriority w:val="9"/>
    <w:semiHidden/>
    <w:qFormat/>
    <w:rsid w:val="001C5BC2"/>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1C5BC2"/>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1C5BC2"/>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title white Char"/>
    <w:basedOn w:val="DefaultParagraphFont"/>
    <w:link w:val="Heading1"/>
    <w:semiHidden/>
    <w:rsid w:val="00290DA3"/>
    <w:rPr>
      <w:rFonts w:asciiTheme="majorHAnsi" w:eastAsiaTheme="majorEastAsia" w:hAnsiTheme="majorHAnsi" w:cstheme="majorBidi"/>
      <w:b/>
      <w:bCs/>
      <w:caps/>
      <w:color w:val="FFFFFF" w:themeColor="background1"/>
      <w:sz w:val="40"/>
      <w:szCs w:val="40"/>
    </w:rPr>
  </w:style>
  <w:style w:type="paragraph" w:customStyle="1" w:styleId="Numberedtilelevel1">
    <w:name w:val="Numbered tile level 1"/>
    <w:basedOn w:val="Titlelevel1"/>
    <w:qFormat/>
    <w:rsid w:val="00482FB6"/>
    <w:pPr>
      <w:numPr>
        <w:numId w:val="7"/>
      </w:numPr>
    </w:pPr>
  </w:style>
  <w:style w:type="character" w:customStyle="1" w:styleId="Heading2Char">
    <w:name w:val="Heading 2 Char"/>
    <w:basedOn w:val="DefaultParagraphFont"/>
    <w:link w:val="Heading2"/>
    <w:uiPriority w:val="9"/>
    <w:semiHidden/>
    <w:rsid w:val="00582AA7"/>
    <w:rPr>
      <w:rFonts w:asciiTheme="majorHAnsi" w:eastAsiaTheme="majorEastAsia" w:hAnsiTheme="majorHAnsi" w:cstheme="majorBidi"/>
      <w:color w:val="2F5773" w:themeColor="text2"/>
      <w:spacing w:val="5"/>
      <w:kern w:val="28"/>
      <w:sz w:val="52"/>
      <w:szCs w:val="52"/>
    </w:rPr>
  </w:style>
  <w:style w:type="paragraph" w:customStyle="1" w:styleId="Numberedtitlelevel2">
    <w:name w:val="Numbered title level 2"/>
    <w:basedOn w:val="Titlelevel2"/>
    <w:next w:val="body"/>
    <w:qFormat/>
    <w:rsid w:val="00482FB6"/>
    <w:pPr>
      <w:numPr>
        <w:ilvl w:val="1"/>
        <w:numId w:val="7"/>
      </w:numPr>
    </w:pPr>
  </w:style>
  <w:style w:type="paragraph" w:customStyle="1" w:styleId="Titlelevel2">
    <w:name w:val="Title level 2"/>
    <w:qFormat/>
    <w:rsid w:val="005D4005"/>
    <w:pPr>
      <w:spacing w:before="240" w:after="240"/>
    </w:pPr>
    <w:rPr>
      <w:rFonts w:asciiTheme="majorHAnsi" w:eastAsiaTheme="majorEastAsia" w:hAnsiTheme="majorHAnsi" w:cstheme="majorBidi"/>
      <w:bCs/>
      <w:color w:val="2F5773" w:themeColor="text2"/>
      <w:sz w:val="32"/>
    </w:rPr>
  </w:style>
  <w:style w:type="paragraph" w:customStyle="1" w:styleId="body">
    <w:name w:val="body"/>
    <w:qFormat/>
    <w:rsid w:val="00CD4AF7"/>
    <w:pPr>
      <w:spacing w:before="240" w:after="120" w:line="276" w:lineRule="auto"/>
      <w:jc w:val="both"/>
    </w:pPr>
    <w:rPr>
      <w:sz w:val="22"/>
    </w:rPr>
  </w:style>
  <w:style w:type="character" w:customStyle="1" w:styleId="Heading3Char">
    <w:name w:val="Heading 3 Char"/>
    <w:aliases w:val="Title 2 Char"/>
    <w:basedOn w:val="DefaultParagraphFont"/>
    <w:link w:val="Heading3"/>
    <w:uiPriority w:val="9"/>
    <w:semiHidden/>
    <w:rsid w:val="00582AA7"/>
    <w:rPr>
      <w:rFonts w:asciiTheme="majorHAnsi" w:eastAsiaTheme="majorEastAsia" w:hAnsiTheme="majorHAnsi" w:cstheme="majorBidi"/>
      <w:bCs/>
      <w:color w:val="2F5773" w:themeColor="text2"/>
      <w:sz w:val="32"/>
    </w:rPr>
  </w:style>
  <w:style w:type="character" w:customStyle="1" w:styleId="Heading4Char">
    <w:name w:val="Heading 4 Char"/>
    <w:basedOn w:val="DefaultParagraphFont"/>
    <w:link w:val="Heading4"/>
    <w:uiPriority w:val="9"/>
    <w:semiHidden/>
    <w:rsid w:val="00582AA7"/>
    <w:rPr>
      <w:rFonts w:asciiTheme="majorHAnsi" w:eastAsiaTheme="majorEastAsia" w:hAnsiTheme="majorHAnsi" w:cstheme="majorBidi"/>
      <w:b/>
      <w:bCs/>
      <w:i/>
      <w:iCs/>
      <w:color w:val="2F5773" w:themeColor="accent1"/>
      <w:sz w:val="22"/>
    </w:rPr>
  </w:style>
  <w:style w:type="character" w:customStyle="1" w:styleId="Heading5Char">
    <w:name w:val="Heading 5 Char"/>
    <w:aliases w:val="Cover subtitle white Char"/>
    <w:basedOn w:val="DefaultParagraphFont"/>
    <w:link w:val="Heading5"/>
    <w:semiHidden/>
    <w:rsid w:val="00290DA3"/>
    <w:rPr>
      <w:rFonts w:asciiTheme="majorHAnsi" w:eastAsiaTheme="majorEastAsia" w:hAnsiTheme="majorHAnsi" w:cstheme="majorBidi"/>
      <w:caps/>
      <w:color w:val="FFFFFF" w:themeColor="background1"/>
      <w:sz w:val="28"/>
      <w:szCs w:val="28"/>
    </w:rPr>
  </w:style>
  <w:style w:type="character" w:customStyle="1" w:styleId="Heading6Char">
    <w:name w:val="Heading 6 Char"/>
    <w:basedOn w:val="DefaultParagraphFont"/>
    <w:link w:val="Heading6"/>
    <w:uiPriority w:val="9"/>
    <w:semiHidden/>
    <w:rsid w:val="00582AA7"/>
    <w:rPr>
      <w:rFonts w:asciiTheme="majorHAnsi" w:eastAsiaTheme="majorEastAsia" w:hAnsiTheme="majorHAnsi" w:cstheme="majorBidi"/>
      <w:i/>
      <w:iCs/>
      <w:color w:val="172B39" w:themeColor="accent1" w:themeShade="7F"/>
      <w:sz w:val="22"/>
    </w:rPr>
  </w:style>
  <w:style w:type="character" w:customStyle="1" w:styleId="Heading7Char">
    <w:name w:val="Heading 7 Char"/>
    <w:basedOn w:val="DefaultParagraphFont"/>
    <w:link w:val="Heading7"/>
    <w:uiPriority w:val="9"/>
    <w:semiHidden/>
    <w:rsid w:val="00582AA7"/>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582AA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82AA7"/>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rsid w:val="00372B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2AA7"/>
    <w:rPr>
      <w:rFonts w:ascii="Lucida Grande" w:hAnsi="Lucida Grande" w:cs="Lucida Grande"/>
      <w:sz w:val="18"/>
      <w:szCs w:val="18"/>
    </w:rPr>
  </w:style>
  <w:style w:type="paragraph" w:customStyle="1" w:styleId="Tableheader">
    <w:name w:val="Table header"/>
    <w:next w:val="Tabledata"/>
    <w:qFormat/>
    <w:rsid w:val="00813BAC"/>
    <w:pPr>
      <w:spacing w:after="80"/>
    </w:pPr>
    <w:rPr>
      <w:rFonts w:ascii="Calibri" w:eastAsia="Times New Roman" w:hAnsi="Calibri" w:cs="Times New Roman"/>
      <w:b/>
      <w:color w:val="000000"/>
      <w:sz w:val="22"/>
      <w:szCs w:val="22"/>
    </w:rPr>
  </w:style>
  <w:style w:type="paragraph" w:customStyle="1" w:styleId="Tabledata">
    <w:name w:val="Table data"/>
    <w:basedOn w:val="body"/>
    <w:qFormat/>
    <w:rsid w:val="00455E0E"/>
    <w:pPr>
      <w:spacing w:before="120" w:line="240" w:lineRule="auto"/>
    </w:pPr>
    <w:rPr>
      <w:rFonts w:eastAsia="Times New Roman" w:cstheme="minorHAnsi"/>
      <w:bCs/>
      <w:color w:val="000000"/>
      <w:sz w:val="20"/>
      <w:szCs w:val="22"/>
      <w:lang w:eastAsia="en-GB"/>
    </w:rPr>
  </w:style>
  <w:style w:type="paragraph" w:customStyle="1" w:styleId="List1">
    <w:name w:val="List1"/>
    <w:autoRedefine/>
    <w:qFormat/>
    <w:rsid w:val="008F3908"/>
    <w:pPr>
      <w:numPr>
        <w:numId w:val="5"/>
      </w:numPr>
    </w:pPr>
    <w:rPr>
      <w:sz w:val="22"/>
      <w:szCs w:val="22"/>
    </w:rPr>
  </w:style>
  <w:style w:type="paragraph" w:styleId="Footer">
    <w:name w:val="footer"/>
    <w:basedOn w:val="Normal"/>
    <w:link w:val="FooterChar"/>
    <w:rsid w:val="00A00E34"/>
    <w:pPr>
      <w:tabs>
        <w:tab w:val="center" w:pos="4320"/>
        <w:tab w:val="right" w:pos="8640"/>
      </w:tabs>
    </w:pPr>
  </w:style>
  <w:style w:type="character" w:customStyle="1" w:styleId="FooterChar">
    <w:name w:val="Footer Char"/>
    <w:basedOn w:val="DefaultParagraphFont"/>
    <w:link w:val="Footer"/>
    <w:uiPriority w:val="99"/>
    <w:rsid w:val="00582AA7"/>
    <w:rPr>
      <w:sz w:val="22"/>
    </w:rPr>
  </w:style>
  <w:style w:type="table" w:styleId="TableGrid">
    <w:name w:val="Table Grid"/>
    <w:basedOn w:val="TableProfessional"/>
    <w:uiPriority w:val="59"/>
    <w:rsid w:val="00A14332"/>
    <w:rPr>
      <w:sz w:val="20"/>
      <w:szCs w:val="20"/>
      <w:lang w:val="fr-LU"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unhideWhenUsed/>
    <w:rsid w:val="00D560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
    <w:name w:val="List"/>
    <w:autoRedefine/>
    <w:uiPriority w:val="99"/>
    <w:semiHidden/>
    <w:qFormat/>
    <w:rsid w:val="007A0054"/>
    <w:pPr>
      <w:numPr>
        <w:numId w:val="6"/>
      </w:numPr>
      <w:spacing w:before="240" w:after="120"/>
      <w:contextualSpacing/>
    </w:pPr>
    <w:rPr>
      <w:sz w:val="22"/>
    </w:rPr>
  </w:style>
  <w:style w:type="paragraph" w:customStyle="1" w:styleId="Titlelevel1">
    <w:name w:val="Title level 1"/>
    <w:autoRedefine/>
    <w:qFormat/>
    <w:rsid w:val="00471CA1"/>
    <w:pPr>
      <w:pBdr>
        <w:bottom w:val="single" w:sz="8" w:space="1" w:color="2F5773" w:themeColor="text2"/>
      </w:pBdr>
      <w:spacing w:before="360" w:after="600" w:line="560" w:lineRule="exact"/>
    </w:pPr>
    <w:rPr>
      <w:rFonts w:asciiTheme="majorHAnsi" w:eastAsiaTheme="majorEastAsia" w:hAnsiTheme="majorHAnsi" w:cstheme="majorBidi"/>
      <w:color w:val="2F5773" w:themeColor="text2"/>
      <w:spacing w:val="5"/>
      <w:kern w:val="28"/>
      <w:sz w:val="52"/>
      <w:szCs w:val="52"/>
    </w:rPr>
  </w:style>
  <w:style w:type="paragraph" w:customStyle="1" w:styleId="Titlelevel3">
    <w:name w:val="Title level 3"/>
    <w:qFormat/>
    <w:rsid w:val="005D4005"/>
    <w:pPr>
      <w:spacing w:before="240" w:after="240"/>
    </w:pPr>
    <w:rPr>
      <w:b/>
      <w:color w:val="2F5773" w:themeColor="text2"/>
    </w:rPr>
  </w:style>
  <w:style w:type="paragraph" w:customStyle="1" w:styleId="Titlelevel4">
    <w:name w:val="Title level 4"/>
    <w:next w:val="body"/>
    <w:qFormat/>
    <w:rsid w:val="00AE55F6"/>
    <w:pPr>
      <w:spacing w:before="240" w:after="240"/>
    </w:pPr>
    <w:rPr>
      <w:color w:val="E98E31" w:themeColor="background2"/>
    </w:rPr>
  </w:style>
  <w:style w:type="paragraph" w:customStyle="1" w:styleId="Figuretitle">
    <w:name w:val="Figure title"/>
    <w:basedOn w:val="body"/>
    <w:next w:val="Normal"/>
    <w:autoRedefine/>
    <w:qFormat/>
    <w:rsid w:val="00215B80"/>
    <w:pPr>
      <w:keepNext/>
      <w:spacing w:before="360" w:after="360"/>
    </w:pPr>
    <w:rPr>
      <w:rFonts w:eastAsia="Times New Roman" w:cs="Times New Roman"/>
      <w:bCs/>
      <w:noProof/>
      <w:color w:val="2F5773" w:themeColor="text2"/>
      <w:szCs w:val="20"/>
      <w:lang w:eastAsia="en-GB"/>
    </w:rPr>
  </w:style>
  <w:style w:type="table" w:customStyle="1" w:styleId="EBAtable">
    <w:name w:val="EBA table"/>
    <w:basedOn w:val="TableNormal"/>
    <w:uiPriority w:val="99"/>
    <w:rsid w:val="002434B0"/>
    <w:tblPr>
      <w:tblBorders>
        <w:bottom w:val="single" w:sz="2" w:space="0" w:color="000000" w:themeColor="text1"/>
        <w:insideH w:val="single" w:sz="2" w:space="0" w:color="000000" w:themeColor="text1"/>
      </w:tblBorders>
    </w:tblPr>
    <w:tcPr>
      <w:vAlign w:val="center"/>
    </w:tcPr>
    <w:tblStylePr w:type="firstRow">
      <w:pPr>
        <w:jc w:val="left"/>
      </w:pPr>
      <w:tblPr/>
      <w:trPr>
        <w:tblHeader/>
      </w:trPr>
      <w:tcPr>
        <w:tcBorders>
          <w:top w:val="nil"/>
          <w:left w:val="nil"/>
          <w:bottom w:val="single" w:sz="18" w:space="0" w:color="E98E31" w:themeColor="background2"/>
          <w:right w:val="nil"/>
          <w:insideH w:val="nil"/>
          <w:insideV w:val="nil"/>
          <w:tl2br w:val="nil"/>
          <w:tr2bl w:val="nil"/>
        </w:tcBorders>
      </w:tcPr>
    </w:tblStylePr>
    <w:tblStylePr w:type="lastRow">
      <w:tblPr/>
      <w:tcPr>
        <w:tcBorders>
          <w:top w:val="nil"/>
          <w:left w:val="nil"/>
          <w:bottom w:val="single" w:sz="4" w:space="0" w:color="E98E31" w:themeColor="background2"/>
          <w:right w:val="nil"/>
          <w:insideH w:val="nil"/>
          <w:insideV w:val="nil"/>
          <w:tl2br w:val="nil"/>
          <w:tr2bl w:val="nil"/>
        </w:tcBorders>
      </w:tcPr>
    </w:tblStylePr>
  </w:style>
  <w:style w:type="character" w:styleId="PageNumber">
    <w:name w:val="page number"/>
    <w:basedOn w:val="DefaultParagraphFont"/>
    <w:uiPriority w:val="99"/>
    <w:semiHidden/>
    <w:rsid w:val="00610305"/>
    <w:rPr>
      <w:rFonts w:asciiTheme="minorHAnsi" w:hAnsiTheme="minorHAnsi"/>
      <w:color w:val="auto"/>
      <w:sz w:val="22"/>
    </w:rPr>
  </w:style>
  <w:style w:type="paragraph" w:customStyle="1" w:styleId="Runningtitle">
    <w:name w:val="Running title"/>
    <w:qFormat/>
    <w:rsid w:val="009F53AF"/>
    <w:rPr>
      <w:caps/>
      <w:sz w:val="16"/>
      <w:szCs w:val="18"/>
    </w:rPr>
  </w:style>
  <w:style w:type="paragraph" w:styleId="FootnoteText">
    <w:name w:val="footnote text"/>
    <w:basedOn w:val="body"/>
    <w:link w:val="FootnoteTextChar"/>
    <w:qFormat/>
    <w:rsid w:val="00C92B4B"/>
    <w:pPr>
      <w:spacing w:before="80" w:after="0" w:line="200" w:lineRule="exact"/>
    </w:pPr>
    <w:rPr>
      <w:rFonts w:ascii="Times New Roman" w:hAnsi="Times New Roman" w:cs="Times New Roman"/>
      <w:sz w:val="18"/>
      <w:szCs w:val="18"/>
    </w:rPr>
  </w:style>
  <w:style w:type="character" w:customStyle="1" w:styleId="FootnoteTextChar">
    <w:name w:val="Footnote Text Char"/>
    <w:basedOn w:val="DefaultParagraphFont"/>
    <w:link w:val="FootnoteText"/>
    <w:rsid w:val="00C92B4B"/>
    <w:rPr>
      <w:rFonts w:ascii="Times New Roman" w:hAnsi="Times New Roman" w:cs="Times New Roman"/>
      <w:sz w:val="18"/>
      <w:szCs w:val="18"/>
    </w:rPr>
  </w:style>
  <w:style w:type="character" w:styleId="FootnoteReference">
    <w:name w:val="footnote reference"/>
    <w:aliases w:val="Footnote Reference Number,Footnote Reference_LVL6,Footnote Reference_LVL61,Footnote Reference_LVL62,Footnote Reference_LVL63,Footnote Reference_LVL64,Footnote symbol,Footnote reference number,Fußnotenzeichen3,Char1"/>
    <w:basedOn w:val="DefaultParagraphFont"/>
    <w:qFormat/>
    <w:rsid w:val="00B13C87"/>
    <w:rPr>
      <w:rFonts w:asciiTheme="minorHAnsi" w:hAnsiTheme="minorHAnsi"/>
      <w:sz w:val="22"/>
      <w:szCs w:val="18"/>
      <w:vertAlign w:val="superscript"/>
    </w:rPr>
  </w:style>
  <w:style w:type="paragraph" w:customStyle="1" w:styleId="bullet1">
    <w:name w:val="bullet 1"/>
    <w:basedOn w:val="body"/>
    <w:next w:val="body"/>
    <w:qFormat/>
    <w:rsid w:val="001C5BC2"/>
    <w:pPr>
      <w:numPr>
        <w:numId w:val="2"/>
      </w:numPr>
    </w:pPr>
    <w:rPr>
      <w:szCs w:val="22"/>
    </w:rPr>
  </w:style>
  <w:style w:type="paragraph" w:styleId="TOC1">
    <w:name w:val="toc 1"/>
    <w:autoRedefine/>
    <w:uiPriority w:val="39"/>
    <w:qFormat/>
    <w:rsid w:val="00C47E8F"/>
    <w:pPr>
      <w:tabs>
        <w:tab w:val="left" w:pos="312"/>
        <w:tab w:val="left" w:pos="421"/>
        <w:tab w:val="right" w:pos="8771"/>
      </w:tabs>
      <w:spacing w:before="120" w:after="120"/>
      <w:outlineLvl w:val="0"/>
    </w:pPr>
    <w:rPr>
      <w:b/>
      <w:bCs/>
      <w:noProof/>
      <w:color w:val="2F5773" w:themeColor="text2"/>
      <w:sz w:val="22"/>
      <w:szCs w:val="22"/>
    </w:rPr>
  </w:style>
  <w:style w:type="paragraph" w:styleId="TOC2">
    <w:name w:val="toc 2"/>
    <w:next w:val="Normal"/>
    <w:autoRedefine/>
    <w:uiPriority w:val="39"/>
    <w:qFormat/>
    <w:rsid w:val="00C41927"/>
    <w:pPr>
      <w:tabs>
        <w:tab w:val="left" w:pos="529"/>
        <w:tab w:val="right" w:pos="8771"/>
      </w:tabs>
      <w:spacing w:before="80" w:after="80"/>
    </w:pPr>
    <w:rPr>
      <w:noProof/>
      <w:sz w:val="22"/>
      <w:szCs w:val="22"/>
    </w:rPr>
  </w:style>
  <w:style w:type="paragraph" w:styleId="TOC3">
    <w:name w:val="toc 3"/>
    <w:basedOn w:val="Normal"/>
    <w:next w:val="Normal"/>
    <w:autoRedefine/>
    <w:uiPriority w:val="39"/>
    <w:qFormat/>
    <w:rsid w:val="00663B0A"/>
    <w:pPr>
      <w:tabs>
        <w:tab w:val="right" w:pos="8771"/>
      </w:tabs>
      <w:ind w:left="567"/>
    </w:pPr>
    <w:rPr>
      <w:szCs w:val="22"/>
    </w:rPr>
  </w:style>
  <w:style w:type="paragraph" w:styleId="TOC4">
    <w:name w:val="toc 4"/>
    <w:basedOn w:val="Normal"/>
    <w:next w:val="Normal"/>
    <w:autoRedefine/>
    <w:uiPriority w:val="39"/>
    <w:rsid w:val="00EE456B"/>
    <w:pPr>
      <w:tabs>
        <w:tab w:val="right" w:pos="8771"/>
      </w:tabs>
      <w:ind w:left="1134"/>
    </w:pPr>
    <w:rPr>
      <w:szCs w:val="22"/>
    </w:rPr>
  </w:style>
  <w:style w:type="paragraph" w:customStyle="1" w:styleId="bullet2">
    <w:name w:val="bullet 2"/>
    <w:basedOn w:val="body"/>
    <w:qFormat/>
    <w:rsid w:val="001C5BC2"/>
    <w:pPr>
      <w:numPr>
        <w:numId w:val="1"/>
      </w:numPr>
    </w:pPr>
    <w:rPr>
      <w:szCs w:val="22"/>
    </w:rPr>
  </w:style>
  <w:style w:type="paragraph" w:customStyle="1" w:styleId="Numberedtitlelevel3">
    <w:name w:val="Numbered title level 3"/>
    <w:basedOn w:val="Titlelevel3"/>
    <w:next w:val="body"/>
    <w:qFormat/>
    <w:rsid w:val="008F3908"/>
    <w:pPr>
      <w:numPr>
        <w:ilvl w:val="2"/>
        <w:numId w:val="7"/>
      </w:numPr>
    </w:pPr>
  </w:style>
  <w:style w:type="table" w:styleId="LightShading">
    <w:name w:val="Light Shading"/>
    <w:basedOn w:val="TableNormal"/>
    <w:uiPriority w:val="60"/>
    <w:rsid w:val="00F942C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5301B"/>
    <w:rPr>
      <w:color w:val="234156" w:themeColor="accent1" w:themeShade="BF"/>
    </w:rPr>
    <w:tblPr>
      <w:tblStyleRowBandSize w:val="1"/>
      <w:tblStyleColBandSize w:val="1"/>
      <w:tblBorders>
        <w:top w:val="single" w:sz="8" w:space="0" w:color="2F5773" w:themeColor="accent1"/>
        <w:bottom w:val="single" w:sz="8" w:space="0" w:color="2F5773" w:themeColor="accent1"/>
      </w:tblBorders>
    </w:tblPr>
    <w:tblStylePr w:type="fir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la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7E6" w:themeFill="accent1" w:themeFillTint="3F"/>
      </w:tcPr>
    </w:tblStylePr>
    <w:tblStylePr w:type="band1Horz">
      <w:tblPr/>
      <w:tcPr>
        <w:tcBorders>
          <w:left w:val="nil"/>
          <w:right w:val="nil"/>
          <w:insideH w:val="nil"/>
          <w:insideV w:val="nil"/>
        </w:tcBorders>
        <w:shd w:val="clear" w:color="auto" w:fill="C1D7E6" w:themeFill="accent1" w:themeFillTint="3F"/>
      </w:tcPr>
    </w:tblStylePr>
  </w:style>
  <w:style w:type="paragraph" w:customStyle="1" w:styleId="Contenttitle">
    <w:name w:val="Content title"/>
    <w:basedOn w:val="Titlelevel1"/>
    <w:qFormat/>
    <w:rsid w:val="00172007"/>
  </w:style>
  <w:style w:type="paragraph" w:customStyle="1" w:styleId="Numberedtitlelevel4">
    <w:name w:val="Numbered title level 4"/>
    <w:basedOn w:val="Titlelevel4"/>
    <w:qFormat/>
    <w:rsid w:val="005D4005"/>
    <w:pPr>
      <w:numPr>
        <w:numId w:val="4"/>
      </w:numPr>
    </w:pPr>
  </w:style>
  <w:style w:type="paragraph" w:styleId="Header">
    <w:name w:val="header"/>
    <w:basedOn w:val="Normal"/>
    <w:link w:val="HeaderChar"/>
    <w:uiPriority w:val="99"/>
    <w:semiHidden/>
    <w:rsid w:val="00A92440"/>
    <w:pPr>
      <w:tabs>
        <w:tab w:val="center" w:pos="4320"/>
        <w:tab w:val="right" w:pos="8640"/>
      </w:tabs>
    </w:pPr>
  </w:style>
  <w:style w:type="character" w:customStyle="1" w:styleId="HeaderChar">
    <w:name w:val="Header Char"/>
    <w:basedOn w:val="DefaultParagraphFont"/>
    <w:link w:val="Header"/>
    <w:uiPriority w:val="99"/>
    <w:semiHidden/>
    <w:rsid w:val="00582AA7"/>
    <w:rPr>
      <w:sz w:val="22"/>
    </w:rPr>
  </w:style>
  <w:style w:type="paragraph" w:styleId="Title">
    <w:name w:val="Title"/>
    <w:basedOn w:val="Normal"/>
    <w:next w:val="Normal"/>
    <w:link w:val="TitleChar"/>
    <w:qFormat/>
    <w:rsid w:val="004719B4"/>
    <w:pPr>
      <w:pBdr>
        <w:bottom w:val="single" w:sz="8" w:space="4" w:color="2F5773" w:themeColor="accent1"/>
      </w:pBdr>
      <w:spacing w:after="300"/>
      <w:contextualSpacing/>
    </w:pPr>
    <w:rPr>
      <w:rFonts w:asciiTheme="majorHAnsi" w:eastAsiaTheme="majorEastAsia" w:hAnsiTheme="majorHAnsi" w:cstheme="majorBidi"/>
      <w:color w:val="2F5773" w:themeColor="text2"/>
      <w:spacing w:val="5"/>
      <w:kern w:val="28"/>
      <w:sz w:val="52"/>
      <w:szCs w:val="52"/>
    </w:rPr>
  </w:style>
  <w:style w:type="character" w:customStyle="1" w:styleId="TitleChar">
    <w:name w:val="Title Char"/>
    <w:basedOn w:val="DefaultParagraphFont"/>
    <w:link w:val="Title"/>
    <w:rsid w:val="00582AA7"/>
    <w:rPr>
      <w:rFonts w:asciiTheme="majorHAnsi" w:eastAsiaTheme="majorEastAsia" w:hAnsiTheme="majorHAnsi" w:cstheme="majorBidi"/>
      <w:color w:val="2F5773" w:themeColor="text2"/>
      <w:spacing w:val="5"/>
      <w:kern w:val="28"/>
      <w:sz w:val="52"/>
      <w:szCs w:val="52"/>
    </w:rPr>
  </w:style>
  <w:style w:type="paragraph" w:styleId="TableofFigures">
    <w:name w:val="table of figures"/>
    <w:basedOn w:val="Normal"/>
    <w:next w:val="Normal"/>
    <w:autoRedefine/>
    <w:uiPriority w:val="99"/>
    <w:qFormat/>
    <w:rsid w:val="00172007"/>
    <w:pPr>
      <w:spacing w:before="160"/>
    </w:pPr>
  </w:style>
  <w:style w:type="paragraph" w:styleId="Subtitle">
    <w:name w:val="Subtitle"/>
    <w:next w:val="Normal"/>
    <w:link w:val="SubtitleChar"/>
    <w:autoRedefine/>
    <w:uiPriority w:val="11"/>
    <w:qFormat/>
    <w:rsid w:val="004719B4"/>
    <w:pPr>
      <w:numPr>
        <w:ilvl w:val="1"/>
      </w:numPr>
      <w:spacing w:before="240" w:after="120"/>
    </w:pPr>
    <w:rPr>
      <w:rFonts w:asciiTheme="majorHAnsi" w:eastAsiaTheme="majorEastAsia" w:hAnsiTheme="majorHAnsi" w:cstheme="majorBidi"/>
      <w:color w:val="2F5773" w:themeColor="accent1"/>
      <w:sz w:val="32"/>
      <w:szCs w:val="32"/>
    </w:rPr>
  </w:style>
  <w:style w:type="character" w:customStyle="1" w:styleId="SubtitleChar">
    <w:name w:val="Subtitle Char"/>
    <w:basedOn w:val="DefaultParagraphFont"/>
    <w:link w:val="Subtitle"/>
    <w:uiPriority w:val="11"/>
    <w:rsid w:val="00290DA3"/>
    <w:rPr>
      <w:rFonts w:asciiTheme="majorHAnsi" w:eastAsiaTheme="majorEastAsia" w:hAnsiTheme="majorHAnsi" w:cstheme="majorBidi"/>
      <w:color w:val="2F5773" w:themeColor="accent1"/>
      <w:sz w:val="32"/>
      <w:szCs w:val="32"/>
      <w:lang w:val="lt-LT"/>
    </w:rPr>
  </w:style>
  <w:style w:type="character" w:styleId="BookTitle">
    <w:name w:val="Book Title"/>
    <w:basedOn w:val="DefaultParagraphFont"/>
    <w:uiPriority w:val="33"/>
    <w:semiHidden/>
    <w:qFormat/>
    <w:rsid w:val="000D7A44"/>
    <w:rPr>
      <w:b/>
      <w:bCs/>
      <w:smallCaps/>
      <w:spacing w:val="5"/>
    </w:rPr>
  </w:style>
  <w:style w:type="character" w:customStyle="1" w:styleId="Highlighttext">
    <w:name w:val="Highlight text"/>
    <w:basedOn w:val="DefaultParagraphFont"/>
    <w:uiPriority w:val="1"/>
    <w:semiHidden/>
    <w:qFormat/>
    <w:rsid w:val="00AE55F6"/>
    <w:rPr>
      <w:rFonts w:asciiTheme="minorHAnsi" w:hAnsiTheme="minorHAnsi"/>
      <w:b/>
      <w:bCs/>
      <w:caps w:val="0"/>
      <w:smallCaps w:val="0"/>
      <w:color w:val="E98E31" w:themeColor="background2"/>
      <w:sz w:val="22"/>
      <w:szCs w:val="22"/>
    </w:rPr>
  </w:style>
  <w:style w:type="paragraph" w:customStyle="1" w:styleId="abbreviation">
    <w:name w:val="abbreviation"/>
    <w:basedOn w:val="Tableheader"/>
    <w:qFormat/>
    <w:rsid w:val="00455E0E"/>
    <w:rPr>
      <w:bCs/>
      <w:lang w:eastAsia="en-GB"/>
    </w:rPr>
  </w:style>
  <w:style w:type="paragraph" w:styleId="ListBullet">
    <w:name w:val="List Bullet"/>
    <w:basedOn w:val="Normal"/>
    <w:semiHidden/>
    <w:qFormat/>
    <w:rsid w:val="00A304D0"/>
    <w:pPr>
      <w:numPr>
        <w:numId w:val="15"/>
      </w:numPr>
      <w:contextualSpacing/>
    </w:pPr>
  </w:style>
  <w:style w:type="character" w:styleId="Hyperlink">
    <w:name w:val="Hyperlink"/>
    <w:basedOn w:val="DefaultParagraphFont"/>
    <w:uiPriority w:val="99"/>
    <w:rsid w:val="00392385"/>
    <w:rPr>
      <w:color w:val="2F5773" w:themeColor="hyperlink"/>
      <w:u w:val="single"/>
    </w:rPr>
  </w:style>
  <w:style w:type="paragraph" w:customStyle="1" w:styleId="numberedparagraph">
    <w:name w:val="numbered paragraph"/>
    <w:basedOn w:val="body"/>
    <w:qFormat/>
    <w:rsid w:val="00E22BCE"/>
    <w:pPr>
      <w:numPr>
        <w:numId w:val="8"/>
      </w:numPr>
    </w:pPr>
  </w:style>
  <w:style w:type="paragraph" w:styleId="TOC5">
    <w:name w:val="toc 5"/>
    <w:basedOn w:val="Normal"/>
    <w:next w:val="Normal"/>
    <w:autoRedefine/>
    <w:uiPriority w:val="39"/>
    <w:semiHidden/>
    <w:rsid w:val="00B526A8"/>
    <w:pPr>
      <w:ind w:left="880"/>
    </w:pPr>
  </w:style>
  <w:style w:type="paragraph" w:styleId="TOC6">
    <w:name w:val="toc 6"/>
    <w:basedOn w:val="Normal"/>
    <w:next w:val="Normal"/>
    <w:autoRedefine/>
    <w:uiPriority w:val="39"/>
    <w:semiHidden/>
    <w:rsid w:val="00B526A8"/>
    <w:pPr>
      <w:ind w:left="1100"/>
    </w:pPr>
  </w:style>
  <w:style w:type="paragraph" w:styleId="TOC7">
    <w:name w:val="toc 7"/>
    <w:basedOn w:val="Normal"/>
    <w:next w:val="Normal"/>
    <w:autoRedefine/>
    <w:uiPriority w:val="39"/>
    <w:semiHidden/>
    <w:rsid w:val="00B526A8"/>
    <w:pPr>
      <w:ind w:left="1320"/>
    </w:pPr>
  </w:style>
  <w:style w:type="paragraph" w:styleId="TOC8">
    <w:name w:val="toc 8"/>
    <w:basedOn w:val="Normal"/>
    <w:next w:val="Normal"/>
    <w:autoRedefine/>
    <w:uiPriority w:val="39"/>
    <w:semiHidden/>
    <w:rsid w:val="00B526A8"/>
    <w:pPr>
      <w:ind w:left="1540"/>
    </w:pPr>
  </w:style>
  <w:style w:type="paragraph" w:styleId="TOC9">
    <w:name w:val="toc 9"/>
    <w:basedOn w:val="Normal"/>
    <w:next w:val="Normal"/>
    <w:autoRedefine/>
    <w:uiPriority w:val="39"/>
    <w:semiHidden/>
    <w:rsid w:val="00B526A8"/>
    <w:pPr>
      <w:ind w:left="1760"/>
    </w:pPr>
  </w:style>
  <w:style w:type="paragraph" w:customStyle="1" w:styleId="Default">
    <w:name w:val="Default"/>
    <w:rsid w:val="000C7FD8"/>
    <w:pPr>
      <w:autoSpaceDE w:val="0"/>
      <w:autoSpaceDN w:val="0"/>
      <w:adjustRightInd w:val="0"/>
    </w:pPr>
    <w:rPr>
      <w:rFonts w:ascii="Calibri" w:eastAsiaTheme="minorHAnsi" w:hAnsi="Calibri" w:cs="Calibri"/>
      <w:color w:val="000000"/>
    </w:rPr>
  </w:style>
  <w:style w:type="paragraph" w:styleId="TOCHeading">
    <w:name w:val="TOC Heading"/>
    <w:basedOn w:val="Heading1"/>
    <w:next w:val="Normal"/>
    <w:uiPriority w:val="39"/>
    <w:semiHidden/>
    <w:qFormat/>
    <w:rsid w:val="00B43E07"/>
    <w:pPr>
      <w:spacing w:before="480"/>
      <w:outlineLvl w:val="9"/>
    </w:pPr>
    <w:rPr>
      <w:caps w:val="0"/>
      <w:color w:val="234156" w:themeColor="accent1" w:themeShade="BF"/>
      <w:sz w:val="28"/>
      <w:szCs w:val="28"/>
    </w:rPr>
  </w:style>
  <w:style w:type="character" w:customStyle="1" w:styleId="Marker">
    <w:name w:val="Marker"/>
    <w:rsid w:val="00B43E07"/>
    <w:rPr>
      <w:color w:val="0000FF"/>
      <w:shd w:val="clear" w:color="auto" w:fill="auto"/>
    </w:rPr>
  </w:style>
  <w:style w:type="character" w:customStyle="1" w:styleId="Marker2">
    <w:name w:val="Marker2"/>
    <w:rsid w:val="00B43E07"/>
    <w:rPr>
      <w:color w:val="FF0000"/>
      <w:shd w:val="clear" w:color="auto" w:fill="auto"/>
    </w:rPr>
  </w:style>
  <w:style w:type="paragraph" w:customStyle="1" w:styleId="Annexetitre">
    <w:name w:val="Annexe titre"/>
    <w:basedOn w:val="Normal"/>
    <w:next w:val="Normal"/>
    <w:rsid w:val="00B43E07"/>
    <w:pPr>
      <w:spacing w:before="120" w:after="120"/>
      <w:jc w:val="center"/>
    </w:pPr>
    <w:rPr>
      <w:rFonts w:ascii="Times New Roman" w:eastAsia="Times New Roman" w:hAnsi="Times New Roman" w:cs="Times New Roman"/>
      <w:b/>
      <w:sz w:val="24"/>
      <w:u w:val="single"/>
    </w:rPr>
  </w:style>
  <w:style w:type="paragraph" w:customStyle="1" w:styleId="Applicationdirecte">
    <w:name w:val="Application directe"/>
    <w:basedOn w:val="Normal"/>
    <w:next w:val="Fait"/>
    <w:rsid w:val="00B43E07"/>
    <w:pPr>
      <w:spacing w:before="480" w:after="120"/>
      <w:jc w:val="both"/>
    </w:pPr>
    <w:rPr>
      <w:rFonts w:ascii="Times New Roman" w:eastAsia="Times New Roman" w:hAnsi="Times New Roman" w:cs="Times New Roman"/>
      <w:sz w:val="24"/>
    </w:rPr>
  </w:style>
  <w:style w:type="paragraph" w:customStyle="1" w:styleId="Considrant">
    <w:name w:val="Considérant"/>
    <w:basedOn w:val="Normal"/>
    <w:rsid w:val="00B43E07"/>
    <w:pPr>
      <w:numPr>
        <w:numId w:val="29"/>
      </w:numPr>
      <w:spacing w:before="120" w:after="120"/>
      <w:jc w:val="both"/>
    </w:pPr>
    <w:rPr>
      <w:rFonts w:ascii="Times New Roman" w:eastAsia="Times New Roman" w:hAnsi="Times New Roman" w:cs="Times New Roman"/>
      <w:sz w:val="24"/>
    </w:rPr>
  </w:style>
  <w:style w:type="paragraph" w:customStyle="1" w:styleId="Datedadoption">
    <w:name w:val="Date d'adoption"/>
    <w:basedOn w:val="Normal"/>
    <w:next w:val="Titreobjet"/>
    <w:rsid w:val="00B43E07"/>
    <w:pPr>
      <w:spacing w:before="360"/>
      <w:jc w:val="center"/>
    </w:pPr>
    <w:rPr>
      <w:rFonts w:ascii="Times New Roman" w:eastAsia="Times New Roman" w:hAnsi="Times New Roman" w:cs="Times New Roman"/>
      <w:b/>
      <w:sz w:val="24"/>
    </w:rPr>
  </w:style>
  <w:style w:type="paragraph" w:customStyle="1" w:styleId="Fait">
    <w:name w:val="Fait à"/>
    <w:basedOn w:val="Normal"/>
    <w:next w:val="Institutionquisigne"/>
    <w:rsid w:val="00B43E07"/>
    <w:pPr>
      <w:keepNext/>
      <w:spacing w:before="120"/>
      <w:jc w:val="both"/>
    </w:pPr>
    <w:rPr>
      <w:rFonts w:ascii="Times New Roman" w:eastAsia="Times New Roman" w:hAnsi="Times New Roman" w:cs="Times New Roman"/>
      <w:sz w:val="24"/>
    </w:rPr>
  </w:style>
  <w:style w:type="paragraph" w:customStyle="1" w:styleId="Formuledadoption">
    <w:name w:val="Formule d'adoption"/>
    <w:basedOn w:val="Normal"/>
    <w:next w:val="Titrearticle"/>
    <w:rsid w:val="00B43E07"/>
    <w:pPr>
      <w:keepNext/>
      <w:spacing w:before="120" w:after="120"/>
      <w:jc w:val="both"/>
    </w:pPr>
    <w:rPr>
      <w:rFonts w:ascii="Times New Roman" w:eastAsia="Times New Roman" w:hAnsi="Times New Roman" w:cs="Times New Roman"/>
      <w:sz w:val="24"/>
    </w:rPr>
  </w:style>
  <w:style w:type="paragraph" w:customStyle="1" w:styleId="Institutionquisigne">
    <w:name w:val="Institution qui signe"/>
    <w:basedOn w:val="Normal"/>
    <w:next w:val="Personnequisigne"/>
    <w:rsid w:val="00B43E07"/>
    <w:pPr>
      <w:keepNext/>
      <w:tabs>
        <w:tab w:val="left" w:pos="4252"/>
      </w:tabs>
      <w:spacing w:before="720"/>
      <w:jc w:val="both"/>
    </w:pPr>
    <w:rPr>
      <w:rFonts w:ascii="Times New Roman" w:eastAsia="Times New Roman" w:hAnsi="Times New Roman" w:cs="Times New Roman"/>
      <w:i/>
      <w:sz w:val="24"/>
    </w:rPr>
  </w:style>
  <w:style w:type="paragraph" w:customStyle="1" w:styleId="Personnequisigne">
    <w:name w:val="Personne qui signe"/>
    <w:basedOn w:val="Normal"/>
    <w:next w:val="Institutionquisigne"/>
    <w:rsid w:val="00B43E07"/>
    <w:pPr>
      <w:tabs>
        <w:tab w:val="left" w:pos="4252"/>
      </w:tabs>
    </w:pPr>
    <w:rPr>
      <w:rFonts w:ascii="Times New Roman" w:eastAsia="Times New Roman" w:hAnsi="Times New Roman" w:cs="Times New Roman"/>
      <w:i/>
      <w:sz w:val="24"/>
    </w:rPr>
  </w:style>
  <w:style w:type="paragraph" w:customStyle="1" w:styleId="Titrearticle">
    <w:name w:val="Titre article"/>
    <w:basedOn w:val="Normal"/>
    <w:next w:val="Normal"/>
    <w:rsid w:val="00B43E07"/>
    <w:pPr>
      <w:keepNext/>
      <w:spacing w:before="360" w:after="120"/>
      <w:jc w:val="center"/>
    </w:pPr>
    <w:rPr>
      <w:rFonts w:ascii="Times New Roman" w:eastAsia="Times New Roman" w:hAnsi="Times New Roman" w:cs="Times New Roman"/>
      <w:i/>
      <w:sz w:val="24"/>
    </w:rPr>
  </w:style>
  <w:style w:type="paragraph" w:customStyle="1" w:styleId="Titreobjet">
    <w:name w:val="Titre objet"/>
    <w:basedOn w:val="Normal"/>
    <w:next w:val="Normal"/>
    <w:rsid w:val="00B43E07"/>
    <w:pPr>
      <w:spacing w:before="360" w:after="360"/>
      <w:jc w:val="center"/>
    </w:pPr>
    <w:rPr>
      <w:rFonts w:ascii="Times New Roman" w:eastAsia="Times New Roman" w:hAnsi="Times New Roman" w:cs="Times New Roman"/>
      <w:b/>
      <w:sz w:val="24"/>
    </w:rPr>
  </w:style>
  <w:style w:type="paragraph" w:customStyle="1" w:styleId="Typedudocument">
    <w:name w:val="Type du document"/>
    <w:basedOn w:val="Normal"/>
    <w:next w:val="Titreobjet"/>
    <w:rsid w:val="00B43E07"/>
    <w:pPr>
      <w:spacing w:before="360"/>
      <w:jc w:val="center"/>
    </w:pPr>
    <w:rPr>
      <w:rFonts w:ascii="Times New Roman" w:eastAsia="Times New Roman" w:hAnsi="Times New Roman" w:cs="Times New Roman"/>
      <w:b/>
      <w:sz w:val="24"/>
    </w:rPr>
  </w:style>
  <w:style w:type="paragraph" w:customStyle="1" w:styleId="Pagedecouverture">
    <w:name w:val="Page de couverture"/>
    <w:basedOn w:val="Normal"/>
    <w:next w:val="Normal"/>
    <w:rsid w:val="00B43E07"/>
    <w:pPr>
      <w:spacing w:before="120" w:after="120"/>
      <w:jc w:val="both"/>
    </w:pPr>
    <w:rPr>
      <w:rFonts w:ascii="Times New Roman" w:eastAsia="Times New Roman" w:hAnsi="Times New Roman" w:cs="Times New Roman"/>
      <w:sz w:val="24"/>
    </w:rPr>
  </w:style>
  <w:style w:type="paragraph" w:customStyle="1" w:styleId="Institutionquiagit">
    <w:name w:val="Institution qui agit"/>
    <w:basedOn w:val="Normal"/>
    <w:next w:val="Normal"/>
    <w:rsid w:val="00B43E07"/>
    <w:pPr>
      <w:keepNext/>
      <w:spacing w:before="600" w:after="120"/>
      <w:jc w:val="both"/>
    </w:pPr>
    <w:rPr>
      <w:rFonts w:ascii="Times New Roman" w:eastAsia="Times New Roman" w:hAnsi="Times New Roman" w:cs="Times New Roman"/>
      <w:sz w:val="24"/>
    </w:rPr>
  </w:style>
  <w:style w:type="paragraph" w:styleId="ListParagraph">
    <w:name w:val="List Paragraph"/>
    <w:basedOn w:val="Normal"/>
    <w:uiPriority w:val="1"/>
    <w:qFormat/>
    <w:rsid w:val="009F12DA"/>
    <w:pPr>
      <w:ind w:left="720"/>
    </w:pPr>
    <w:rPr>
      <w:rFonts w:ascii="Calibri" w:eastAsia="Calibri" w:hAnsi="Calibri" w:cs="Times New Roman"/>
      <w:szCs w:val="22"/>
    </w:rPr>
  </w:style>
  <w:style w:type="character" w:styleId="CommentReference">
    <w:name w:val="annotation reference"/>
    <w:basedOn w:val="DefaultParagraphFont"/>
    <w:uiPriority w:val="99"/>
    <w:semiHidden/>
    <w:unhideWhenUsed/>
    <w:rsid w:val="006336C8"/>
    <w:rPr>
      <w:sz w:val="16"/>
      <w:szCs w:val="16"/>
    </w:rPr>
  </w:style>
  <w:style w:type="paragraph" w:styleId="CommentText">
    <w:name w:val="annotation text"/>
    <w:basedOn w:val="Normal"/>
    <w:link w:val="CommentTextChar"/>
    <w:uiPriority w:val="99"/>
    <w:unhideWhenUsed/>
    <w:rsid w:val="006336C8"/>
    <w:rPr>
      <w:sz w:val="20"/>
      <w:szCs w:val="20"/>
    </w:rPr>
  </w:style>
  <w:style w:type="character" w:customStyle="1" w:styleId="CommentTextChar">
    <w:name w:val="Comment Text Char"/>
    <w:basedOn w:val="DefaultParagraphFont"/>
    <w:link w:val="CommentText"/>
    <w:uiPriority w:val="99"/>
    <w:rsid w:val="006336C8"/>
    <w:rPr>
      <w:sz w:val="20"/>
      <w:szCs w:val="20"/>
      <w:lang w:val="lt-LT"/>
    </w:rPr>
  </w:style>
  <w:style w:type="paragraph" w:styleId="CommentSubject">
    <w:name w:val="annotation subject"/>
    <w:basedOn w:val="CommentText"/>
    <w:next w:val="CommentText"/>
    <w:link w:val="CommentSubjectChar"/>
    <w:uiPriority w:val="99"/>
    <w:semiHidden/>
    <w:unhideWhenUsed/>
    <w:rsid w:val="00944AD8"/>
    <w:rPr>
      <w:b/>
      <w:bCs/>
    </w:rPr>
  </w:style>
  <w:style w:type="character" w:customStyle="1" w:styleId="CommentSubjectChar">
    <w:name w:val="Comment Subject Char"/>
    <w:basedOn w:val="CommentTextChar"/>
    <w:link w:val="CommentSubject"/>
    <w:uiPriority w:val="99"/>
    <w:semiHidden/>
    <w:rsid w:val="00944AD8"/>
    <w:rPr>
      <w:b/>
      <w:bCs/>
      <w:sz w:val="20"/>
      <w:szCs w:val="20"/>
      <w:lang w:val="lt-LT"/>
    </w:rPr>
  </w:style>
  <w:style w:type="paragraph" w:styleId="Revision">
    <w:name w:val="Revision"/>
    <w:hidden/>
    <w:uiPriority w:val="99"/>
    <w:semiHidden/>
    <w:rsid w:val="00944AD8"/>
    <w:rPr>
      <w:sz w:val="22"/>
    </w:rPr>
  </w:style>
  <w:style w:type="paragraph" w:customStyle="1" w:styleId="Text1">
    <w:name w:val="Text 1"/>
    <w:basedOn w:val="Normal"/>
    <w:rsid w:val="00454B24"/>
    <w:pPr>
      <w:spacing w:before="120" w:after="120"/>
      <w:ind w:left="850"/>
      <w:jc w:val="both"/>
    </w:pPr>
    <w:rPr>
      <w:rFonts w:ascii="Times New Roman" w:eastAsia="Calibri" w:hAnsi="Times New Roman" w:cs="Times New Roman"/>
      <w:sz w:val="24"/>
      <w:szCs w:val="20"/>
      <w:lang w:eastAsia="en-GB"/>
    </w:rPr>
  </w:style>
  <w:style w:type="paragraph" w:customStyle="1" w:styleId="TableParagraph">
    <w:name w:val="Table Paragraph"/>
    <w:basedOn w:val="Normal"/>
    <w:uiPriority w:val="1"/>
    <w:qFormat/>
    <w:rsid w:val="00723921"/>
    <w:pPr>
      <w:widowControl w:val="0"/>
      <w:autoSpaceDE w:val="0"/>
      <w:autoSpaceDN w:val="0"/>
    </w:pPr>
    <w:rPr>
      <w:rFonts w:ascii="Calibri" w:eastAsia="Calibri" w:hAnsi="Calibri" w:cs="Calibri"/>
      <w:szCs w:val="22"/>
      <w:lang w:eastAsia="en-GB" w:bidi="en-GB"/>
    </w:rPr>
  </w:style>
  <w:style w:type="paragraph" w:styleId="BodyText">
    <w:name w:val="Body Text"/>
    <w:basedOn w:val="Normal"/>
    <w:link w:val="BodyTextChar"/>
    <w:uiPriority w:val="1"/>
    <w:rsid w:val="00411573"/>
    <w:pPr>
      <w:widowControl w:val="0"/>
      <w:autoSpaceDE w:val="0"/>
      <w:spacing w:after="160" w:line="259" w:lineRule="auto"/>
    </w:pPr>
    <w:rPr>
      <w:rFonts w:eastAsia="Calibri" w:cs="Calibri"/>
      <w:szCs w:val="22"/>
    </w:rPr>
  </w:style>
  <w:style w:type="character" w:customStyle="1" w:styleId="BodyTextChar">
    <w:name w:val="Body Text Char"/>
    <w:basedOn w:val="DefaultParagraphFont"/>
    <w:link w:val="BodyText"/>
    <w:uiPriority w:val="1"/>
    <w:rsid w:val="00411573"/>
    <w:rPr>
      <w:rFonts w:eastAsia="Calibri" w:cs="Calibri"/>
      <w:sz w:val="22"/>
      <w:szCs w:val="22"/>
    </w:rPr>
  </w:style>
  <w:style w:type="table" w:customStyle="1" w:styleId="TableGrid1">
    <w:name w:val="Table Grid1"/>
    <w:basedOn w:val="TableNormal"/>
    <w:next w:val="TableGrid"/>
    <w:uiPriority w:val="39"/>
    <w:rsid w:val="00411573"/>
    <w:rPr>
      <w:rFonts w:eastAsiaTheme="minorHAns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663650">
      <w:bodyDiv w:val="1"/>
      <w:marLeft w:val="0"/>
      <w:marRight w:val="0"/>
      <w:marTop w:val="0"/>
      <w:marBottom w:val="0"/>
      <w:divBdr>
        <w:top w:val="none" w:sz="0" w:space="0" w:color="auto"/>
        <w:left w:val="none" w:sz="0" w:space="0" w:color="auto"/>
        <w:bottom w:val="none" w:sz="0" w:space="0" w:color="auto"/>
        <w:right w:val="none" w:sz="0" w:space="0" w:color="auto"/>
      </w:divBdr>
    </w:div>
    <w:div w:id="349382086">
      <w:bodyDiv w:val="1"/>
      <w:marLeft w:val="0"/>
      <w:marRight w:val="0"/>
      <w:marTop w:val="0"/>
      <w:marBottom w:val="0"/>
      <w:divBdr>
        <w:top w:val="none" w:sz="0" w:space="0" w:color="auto"/>
        <w:left w:val="none" w:sz="0" w:space="0" w:color="auto"/>
        <w:bottom w:val="none" w:sz="0" w:space="0" w:color="auto"/>
        <w:right w:val="none" w:sz="0" w:space="0" w:color="auto"/>
      </w:divBdr>
    </w:div>
    <w:div w:id="788400082">
      <w:bodyDiv w:val="1"/>
      <w:marLeft w:val="0"/>
      <w:marRight w:val="0"/>
      <w:marTop w:val="0"/>
      <w:marBottom w:val="0"/>
      <w:divBdr>
        <w:top w:val="none" w:sz="0" w:space="0" w:color="auto"/>
        <w:left w:val="none" w:sz="0" w:space="0" w:color="auto"/>
        <w:bottom w:val="none" w:sz="0" w:space="0" w:color="auto"/>
        <w:right w:val="none" w:sz="0" w:space="0" w:color="auto"/>
      </w:divBdr>
    </w:div>
    <w:div w:id="1124035648">
      <w:bodyDiv w:val="1"/>
      <w:marLeft w:val="0"/>
      <w:marRight w:val="0"/>
      <w:marTop w:val="0"/>
      <w:marBottom w:val="0"/>
      <w:divBdr>
        <w:top w:val="none" w:sz="0" w:space="0" w:color="auto"/>
        <w:left w:val="none" w:sz="0" w:space="0" w:color="auto"/>
        <w:bottom w:val="none" w:sz="0" w:space="0" w:color="auto"/>
        <w:right w:val="none" w:sz="0" w:space="0" w:color="auto"/>
      </w:divBdr>
    </w:div>
    <w:div w:id="1602911403">
      <w:bodyDiv w:val="1"/>
      <w:marLeft w:val="0"/>
      <w:marRight w:val="0"/>
      <w:marTop w:val="0"/>
      <w:marBottom w:val="0"/>
      <w:divBdr>
        <w:top w:val="none" w:sz="0" w:space="0" w:color="auto"/>
        <w:left w:val="none" w:sz="0" w:space="0" w:color="auto"/>
        <w:bottom w:val="none" w:sz="0" w:space="0" w:color="auto"/>
        <w:right w:val="none" w:sz="0" w:space="0" w:color="auto"/>
      </w:divBdr>
    </w:div>
    <w:div w:id="2018773254">
      <w:bodyDiv w:val="1"/>
      <w:marLeft w:val="0"/>
      <w:marRight w:val="0"/>
      <w:marTop w:val="0"/>
      <w:marBottom w:val="0"/>
      <w:divBdr>
        <w:top w:val="none" w:sz="0" w:space="0" w:color="auto"/>
        <w:left w:val="none" w:sz="0" w:space="0" w:color="auto"/>
        <w:bottom w:val="none" w:sz="0" w:space="0" w:color="auto"/>
        <w:right w:val="none" w:sz="0" w:space="0" w:color="auto"/>
      </w:divBdr>
    </w:div>
    <w:div w:id="20379294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BA template">
  <a:themeElements>
    <a:clrScheme name="EBA theme 2">
      <a:dk1>
        <a:srgbClr val="000000"/>
      </a:dk1>
      <a:lt1>
        <a:sysClr val="window" lastClr="FFFFFF"/>
      </a:lt1>
      <a:dk2>
        <a:srgbClr val="2F5773"/>
      </a:dk2>
      <a:lt2>
        <a:srgbClr val="E98E31"/>
      </a:lt2>
      <a:accent1>
        <a:srgbClr val="2F5773"/>
      </a:accent1>
      <a:accent2>
        <a:srgbClr val="EA933B"/>
      </a:accent2>
      <a:accent3>
        <a:srgbClr val="D44D2A"/>
      </a:accent3>
      <a:accent4>
        <a:srgbClr val="49AB74"/>
      </a:accent4>
      <a:accent5>
        <a:srgbClr val="52666E"/>
      </a:accent5>
      <a:accent6>
        <a:srgbClr val="163A5A"/>
      </a:accent6>
      <a:hlink>
        <a:srgbClr val="2F5773"/>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FC288-7A0C-4EB7-85E3-6E86D7619FD9}">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17</ap:TotalTime>
  <ap:Pages>16</ap:Pages>
  <ap:Words>3951</ap:Words>
  <ap:Characters>22521</ap:Characters>
  <ap:Application>Microsoft Office Word</ap:Application>
  <ap:DocSecurity>0</ap:DocSecurity>
  <ap:Lines>187</ap:Lines>
  <ap:Paragraphs>52</ap:Paragraphs>
  <ap:ScaleCrop>false</ap:ScaleCrop>
  <ap:HeadingPairs>
    <vt:vector baseType="variant" size="2">
      <vt:variant>
        <vt:lpstr>Title</vt:lpstr>
      </vt:variant>
      <vt:variant>
        <vt:i4>1</vt:i4>
      </vt:variant>
    </vt:vector>
  </ap:HeadingPairs>
  <ap:TitlesOfParts>
    <vt:vector baseType="lpstr" size="1">
      <vt:lpstr/>
    </vt:vector>
  </ap:TitlesOfParts>
  <ap:Company>CDT</ap:Company>
  <ap:LinksUpToDate>false</ap:LinksUpToDate>
  <ap:CharactersWithSpaces>26420</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creator>CDT</dc:creator>
  <lastModifiedBy>CDT</lastModifiedBy>
  <revision>7</revision>
  <lastPrinted>2020-11-04T10:23:00.0000000Z</lastPrinted>
  <dcterms:created xsi:type="dcterms:W3CDTF">2020-12-02T14:00:00.0000000Z</dcterms:created>
  <dcterms:modified xsi:type="dcterms:W3CDTF">2024-04-22T12:52:00.0000000Z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JobId">
    <vt:lpwstr>b922e987-aff3-4cad-83b4-ac6900effe05</vt:lpwstr>
  </property>
</Properties>
</file>