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238803888" w:displacedByCustomXml="next" w:id="0"/>
    <w:bookmarkStart w:name="_Toc238803087" w:displacedByCustomXml="next" w:id="1"/>
    <w:bookmarkStart w:name="_Toc245891774" w:displacedByCustomXml="next" w:id="2"/>
    <w:bookmarkStart w:name="_Toc331517265" w:displacedByCustomXml="next" w:id="3"/>
    <w:bookmarkStart w:name="_Toc306350113" w:displacedByCustomXml="next" w:id="4"/>
    <w:bookmarkStart w:name="_Toc306350093" w:displacedByCustomXml="next" w:id="5"/>
    <w:bookmarkStart w:name="_Toc305686691" w:displacedByCustomXml="next" w:id="6"/>
    <w:bookmarkStart w:name="_Toc298788641" w:displacedByCustomXml="next" w:id="7"/>
    <w:bookmarkStart w:name="_Toc298788158" w:displacedByCustomXml="next" w:id="8"/>
    <w:bookmarkStart w:name="_Toc298787969" w:displacedByCustomXml="next" w:id="9"/>
    <w:sdt>
      <w:sdtPr>
        <w:id w:val="1024973533"/>
        <w:docPartObj>
          <w:docPartGallery w:val="Cover Pages"/>
          <w:docPartUnique/>
        </w:docPartObj>
      </w:sdtPr>
      <w:sdtEndPr/>
      <w:sdtContent>
        <w:p w:rsidRPr="008F2BD8" w:rsidR="00B43E07" w:rsidP="00B43E07" w:rsidRDefault="00B43E07" w14:paraId="05640F5D" w14:textId="77777777">
          <w:pPr>
            <w:rPr>
              <w:lang w:val="en-GB"/>
            </w:rPr>
          </w:pPr>
        </w:p>
        <w:tbl>
          <w:tblPr>
            <w:tblW w:w="0" w:type="auto"/>
            <w:tblCellMar>
              <w:top w:w="85" w:type="dxa"/>
              <w:bottom w:w="85" w:type="dxa"/>
            </w:tblCellMar>
            <w:tblLook w:val="04A0" w:firstRow="1" w:lastRow="0" w:firstColumn="1" w:lastColumn="0" w:noHBand="0" w:noVBand="1"/>
          </w:tblPr>
          <w:tblGrid>
            <w:gridCol w:w="3969"/>
          </w:tblGrid>
          <w:tr w:rsidRPr="008F2BD8" w:rsidR="005B3658" w:rsidTr="008C4BE0" w14:paraId="3170F2D8" w14:textId="77777777">
            <w:tc>
              <w:tcPr>
                <w:tcW w:w="3969" w:type="dxa"/>
                <w:tcBorders>
                  <w:bottom w:val="single" w:color="A6A6A6" w:themeColor="background1" w:themeShade="A6" w:sz="4" w:space="0"/>
                </w:tcBorders>
                <w:shd w:val="clear" w:color="auto" w:fill="auto"/>
              </w:tcPr>
              <w:p w:rsidRPr="008F2BD8" w:rsidR="005B3658" w:rsidP="005B3658" w:rsidRDefault="005B3658" w14:paraId="6AAE07DF" w14:textId="13D0173D">
                <w:r w:rsidRPr="008F2BD8">
                  <w:t>EBA/GL/2020/14</w:t>
                </w:r>
                <w:r w:rsidRPr="008C4BE0" w:rsidR="008C4BE0">
                  <w:t xml:space="preserve"> (versione consolidata)</w:t>
                </w:r>
              </w:p>
            </w:tc>
          </w:tr>
          <w:tr w:rsidRPr="008F2BD8" w:rsidR="005B3658" w:rsidTr="008C4BE0" w14:paraId="70F4DBFA" w14:textId="77777777">
            <w:tc>
              <w:tcPr>
                <w:tcW w:w="3969" w:type="dxa"/>
                <w:tcBorders>
                  <w:top w:val="single" w:color="A6A6A6" w:themeColor="background1" w:themeShade="A6" w:sz="4" w:space="0"/>
                  <w:bottom w:val="single" w:color="A6A6A6" w:themeColor="background1" w:themeShade="A6" w:sz="4" w:space="0"/>
                </w:tcBorders>
                <w:shd w:val="clear" w:color="auto" w:fill="auto"/>
              </w:tcPr>
              <w:p w:rsidRPr="008F2BD8" w:rsidR="005B3658" w:rsidP="005B3658" w:rsidRDefault="005B3658" w14:paraId="55211379" w14:textId="73FFF2EB">
                <w:r w:rsidRPr="008F2BD8">
                  <w:rPr>
                    <w:color w:val="000000"/>
                  </w:rPr>
                  <w:t>4 novembre 2020</w:t>
                </w:r>
              </w:p>
            </w:tc>
          </w:tr>
        </w:tbl>
        <w:p w:rsidRPr="008F2BD8" w:rsidR="00B43E07" w:rsidP="00B43E07" w:rsidRDefault="00B43E07" w14:paraId="2E2B6714" w14:textId="77777777">
          <w:pPr>
            <w:rPr>
              <w:lang w:val="en-GB"/>
            </w:rPr>
          </w:pPr>
        </w:p>
        <w:tbl>
          <w:tblPr>
            <w:tblStyle w:val="TableGrid"/>
            <w:tblW w:w="0" w:type="auto"/>
            <w:tblBorders>
              <w:bottom w:val="none" w:color="auto" w:sz="0" w:space="0"/>
              <w:insideH w:val="none" w:color="auto" w:sz="0" w:space="0"/>
            </w:tblBorders>
            <w:tblLook w:val="04A0" w:firstRow="1" w:lastRow="0" w:firstColumn="1" w:lastColumn="0" w:noHBand="0" w:noVBand="1"/>
          </w:tblPr>
          <w:tblGrid>
            <w:gridCol w:w="8781"/>
          </w:tblGrid>
          <w:tr w:rsidRPr="008F2BD8" w:rsidR="00B43E07" w:rsidTr="00993B1E" w14:paraId="598BC7AF" w14:textId="77777777">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bottom"/>
              </w:tcPr>
              <w:p w:rsidRPr="00DC3BF4" w:rsidR="00F84FF3" w:rsidP="00F84FF3" w:rsidRDefault="00F84FF3" w14:paraId="504A6E79" w14:textId="77777777">
                <w:pPr>
                  <w:pStyle w:val="BodyText"/>
                  <w:tabs>
                    <w:tab w:val="left" w:pos="1802"/>
                  </w:tabs>
                  <w:spacing w:before="100" w:after="60" w:line="276" w:lineRule="auto"/>
                  <w:ind w:left="425" w:right="232"/>
                  <w:jc w:val="both"/>
                  <w:rPr>
                    <w:color w:val="E98E31" w:themeColor="background2"/>
                    <w:spacing w:val="-1"/>
                  </w:rPr>
                </w:pPr>
                <w:r w:rsidRPr="007B541C">
                  <w:rPr>
                    <w:rFonts w:ascii="Wingdings" w:hAnsi="Wingdings" w:eastAsia="Wingdings" w:cs="Wingdings"/>
                    <w:color w:val="E98E31"/>
                    <w:highlight w:val="yellow"/>
                    <w:lang w:val="en-GB"/>
                  </w:rPr>
                  <w:t>Ø</w:t>
                </w:r>
                <w:r w:rsidRPr="007B541C">
                  <w:rPr>
                    <w:rFonts w:eastAsia="MS PGothic" w:cs="Times New Roman"/>
                    <w:color w:val="E98E31"/>
                    <w:highlight w:val="yellow"/>
                    <w:lang w:val="en-GB"/>
                  </w:rPr>
                  <w:t>O</w:t>
                </w:r>
                <w:r w:rsidRPr="00DC3BF4">
                  <w:rPr>
                    <w:color w:val="E98E31" w:themeColor="background2"/>
                    <w:spacing w:val="-1"/>
                  </w:rPr>
                  <w:t xml:space="preserve"> </w:t>
                </w:r>
              </w:p>
              <w:p w:rsidRPr="008F2BD8" w:rsidR="00B43E07" w:rsidP="00721D07" w:rsidRDefault="00A81586" w14:paraId="6E80AD78" w14:textId="1CA22651">
                <w:pPr>
                  <w:pStyle w:val="Contenttitle"/>
                </w:pPr>
                <w:r w:rsidRPr="008F2BD8">
                  <w:t xml:space="preserve">Orientamenti </w:t>
                </w:r>
              </w:p>
            </w:tc>
          </w:tr>
          <w:tr w:rsidRPr="008F2BD8" w:rsidR="00B43E07" w:rsidTr="00993B1E" w14:paraId="15A7E3AC" w14:textId="77777777">
            <w:tc>
              <w:tcPr>
                <w:tcW w:w="8781" w:type="dxa"/>
                <w:tcMar>
                  <w:left w:w="0" w:type="dxa"/>
                  <w:right w:w="0" w:type="dxa"/>
                </w:tcMar>
                <w:vAlign w:val="top"/>
              </w:tcPr>
              <w:p w:rsidRPr="00B24B97" w:rsidR="00B43E07" w:rsidP="00120BAA" w:rsidRDefault="00B43E07" w14:paraId="0720F01B" w14:textId="07417F14">
                <w:pPr>
                  <w:pStyle w:val="Titlelevel4"/>
                  <w:rPr>
                    <w:lang w:val="es-ES"/>
                  </w:rPr>
                </w:pPr>
                <w:r w:rsidRPr="00B24B97">
                  <w:rPr>
                    <w:rFonts w:asciiTheme="majorHAnsi" w:hAnsiTheme="majorHAnsi"/>
                    <w:bCs/>
                    <w:color w:val="2F5773" w:themeColor="text2"/>
                    <w:sz w:val="52"/>
                    <w:szCs w:val="52"/>
                    <w:lang w:val="es-ES"/>
                  </w:rPr>
                  <w:t>in materia di precisazione degli indicatori a rilevanza sistemica e relativa informativa</w:t>
                </w:r>
              </w:p>
            </w:tc>
          </w:tr>
        </w:tbl>
        <w:p w:rsidRPr="008C4BE0" w:rsidR="00B43E07" w:rsidP="00B43E07" w:rsidRDefault="00B43E07" w14:paraId="41F2A21B" w14:textId="77777777">
          <w:pPr>
            <w:rPr>
              <w:sz w:val="52"/>
              <w:szCs w:val="52"/>
              <w:lang w:val="es-ES"/>
            </w:rPr>
          </w:pPr>
        </w:p>
        <w:p w:rsidRPr="008C4BE0" w:rsidR="00B43E07" w:rsidP="00B43E07" w:rsidRDefault="00B43E07" w14:paraId="1441AC18" w14:textId="08B97F94">
          <w:pPr>
            <w:rPr>
              <w:sz w:val="52"/>
              <w:szCs w:val="52"/>
              <w:lang w:val="es-ES"/>
            </w:rPr>
          </w:pPr>
        </w:p>
        <w:p w:rsidRPr="008C4BE0" w:rsidR="008C4BE0" w:rsidP="00B43E07" w:rsidRDefault="008C4BE0" w14:paraId="4F5FFB8D" w14:textId="30421F33">
          <w:pPr>
            <w:rPr>
              <w:sz w:val="52"/>
              <w:szCs w:val="52"/>
              <w:lang w:val="es-ES"/>
            </w:rPr>
          </w:pPr>
        </w:p>
        <w:p w:rsidRPr="008C4BE0" w:rsidR="008C4BE0" w:rsidP="00B43E07" w:rsidRDefault="008C4BE0" w14:paraId="73B3AC3C" w14:textId="4EE3694A">
          <w:pPr>
            <w:rPr>
              <w:sz w:val="52"/>
              <w:szCs w:val="52"/>
              <w:lang w:val="es-ES"/>
            </w:rPr>
          </w:pPr>
        </w:p>
        <w:p w:rsidR="008C4BE0" w:rsidP="00B43E07" w:rsidRDefault="008C4BE0" w14:paraId="054B2084" w14:textId="2E2B1942">
          <w:pPr>
            <w:rPr>
              <w:lang w:val="es-ES"/>
            </w:rPr>
          </w:pPr>
        </w:p>
        <w:tbl>
          <w:tblPr>
            <w:tblStyle w:val="EBAtable"/>
            <w:tblW w:w="9125" w:type="dxa"/>
            <w:tblLook w:val="04A0" w:firstRow="1" w:lastRow="0" w:firstColumn="1" w:lastColumn="0" w:noHBand="0" w:noVBand="1"/>
          </w:tblPr>
          <w:tblGrid>
            <w:gridCol w:w="824"/>
            <w:gridCol w:w="2190"/>
            <w:gridCol w:w="6111"/>
          </w:tblGrid>
          <w:tr w:rsidRPr="00D13DB3" w:rsidR="008C4BE0" w:rsidTr="005D18C0" w14:paraId="66383DB9" w14:textId="77777777">
            <w:trPr>
              <w:cnfStyle w:val="100000000000" w:firstRow="1" w:lastRow="0" w:firstColumn="0" w:lastColumn="0" w:oddVBand="0" w:evenVBand="0" w:oddHBand="0" w:evenHBand="0" w:firstRowFirstColumn="0" w:firstRowLastColumn="0" w:lastRowFirstColumn="0" w:lastRowLastColumn="0"/>
              <w:trHeight w:val="300"/>
            </w:trPr>
            <w:tc>
              <w:tcPr>
                <w:tcW w:w="3014" w:type="dxa"/>
                <w:gridSpan w:val="2"/>
                <w:tcBorders>
                  <w:top w:val="single" w:color="auto" w:sz="12" w:space="0"/>
                  <w:left w:val="single" w:color="auto" w:sz="12" w:space="0"/>
                </w:tcBorders>
              </w:tcPr>
              <w:p w:rsidRPr="00D13DB3" w:rsidR="008C4BE0" w:rsidP="005D18C0" w:rsidRDefault="008C4BE0" w14:paraId="5B69F736" w14:textId="77777777">
                <w:pPr>
                  <w:spacing w:before="240" w:after="120" w:line="276" w:lineRule="auto"/>
                  <w:jc w:val="both"/>
                  <w:rPr>
                    <w:rFonts w:eastAsia="MS PGothic" w:cs="Times New Roman"/>
                    <w:lang w:eastAsia="en-GB"/>
                  </w:rPr>
                </w:pPr>
              </w:p>
              <w:p w:rsidRPr="00D13DB3" w:rsidR="008C4BE0" w:rsidP="005D18C0" w:rsidRDefault="008C4BE0" w14:paraId="0B3DB228" w14:textId="77777777">
                <w:pPr>
                  <w:rPr>
                    <w:rFonts w:eastAsia="MS PGothic" w:cs="Times New Roman"/>
                    <w:lang w:val="en-GB" w:eastAsia="en-GB"/>
                  </w:rPr>
                </w:pPr>
              </w:p>
            </w:tc>
            <w:tc>
              <w:tcPr>
                <w:tcW w:w="6111" w:type="dxa"/>
                <w:tcBorders>
                  <w:top w:val="single" w:color="auto" w:sz="12" w:space="0"/>
                  <w:right w:val="single" w:color="auto" w:sz="12" w:space="0"/>
                </w:tcBorders>
              </w:tcPr>
              <w:p w:rsidRPr="008C4BE0" w:rsidR="008C4BE0" w:rsidP="008C4BE0" w:rsidRDefault="008C4BE0" w14:paraId="58E86359" w14:textId="701ACB12">
                <w:pPr>
                  <w:rPr>
                    <w:rFonts w:ascii="Calibri" w:hAnsi="Calibri" w:cs="Calibri"/>
                    <w:color w:val="000000"/>
                    <w:szCs w:val="22"/>
                  </w:rPr>
                </w:pPr>
                <w:r>
                  <w:rPr>
                    <w:rFonts w:ascii="Calibri" w:hAnsi="Calibri" w:cs="Calibri"/>
                    <w:color w:val="000000"/>
                    <w:szCs w:val="22"/>
                  </w:rPr>
                  <w:t>Data di applicazione</w:t>
                </w:r>
              </w:p>
            </w:tc>
          </w:tr>
          <w:tr w:rsidRPr="00D13DB3" w:rsidR="008C4BE0" w:rsidTr="005D18C0" w14:paraId="6DDEAC7D" w14:textId="77777777">
            <w:trPr>
              <w:trHeight w:val="300"/>
            </w:trPr>
            <w:tc>
              <w:tcPr>
                <w:tcW w:w="3014" w:type="dxa"/>
                <w:gridSpan w:val="2"/>
                <w:tcBorders>
                  <w:left w:val="single" w:color="auto" w:sz="12" w:space="0"/>
                </w:tcBorders>
              </w:tcPr>
              <w:p w:rsidRPr="00D13DB3" w:rsidR="008C4BE0" w:rsidP="005D18C0" w:rsidRDefault="008C4BE0" w14:paraId="16A4CDBB" w14:textId="77777777">
                <w:pPr>
                  <w:rPr>
                    <w:rFonts w:eastAsia="MS PGothic" w:cs="Times New Roman"/>
                    <w:lang w:val="en-GB" w:eastAsia="en-GB"/>
                  </w:rPr>
                </w:pPr>
                <w:r w:rsidRPr="007B541C">
                  <w:rPr>
                    <w:rFonts w:ascii="Wingdings" w:hAnsi="Wingdings" w:eastAsia="Wingdings" w:cs="Wingdings"/>
                    <w:color w:val="E98E31"/>
                    <w:highlight w:val="yellow"/>
                    <w:lang w:val="en-GB" w:eastAsia="en-GB"/>
                  </w:rPr>
                  <w:t>Ø</w:t>
                </w:r>
                <w:r w:rsidRPr="007B541C">
                  <w:rPr>
                    <w:rFonts w:eastAsia="MS PGothic" w:cs="Times New Roman"/>
                    <w:color w:val="E98E31"/>
                    <w:highlight w:val="yellow"/>
                    <w:lang w:val="en-GB" w:eastAsia="en-GB"/>
                  </w:rPr>
                  <w:t>O</w:t>
                </w:r>
              </w:p>
            </w:tc>
            <w:tc>
              <w:tcPr>
                <w:tcW w:w="6111" w:type="dxa"/>
                <w:tcBorders>
                  <w:right w:val="single" w:color="auto" w:sz="12" w:space="0"/>
                </w:tcBorders>
              </w:tcPr>
              <w:p w:rsidRPr="00D13DB3" w:rsidR="008C4BE0" w:rsidP="005D18C0" w:rsidRDefault="008C4BE0" w14:paraId="4B754B83" w14:textId="77777777">
                <w:pPr>
                  <w:rPr>
                    <w:rFonts w:eastAsia="MS PGothic" w:cs="Times New Roman"/>
                    <w:lang w:val="en-GB" w:eastAsia="en-GB"/>
                  </w:rPr>
                </w:pPr>
                <w:r>
                  <w:rPr>
                    <w:rFonts w:eastAsia="MS PGothic" w:cs="Times New Roman"/>
                    <w:lang w:val="en-GB" w:eastAsia="en-GB"/>
                  </w:rPr>
                  <w:t>04</w:t>
                </w:r>
                <w:r w:rsidRPr="00D13DB3">
                  <w:rPr>
                    <w:rFonts w:eastAsia="MS PGothic" w:cs="Times New Roman"/>
                    <w:lang w:val="en-GB" w:eastAsia="en-GB"/>
                  </w:rPr>
                  <w:t>.</w:t>
                </w:r>
                <w:r>
                  <w:rPr>
                    <w:rFonts w:eastAsia="MS PGothic" w:cs="Times New Roman"/>
                    <w:lang w:val="en-GB" w:eastAsia="en-GB"/>
                  </w:rPr>
                  <w:t>11</w:t>
                </w:r>
                <w:r w:rsidRPr="00D13DB3">
                  <w:rPr>
                    <w:rFonts w:eastAsia="MS PGothic" w:cs="Times New Roman"/>
                    <w:lang w:val="en-GB" w:eastAsia="en-GB"/>
                  </w:rPr>
                  <w:t>.</w:t>
                </w:r>
                <w:r>
                  <w:rPr>
                    <w:rFonts w:eastAsia="MS PGothic" w:cs="Times New Roman"/>
                    <w:lang w:val="en-GB" w:eastAsia="en-GB"/>
                  </w:rPr>
                  <w:t>2020</w:t>
                </w:r>
              </w:p>
            </w:tc>
          </w:tr>
          <w:tr w:rsidRPr="00D13DB3" w:rsidR="008C4BE0" w:rsidTr="005D18C0" w14:paraId="68648A08" w14:textId="77777777">
            <w:trPr>
              <w:trHeight w:val="300"/>
            </w:trPr>
            <w:tc>
              <w:tcPr>
                <w:tcW w:w="3014" w:type="dxa"/>
                <w:gridSpan w:val="2"/>
                <w:tcBorders>
                  <w:left w:val="single" w:color="auto" w:sz="12" w:space="0"/>
                </w:tcBorders>
              </w:tcPr>
              <w:p w:rsidRPr="008C4BE0" w:rsidR="008C4BE0" w:rsidP="008C4BE0" w:rsidRDefault="008C4BE0" w14:paraId="128C37B1" w14:textId="0091D8F8">
                <w:pPr>
                  <w:rPr>
                    <w:rFonts w:ascii="Calibri" w:hAnsi="Calibri" w:cs="Calibri"/>
                    <w:color w:val="000000"/>
                    <w:szCs w:val="22"/>
                  </w:rPr>
                </w:pPr>
                <w:r>
                  <w:rPr>
                    <w:rFonts w:ascii="Calibri" w:hAnsi="Calibri" w:cs="Calibri"/>
                    <w:color w:val="000000"/>
                    <w:szCs w:val="22"/>
                  </w:rPr>
                  <w:t>Modificato da:</w:t>
                </w:r>
              </w:p>
            </w:tc>
            <w:tc>
              <w:tcPr>
                <w:tcW w:w="6111" w:type="dxa"/>
                <w:tcBorders>
                  <w:right w:val="single" w:color="auto" w:sz="12" w:space="0"/>
                </w:tcBorders>
              </w:tcPr>
              <w:p w:rsidRPr="00D13DB3" w:rsidR="008C4BE0" w:rsidP="005D18C0" w:rsidRDefault="008C4BE0" w14:paraId="28413394" w14:textId="77777777">
                <w:pPr>
                  <w:rPr>
                    <w:rFonts w:eastAsia="MS PGothic" w:cs="Times New Roman"/>
                    <w:lang w:val="en-GB" w:eastAsia="en-GB"/>
                  </w:rPr>
                </w:pPr>
              </w:p>
            </w:tc>
          </w:tr>
          <w:tr w:rsidRPr="00D13DB3" w:rsidR="008C4BE0" w:rsidTr="005D18C0" w14:paraId="6459C6BB" w14:textId="77777777">
            <w:trPr>
              <w:trHeight w:val="58"/>
            </w:trPr>
            <w:tc>
              <w:tcPr>
                <w:tcW w:w="824" w:type="dxa"/>
                <w:tcBorders>
                  <w:left w:val="single" w:color="auto" w:sz="12" w:space="0"/>
                  <w:bottom w:val="single" w:color="auto" w:sz="12" w:space="0"/>
                </w:tcBorders>
              </w:tcPr>
              <w:p w:rsidRPr="00D13DB3" w:rsidR="008C4BE0" w:rsidP="005D18C0" w:rsidRDefault="008C4BE0" w14:paraId="741049DE" w14:textId="77777777">
                <w:pPr>
                  <w:rPr>
                    <w:rFonts w:eastAsia="MS PGothic" w:cs="Times New Roman"/>
                    <w:color w:val="E98E31"/>
                    <w:lang w:val="en-GB" w:eastAsia="en-GB"/>
                  </w:rPr>
                </w:pPr>
                <w:r w:rsidRPr="007B541C">
                  <w:rPr>
                    <w:rFonts w:ascii="Wingdings" w:hAnsi="Wingdings" w:eastAsia="Wingdings" w:cs="Wingdings"/>
                    <w:color w:val="E98E31"/>
                    <w:highlight w:val="green"/>
                    <w:lang w:val="en-GB" w:eastAsia="en-GB"/>
                  </w:rPr>
                  <w:t>Ø</w:t>
                </w:r>
                <w:r w:rsidRPr="007B541C">
                  <w:rPr>
                    <w:rFonts w:eastAsia="Wingdings" w:cs="Wingdings"/>
                    <w:color w:val="E98E31"/>
                    <w:highlight w:val="green"/>
                    <w:lang w:val="en-GB" w:eastAsia="en-GB"/>
                  </w:rPr>
                  <w:t>A1</w:t>
                </w:r>
              </w:p>
            </w:tc>
            <w:tc>
              <w:tcPr>
                <w:tcW w:w="2190" w:type="dxa"/>
                <w:tcBorders>
                  <w:bottom w:val="single" w:color="auto" w:sz="12" w:space="0"/>
                </w:tcBorders>
              </w:tcPr>
              <w:p w:rsidRPr="00D13DB3" w:rsidR="008C4BE0" w:rsidP="005D18C0" w:rsidRDefault="008C4BE0" w14:paraId="2FEEB83E" w14:textId="77777777">
                <w:pPr>
                  <w:rPr>
                    <w:rFonts w:eastAsia="MS PGothic" w:cs="Times New Roman"/>
                  </w:rPr>
                </w:pPr>
                <w:r w:rsidRPr="00D13DB3">
                  <w:rPr>
                    <w:rFonts w:eastAsia="MS PGothic" w:cs="Times New Roman"/>
                  </w:rPr>
                  <w:t>EBA/GL</w:t>
                </w:r>
                <w:r w:rsidRPr="005261FC">
                  <w:t>/2023/10</w:t>
                </w:r>
              </w:p>
            </w:tc>
            <w:tc>
              <w:tcPr>
                <w:tcW w:w="6111" w:type="dxa"/>
                <w:tcBorders>
                  <w:bottom w:val="single" w:color="auto" w:sz="12" w:space="0"/>
                  <w:right w:val="single" w:color="auto" w:sz="12" w:space="0"/>
                </w:tcBorders>
              </w:tcPr>
              <w:p w:rsidRPr="00D13DB3" w:rsidR="008C4BE0" w:rsidP="005D18C0" w:rsidRDefault="008C4BE0" w14:paraId="741F0042" w14:textId="77777777">
                <w:pPr>
                  <w:rPr>
                    <w:rFonts w:eastAsia="MS PGothic" w:cs="Times New Roman"/>
                    <w:lang w:val="en-GB" w:eastAsia="en-GB"/>
                  </w:rPr>
                </w:pPr>
              </w:p>
            </w:tc>
          </w:tr>
        </w:tbl>
        <w:p w:rsidRPr="008F2BD8" w:rsidR="008C4BE0" w:rsidP="00B43E07" w:rsidRDefault="008C4BE0" w14:paraId="4674C062" w14:textId="77777777">
          <w:pPr>
            <w:rPr>
              <w:lang w:val="es-ES"/>
            </w:rPr>
          </w:pPr>
        </w:p>
        <w:p w:rsidRPr="008F2BD8" w:rsidR="00B43E07" w:rsidP="00B43E07" w:rsidRDefault="00B43E07" w14:paraId="3673D6BB" w14:textId="77777777">
          <w:r w:rsidRPr="008F2BD8">
            <w:br w:type="page"/>
          </w:r>
        </w:p>
      </w:sdtContent>
    </w:sdt>
    <w:p w:rsidRPr="008F2BD8" w:rsidR="00B43E07" w:rsidP="009510B6" w:rsidRDefault="00B43E07" w14:paraId="72D6F5BF" w14:textId="77777777">
      <w:pPr>
        <w:pStyle w:val="Numberedtilelevel1"/>
        <w:numPr>
          <w:ilvl w:val="0"/>
          <w:numId w:val="12"/>
        </w:numPr>
      </w:pPr>
      <w:r w:rsidRPr="008F2BD8">
        <w:lastRenderedPageBreak/>
        <w:t>Conformità e obblighi di notifica</w:t>
      </w:r>
    </w:p>
    <w:p w:rsidRPr="008F2BD8" w:rsidR="00B43E07" w:rsidP="00B43E07" w:rsidRDefault="00B43E07" w14:paraId="3B9E826E" w14:textId="5EE3EC56">
      <w:pPr>
        <w:pStyle w:val="Titlelevel2"/>
      </w:pPr>
      <w:r w:rsidRPr="008F2BD8">
        <w:t>Status giuridico dei presenti orientamenti</w:t>
      </w:r>
    </w:p>
    <w:p w:rsidRPr="008F2BD8" w:rsidR="00B43E07" w:rsidP="009510B6" w:rsidRDefault="00B43E07" w14:paraId="4AFE96B1" w14:textId="13B187BE">
      <w:pPr>
        <w:pStyle w:val="body"/>
        <w:numPr>
          <w:ilvl w:val="0"/>
          <w:numId w:val="10"/>
        </w:numPr>
      </w:pPr>
      <w:r w:rsidRPr="008F2BD8">
        <w:t>Il presente documento contiene orientamenti emanati in applicazione dell’articolo 16 del regolamento (UE) n. 1093/2010 (</w:t>
      </w:r>
      <w:r w:rsidRPr="008F2BD8">
        <w:rPr>
          <w:rStyle w:val="FootnoteReference"/>
          <w:lang w:val="en-GB"/>
        </w:rPr>
        <w:footnoteReference w:id="2"/>
      </w:r>
      <w:r w:rsidRPr="008F2BD8">
        <w:t>). Conformemente all’articolo 16, paragrafo 3, del medesimo regolamento, le autorità competenti e gli enti finanziari compiono ogni sforzo per conformarsi agli orientamenti.</w:t>
      </w:r>
    </w:p>
    <w:p w:rsidRPr="008F2BD8" w:rsidR="00B43E07" w:rsidP="009510B6" w:rsidRDefault="00B43E07" w14:paraId="23E7F140" w14:textId="591D7378">
      <w:pPr>
        <w:pStyle w:val="body"/>
        <w:numPr>
          <w:ilvl w:val="0"/>
          <w:numId w:val="10"/>
        </w:numPr>
      </w:pPr>
      <w:r w:rsidRPr="008F2BD8">
        <w:t>Gli orientamenti presentano la posizione dell’ABE in merito alle prassi di vigilanza adeguate all’interno del Sistema europeo di vigilanza finanziaria o alle modalità di applicazione del diritto dell’Unione in un particolare settore. Le autorità competenti definite all’articolo 4, paragrafo 2, del regolamento (UE) n. 1093/2010 cui si applicano gli orientamenti dovrebbero conformarsi ad essi integrandoli opportunamente nelle rispettive prassi (ad esempio modificando il proprio quadro giuridico o le proprie procedure di vigilanza), anche quando gli orientamenti sono diretti principalmente agli enti.</w:t>
      </w:r>
    </w:p>
    <w:p w:rsidRPr="008F2BD8" w:rsidR="00B43E07" w:rsidP="00B43E07" w:rsidRDefault="00B43E07" w14:paraId="141EDBC6" w14:textId="77777777">
      <w:pPr>
        <w:pStyle w:val="Titlelevel2"/>
      </w:pPr>
      <w:r w:rsidRPr="008F2BD8">
        <w:t>Obblighi di notifica</w:t>
      </w:r>
    </w:p>
    <w:p w:rsidRPr="008F2BD8" w:rsidR="00B43E07" w:rsidP="009510B6" w:rsidRDefault="00236329" w14:paraId="7EE20541" w14:textId="71121EE9">
      <w:pPr>
        <w:pStyle w:val="body"/>
        <w:numPr>
          <w:ilvl w:val="0"/>
          <w:numId w:val="10"/>
        </w:numPr>
      </w:pPr>
      <w:r w:rsidRPr="008F2BD8">
        <w:t xml:space="preserve">Ai sensi dell’articolo 16, paragrafo 3, del regolamento (UE) n. 1093/2010, le autorità competenti devono notificare all’ABE entro il </w:t>
      </w:r>
      <w:r w:rsidR="00087F94">
        <w:t xml:space="preserve">16.02.2021 </w:t>
      </w:r>
      <w:r w:rsidRPr="008F2BD8">
        <w:t>se sono conformi o se intendono conformarsi agli orientamenti in questione; in alternativa sono tenute a indicare le ragioni della mancata conformità. Qualora entro il termine indicato non sia pervenuta alcuna notifica da parte delle autorità competenti, queste sono ritenute dall’ABE non conformi. Le notifiche dovrebbero essere inviate, trasmettendo il modulo disponibile sul sito web dell’ABE con il riferimento «EBA/GL/2020/14», da persone debitamente autorizzate a segnalare la conformità per conto delle rispettive autorità competenti. Ogni eventuale variazione dello status di conformità deve essere altresì comunicata all’ABE.</w:t>
      </w:r>
    </w:p>
    <w:p w:rsidRPr="008F2BD8" w:rsidR="00B43E07" w:rsidP="009510B6" w:rsidRDefault="00B43E07" w14:paraId="3FF09602" w14:textId="563622BD">
      <w:pPr>
        <w:pStyle w:val="body"/>
        <w:numPr>
          <w:ilvl w:val="0"/>
          <w:numId w:val="10"/>
        </w:numPr>
      </w:pPr>
      <w:r w:rsidRPr="008F2BD8">
        <w:t>Le notifiche sono pubblicate sul sito web dell’ABE ai sensi dell’articolo 16, paragrafo 3.</w:t>
      </w:r>
    </w:p>
    <w:p w:rsidRPr="008F2BD8" w:rsidR="00B43E07" w:rsidP="00B43E07" w:rsidRDefault="00B43E07" w14:paraId="0BB7AD43" w14:textId="77777777">
      <w:pPr>
        <w:pStyle w:val="Titlelevel2"/>
      </w:pPr>
      <w:r w:rsidRPr="008F2BD8">
        <w:br w:type="page"/>
      </w:r>
    </w:p>
    <w:p w:rsidRPr="008F2BD8" w:rsidR="00B43E07" w:rsidP="00CE3517" w:rsidRDefault="00B43E07" w14:paraId="207E9159" w14:textId="77777777">
      <w:pPr>
        <w:pStyle w:val="Numberedtilelevel1"/>
      </w:pPr>
      <w:r w:rsidRPr="008F2BD8">
        <w:lastRenderedPageBreak/>
        <w:t>Oggetto, ambito di applicazione e definizioni</w:t>
      </w:r>
    </w:p>
    <w:p w:rsidRPr="008F2BD8" w:rsidR="00B43E07" w:rsidP="00B43E07" w:rsidRDefault="00B43E07" w14:paraId="329ACB0A" w14:textId="77777777">
      <w:pPr>
        <w:pStyle w:val="Titlelevel2"/>
      </w:pPr>
      <w:r w:rsidRPr="008F2BD8">
        <w:t>Oggetto</w:t>
      </w:r>
    </w:p>
    <w:p w:rsidRPr="008F2BD8" w:rsidR="00DE0FE1" w:rsidP="009510B6" w:rsidRDefault="00DE0FE1" w14:paraId="667A5E79" w14:textId="75DF9FF9">
      <w:pPr>
        <w:pStyle w:val="body"/>
        <w:numPr>
          <w:ilvl w:val="0"/>
          <w:numId w:val="10"/>
        </w:numPr>
      </w:pPr>
      <w:r w:rsidRPr="008F2BD8">
        <w:t>I presenti orientamenti riguardano:</w:t>
      </w:r>
    </w:p>
    <w:p w:rsidRPr="008F2BD8" w:rsidR="00DE0FE1" w:rsidP="009510B6" w:rsidRDefault="00DE0FE1" w14:paraId="7F872996" w14:textId="017F20C9">
      <w:pPr>
        <w:pStyle w:val="body"/>
        <w:numPr>
          <w:ilvl w:val="1"/>
          <w:numId w:val="13"/>
        </w:numPr>
      </w:pPr>
      <w:r w:rsidRPr="008F2BD8">
        <w:t>la precisazione degli indicatori usati per l’individuazione degli enti a rilevanza sistemica a livello globale (G-SII) di cui al regolamento (UE) n. 1222/2014 («indicatori»);</w:t>
      </w:r>
    </w:p>
    <w:p w:rsidRPr="008F2BD8" w:rsidR="00B43E07" w:rsidP="009510B6" w:rsidRDefault="00DE0FE1" w14:paraId="776C11F3" w14:textId="58E74370">
      <w:pPr>
        <w:pStyle w:val="body"/>
        <w:numPr>
          <w:ilvl w:val="1"/>
          <w:numId w:val="13"/>
        </w:numPr>
      </w:pPr>
      <w:r w:rsidRPr="008F2BD8">
        <w:t>la segnalazione dei dati sottostanti (indicatori, dati accessori e voci per memoria) e l’informativa annua sui risultanti valori degli indicatori usati per l’individuazione dei G-SII.</w:t>
      </w:r>
    </w:p>
    <w:p w:rsidRPr="008F2BD8" w:rsidR="00B43E07" w:rsidP="00B43E07" w:rsidRDefault="00B43E07" w14:paraId="07F996E2" w14:textId="77777777">
      <w:pPr>
        <w:pStyle w:val="Titlelevel2"/>
      </w:pPr>
      <w:r w:rsidRPr="008F2BD8">
        <w:t>Ambito di applicazione</w:t>
      </w:r>
    </w:p>
    <w:p w:rsidRPr="008F2BD8" w:rsidR="00DE0FE1" w:rsidP="009510B6" w:rsidRDefault="00B43E07" w14:paraId="71B629CF" w14:textId="05197A71">
      <w:pPr>
        <w:pStyle w:val="body"/>
        <w:numPr>
          <w:ilvl w:val="0"/>
          <w:numId w:val="10"/>
        </w:numPr>
      </w:pPr>
      <w:r w:rsidRPr="008F2BD8">
        <w:t>I presenti orientamenti si applicano:</w:t>
      </w:r>
    </w:p>
    <w:p w:rsidRPr="008F2BD8" w:rsidR="00DE0FE1" w:rsidP="009510B6" w:rsidRDefault="000F3C24" w14:paraId="73EAD676" w14:textId="3140197F">
      <w:pPr>
        <w:pStyle w:val="body"/>
        <w:numPr>
          <w:ilvl w:val="0"/>
          <w:numId w:val="14"/>
        </w:numPr>
      </w:pPr>
      <w:r w:rsidRPr="008F2BD8">
        <w:t>ai gruppi guidati da un ente impresa madre nell’UE, da una società di partecipazione finanziaria madre nell’UE o da una società di partecipazione finanziaria mista madre nell’UE;</w:t>
      </w:r>
    </w:p>
    <w:p w:rsidRPr="008F2BD8" w:rsidR="00B43E07" w:rsidP="009510B6" w:rsidRDefault="00DE0FE1" w14:paraId="0D1E1C78" w14:textId="031EF3C2">
      <w:pPr>
        <w:pStyle w:val="body"/>
        <w:numPr>
          <w:ilvl w:val="0"/>
          <w:numId w:val="14"/>
        </w:numPr>
      </w:pPr>
      <w:r w:rsidRPr="008F2BD8">
        <w:t>agli enti che non sono filiazioni di un ente impresa madre nell’UE, di una società di partecipazione finanziaria madre nell’UE o di una società di partecipazione finanziaria mista madre nell’UE</w:t>
      </w:r>
    </w:p>
    <w:p w:rsidRPr="008F2BD8" w:rsidR="00B43E07" w:rsidP="00DE0FE1" w:rsidRDefault="003A2221" w14:paraId="5736DC31" w14:textId="54A8D23B">
      <w:pPr>
        <w:pStyle w:val="body"/>
      </w:pPr>
      <w:r w:rsidRPr="008F2BD8">
        <w:t>aventi una misura di esposizione con riferimento al coefficiente di leva finanziaria superiore a 200 miliardi di EUR, rispettivamente su base consolidata o individuale (incluse compagnie assicurative controllate), calcolato usando un tasso di cambio adeguato che, oltre alle norme internazionali, tiene conto del tasso di cambio di riferimento pubblicato dalla Banca centrale europea e applicabile a fine esercizio («entità rilevanti»).</w:t>
      </w:r>
    </w:p>
    <w:p w:rsidRPr="008F2BD8" w:rsidR="00B43E07" w:rsidP="00B43E07" w:rsidRDefault="00B43E07" w14:paraId="6EAA3145" w14:textId="77777777">
      <w:pPr>
        <w:pStyle w:val="Titlelevel2"/>
      </w:pPr>
      <w:r w:rsidRPr="008F2BD8">
        <w:t>Destinatari</w:t>
      </w:r>
    </w:p>
    <w:p w:rsidRPr="008F2BD8" w:rsidR="00B43E07" w:rsidP="009510B6" w:rsidRDefault="00DE0FE1" w14:paraId="12310C5F" w14:textId="7CD31A52">
      <w:pPr>
        <w:pStyle w:val="body"/>
        <w:numPr>
          <w:ilvl w:val="0"/>
          <w:numId w:val="10"/>
        </w:numPr>
      </w:pPr>
      <w:r w:rsidRPr="008F2BD8">
        <w:t xml:space="preserve">I presenti orientamenti sono rivolti alle autorità competenti quali definite all’articolo 4, paragrafo 2, punto i), del regolamento (UE) n. 1093/2010 nonché agli enti finanziari oggetto di applicazione dei medesimi orientamenti. Le autorità designate di cui all’articolo 131, paragrafo 1, della direttiva 2013/36/UE, diverse dalle autorità competenti, sono invitate ad applicare i presenti orientamenti. Ai fini dei presenti orientamenti, per «autorità </w:t>
      </w:r>
      <w:r w:rsidR="00536618">
        <w:t>pertinenti</w:t>
      </w:r>
      <w:r w:rsidRPr="008F2BD8">
        <w:t>» si intendono sia le autorità competenti sia le autorità designate.</w:t>
      </w:r>
    </w:p>
    <w:p w:rsidRPr="008F2BD8" w:rsidR="00DE0FE1" w:rsidP="009510B6" w:rsidRDefault="00DE0FE1" w14:paraId="52A8B3D5" w14:textId="77777777">
      <w:pPr>
        <w:pStyle w:val="ListParagraph"/>
        <w:numPr>
          <w:ilvl w:val="0"/>
          <w:numId w:val="10"/>
        </w:numPr>
      </w:pPr>
      <w:r w:rsidRPr="008F2BD8">
        <w:br w:type="page"/>
      </w:r>
    </w:p>
    <w:p w:rsidRPr="008F2BD8" w:rsidR="00B43E07" w:rsidP="00CE3517" w:rsidRDefault="00B43E07" w14:paraId="25D099DB" w14:textId="77777777">
      <w:pPr>
        <w:pStyle w:val="Numberedtilelevel1"/>
      </w:pPr>
      <w:r w:rsidRPr="008F2BD8">
        <w:lastRenderedPageBreak/>
        <w:t>Attuazione</w:t>
      </w:r>
    </w:p>
    <w:p w:rsidRPr="008F2BD8" w:rsidR="00B43E07" w:rsidP="00B43E07" w:rsidRDefault="00B43E07" w14:paraId="4EAB2FB0" w14:textId="77777777">
      <w:pPr>
        <w:pStyle w:val="Titlelevel2"/>
      </w:pPr>
      <w:r w:rsidRPr="008F2BD8">
        <w:t>Data di applicazione</w:t>
      </w:r>
    </w:p>
    <w:p w:rsidRPr="008F2BD8" w:rsidR="00B43E07" w:rsidP="009510B6" w:rsidRDefault="00DE0FE1" w14:paraId="18515792" w14:textId="633AACC3">
      <w:pPr>
        <w:pStyle w:val="body"/>
        <w:numPr>
          <w:ilvl w:val="0"/>
          <w:numId w:val="15"/>
        </w:numPr>
      </w:pPr>
      <w:r w:rsidRPr="008F2BD8">
        <w:t xml:space="preserve">I presenti orientamenti si applicano a decorrere dal </w:t>
      </w:r>
      <w:r w:rsidR="00087F94">
        <w:t>16.12.2020.</w:t>
      </w:r>
    </w:p>
    <w:p w:rsidRPr="008F2BD8" w:rsidR="00B43E07" w:rsidP="00B43E07" w:rsidRDefault="00B43E07" w14:paraId="4AB150AF" w14:textId="64BC8239">
      <w:pPr>
        <w:pStyle w:val="Titlelevel2"/>
      </w:pPr>
      <w:r w:rsidRPr="008F2BD8">
        <w:t>Abrogazione</w:t>
      </w:r>
    </w:p>
    <w:p w:rsidRPr="008F2BD8" w:rsidR="00B43E07" w:rsidP="00A41338" w:rsidRDefault="00BD1538" w14:paraId="0F71334D" w14:textId="4DCAC658">
      <w:r w:rsidRPr="008F2BD8">
        <w:t>Gli orientamenti riveduti in materia di ulteriore precisazione degli indicatori a rilevanza sistemica a livello globale e relativa informativa, del 29 febbraio 2016 (ABE/GL/2016/01), sono abrogati.</w:t>
      </w:r>
    </w:p>
    <w:p w:rsidRPr="008F2BD8" w:rsidR="00BD1538" w:rsidP="00B43E07" w:rsidRDefault="00BD1538" w14:paraId="30F30A96" w14:textId="77777777">
      <w:pPr>
        <w:pStyle w:val="body"/>
        <w:rPr>
          <w:lang w:val="es-ES"/>
        </w:rPr>
        <w:sectPr w:rsidRPr="008F2BD8" w:rsidR="00BD1538" w:rsidSect="000F33D3">
          <w:headerReference w:type="even" r:id="rId11"/>
          <w:headerReference w:type="default" r:id="rId12"/>
          <w:footerReference w:type="even" r:id="rId13"/>
          <w:footerReference w:type="default" r:id="rId14"/>
          <w:headerReference w:type="first" r:id="rId15"/>
          <w:pgSz w:w="11900" w:h="16840"/>
          <w:pgMar w:top="2268" w:right="1418" w:bottom="1134" w:left="1701" w:header="709" w:footer="709" w:gutter="0"/>
          <w:cols w:space="708"/>
          <w:docGrid w:linePitch="299"/>
        </w:sectPr>
      </w:pPr>
    </w:p>
    <w:p w:rsidRPr="008F2BD8" w:rsidR="00B43E07" w:rsidP="00BD1538" w:rsidRDefault="00802447" w14:paraId="4D344DEC" w14:textId="199931AF">
      <w:pPr>
        <w:pStyle w:val="Numberedtilelevel1"/>
        <w:jc w:val="both"/>
      </w:pPr>
      <w:r>
        <w:lastRenderedPageBreak/>
        <w:t xml:space="preserve">Precisazione </w:t>
      </w:r>
      <w:r w:rsidRPr="008F2BD8" w:rsidR="00BD1538">
        <w:t>dei dati sottostanti e degli indicatori usati per l’individuazione dei G-SII</w:t>
      </w:r>
    </w:p>
    <w:p w:rsidR="00F84FF3" w:rsidP="00F84FF3" w:rsidRDefault="00F84FF3" w14:paraId="45796550" w14:textId="5D3076D1">
      <w:pPr>
        <w:pStyle w:val="body"/>
        <w:rPr>
          <w:iCs/>
        </w:rPr>
      </w:pPr>
      <w:r w:rsidRPr="007B541C">
        <w:rPr>
          <w:spacing w:val="-1"/>
          <w:highlight w:val="green"/>
        </w:rPr>
        <w:sym w:font="Wingdings" w:char="F0DA"/>
      </w:r>
      <w:r w:rsidRPr="007B541C">
        <w:rPr>
          <w:spacing w:val="-1"/>
          <w:highlight w:val="green"/>
        </w:rPr>
        <w:t>A1</w:t>
      </w:r>
    </w:p>
    <w:p w:rsidRPr="009510B6" w:rsidR="00B43E07" w:rsidP="009510B6" w:rsidRDefault="009510B6" w14:paraId="50643877" w14:textId="4622F0B7">
      <w:pPr>
        <w:pStyle w:val="body"/>
        <w:numPr>
          <w:ilvl w:val="0"/>
          <w:numId w:val="15"/>
        </w:numPr>
        <w:rPr>
          <w:iCs/>
        </w:rPr>
      </w:pPr>
      <w:r w:rsidRPr="009510B6">
        <w:rPr>
          <w:iCs/>
        </w:rPr>
        <w:t>Le autorità competenti e le entità competenti dovrebbero seguire le istruzioni e le specifiche per le voci di dati elencate nell’allegato, come indicato nel link «Istruzioni di segnalazione» sul sito web dell’ABE nella sezione G-SII (</w:t>
      </w:r>
      <w:r w:rsidRPr="009510B6">
        <w:rPr>
          <w:iCs/>
          <w:vertAlign w:val="superscript"/>
        </w:rPr>
        <w:footnoteReference w:id="3"/>
      </w:r>
      <w:r w:rsidRPr="009510B6">
        <w:rPr>
          <w:iCs/>
        </w:rPr>
        <w:t>)</w:t>
      </w:r>
      <w:r w:rsidRPr="009510B6" w:rsidR="00BD1538">
        <w:rPr>
          <w:iCs/>
        </w:rPr>
        <w:t>.</w:t>
      </w:r>
    </w:p>
    <w:p w:rsidR="00B43E07" w:rsidP="009510B6" w:rsidRDefault="009510B6" w14:paraId="2FD6FE4E" w14:textId="14651890">
      <w:pPr>
        <w:pStyle w:val="body"/>
        <w:numPr>
          <w:ilvl w:val="0"/>
          <w:numId w:val="15"/>
        </w:numPr>
      </w:pPr>
      <w:r w:rsidRPr="009510B6">
        <w:rPr>
          <w:iCs/>
        </w:rPr>
        <w:t>Le autorità pertinenti dovrebbero avvalersi dei dati accessori (sezioni 15 e 16 dell’allegato dei presenti orientamenti) per corroborare il proprio giudizio di vigilanza in conformità dell’articolo 131, paragrafo 10, della direttiva 2013/36/UE e usare le voci per memoria (sezioni da 17 a 22 dell’allegato) per migliorare la qualità dei dati e contribuire al futuro miglioramento della metodologia d’individuazione. Ove opportuno le voci per memoria dovrebbero essere integrate con commenti dettagliati formulati dalle entità rilevanti per quanto concerne la disponibilità e la qualità dei dati</w:t>
      </w:r>
      <w:r w:rsidRPr="008F2BD8" w:rsidR="003A2221">
        <w:t>.</w:t>
      </w:r>
    </w:p>
    <w:p w:rsidRPr="009510B6" w:rsidR="009510B6" w:rsidP="009510B6" w:rsidRDefault="009510B6" w14:paraId="056C1572" w14:textId="1AF38506">
      <w:pPr>
        <w:pStyle w:val="body"/>
        <w:numPr>
          <w:ilvl w:val="0"/>
          <w:numId w:val="16"/>
        </w:numPr>
        <w:rPr>
          <w:iCs/>
        </w:rPr>
      </w:pPr>
      <w:r w:rsidRPr="009510B6">
        <w:rPr>
          <w:iCs/>
        </w:rPr>
        <w:t>bis. Ai sensi dell’articolo 131, paragrafo 2 bis, della direttiva 2013/36/UE, che richiede una metodologia di identificazione aggiuntiva che escluda le attività transfrontaliere nell’ambito del meccanismo di risoluzione unico (SRM), e in conformità all’accordo internazionale del Comitato di Basilea del 31 maggio 2022 per riconoscere i progressi compiuti nello sviluppo dell’Unione bancaria europea, gli elementi di dati rilevanti per il calcolo degli indicatori intergiurisdizionali corretti dell’SRM relativi agli istituti con sede centrale negli Stati membri che partecipano all’SRM dovrebbero essere considerati come parte degli indicatori di attività intergiurisdizionali e, in quanto tali, divulgati in conformità al paragrafo 12, e non come elementi accessori o di memoria per la metodologia di identificazione dei G-SII e di assegnazione delle sottocategorie</w:t>
      </w:r>
      <w:r>
        <w:rPr>
          <w:iCs/>
        </w:rPr>
        <w:t>.</w:t>
      </w:r>
    </w:p>
    <w:p w:rsidRPr="00B45FD6" w:rsidR="00BD1538" w:rsidP="00BD1538" w:rsidRDefault="00BD1538" w14:paraId="6A6FBBAE" w14:textId="77777777">
      <w:pPr>
        <w:pStyle w:val="body"/>
        <w:rPr>
          <w:highlight w:val="yellow"/>
        </w:rPr>
      </w:pPr>
    </w:p>
    <w:p w:rsidRPr="00B45FD6" w:rsidR="00BD1538" w:rsidP="00505C64" w:rsidRDefault="00BD1538" w14:paraId="2DFFA9BA" w14:textId="77777777">
      <w:pPr>
        <w:pStyle w:val="Titlelevel2"/>
        <w:sectPr w:rsidRPr="00B45FD6" w:rsidR="00BD1538" w:rsidSect="000F33D3">
          <w:pgSz w:w="11900" w:h="16840"/>
          <w:pgMar w:top="2268" w:right="1418" w:bottom="1134" w:left="1701" w:header="709" w:footer="709" w:gutter="0"/>
          <w:cols w:space="708"/>
          <w:docGrid w:linePitch="299"/>
        </w:sectPr>
      </w:pPr>
    </w:p>
    <w:p w:rsidRPr="008F2BD8" w:rsidR="00B43E07" w:rsidP="00BD1538" w:rsidRDefault="00BD1538" w14:paraId="6CDBC73A" w14:textId="63126AA5">
      <w:pPr>
        <w:pStyle w:val="Numberedtilelevel1"/>
        <w:jc w:val="both"/>
      </w:pPr>
      <w:r w:rsidRPr="008F2BD8">
        <w:lastRenderedPageBreak/>
        <w:t>Obblighi relativi alla segnalazione e all’informativa da parte degli enti rilevanti</w:t>
      </w:r>
    </w:p>
    <w:p w:rsidRPr="008F2BD8" w:rsidR="0007574B" w:rsidP="009510B6" w:rsidRDefault="00D36FC3" w14:paraId="107B3895" w14:textId="40045052">
      <w:pPr>
        <w:pStyle w:val="body"/>
        <w:numPr>
          <w:ilvl w:val="0"/>
          <w:numId w:val="16"/>
        </w:numPr>
      </w:pPr>
      <w:r w:rsidRPr="00D36FC3">
        <w:rPr>
          <w:iCs/>
        </w:rPr>
        <w:t>Le autorità competenti dovrebbero assicurarsi di raccogliere tutti i dati specificati nell’allegato dei presenti orientamenti presso i soggetti pertinenti che soddisfano i criteri di cui al punto 6 dei presenti orientamenti il 31 dicembre di ogni anno</w:t>
      </w:r>
      <w:r w:rsidRPr="008F2BD8" w:rsidR="003A2221">
        <w:t>.</w:t>
      </w:r>
    </w:p>
    <w:p w:rsidR="0007574B" w:rsidP="009510B6" w:rsidRDefault="00D36FC3" w14:paraId="623657F6" w14:textId="4486BA89">
      <w:pPr>
        <w:pStyle w:val="body"/>
        <w:numPr>
          <w:ilvl w:val="0"/>
          <w:numId w:val="16"/>
        </w:numPr>
      </w:pPr>
      <w:r w:rsidRPr="00D36FC3">
        <w:rPr>
          <w:iCs/>
        </w:rPr>
        <w:t>Le autorità pertinenti dovrebbero garantire che le entità rilevanti pubblichino annualmente sui loro siti web i valori degli indicatori specificati nelle sezioni da 1 a 14 dell’allegato ai presenti orientamenti e, qualora sia necessaria l’ulteriore metodologia di identificazione dell’SRM, le voci e), f) e g) della sezione 21, nonché qualsiasi altra voce della sezione 21 che faccia riferimento all’attività intergiurisdizionale dell’SRM che potrebbe essere ritenuta rilevante per il calcolo di tale metodologia da parte dell’autorità interessata</w:t>
      </w:r>
      <w:r w:rsidRPr="008F2BD8" w:rsidR="003A2221">
        <w:t>.</w:t>
      </w:r>
    </w:p>
    <w:p w:rsidRPr="008F2BD8" w:rsidR="00F84FF3" w:rsidP="00F84FF3" w:rsidRDefault="00F84FF3" w14:paraId="7FAEE3A5" w14:textId="516B0C7A">
      <w:pPr>
        <w:pStyle w:val="BodyText"/>
        <w:tabs>
          <w:tab w:val="left" w:pos="1802"/>
        </w:tabs>
        <w:spacing w:before="100" w:after="60" w:line="276" w:lineRule="auto"/>
        <w:ind w:right="232"/>
        <w:jc w:val="both"/>
      </w:pPr>
      <w:r w:rsidRPr="007B541C">
        <w:rPr>
          <w:spacing w:val="-1"/>
          <w:highlight w:val="yellow"/>
        </w:rPr>
        <w:sym w:font="Wingdings" w:char="F0DA"/>
      </w:r>
      <w:r w:rsidRPr="007B541C">
        <w:rPr>
          <w:spacing w:val="-1"/>
          <w:highlight w:val="yellow"/>
        </w:rPr>
        <w:t>O</w:t>
      </w:r>
    </w:p>
    <w:p w:rsidR="0007574B" w:rsidP="009510B6" w:rsidRDefault="0007574B" w14:paraId="59D95C2C" w14:textId="7BB30F72">
      <w:pPr>
        <w:pStyle w:val="body"/>
        <w:numPr>
          <w:ilvl w:val="0"/>
          <w:numId w:val="16"/>
        </w:numPr>
      </w:pPr>
      <w:r w:rsidRPr="008F2BD8">
        <w:t>Per la segnalazione e l’informativa di cui ai paragrafi 11 e 12, le entità rilevanti dovrebbero usare il modello elettronico e seguire le istruzioni pubblicate ogni anno a tal fine sul sito web dell’ABE.</w:t>
      </w:r>
    </w:p>
    <w:p w:rsidRPr="008F2BD8" w:rsidR="00F84FF3" w:rsidP="00F84FF3" w:rsidRDefault="00F84FF3" w14:paraId="1F647C08" w14:textId="6CF6FCDF">
      <w:pPr>
        <w:pStyle w:val="body"/>
      </w:pPr>
      <w:r w:rsidRPr="007B541C">
        <w:rPr>
          <w:spacing w:val="-1"/>
          <w:highlight w:val="green"/>
        </w:rPr>
        <w:sym w:font="Wingdings" w:char="F0DA"/>
      </w:r>
      <w:r w:rsidRPr="007B541C">
        <w:rPr>
          <w:spacing w:val="-1"/>
          <w:highlight w:val="green"/>
        </w:rPr>
        <w:t>A1</w:t>
      </w:r>
    </w:p>
    <w:p w:rsidR="006C6D8E" w:rsidP="009510B6" w:rsidRDefault="00D36FC3" w14:paraId="5F511C1E" w14:textId="7F5D647D">
      <w:pPr>
        <w:pStyle w:val="body"/>
        <w:numPr>
          <w:ilvl w:val="0"/>
          <w:numId w:val="16"/>
        </w:numPr>
        <w:rPr>
          <w:iCs/>
        </w:rPr>
      </w:pPr>
      <w:r w:rsidRPr="00D36FC3">
        <w:rPr>
          <w:iCs/>
        </w:rPr>
        <w:t>Le entità rilevanti dovrebbero presentare le informazioni di cui al paragrafo 11 alle autorità competenti e pubblicare le informazioni di cui al paragrafo 12 su base annua entro quattro mesi dalla data di fine esercizio, a partire dalla seconda data di fine esercizio consecutivo in cui la soglia di cui al paragrafo 6 dei presenti orientamenti è stata superata. In tal caso, le entità rilevanti dovrebbero identificarsi utilizzando i rispettivi identificatori delle entità giuridiche (LEI)</w:t>
      </w:r>
      <w:r w:rsidRPr="00D36FC3" w:rsidR="0007574B">
        <w:rPr>
          <w:iCs/>
        </w:rPr>
        <w:t>.</w:t>
      </w:r>
    </w:p>
    <w:p w:rsidRPr="00D36FC3" w:rsidR="00F84FF3" w:rsidP="00F84FF3" w:rsidRDefault="00F84FF3" w14:paraId="3CE51010" w14:textId="07947892">
      <w:pPr>
        <w:pStyle w:val="BodyText"/>
        <w:tabs>
          <w:tab w:val="left" w:pos="1802"/>
        </w:tabs>
        <w:spacing w:before="100" w:after="60" w:line="276" w:lineRule="auto"/>
        <w:ind w:right="232"/>
        <w:jc w:val="both"/>
        <w:rPr>
          <w:iCs/>
        </w:rPr>
      </w:pPr>
      <w:r w:rsidRPr="007B541C">
        <w:rPr>
          <w:spacing w:val="-1"/>
          <w:highlight w:val="yellow"/>
        </w:rPr>
        <w:sym w:font="Wingdings" w:char="F0DA"/>
      </w:r>
      <w:r w:rsidRPr="007B541C">
        <w:rPr>
          <w:spacing w:val="-1"/>
          <w:highlight w:val="yellow"/>
        </w:rPr>
        <w:t>O</w:t>
      </w:r>
    </w:p>
    <w:p w:rsidRPr="008F2BD8" w:rsidR="0007574B" w:rsidP="009510B6" w:rsidRDefault="003A2221" w14:paraId="02B1DBBB" w14:textId="37A44A32">
      <w:pPr>
        <w:pStyle w:val="body"/>
        <w:numPr>
          <w:ilvl w:val="0"/>
          <w:numId w:val="16"/>
        </w:numPr>
      </w:pPr>
      <w:r w:rsidRPr="008F2BD8">
        <w:t xml:space="preserve">Le autorità </w:t>
      </w:r>
      <w:r w:rsidR="004E737B">
        <w:t>pertinenti</w:t>
      </w:r>
      <w:r w:rsidRPr="008F2BD8" w:rsidR="004E737B">
        <w:t xml:space="preserve"> </w:t>
      </w:r>
      <w:r w:rsidRPr="008F2BD8">
        <w:t>possono consentire alle entità rilevanti, la cui data di fine esercizio non coincide con quella del 31 dicembre, di segnalare e pubblicare tali informazioni sulla base delle posizioni rilevabili a una data prossima al 31 dicembre. In ogni caso, la pubblicazione delle informazioni dovrebbe avvenire entro il 31 luglio.</w:t>
      </w:r>
    </w:p>
    <w:p w:rsidRPr="008F2BD8" w:rsidR="00B43E07" w:rsidP="009510B6" w:rsidRDefault="003A2221" w14:paraId="0BE8B0EA" w14:textId="3B95CE13">
      <w:pPr>
        <w:pStyle w:val="body"/>
        <w:numPr>
          <w:ilvl w:val="0"/>
          <w:numId w:val="16"/>
        </w:numPr>
      </w:pPr>
      <w:r w:rsidRPr="008F2BD8">
        <w:t xml:space="preserve">Le autorità </w:t>
      </w:r>
      <w:r w:rsidR="004E737B">
        <w:t>pertinenti</w:t>
      </w:r>
      <w:r w:rsidRPr="008F2BD8" w:rsidR="004E737B">
        <w:t xml:space="preserve"> </w:t>
      </w:r>
      <w:r w:rsidRPr="008F2BD8">
        <w:t>dovrebbero assicurare, ove applicabile, che i dati segnalati e pubblicati siano identici a quelli presentati al Comitato di Basilea per la vigilanza bancaria.</w:t>
      </w:r>
    </w:p>
    <w:p w:rsidRPr="008F2BD8" w:rsidR="006C6D8E" w:rsidP="006C6D8E" w:rsidRDefault="006C6D8E" w14:paraId="304AED26" w14:textId="0684F911">
      <w:pPr>
        <w:pStyle w:val="body"/>
      </w:pPr>
    </w:p>
    <w:p w:rsidRPr="008F2BD8" w:rsidR="006C6D8E" w:rsidP="006C6D8E" w:rsidRDefault="006C6D8E" w14:paraId="3653C3DD" w14:textId="77777777">
      <w:pPr>
        <w:pStyle w:val="body"/>
        <w:sectPr w:rsidRPr="008F2BD8" w:rsidR="006C6D8E" w:rsidSect="000F33D3">
          <w:pgSz w:w="11900" w:h="16840"/>
          <w:pgMar w:top="2268" w:right="1418" w:bottom="1134" w:left="1701" w:header="709" w:footer="709" w:gutter="0"/>
          <w:cols w:space="708"/>
          <w:docGrid w:linePitch="299"/>
        </w:sectPr>
      </w:pPr>
    </w:p>
    <w:p w:rsidRPr="008F2BD8" w:rsidR="00B43E07" w:rsidP="006C6D8E" w:rsidRDefault="006C6D8E" w14:paraId="78D7CAE2" w14:textId="0D9CA5B9">
      <w:pPr>
        <w:pStyle w:val="Numberedtilelevel1"/>
        <w:jc w:val="both"/>
      </w:pPr>
      <w:r w:rsidRPr="008F2BD8">
        <w:lastRenderedPageBreak/>
        <w:t>Informazioni da trasmettere all’ABE</w:t>
      </w:r>
    </w:p>
    <w:p w:rsidRPr="008F2BD8" w:rsidR="006C6D8E" w:rsidP="009510B6" w:rsidRDefault="003A2221" w14:paraId="0966C959" w14:textId="6252D9D8">
      <w:pPr>
        <w:pStyle w:val="body"/>
        <w:numPr>
          <w:ilvl w:val="0"/>
          <w:numId w:val="16"/>
        </w:numPr>
      </w:pPr>
      <w:r w:rsidRPr="008F2BD8">
        <w:t xml:space="preserve">Le autorità </w:t>
      </w:r>
      <w:r w:rsidR="004E737B">
        <w:t>pertinenti</w:t>
      </w:r>
      <w:r w:rsidRPr="008F2BD8" w:rsidR="004E737B">
        <w:t xml:space="preserve"> </w:t>
      </w:r>
      <w:r w:rsidRPr="008F2BD8">
        <w:t>dovrebbero trasmettere all’ABE tutti i dati, compresi i dati accessori e le voci per memoria, raccolti in conformità dei presenti orientamenti per consentirne il raggruppamento sul sito web dell’ABE. Le entità rilevanti dovrebbero identificarsi utilizzando i rispettivi LEI. L’ABE non divulgherà i dati accessori e le voci per memoria.</w:t>
      </w:r>
    </w:p>
    <w:p w:rsidRPr="008F2BD8" w:rsidR="006C6D8E" w:rsidP="00B43E07" w:rsidRDefault="006C6D8E" w14:paraId="001293F4" w14:textId="77777777">
      <w:pPr>
        <w:pStyle w:val="body"/>
        <w:rPr>
          <w:lang w:eastAsia="en-GB"/>
        </w:rPr>
        <w:sectPr w:rsidRPr="008F2BD8" w:rsidR="006C6D8E" w:rsidSect="000F33D3">
          <w:pgSz w:w="11900" w:h="16840"/>
          <w:pgMar w:top="2268" w:right="1418" w:bottom="1134" w:left="1701" w:header="709" w:footer="709" w:gutter="0"/>
          <w:cols w:space="708"/>
          <w:docGrid w:linePitch="299"/>
        </w:sectPr>
      </w:pPr>
    </w:p>
    <w:p w:rsidRPr="008F2BD8" w:rsidR="006C6D8E" w:rsidP="006C6D8E" w:rsidRDefault="006C6D8E" w14:paraId="6FBD395E" w14:textId="77777777">
      <w:pPr>
        <w:pStyle w:val="Contenttitle"/>
      </w:pPr>
      <w:r w:rsidRPr="008F2BD8">
        <w:lastRenderedPageBreak/>
        <w:t>Allegato</w:t>
      </w:r>
    </w:p>
    <w:p w:rsidR="00F84FF3" w:rsidP="00723921" w:rsidRDefault="00F84FF3" w14:paraId="410CF391" w14:textId="28E8D812">
      <w:pPr>
        <w:widowControl w:val="0"/>
        <w:tabs>
          <w:tab w:val="left" w:pos="525"/>
        </w:tabs>
        <w:autoSpaceDE w:val="0"/>
        <w:autoSpaceDN w:val="0"/>
        <w:spacing w:before="240" w:after="120" w:line="276" w:lineRule="auto"/>
        <w:jc w:val="both"/>
        <w:rPr>
          <w:b/>
          <w:sz w:val="28"/>
        </w:rPr>
      </w:pPr>
      <w:r w:rsidRPr="007B541C">
        <w:rPr>
          <w:spacing w:val="-1"/>
          <w:highlight w:val="green"/>
        </w:rPr>
        <w:sym w:font="Wingdings" w:char="F0DA"/>
      </w:r>
      <w:r w:rsidRPr="007B541C">
        <w:rPr>
          <w:spacing w:val="-1"/>
          <w:highlight w:val="green"/>
        </w:rPr>
        <w:t>A1</w:t>
      </w:r>
    </w:p>
    <w:tbl>
      <w:tblPr>
        <w:tblStyle w:val="TableGrid1"/>
        <w:tblW w:w="9549" w:type="dxa"/>
        <w:tblLook w:val="04A0" w:firstRow="1" w:lastRow="0" w:firstColumn="1" w:lastColumn="0" w:noHBand="0" w:noVBand="1"/>
      </w:tblPr>
      <w:tblGrid>
        <w:gridCol w:w="6804"/>
        <w:gridCol w:w="2745"/>
      </w:tblGrid>
      <w:tr w:rsidRPr="001404DB" w:rsidR="00AE1893" w:rsidTr="00BC3A1F" w14:paraId="668EBB58" w14:textId="77777777">
        <w:trPr>
          <w:trHeight w:val="420"/>
        </w:trPr>
        <w:tc>
          <w:tcPr>
            <w:tcW w:w="9549" w:type="dxa"/>
            <w:gridSpan w:val="2"/>
            <w:tcBorders>
              <w:top w:val="nil"/>
              <w:left w:val="nil"/>
              <w:bottom w:val="nil"/>
              <w:right w:val="nil"/>
            </w:tcBorders>
            <w:noWrap/>
            <w:hideMark/>
          </w:tcPr>
          <w:bookmarkEnd w:id="9"/>
          <w:bookmarkEnd w:id="8"/>
          <w:bookmarkEnd w:id="7"/>
          <w:bookmarkEnd w:id="6"/>
          <w:bookmarkEnd w:id="5"/>
          <w:bookmarkEnd w:id="4"/>
          <w:bookmarkEnd w:id="3"/>
          <w:bookmarkEnd w:id="2"/>
          <w:bookmarkEnd w:id="1"/>
          <w:bookmarkEnd w:id="0"/>
          <w:p w:rsidRPr="001404DB" w:rsidR="00AE1893" w:rsidP="00BC3A1F" w:rsidRDefault="00AE1893" w14:paraId="2A3FA44C" w14:textId="77777777">
            <w:pPr>
              <w:keepNext/>
              <w:keepLines/>
              <w:spacing w:before="47"/>
              <w:outlineLvl w:val="5"/>
              <w:rPr>
                <w:rFonts w:ascii="Arial" w:hAnsi="Arial" w:eastAsia="Times New Roman" w:cs="Arial"/>
                <w:b/>
                <w:bCs/>
                <w:sz w:val="24"/>
                <w:szCs w:val="24"/>
              </w:rPr>
            </w:pPr>
            <w:r w:rsidRPr="001404DB">
              <w:rPr>
                <w:rFonts w:ascii="Arial" w:hAnsi="Arial"/>
                <w:b/>
                <w:i/>
                <w:caps/>
                <w:color w:val="172B39" w:themeColor="accent1" w:themeShade="80"/>
                <w:sz w:val="24"/>
              </w:rPr>
              <w:t> </w:t>
            </w:r>
            <w:r w:rsidRPr="001404DB">
              <w:rPr>
                <w:rFonts w:asciiTheme="majorHAnsi" w:hAnsiTheme="majorHAnsi"/>
                <w:b/>
                <w:i/>
                <w:caps/>
              </w:rPr>
              <w:t>Dati bancari generali</w:t>
            </w:r>
            <w:r w:rsidRPr="001404DB">
              <w:rPr>
                <w:rFonts w:ascii="Arial" w:hAnsi="Arial"/>
                <w:i/>
                <w:caps/>
                <w:color w:val="172B39" w:themeColor="accent1" w:themeShade="80"/>
                <w:sz w:val="20"/>
              </w:rPr>
              <w:t> </w:t>
            </w:r>
            <w:r w:rsidRPr="001404DB">
              <w:rPr>
                <w:rFonts w:ascii="Arial" w:hAnsi="Arial"/>
                <w:sz w:val="20"/>
              </w:rPr>
              <w:t> </w:t>
            </w:r>
          </w:p>
        </w:tc>
      </w:tr>
      <w:tr w:rsidRPr="001404DB" w:rsidR="00AE1893" w:rsidTr="00BC3A1F" w14:paraId="2371BF08" w14:textId="77777777">
        <w:trPr>
          <w:trHeight w:val="300"/>
        </w:trPr>
        <w:tc>
          <w:tcPr>
            <w:tcW w:w="6804" w:type="dxa"/>
            <w:tcBorders>
              <w:top w:val="nil"/>
              <w:left w:val="nil"/>
              <w:bottom w:val="single" w:color="auto" w:sz="4" w:space="0"/>
              <w:right w:val="nil"/>
            </w:tcBorders>
            <w:noWrap/>
          </w:tcPr>
          <w:p w:rsidRPr="001404DB" w:rsidR="00AE1893" w:rsidP="00BC3A1F" w:rsidRDefault="00AE1893" w14:paraId="0CB6009B"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noWrap/>
          </w:tcPr>
          <w:p w:rsidRPr="001404DB" w:rsidR="00AE1893" w:rsidP="00BC3A1F" w:rsidRDefault="00AE1893" w14:paraId="3D41E16C" w14:textId="77777777">
            <w:pPr>
              <w:jc w:val="center"/>
              <w:rPr>
                <w:rFonts w:ascii="Arial" w:hAnsi="Arial" w:eastAsia="Times New Roman" w:cs="Arial"/>
                <w:b/>
                <w:bCs/>
                <w:sz w:val="20"/>
                <w:szCs w:val="20"/>
                <w:lang w:eastAsia="en-GB"/>
              </w:rPr>
            </w:pPr>
          </w:p>
        </w:tc>
      </w:tr>
      <w:tr w:rsidRPr="001404DB" w:rsidR="00AE1893" w:rsidTr="00BC3A1F" w14:paraId="59C87EE9" w14:textId="77777777">
        <w:trPr>
          <w:trHeight w:val="300"/>
        </w:trPr>
        <w:tc>
          <w:tcPr>
            <w:tcW w:w="6804" w:type="dxa"/>
            <w:tcBorders>
              <w:top w:val="single" w:color="auto" w:sz="4" w:space="0"/>
              <w:left w:val="nil"/>
              <w:bottom w:val="single" w:color="auto" w:sz="4" w:space="0"/>
              <w:right w:val="nil"/>
            </w:tcBorders>
            <w:noWrap/>
            <w:hideMark/>
          </w:tcPr>
          <w:p w:rsidRPr="001404DB" w:rsidR="00AE1893" w:rsidP="00BC3A1F" w:rsidRDefault="00AE1893" w14:paraId="5DBA64BB" w14:textId="77777777">
            <w:pPr>
              <w:rPr>
                <w:rFonts w:ascii="Arial" w:hAnsi="Arial" w:eastAsia="Times New Roman" w:cs="Arial"/>
                <w:b/>
                <w:bCs/>
                <w:sz w:val="20"/>
                <w:szCs w:val="20"/>
              </w:rPr>
            </w:pPr>
            <w:r w:rsidRPr="001404DB">
              <w:rPr>
                <w:rFonts w:ascii="Arial" w:hAnsi="Arial"/>
                <w:b/>
                <w:sz w:val="20"/>
              </w:rPr>
              <w:t>Sezione 1 – Informazioni generali</w:t>
            </w:r>
          </w:p>
        </w:tc>
        <w:tc>
          <w:tcPr>
            <w:tcW w:w="2745" w:type="dxa"/>
            <w:tcBorders>
              <w:top w:val="single" w:color="auto" w:sz="4" w:space="0"/>
              <w:left w:val="nil"/>
              <w:right w:val="nil"/>
            </w:tcBorders>
            <w:noWrap/>
            <w:hideMark/>
          </w:tcPr>
          <w:p w:rsidRPr="001404DB" w:rsidR="00AE1893" w:rsidP="00BC3A1F" w:rsidRDefault="00AE1893" w14:paraId="52B73712" w14:textId="77777777">
            <w:pPr>
              <w:jc w:val="center"/>
              <w:rPr>
                <w:rFonts w:ascii="Arial" w:hAnsi="Arial" w:eastAsia="Times New Roman" w:cs="Arial"/>
                <w:b/>
                <w:bCs/>
                <w:sz w:val="20"/>
                <w:szCs w:val="20"/>
              </w:rPr>
            </w:pPr>
            <w:r w:rsidRPr="001404DB">
              <w:rPr>
                <w:rFonts w:ascii="Arial" w:hAnsi="Arial"/>
                <w:b/>
                <w:sz w:val="20"/>
              </w:rPr>
              <w:t>Risposta</w:t>
            </w:r>
          </w:p>
        </w:tc>
      </w:tr>
      <w:tr w:rsidRPr="001404DB" w:rsidR="00AE1893" w:rsidTr="00BC3A1F" w14:paraId="1983B764" w14:textId="77777777">
        <w:trPr>
          <w:gridAfter w:val="1"/>
          <w:wAfter w:w="2745" w:type="dxa"/>
          <w:trHeight w:val="300"/>
        </w:trPr>
        <w:tc>
          <w:tcPr>
            <w:tcW w:w="6804" w:type="dxa"/>
            <w:tcBorders>
              <w:top w:val="single" w:color="auto" w:sz="4" w:space="0"/>
              <w:left w:val="nil"/>
              <w:bottom w:val="single" w:color="auto" w:sz="4" w:space="0"/>
              <w:right w:val="nil"/>
            </w:tcBorders>
            <w:noWrap/>
            <w:hideMark/>
          </w:tcPr>
          <w:p w:rsidRPr="001404DB" w:rsidR="00AE1893" w:rsidP="00BC3A1F" w:rsidRDefault="00AE1893" w14:paraId="7BB99485" w14:textId="77777777">
            <w:pPr>
              <w:ind w:firstLine="200" w:firstLineChars="100"/>
              <w:rPr>
                <w:rFonts w:ascii="Arial" w:hAnsi="Arial" w:eastAsia="Times New Roman" w:cs="Arial"/>
                <w:sz w:val="20"/>
                <w:szCs w:val="20"/>
              </w:rPr>
            </w:pPr>
            <w:r w:rsidRPr="001404DB">
              <w:rPr>
                <w:rFonts w:ascii="Arial" w:hAnsi="Arial"/>
                <w:sz w:val="20"/>
              </w:rPr>
              <w:t>a. Informazioni generali fornite dall’autorità di vigilanza competente</w:t>
            </w:r>
          </w:p>
        </w:tc>
      </w:tr>
      <w:tr w:rsidRPr="001404DB" w:rsidR="00AE1893" w:rsidTr="00BC3A1F" w14:paraId="6F36FD86" w14:textId="77777777">
        <w:trPr>
          <w:trHeight w:val="300"/>
        </w:trPr>
        <w:tc>
          <w:tcPr>
            <w:tcW w:w="6804" w:type="dxa"/>
            <w:tcBorders>
              <w:left w:val="nil"/>
              <w:right w:val="nil"/>
            </w:tcBorders>
            <w:noWrap/>
            <w:hideMark/>
          </w:tcPr>
          <w:p w:rsidRPr="001404DB" w:rsidR="00AE1893" w:rsidP="00BC3A1F" w:rsidRDefault="00AE1893" w14:paraId="6D1F4194" w14:textId="77777777">
            <w:pPr>
              <w:ind w:firstLine="400" w:firstLineChars="200"/>
              <w:rPr>
                <w:rFonts w:ascii="Arial" w:hAnsi="Arial" w:eastAsia="Times New Roman" w:cs="Arial"/>
                <w:sz w:val="20"/>
                <w:szCs w:val="20"/>
              </w:rPr>
            </w:pPr>
            <w:r w:rsidRPr="001404DB">
              <w:rPr>
                <w:rFonts w:ascii="Arial" w:hAnsi="Arial"/>
                <w:sz w:val="20"/>
                <w:lang w:eastAsia="en-GB"/>
              </w:rPr>
              <w:t xml:space="preserve">(1) </w:t>
            </w:r>
            <w:r w:rsidRPr="001404DB">
              <w:rPr>
                <w:rFonts w:ascii="Arial" w:hAnsi="Arial"/>
                <w:sz w:val="20"/>
              </w:rPr>
              <w:t>Codice paese</w:t>
            </w:r>
          </w:p>
        </w:tc>
        <w:tc>
          <w:tcPr>
            <w:tcW w:w="2745" w:type="dxa"/>
            <w:tcBorders>
              <w:left w:val="nil"/>
              <w:bottom w:val="single" w:color="auto" w:sz="4" w:space="0"/>
              <w:right w:val="nil"/>
            </w:tcBorders>
            <w:noWrap/>
            <w:hideMark/>
          </w:tcPr>
          <w:p w:rsidRPr="001404DB" w:rsidR="00AE1893" w:rsidP="00BC3A1F" w:rsidRDefault="00AE1893" w14:paraId="6323CB31" w14:textId="77777777">
            <w:pPr>
              <w:jc w:val="center"/>
              <w:rPr>
                <w:rFonts w:ascii="Arial" w:hAnsi="Arial" w:eastAsia="Times New Roman" w:cs="Arial"/>
                <w:sz w:val="20"/>
                <w:szCs w:val="20"/>
              </w:rPr>
            </w:pPr>
            <w:r w:rsidRPr="001404DB">
              <w:rPr>
                <w:rFonts w:ascii="Arial" w:hAnsi="Arial"/>
                <w:sz w:val="20"/>
              </w:rPr>
              <w:t> </w:t>
            </w:r>
          </w:p>
        </w:tc>
      </w:tr>
      <w:tr w:rsidRPr="001404DB" w:rsidR="00AE1893" w:rsidTr="00BC3A1F" w14:paraId="2CB7B16C" w14:textId="77777777">
        <w:trPr>
          <w:trHeight w:val="300"/>
        </w:trPr>
        <w:tc>
          <w:tcPr>
            <w:tcW w:w="6804" w:type="dxa"/>
            <w:tcBorders>
              <w:left w:val="nil"/>
              <w:right w:val="nil"/>
            </w:tcBorders>
            <w:noWrap/>
            <w:hideMark/>
          </w:tcPr>
          <w:p w:rsidRPr="001404DB" w:rsidR="00AE1893" w:rsidP="00BC3A1F" w:rsidRDefault="00AE1893" w14:paraId="2BA8FF02" w14:textId="77777777">
            <w:pPr>
              <w:ind w:firstLine="400" w:firstLineChars="200"/>
              <w:rPr>
                <w:rFonts w:ascii="Arial" w:hAnsi="Arial" w:eastAsia="Times New Roman" w:cs="Arial"/>
                <w:sz w:val="20"/>
                <w:szCs w:val="20"/>
              </w:rPr>
            </w:pPr>
            <w:r w:rsidRPr="001404DB">
              <w:rPr>
                <w:rFonts w:ascii="Arial" w:hAnsi="Arial"/>
                <w:sz w:val="20"/>
                <w:lang w:eastAsia="en-GB"/>
              </w:rPr>
              <w:t xml:space="preserve">(2) </w:t>
            </w:r>
            <w:r w:rsidRPr="001404DB">
              <w:rPr>
                <w:rFonts w:ascii="Arial" w:hAnsi="Arial"/>
                <w:sz w:val="20"/>
              </w:rPr>
              <w:t>Denominazione della banca</w:t>
            </w:r>
          </w:p>
        </w:tc>
        <w:tc>
          <w:tcPr>
            <w:tcW w:w="2745" w:type="dxa"/>
            <w:tcBorders>
              <w:left w:val="nil"/>
              <w:bottom w:val="single" w:color="auto" w:sz="4" w:space="0"/>
              <w:right w:val="nil"/>
            </w:tcBorders>
            <w:hideMark/>
          </w:tcPr>
          <w:p w:rsidRPr="001404DB" w:rsidR="00AE1893" w:rsidP="00BC3A1F" w:rsidRDefault="00AE1893" w14:paraId="0D4BB6FD" w14:textId="77777777">
            <w:pPr>
              <w:jc w:val="center"/>
              <w:rPr>
                <w:rFonts w:ascii="Arial" w:hAnsi="Arial" w:eastAsia="Times New Roman" w:cs="Arial"/>
                <w:sz w:val="20"/>
                <w:szCs w:val="20"/>
              </w:rPr>
            </w:pPr>
            <w:r w:rsidRPr="001404DB">
              <w:rPr>
                <w:rFonts w:ascii="Arial" w:hAnsi="Arial"/>
                <w:sz w:val="20"/>
              </w:rPr>
              <w:t> </w:t>
            </w:r>
          </w:p>
        </w:tc>
      </w:tr>
      <w:tr w:rsidRPr="001404DB" w:rsidR="00AE1893" w:rsidTr="00BC3A1F" w14:paraId="201C9191" w14:textId="77777777">
        <w:trPr>
          <w:trHeight w:val="300"/>
        </w:trPr>
        <w:tc>
          <w:tcPr>
            <w:tcW w:w="6804" w:type="dxa"/>
            <w:tcBorders>
              <w:left w:val="nil"/>
              <w:right w:val="nil"/>
            </w:tcBorders>
            <w:noWrap/>
            <w:hideMark/>
          </w:tcPr>
          <w:p w:rsidRPr="001404DB" w:rsidR="00AE1893" w:rsidP="00BC3A1F" w:rsidRDefault="00AE1893" w14:paraId="1E1E47D7" w14:textId="77777777">
            <w:pPr>
              <w:ind w:firstLine="400" w:firstLineChars="200"/>
              <w:rPr>
                <w:rFonts w:ascii="Arial" w:hAnsi="Arial" w:eastAsia="Times New Roman" w:cs="Arial"/>
                <w:sz w:val="20"/>
                <w:szCs w:val="20"/>
              </w:rPr>
            </w:pPr>
            <w:r w:rsidRPr="001404DB">
              <w:rPr>
                <w:rFonts w:ascii="Arial" w:hAnsi="Arial"/>
                <w:sz w:val="20"/>
                <w:lang w:eastAsia="en-GB"/>
              </w:rPr>
              <w:t xml:space="preserve">(3) </w:t>
            </w:r>
            <w:r w:rsidRPr="001404DB">
              <w:rPr>
                <w:rFonts w:ascii="Arial" w:hAnsi="Arial"/>
                <w:sz w:val="20"/>
              </w:rPr>
              <w:t>Data della segnalazione (aaaa-mm-gg)</w:t>
            </w:r>
          </w:p>
        </w:tc>
        <w:tc>
          <w:tcPr>
            <w:tcW w:w="2745" w:type="dxa"/>
            <w:tcBorders>
              <w:left w:val="nil"/>
              <w:bottom w:val="single" w:color="auto" w:sz="4" w:space="0"/>
              <w:right w:val="nil"/>
            </w:tcBorders>
            <w:noWrap/>
            <w:hideMark/>
          </w:tcPr>
          <w:p w:rsidRPr="001404DB" w:rsidR="00AE1893" w:rsidP="00BC3A1F" w:rsidRDefault="00AE1893" w14:paraId="0AB6C126" w14:textId="77777777">
            <w:pPr>
              <w:jc w:val="center"/>
              <w:rPr>
                <w:rFonts w:ascii="Arial" w:hAnsi="Arial" w:eastAsia="Times New Roman" w:cs="Arial"/>
                <w:sz w:val="20"/>
                <w:szCs w:val="20"/>
                <w:lang w:eastAsia="en-GB"/>
              </w:rPr>
            </w:pPr>
          </w:p>
        </w:tc>
      </w:tr>
      <w:tr w:rsidRPr="001404DB" w:rsidR="00AE1893" w:rsidTr="00BC3A1F" w14:paraId="1EABF060" w14:textId="77777777">
        <w:trPr>
          <w:trHeight w:val="300"/>
        </w:trPr>
        <w:tc>
          <w:tcPr>
            <w:tcW w:w="6804" w:type="dxa"/>
            <w:tcBorders>
              <w:left w:val="nil"/>
              <w:right w:val="nil"/>
            </w:tcBorders>
            <w:noWrap/>
            <w:hideMark/>
          </w:tcPr>
          <w:p w:rsidRPr="001404DB" w:rsidR="00AE1893" w:rsidP="00BC3A1F" w:rsidRDefault="00AE1893" w14:paraId="03093B73" w14:textId="77777777">
            <w:pPr>
              <w:ind w:firstLine="400" w:firstLineChars="200"/>
              <w:rPr>
                <w:rFonts w:ascii="Arial" w:hAnsi="Arial" w:eastAsia="Times New Roman" w:cs="Arial"/>
                <w:sz w:val="20"/>
                <w:szCs w:val="20"/>
              </w:rPr>
            </w:pPr>
            <w:r w:rsidRPr="001404DB">
              <w:rPr>
                <w:rFonts w:ascii="Arial" w:hAnsi="Arial"/>
                <w:sz w:val="20"/>
                <w:lang w:eastAsia="en-GB"/>
              </w:rPr>
              <w:t xml:space="preserve">(4) </w:t>
            </w:r>
            <w:r w:rsidRPr="001404DB">
              <w:rPr>
                <w:rFonts w:ascii="Arial" w:hAnsi="Arial"/>
                <w:sz w:val="20"/>
              </w:rPr>
              <w:t>Valuta di conto</w:t>
            </w:r>
          </w:p>
        </w:tc>
        <w:tc>
          <w:tcPr>
            <w:tcW w:w="2745" w:type="dxa"/>
            <w:tcBorders>
              <w:left w:val="nil"/>
              <w:bottom w:val="single" w:color="auto" w:sz="4" w:space="0"/>
              <w:right w:val="nil"/>
            </w:tcBorders>
            <w:noWrap/>
            <w:hideMark/>
          </w:tcPr>
          <w:p w:rsidRPr="001404DB" w:rsidR="00AE1893" w:rsidP="00BC3A1F" w:rsidRDefault="00AE1893" w14:paraId="143A611A" w14:textId="77777777">
            <w:pPr>
              <w:jc w:val="center"/>
              <w:rPr>
                <w:rFonts w:ascii="Arial" w:hAnsi="Arial" w:eastAsia="Times New Roman" w:cs="Arial"/>
                <w:sz w:val="20"/>
                <w:szCs w:val="20"/>
                <w:lang w:eastAsia="en-GB"/>
              </w:rPr>
            </w:pPr>
          </w:p>
        </w:tc>
      </w:tr>
      <w:tr w:rsidRPr="001404DB" w:rsidR="00AE1893" w:rsidTr="00BC3A1F" w14:paraId="5AD85D38" w14:textId="77777777">
        <w:trPr>
          <w:trHeight w:val="300"/>
        </w:trPr>
        <w:tc>
          <w:tcPr>
            <w:tcW w:w="6804" w:type="dxa"/>
            <w:tcBorders>
              <w:left w:val="nil"/>
              <w:right w:val="nil"/>
            </w:tcBorders>
            <w:noWrap/>
            <w:hideMark/>
          </w:tcPr>
          <w:p w:rsidRPr="001404DB" w:rsidR="00AE1893" w:rsidP="00BC3A1F" w:rsidRDefault="00AE1893" w14:paraId="453159C2" w14:textId="77777777">
            <w:pPr>
              <w:ind w:firstLine="400" w:firstLineChars="200"/>
              <w:rPr>
                <w:rFonts w:ascii="Arial" w:hAnsi="Arial" w:eastAsia="Times New Roman" w:cs="Arial"/>
                <w:sz w:val="20"/>
                <w:szCs w:val="20"/>
              </w:rPr>
            </w:pPr>
            <w:r w:rsidRPr="001404DB">
              <w:rPr>
                <w:rFonts w:ascii="Arial" w:hAnsi="Arial"/>
                <w:sz w:val="20"/>
                <w:lang w:eastAsia="en-GB"/>
              </w:rPr>
              <w:t xml:space="preserve">(5) </w:t>
            </w:r>
            <w:r w:rsidRPr="001404DB">
              <w:rPr>
                <w:rFonts w:ascii="Arial" w:hAnsi="Arial"/>
                <w:sz w:val="20"/>
              </w:rPr>
              <w:t>Tasso di conversione dell’euro</w:t>
            </w:r>
          </w:p>
        </w:tc>
        <w:tc>
          <w:tcPr>
            <w:tcW w:w="2745" w:type="dxa"/>
            <w:tcBorders>
              <w:left w:val="nil"/>
              <w:bottom w:val="single" w:color="auto" w:sz="4" w:space="0"/>
              <w:right w:val="nil"/>
            </w:tcBorders>
            <w:noWrap/>
            <w:hideMark/>
          </w:tcPr>
          <w:p w:rsidRPr="001404DB" w:rsidR="00AE1893" w:rsidP="00BC3A1F" w:rsidRDefault="00AE1893" w14:paraId="114D3AE0" w14:textId="77777777">
            <w:pPr>
              <w:rPr>
                <w:rFonts w:ascii="Arial" w:hAnsi="Arial" w:eastAsia="Times New Roman" w:cs="Arial"/>
                <w:sz w:val="20"/>
                <w:szCs w:val="20"/>
              </w:rPr>
            </w:pPr>
            <w:r w:rsidRPr="001404DB">
              <w:rPr>
                <w:rFonts w:ascii="Arial" w:hAnsi="Arial"/>
                <w:sz w:val="20"/>
              </w:rPr>
              <w:t> </w:t>
            </w:r>
          </w:p>
        </w:tc>
      </w:tr>
      <w:tr w:rsidRPr="001404DB" w:rsidR="00AE1893" w:rsidTr="00BC3A1F" w14:paraId="0645DF19" w14:textId="77777777">
        <w:trPr>
          <w:trHeight w:val="300"/>
        </w:trPr>
        <w:tc>
          <w:tcPr>
            <w:tcW w:w="6804" w:type="dxa"/>
            <w:tcBorders>
              <w:left w:val="nil"/>
              <w:right w:val="nil"/>
            </w:tcBorders>
            <w:noWrap/>
            <w:hideMark/>
          </w:tcPr>
          <w:p w:rsidRPr="001404DB" w:rsidR="00AE1893" w:rsidP="00BC3A1F" w:rsidRDefault="00AE1893" w14:paraId="397D0FE0" w14:textId="77777777">
            <w:pPr>
              <w:ind w:firstLine="400" w:firstLineChars="200"/>
              <w:rPr>
                <w:rFonts w:ascii="Arial" w:hAnsi="Arial" w:eastAsia="Times New Roman" w:cs="Arial"/>
                <w:sz w:val="20"/>
                <w:szCs w:val="20"/>
              </w:rPr>
            </w:pPr>
            <w:r w:rsidRPr="001404DB">
              <w:rPr>
                <w:rFonts w:ascii="Arial" w:hAnsi="Arial"/>
                <w:sz w:val="20"/>
                <w:lang w:eastAsia="en-GB"/>
              </w:rPr>
              <w:t xml:space="preserve">(6) </w:t>
            </w:r>
            <w:r w:rsidRPr="001404DB">
              <w:rPr>
                <w:rFonts w:ascii="Arial" w:hAnsi="Arial"/>
                <w:sz w:val="20"/>
              </w:rPr>
              <w:t>Data di presentazione (aaaa-mm-gg)</w:t>
            </w:r>
          </w:p>
        </w:tc>
        <w:tc>
          <w:tcPr>
            <w:tcW w:w="2745" w:type="dxa"/>
            <w:tcBorders>
              <w:left w:val="nil"/>
              <w:bottom w:val="single" w:color="auto" w:sz="4" w:space="0"/>
              <w:right w:val="nil"/>
            </w:tcBorders>
            <w:noWrap/>
            <w:hideMark/>
          </w:tcPr>
          <w:p w:rsidRPr="001404DB" w:rsidR="00AE1893" w:rsidP="00BC3A1F" w:rsidRDefault="00AE1893" w14:paraId="0DD6D8BF" w14:textId="77777777">
            <w:pPr>
              <w:jc w:val="center"/>
              <w:rPr>
                <w:rFonts w:ascii="Arial" w:hAnsi="Arial" w:eastAsia="Times New Roman" w:cs="Arial"/>
                <w:sz w:val="20"/>
                <w:szCs w:val="20"/>
              </w:rPr>
            </w:pPr>
            <w:r w:rsidRPr="001404DB">
              <w:rPr>
                <w:rFonts w:ascii="Arial" w:hAnsi="Arial"/>
                <w:sz w:val="20"/>
              </w:rPr>
              <w:t> </w:t>
            </w:r>
          </w:p>
        </w:tc>
      </w:tr>
      <w:tr w:rsidRPr="001404DB" w:rsidR="00AE1893" w:rsidTr="00BC3A1F" w14:paraId="06AA70AB" w14:textId="77777777">
        <w:trPr>
          <w:trHeight w:val="300"/>
        </w:trPr>
        <w:tc>
          <w:tcPr>
            <w:tcW w:w="6804" w:type="dxa"/>
            <w:tcBorders>
              <w:left w:val="nil"/>
              <w:right w:val="nil"/>
            </w:tcBorders>
            <w:noWrap/>
            <w:hideMark/>
          </w:tcPr>
          <w:p w:rsidRPr="001404DB" w:rsidR="00AE1893" w:rsidP="00BC3A1F" w:rsidRDefault="00AE1893" w14:paraId="418C6F0A" w14:textId="77777777">
            <w:pPr>
              <w:ind w:firstLine="200" w:firstLineChars="100"/>
              <w:rPr>
                <w:rFonts w:ascii="Arial" w:hAnsi="Arial" w:eastAsia="Times New Roman" w:cs="Arial"/>
                <w:sz w:val="20"/>
                <w:szCs w:val="20"/>
              </w:rPr>
            </w:pPr>
            <w:r w:rsidRPr="001404DB">
              <w:rPr>
                <w:rFonts w:ascii="Arial" w:hAnsi="Arial"/>
                <w:sz w:val="20"/>
              </w:rPr>
              <w:t>b. Informazioni generali fornite dall’ente segnalante</w:t>
            </w:r>
          </w:p>
        </w:tc>
        <w:tc>
          <w:tcPr>
            <w:tcW w:w="2745" w:type="dxa"/>
            <w:tcBorders>
              <w:left w:val="nil"/>
              <w:bottom w:val="single" w:color="auto" w:sz="4" w:space="0"/>
              <w:right w:val="nil"/>
            </w:tcBorders>
            <w:noWrap/>
            <w:hideMark/>
          </w:tcPr>
          <w:p w:rsidRPr="001404DB" w:rsidR="00AE1893" w:rsidP="00BC3A1F" w:rsidRDefault="00AE1893" w14:paraId="438CABDF" w14:textId="77777777">
            <w:pPr>
              <w:ind w:firstLine="200" w:firstLineChars="100"/>
              <w:rPr>
                <w:rFonts w:ascii="Arial" w:hAnsi="Arial" w:eastAsia="Times New Roman" w:cs="Arial"/>
                <w:sz w:val="20"/>
                <w:szCs w:val="20"/>
              </w:rPr>
            </w:pPr>
            <w:r w:rsidRPr="001404DB">
              <w:rPr>
                <w:rFonts w:ascii="Arial" w:hAnsi="Arial"/>
                <w:sz w:val="20"/>
              </w:rPr>
              <w:t> </w:t>
            </w:r>
          </w:p>
        </w:tc>
      </w:tr>
      <w:tr w:rsidRPr="001404DB" w:rsidR="00AE1893" w:rsidTr="00BC3A1F" w14:paraId="4E2B1188" w14:textId="77777777">
        <w:trPr>
          <w:trHeight w:val="300"/>
        </w:trPr>
        <w:tc>
          <w:tcPr>
            <w:tcW w:w="6804" w:type="dxa"/>
            <w:tcBorders>
              <w:left w:val="nil"/>
              <w:right w:val="nil"/>
            </w:tcBorders>
            <w:noWrap/>
            <w:hideMark/>
          </w:tcPr>
          <w:p w:rsidRPr="001404DB" w:rsidR="00AE1893" w:rsidP="00BC3A1F" w:rsidRDefault="00AE1893" w14:paraId="53B0FDC0" w14:textId="77777777">
            <w:pPr>
              <w:ind w:firstLine="400" w:firstLineChars="200"/>
              <w:rPr>
                <w:rFonts w:ascii="Arial" w:hAnsi="Arial" w:eastAsia="Times New Roman" w:cs="Arial"/>
                <w:sz w:val="20"/>
                <w:szCs w:val="20"/>
              </w:rPr>
            </w:pPr>
            <w:r w:rsidRPr="001404DB">
              <w:rPr>
                <w:rFonts w:ascii="Arial" w:hAnsi="Arial"/>
                <w:sz w:val="20"/>
                <w:lang w:eastAsia="en-GB"/>
              </w:rPr>
              <w:t xml:space="preserve">(1) </w:t>
            </w:r>
            <w:r w:rsidRPr="001404DB">
              <w:rPr>
                <w:rFonts w:ascii="Arial" w:hAnsi="Arial"/>
                <w:sz w:val="20"/>
              </w:rPr>
              <w:t>Unità di segnalazione</w:t>
            </w:r>
          </w:p>
        </w:tc>
        <w:tc>
          <w:tcPr>
            <w:tcW w:w="2745" w:type="dxa"/>
            <w:tcBorders>
              <w:left w:val="nil"/>
              <w:bottom w:val="single" w:color="auto" w:sz="4" w:space="0"/>
              <w:right w:val="nil"/>
            </w:tcBorders>
            <w:noWrap/>
            <w:hideMark/>
          </w:tcPr>
          <w:p w:rsidRPr="001404DB" w:rsidR="00AE1893" w:rsidP="00BC3A1F" w:rsidRDefault="00AE1893" w14:paraId="4803A057" w14:textId="77777777">
            <w:pPr>
              <w:jc w:val="center"/>
              <w:rPr>
                <w:rFonts w:ascii="Arial" w:hAnsi="Arial" w:eastAsia="Times New Roman" w:cs="Arial"/>
                <w:sz w:val="20"/>
                <w:szCs w:val="20"/>
              </w:rPr>
            </w:pPr>
            <w:r w:rsidRPr="001404DB">
              <w:rPr>
                <w:rFonts w:ascii="Arial" w:hAnsi="Arial"/>
                <w:sz w:val="20"/>
              </w:rPr>
              <w:t> </w:t>
            </w:r>
          </w:p>
        </w:tc>
      </w:tr>
      <w:tr w:rsidRPr="001404DB" w:rsidR="00AE1893" w:rsidTr="00BC3A1F" w14:paraId="12B642F3" w14:textId="77777777">
        <w:trPr>
          <w:trHeight w:val="300"/>
        </w:trPr>
        <w:tc>
          <w:tcPr>
            <w:tcW w:w="6804" w:type="dxa"/>
            <w:tcBorders>
              <w:left w:val="nil"/>
              <w:right w:val="nil"/>
            </w:tcBorders>
            <w:noWrap/>
            <w:hideMark/>
          </w:tcPr>
          <w:p w:rsidRPr="001404DB" w:rsidR="00AE1893" w:rsidP="00BC3A1F" w:rsidRDefault="00AE1893" w14:paraId="654C65C5" w14:textId="77777777">
            <w:pPr>
              <w:ind w:firstLine="400" w:firstLineChars="200"/>
              <w:rPr>
                <w:rFonts w:ascii="Arial" w:hAnsi="Arial" w:eastAsia="Times New Roman" w:cs="Arial"/>
                <w:sz w:val="20"/>
                <w:szCs w:val="20"/>
              </w:rPr>
            </w:pPr>
            <w:r w:rsidRPr="001404DB">
              <w:rPr>
                <w:rFonts w:ascii="Arial" w:hAnsi="Arial"/>
                <w:sz w:val="20"/>
                <w:lang w:eastAsia="en-GB"/>
              </w:rPr>
              <w:t xml:space="preserve">(2) </w:t>
            </w:r>
            <w:r w:rsidRPr="001404DB">
              <w:rPr>
                <w:rFonts w:ascii="Arial" w:hAnsi="Arial"/>
                <w:sz w:val="20"/>
              </w:rPr>
              <w:t>Principio contabile</w:t>
            </w:r>
          </w:p>
        </w:tc>
        <w:tc>
          <w:tcPr>
            <w:tcW w:w="2745" w:type="dxa"/>
            <w:tcBorders>
              <w:left w:val="nil"/>
              <w:bottom w:val="single" w:color="auto" w:sz="4" w:space="0"/>
              <w:right w:val="nil"/>
            </w:tcBorders>
            <w:hideMark/>
          </w:tcPr>
          <w:p w:rsidRPr="001404DB" w:rsidR="00AE1893" w:rsidP="00BC3A1F" w:rsidRDefault="00AE1893" w14:paraId="3EE92ED4" w14:textId="77777777">
            <w:pPr>
              <w:jc w:val="center"/>
              <w:rPr>
                <w:rFonts w:ascii="Arial" w:hAnsi="Arial" w:eastAsia="Times New Roman" w:cs="Arial"/>
                <w:sz w:val="20"/>
                <w:szCs w:val="20"/>
              </w:rPr>
            </w:pPr>
            <w:r w:rsidRPr="001404DB">
              <w:rPr>
                <w:rFonts w:ascii="Arial" w:hAnsi="Arial"/>
                <w:sz w:val="20"/>
              </w:rPr>
              <w:t> </w:t>
            </w:r>
          </w:p>
        </w:tc>
      </w:tr>
      <w:tr w:rsidRPr="001404DB" w:rsidR="00AE1893" w:rsidTr="00BC3A1F" w14:paraId="464A1B91" w14:textId="77777777">
        <w:trPr>
          <w:trHeight w:val="300"/>
        </w:trPr>
        <w:tc>
          <w:tcPr>
            <w:tcW w:w="6804" w:type="dxa"/>
            <w:tcBorders>
              <w:left w:val="nil"/>
              <w:right w:val="nil"/>
            </w:tcBorders>
            <w:noWrap/>
            <w:hideMark/>
          </w:tcPr>
          <w:p w:rsidRPr="001404DB" w:rsidR="00AE1893" w:rsidP="00BC3A1F" w:rsidRDefault="00AE1893" w14:paraId="75332623" w14:textId="77777777">
            <w:pPr>
              <w:ind w:firstLine="400" w:firstLineChars="200"/>
              <w:rPr>
                <w:rFonts w:ascii="Arial" w:hAnsi="Arial" w:eastAsia="Times New Roman" w:cs="Arial"/>
                <w:sz w:val="20"/>
                <w:szCs w:val="20"/>
              </w:rPr>
            </w:pPr>
            <w:r w:rsidRPr="001404DB">
              <w:rPr>
                <w:rFonts w:ascii="Arial" w:hAnsi="Arial"/>
                <w:sz w:val="20"/>
                <w:lang w:eastAsia="en-GB"/>
              </w:rPr>
              <w:t xml:space="preserve">(3) </w:t>
            </w:r>
            <w:r w:rsidRPr="001404DB">
              <w:rPr>
                <w:rFonts w:ascii="Arial" w:hAnsi="Arial"/>
                <w:sz w:val="20"/>
              </w:rPr>
              <w:t>Data dell’informativa al pubblico (aaaa-mm-gg)</w:t>
            </w:r>
          </w:p>
        </w:tc>
        <w:tc>
          <w:tcPr>
            <w:tcW w:w="2745" w:type="dxa"/>
            <w:tcBorders>
              <w:left w:val="nil"/>
              <w:bottom w:val="single" w:color="auto" w:sz="4" w:space="0"/>
              <w:right w:val="nil"/>
            </w:tcBorders>
            <w:noWrap/>
            <w:hideMark/>
          </w:tcPr>
          <w:p w:rsidRPr="001404DB" w:rsidR="00AE1893" w:rsidP="00BC3A1F" w:rsidRDefault="00AE1893" w14:paraId="464AFFF4" w14:textId="77777777">
            <w:pPr>
              <w:jc w:val="center"/>
              <w:rPr>
                <w:rFonts w:ascii="Arial" w:hAnsi="Arial" w:eastAsia="Times New Roman" w:cs="Arial"/>
                <w:sz w:val="20"/>
                <w:szCs w:val="20"/>
              </w:rPr>
            </w:pPr>
            <w:r w:rsidRPr="001404DB">
              <w:rPr>
                <w:rFonts w:ascii="Arial" w:hAnsi="Arial"/>
                <w:sz w:val="20"/>
              </w:rPr>
              <w:t> </w:t>
            </w:r>
          </w:p>
        </w:tc>
      </w:tr>
      <w:tr w:rsidRPr="001404DB" w:rsidR="00AE1893" w:rsidTr="00BC3A1F" w14:paraId="5C937D1F" w14:textId="77777777">
        <w:trPr>
          <w:trHeight w:val="300"/>
        </w:trPr>
        <w:tc>
          <w:tcPr>
            <w:tcW w:w="6804" w:type="dxa"/>
            <w:tcBorders>
              <w:left w:val="nil"/>
              <w:right w:val="nil"/>
            </w:tcBorders>
            <w:noWrap/>
            <w:hideMark/>
          </w:tcPr>
          <w:p w:rsidRPr="001404DB" w:rsidR="00AE1893" w:rsidP="00BC3A1F" w:rsidRDefault="00AE1893" w14:paraId="2410610B" w14:textId="77777777">
            <w:pPr>
              <w:ind w:firstLine="400" w:firstLineChars="200"/>
              <w:rPr>
                <w:rFonts w:ascii="Arial" w:hAnsi="Arial" w:eastAsia="Times New Roman" w:cs="Arial"/>
                <w:sz w:val="20"/>
                <w:szCs w:val="20"/>
              </w:rPr>
            </w:pPr>
            <w:r w:rsidRPr="001404DB">
              <w:rPr>
                <w:rFonts w:ascii="Arial" w:hAnsi="Arial"/>
                <w:sz w:val="20"/>
                <w:lang w:eastAsia="en-GB"/>
              </w:rPr>
              <w:t xml:space="preserve">(4) </w:t>
            </w:r>
            <w:r w:rsidRPr="001404DB">
              <w:rPr>
                <w:rFonts w:ascii="Arial" w:hAnsi="Arial"/>
                <w:sz w:val="20"/>
              </w:rPr>
              <w:t>Lingua dell’informativa al pubblico</w:t>
            </w:r>
          </w:p>
        </w:tc>
        <w:tc>
          <w:tcPr>
            <w:tcW w:w="2745" w:type="dxa"/>
            <w:tcBorders>
              <w:left w:val="nil"/>
              <w:bottom w:val="single" w:color="auto" w:sz="4" w:space="0"/>
              <w:right w:val="nil"/>
            </w:tcBorders>
            <w:hideMark/>
          </w:tcPr>
          <w:p w:rsidRPr="001404DB" w:rsidR="00AE1893" w:rsidP="00BC3A1F" w:rsidRDefault="00AE1893" w14:paraId="2367B4E5" w14:textId="77777777">
            <w:pPr>
              <w:jc w:val="center"/>
              <w:rPr>
                <w:rFonts w:ascii="Arial" w:hAnsi="Arial" w:eastAsia="Times New Roman" w:cs="Arial"/>
                <w:sz w:val="20"/>
                <w:szCs w:val="20"/>
              </w:rPr>
            </w:pPr>
            <w:r w:rsidRPr="001404DB">
              <w:rPr>
                <w:rFonts w:ascii="Arial" w:hAnsi="Arial"/>
                <w:sz w:val="20"/>
              </w:rPr>
              <w:t> </w:t>
            </w:r>
          </w:p>
        </w:tc>
      </w:tr>
      <w:tr w:rsidRPr="001404DB" w:rsidR="00AE1893" w:rsidTr="00BC3A1F" w14:paraId="1C26664C" w14:textId="77777777">
        <w:trPr>
          <w:trHeight w:val="300"/>
        </w:trPr>
        <w:tc>
          <w:tcPr>
            <w:tcW w:w="6804" w:type="dxa"/>
            <w:tcBorders>
              <w:left w:val="nil"/>
              <w:bottom w:val="single" w:color="auto" w:sz="4" w:space="0"/>
              <w:right w:val="nil"/>
            </w:tcBorders>
            <w:noWrap/>
            <w:hideMark/>
          </w:tcPr>
          <w:p w:rsidRPr="001404DB" w:rsidR="00AE1893" w:rsidP="00BC3A1F" w:rsidRDefault="00AE1893" w14:paraId="2133F67D" w14:textId="77777777">
            <w:pPr>
              <w:ind w:firstLine="400" w:firstLineChars="200"/>
              <w:rPr>
                <w:rFonts w:ascii="Arial" w:hAnsi="Arial" w:eastAsia="Times New Roman" w:cs="Arial"/>
                <w:sz w:val="20"/>
                <w:szCs w:val="20"/>
              </w:rPr>
            </w:pPr>
            <w:r w:rsidRPr="001404DB">
              <w:rPr>
                <w:rFonts w:ascii="Arial" w:hAnsi="Arial"/>
                <w:sz w:val="20"/>
                <w:lang w:eastAsia="en-GB"/>
              </w:rPr>
              <w:t xml:space="preserve">(5) </w:t>
            </w:r>
            <w:r w:rsidRPr="001404DB">
              <w:rPr>
                <w:rFonts w:ascii="Arial" w:hAnsi="Arial"/>
                <w:sz w:val="20"/>
              </w:rPr>
              <w:t>Indirizzo web dell’informativa al pubblico</w:t>
            </w:r>
          </w:p>
        </w:tc>
        <w:tc>
          <w:tcPr>
            <w:tcW w:w="2745" w:type="dxa"/>
            <w:tcBorders>
              <w:left w:val="nil"/>
              <w:bottom w:val="single" w:color="auto" w:sz="4" w:space="0"/>
              <w:right w:val="nil"/>
            </w:tcBorders>
            <w:noWrap/>
            <w:hideMark/>
          </w:tcPr>
          <w:p w:rsidRPr="001404DB" w:rsidR="00AE1893" w:rsidP="00BC3A1F" w:rsidRDefault="00AE1893" w14:paraId="6183E649" w14:textId="77777777">
            <w:pPr>
              <w:jc w:val="center"/>
              <w:rPr>
                <w:rFonts w:ascii="Arial" w:hAnsi="Arial" w:eastAsia="Times New Roman" w:cs="Arial"/>
                <w:color w:val="0000FF"/>
                <w:sz w:val="20"/>
                <w:szCs w:val="20"/>
                <w:u w:val="single"/>
                <w:lang w:eastAsia="en-GB"/>
              </w:rPr>
            </w:pPr>
          </w:p>
        </w:tc>
      </w:tr>
      <w:tr w:rsidRPr="001404DB" w:rsidR="00AE1893" w:rsidTr="00BC3A1F" w14:paraId="613B1B1C" w14:textId="77777777">
        <w:trPr>
          <w:trHeight w:val="300"/>
        </w:trPr>
        <w:tc>
          <w:tcPr>
            <w:tcW w:w="6804" w:type="dxa"/>
            <w:tcBorders>
              <w:left w:val="nil"/>
              <w:bottom w:val="single" w:color="auto" w:sz="4" w:space="0"/>
              <w:right w:val="nil"/>
            </w:tcBorders>
            <w:noWrap/>
            <w:hideMark/>
          </w:tcPr>
          <w:p w:rsidRPr="001404DB" w:rsidR="00AE1893" w:rsidP="00BC3A1F" w:rsidRDefault="00AE1893" w14:paraId="082F3B0B" w14:textId="77777777">
            <w:pPr>
              <w:ind w:firstLine="400" w:firstLineChars="200"/>
              <w:rPr>
                <w:rFonts w:ascii="Arial" w:hAnsi="Arial" w:eastAsia="Times New Roman" w:cs="Arial"/>
                <w:sz w:val="20"/>
                <w:szCs w:val="20"/>
              </w:rPr>
            </w:pPr>
            <w:r w:rsidRPr="001404DB">
              <w:rPr>
                <w:rFonts w:ascii="Arial" w:hAnsi="Arial"/>
                <w:sz w:val="20"/>
                <w:lang w:eastAsia="en-GB"/>
              </w:rPr>
              <w:t xml:space="preserve">(6) </w:t>
            </w:r>
            <w:r w:rsidRPr="001404DB">
              <w:rPr>
                <w:rFonts w:ascii="Arial" w:hAnsi="Arial"/>
                <w:sz w:val="20"/>
              </w:rPr>
              <w:t>Codice LEI</w:t>
            </w:r>
          </w:p>
        </w:tc>
        <w:tc>
          <w:tcPr>
            <w:tcW w:w="2745" w:type="dxa"/>
            <w:tcBorders>
              <w:left w:val="nil"/>
              <w:bottom w:val="single" w:color="auto" w:sz="4" w:space="0"/>
              <w:right w:val="nil"/>
            </w:tcBorders>
            <w:hideMark/>
          </w:tcPr>
          <w:p w:rsidRPr="001404DB" w:rsidR="00AE1893" w:rsidP="00BC3A1F" w:rsidRDefault="00AE1893" w14:paraId="16F8C8C6" w14:textId="77777777">
            <w:pPr>
              <w:jc w:val="center"/>
              <w:rPr>
                <w:rFonts w:ascii="Arial" w:hAnsi="Arial" w:eastAsia="Times New Roman" w:cs="Arial"/>
                <w:sz w:val="20"/>
                <w:szCs w:val="20"/>
              </w:rPr>
            </w:pPr>
            <w:r w:rsidRPr="001404DB">
              <w:rPr>
                <w:rFonts w:ascii="Arial" w:hAnsi="Arial"/>
                <w:sz w:val="20"/>
              </w:rPr>
              <w:t> </w:t>
            </w:r>
          </w:p>
        </w:tc>
      </w:tr>
      <w:tr w:rsidRPr="001404DB" w:rsidR="00AE1893" w:rsidTr="00BC3A1F" w14:paraId="383C05F6" w14:textId="77777777">
        <w:trPr>
          <w:trHeight w:val="300"/>
        </w:trPr>
        <w:tc>
          <w:tcPr>
            <w:tcW w:w="6804" w:type="dxa"/>
            <w:tcBorders>
              <w:left w:val="nil"/>
              <w:bottom w:val="nil"/>
              <w:right w:val="nil"/>
            </w:tcBorders>
            <w:noWrap/>
          </w:tcPr>
          <w:p w:rsidRPr="001404DB" w:rsidR="00AE1893" w:rsidP="00BC3A1F" w:rsidRDefault="00AE1893" w14:paraId="338BF071" w14:textId="77777777">
            <w:pPr>
              <w:ind w:firstLine="400" w:firstLineChars="200"/>
              <w:rPr>
                <w:rFonts w:ascii="Arial" w:hAnsi="Arial" w:eastAsia="Times New Roman" w:cs="Arial"/>
                <w:sz w:val="20"/>
                <w:szCs w:val="20"/>
                <w:lang w:eastAsia="en-GB"/>
              </w:rPr>
            </w:pPr>
          </w:p>
        </w:tc>
        <w:tc>
          <w:tcPr>
            <w:tcW w:w="2745" w:type="dxa"/>
            <w:tcBorders>
              <w:left w:val="nil"/>
              <w:bottom w:val="nil"/>
              <w:right w:val="nil"/>
            </w:tcBorders>
          </w:tcPr>
          <w:p w:rsidRPr="001404DB" w:rsidR="00AE1893" w:rsidP="00BC3A1F" w:rsidRDefault="00AE1893" w14:paraId="1A93EEC7" w14:textId="77777777">
            <w:pPr>
              <w:jc w:val="center"/>
              <w:rPr>
                <w:rFonts w:ascii="Arial" w:hAnsi="Arial" w:eastAsia="Times New Roman" w:cs="Arial"/>
                <w:sz w:val="20"/>
                <w:szCs w:val="20"/>
                <w:lang w:eastAsia="en-GB"/>
              </w:rPr>
            </w:pPr>
          </w:p>
        </w:tc>
      </w:tr>
      <w:tr w:rsidRPr="001404DB" w:rsidR="00AE1893" w:rsidTr="00BC3A1F" w14:paraId="4BF4AA19" w14:textId="77777777">
        <w:trPr>
          <w:trHeight w:val="300"/>
        </w:trPr>
        <w:tc>
          <w:tcPr>
            <w:tcW w:w="6804" w:type="dxa"/>
            <w:tcBorders>
              <w:top w:val="nil"/>
              <w:left w:val="nil"/>
              <w:bottom w:val="nil"/>
              <w:right w:val="nil"/>
            </w:tcBorders>
            <w:noWrap/>
          </w:tcPr>
          <w:p w:rsidRPr="001404DB" w:rsidR="00AE1893" w:rsidP="00BC3A1F" w:rsidRDefault="00AE1893" w14:paraId="71BD74A6" w14:textId="77777777">
            <w:pPr>
              <w:keepNext/>
              <w:keepLines/>
              <w:spacing w:before="47"/>
              <w:outlineLvl w:val="5"/>
              <w:rPr>
                <w:rFonts w:ascii="Arial" w:hAnsi="Arial" w:eastAsia="Times New Roman" w:cs="Arial"/>
                <w:i/>
                <w:iCs/>
                <w:caps/>
                <w:color w:val="172B39" w:themeColor="accent1" w:themeShade="80"/>
                <w:sz w:val="20"/>
                <w:szCs w:val="20"/>
              </w:rPr>
            </w:pPr>
            <w:r w:rsidRPr="001404DB">
              <w:rPr>
                <w:rFonts w:asciiTheme="majorHAnsi" w:hAnsiTheme="majorHAnsi"/>
                <w:b/>
                <w:i/>
                <w:caps/>
              </w:rPr>
              <w:t>Indicatori della dimensione</w:t>
            </w:r>
          </w:p>
        </w:tc>
        <w:tc>
          <w:tcPr>
            <w:tcW w:w="2745" w:type="dxa"/>
            <w:tcBorders>
              <w:top w:val="nil"/>
              <w:left w:val="nil"/>
              <w:bottom w:val="nil"/>
              <w:right w:val="nil"/>
            </w:tcBorders>
          </w:tcPr>
          <w:p w:rsidRPr="001404DB" w:rsidR="00AE1893" w:rsidP="00BC3A1F" w:rsidRDefault="00AE1893" w14:paraId="0C30ECAF" w14:textId="77777777">
            <w:pPr>
              <w:jc w:val="center"/>
              <w:rPr>
                <w:rFonts w:ascii="Arial" w:hAnsi="Arial" w:eastAsia="Times New Roman" w:cs="Arial"/>
                <w:sz w:val="20"/>
                <w:szCs w:val="20"/>
                <w:lang w:eastAsia="en-GB"/>
              </w:rPr>
            </w:pPr>
          </w:p>
        </w:tc>
      </w:tr>
      <w:tr w:rsidRPr="001404DB" w:rsidR="00AE1893" w:rsidTr="00BC3A1F" w14:paraId="15EA13B2" w14:textId="77777777">
        <w:trPr>
          <w:trHeight w:val="300"/>
        </w:trPr>
        <w:tc>
          <w:tcPr>
            <w:tcW w:w="6804" w:type="dxa"/>
            <w:tcBorders>
              <w:top w:val="nil"/>
              <w:left w:val="nil"/>
              <w:bottom w:val="single" w:color="auto" w:sz="4" w:space="0"/>
              <w:right w:val="nil"/>
            </w:tcBorders>
            <w:noWrap/>
          </w:tcPr>
          <w:p w:rsidRPr="001404DB" w:rsidR="00AE1893" w:rsidP="00BC3A1F" w:rsidRDefault="00AE1893" w14:paraId="042E6797" w14:textId="77777777">
            <w:pPr>
              <w:ind w:firstLine="400" w:firstLineChars="200"/>
              <w:rPr>
                <w:rFonts w:ascii="Arial" w:hAnsi="Arial" w:eastAsia="Times New Roman" w:cs="Arial"/>
                <w:sz w:val="20"/>
                <w:szCs w:val="20"/>
                <w:lang w:eastAsia="en-GB"/>
              </w:rPr>
            </w:pPr>
          </w:p>
        </w:tc>
        <w:tc>
          <w:tcPr>
            <w:tcW w:w="2745" w:type="dxa"/>
            <w:tcBorders>
              <w:top w:val="nil"/>
              <w:left w:val="nil"/>
              <w:bottom w:val="single" w:color="auto" w:sz="4" w:space="0"/>
              <w:right w:val="nil"/>
            </w:tcBorders>
          </w:tcPr>
          <w:p w:rsidRPr="001404DB" w:rsidR="00AE1893" w:rsidP="00BC3A1F" w:rsidRDefault="00AE1893" w14:paraId="0348AB8E" w14:textId="77777777">
            <w:pPr>
              <w:jc w:val="center"/>
              <w:rPr>
                <w:rFonts w:ascii="Arial" w:hAnsi="Arial" w:eastAsia="Times New Roman" w:cs="Arial"/>
                <w:sz w:val="20"/>
                <w:szCs w:val="20"/>
                <w:lang w:eastAsia="en-GB"/>
              </w:rPr>
            </w:pPr>
          </w:p>
        </w:tc>
      </w:tr>
      <w:tr w:rsidRPr="001404DB" w:rsidR="00AE1893" w:rsidTr="00BC3A1F" w14:paraId="4E6814F9" w14:textId="77777777">
        <w:trPr>
          <w:trHeight w:val="300"/>
        </w:trPr>
        <w:tc>
          <w:tcPr>
            <w:tcW w:w="6804" w:type="dxa"/>
            <w:tcBorders>
              <w:left w:val="nil"/>
              <w:right w:val="nil"/>
            </w:tcBorders>
            <w:noWrap/>
          </w:tcPr>
          <w:p w:rsidRPr="001404DB" w:rsidR="00AE1893" w:rsidP="00BC3A1F" w:rsidRDefault="00AE1893" w14:paraId="5002547B" w14:textId="77777777">
            <w:pPr>
              <w:rPr>
                <w:rFonts w:ascii="Arial" w:hAnsi="Arial" w:eastAsia="Times New Roman" w:cs="Arial"/>
                <w:sz w:val="20"/>
                <w:szCs w:val="20"/>
              </w:rPr>
            </w:pPr>
            <w:r w:rsidRPr="001404DB">
              <w:rPr>
                <w:rFonts w:ascii="Arial" w:hAnsi="Arial"/>
                <w:b/>
                <w:sz w:val="20"/>
              </w:rPr>
              <w:t>Sezione 2 – Esposizioni totali</w:t>
            </w:r>
          </w:p>
        </w:tc>
        <w:tc>
          <w:tcPr>
            <w:tcW w:w="2745" w:type="dxa"/>
            <w:tcBorders>
              <w:left w:val="nil"/>
              <w:right w:val="nil"/>
            </w:tcBorders>
            <w:noWrap/>
          </w:tcPr>
          <w:p w:rsidRPr="001404DB" w:rsidR="00AE1893" w:rsidP="00BC3A1F" w:rsidRDefault="00AE1893" w14:paraId="046FC1BD" w14:textId="77777777">
            <w:pPr>
              <w:ind w:firstLine="201" w:firstLineChars="100"/>
              <w:jc w:val="center"/>
              <w:rPr>
                <w:rFonts w:ascii="Arial" w:hAnsi="Arial" w:eastAsia="Times New Roman" w:cs="Arial"/>
                <w:sz w:val="20"/>
                <w:szCs w:val="20"/>
              </w:rPr>
            </w:pPr>
            <w:r w:rsidRPr="001404DB">
              <w:rPr>
                <w:rFonts w:ascii="Arial" w:hAnsi="Arial"/>
                <w:b/>
                <w:sz w:val="20"/>
              </w:rPr>
              <w:t>Importo</w:t>
            </w:r>
          </w:p>
        </w:tc>
      </w:tr>
      <w:tr w:rsidRPr="001404DB" w:rsidR="00AE1893" w:rsidTr="00BC3A1F" w14:paraId="642B0CF6" w14:textId="77777777">
        <w:trPr>
          <w:trHeight w:val="300"/>
        </w:trPr>
        <w:tc>
          <w:tcPr>
            <w:tcW w:w="6804" w:type="dxa"/>
            <w:tcBorders>
              <w:left w:val="nil"/>
              <w:right w:val="nil"/>
            </w:tcBorders>
            <w:noWrap/>
            <w:hideMark/>
          </w:tcPr>
          <w:p w:rsidRPr="001404DB" w:rsidR="00AE1893" w:rsidP="00BC3A1F" w:rsidRDefault="00AE1893" w14:paraId="09F97FD5" w14:textId="77777777">
            <w:pPr>
              <w:ind w:firstLine="200" w:firstLineChars="100"/>
              <w:rPr>
                <w:rFonts w:ascii="Arial" w:hAnsi="Arial" w:eastAsia="Times New Roman" w:cs="Arial"/>
                <w:sz w:val="20"/>
                <w:szCs w:val="20"/>
              </w:rPr>
            </w:pPr>
            <w:r w:rsidRPr="001404DB">
              <w:rPr>
                <w:rFonts w:ascii="Arial" w:hAnsi="Arial"/>
                <w:sz w:val="20"/>
              </w:rPr>
              <w:t>a. Derivati</w:t>
            </w:r>
          </w:p>
        </w:tc>
        <w:tc>
          <w:tcPr>
            <w:tcW w:w="2745" w:type="dxa"/>
            <w:tcBorders>
              <w:left w:val="nil"/>
              <w:right w:val="nil"/>
            </w:tcBorders>
            <w:noWrap/>
            <w:hideMark/>
          </w:tcPr>
          <w:p w:rsidRPr="001404DB" w:rsidR="00AE1893" w:rsidP="00BC3A1F" w:rsidRDefault="00AE1893" w14:paraId="43A9CD05" w14:textId="77777777">
            <w:pPr>
              <w:ind w:firstLine="200" w:firstLineChars="100"/>
              <w:rPr>
                <w:rFonts w:ascii="Arial" w:hAnsi="Arial" w:eastAsia="Times New Roman" w:cs="Arial"/>
                <w:sz w:val="20"/>
                <w:szCs w:val="20"/>
              </w:rPr>
            </w:pPr>
            <w:r w:rsidRPr="001404DB">
              <w:rPr>
                <w:rFonts w:ascii="Arial" w:hAnsi="Arial"/>
                <w:sz w:val="20"/>
              </w:rPr>
              <w:t> </w:t>
            </w:r>
          </w:p>
        </w:tc>
      </w:tr>
      <w:tr w:rsidRPr="001404DB" w:rsidR="00AE1893" w:rsidTr="00BC3A1F" w14:paraId="37680979" w14:textId="77777777">
        <w:trPr>
          <w:trHeight w:val="300"/>
        </w:trPr>
        <w:tc>
          <w:tcPr>
            <w:tcW w:w="6804" w:type="dxa"/>
            <w:tcBorders>
              <w:left w:val="nil"/>
              <w:right w:val="nil"/>
            </w:tcBorders>
            <w:noWrap/>
            <w:hideMark/>
          </w:tcPr>
          <w:p w:rsidRPr="001404DB" w:rsidR="00AE1893" w:rsidP="00BC3A1F" w:rsidRDefault="00AE1893" w14:paraId="629D1288" w14:textId="77777777">
            <w:pPr>
              <w:ind w:firstLine="400" w:firstLineChars="200"/>
              <w:rPr>
                <w:rFonts w:ascii="Arial" w:hAnsi="Arial" w:eastAsia="Times New Roman" w:cs="Arial"/>
                <w:sz w:val="20"/>
                <w:szCs w:val="20"/>
              </w:rPr>
            </w:pPr>
            <w:r w:rsidRPr="001404DB">
              <w:rPr>
                <w:rFonts w:ascii="Arial" w:hAnsi="Arial"/>
                <w:sz w:val="20"/>
                <w:lang w:eastAsia="en-GB"/>
              </w:rPr>
              <w:t xml:space="preserve">(1) </w:t>
            </w:r>
            <w:r w:rsidRPr="001404DB">
              <w:rPr>
                <w:rFonts w:ascii="Arial" w:hAnsi="Arial"/>
                <w:sz w:val="20"/>
              </w:rPr>
              <w:t>Esposizione alla controparte dei contratti derivati</w:t>
            </w:r>
          </w:p>
        </w:tc>
        <w:tc>
          <w:tcPr>
            <w:tcW w:w="2745" w:type="dxa"/>
            <w:tcBorders>
              <w:left w:val="nil"/>
              <w:right w:val="nil"/>
            </w:tcBorders>
            <w:noWrap/>
            <w:hideMark/>
          </w:tcPr>
          <w:p w:rsidRPr="001404DB" w:rsidR="00AE1893" w:rsidP="00BC3A1F" w:rsidRDefault="00AE1893" w14:paraId="3EDCCB17"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7A4F4EE9" w14:textId="77777777">
        <w:trPr>
          <w:trHeight w:val="300"/>
        </w:trPr>
        <w:tc>
          <w:tcPr>
            <w:tcW w:w="6804" w:type="dxa"/>
            <w:tcBorders>
              <w:left w:val="nil"/>
              <w:right w:val="nil"/>
            </w:tcBorders>
            <w:noWrap/>
            <w:hideMark/>
          </w:tcPr>
          <w:p w:rsidRPr="001404DB" w:rsidR="00AE1893" w:rsidP="00BC3A1F" w:rsidRDefault="00AE1893" w14:paraId="2D4031D0" w14:textId="77777777">
            <w:pPr>
              <w:ind w:firstLine="400" w:firstLineChars="200"/>
              <w:rPr>
                <w:rFonts w:ascii="Arial" w:hAnsi="Arial" w:eastAsia="Times New Roman" w:cs="Arial"/>
                <w:sz w:val="20"/>
                <w:szCs w:val="20"/>
              </w:rPr>
            </w:pPr>
            <w:r w:rsidRPr="001404DB">
              <w:rPr>
                <w:rFonts w:ascii="Arial" w:hAnsi="Arial"/>
                <w:sz w:val="20"/>
                <w:lang w:eastAsia="en-GB"/>
              </w:rPr>
              <w:t xml:space="preserve">(2) </w:t>
            </w:r>
            <w:r w:rsidRPr="001404DB">
              <w:rPr>
                <w:rFonts w:ascii="Arial" w:hAnsi="Arial"/>
                <w:sz w:val="20"/>
              </w:rPr>
              <w:t>Importo nozionale dei derivati su crediti, limitato alla perdita potenziale massima</w:t>
            </w:r>
          </w:p>
        </w:tc>
        <w:tc>
          <w:tcPr>
            <w:tcW w:w="2745" w:type="dxa"/>
            <w:tcBorders>
              <w:left w:val="nil"/>
              <w:right w:val="nil"/>
            </w:tcBorders>
            <w:noWrap/>
            <w:hideMark/>
          </w:tcPr>
          <w:p w:rsidRPr="001404DB" w:rsidR="00AE1893" w:rsidP="00BC3A1F" w:rsidRDefault="00AE1893" w14:paraId="12C3BDA6"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38317C94" w14:textId="77777777">
        <w:trPr>
          <w:trHeight w:val="300"/>
        </w:trPr>
        <w:tc>
          <w:tcPr>
            <w:tcW w:w="6804" w:type="dxa"/>
            <w:tcBorders>
              <w:left w:val="nil"/>
              <w:right w:val="nil"/>
            </w:tcBorders>
            <w:noWrap/>
            <w:hideMark/>
          </w:tcPr>
          <w:p w:rsidRPr="001404DB" w:rsidR="00AE1893" w:rsidP="00BC3A1F" w:rsidRDefault="00AE1893" w14:paraId="4F933708" w14:textId="77777777">
            <w:pPr>
              <w:ind w:firstLine="400" w:firstLineChars="200"/>
              <w:rPr>
                <w:rFonts w:ascii="Arial" w:hAnsi="Arial" w:eastAsia="Times New Roman" w:cs="Arial"/>
                <w:sz w:val="20"/>
                <w:szCs w:val="20"/>
              </w:rPr>
            </w:pPr>
            <w:r w:rsidRPr="001404DB">
              <w:rPr>
                <w:rFonts w:ascii="Arial" w:hAnsi="Arial"/>
                <w:sz w:val="20"/>
                <w:lang w:eastAsia="en-GB"/>
              </w:rPr>
              <w:t xml:space="preserve">(3) </w:t>
            </w:r>
            <w:r w:rsidRPr="001404DB">
              <w:rPr>
                <w:rFonts w:ascii="Arial" w:hAnsi="Arial"/>
                <w:sz w:val="20"/>
              </w:rPr>
              <w:t>Esposizione potenziale futura dei contratti derivati</w:t>
            </w:r>
          </w:p>
        </w:tc>
        <w:tc>
          <w:tcPr>
            <w:tcW w:w="2745" w:type="dxa"/>
            <w:tcBorders>
              <w:left w:val="nil"/>
              <w:right w:val="nil"/>
            </w:tcBorders>
            <w:noWrap/>
            <w:hideMark/>
          </w:tcPr>
          <w:p w:rsidRPr="001404DB" w:rsidR="00AE1893" w:rsidP="00BC3A1F" w:rsidRDefault="00AE1893" w14:paraId="5DB30772"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4C781D28" w14:textId="77777777">
        <w:trPr>
          <w:trHeight w:val="300"/>
        </w:trPr>
        <w:tc>
          <w:tcPr>
            <w:tcW w:w="6804" w:type="dxa"/>
            <w:tcBorders>
              <w:left w:val="nil"/>
              <w:right w:val="nil"/>
            </w:tcBorders>
            <w:noWrap/>
            <w:hideMark/>
          </w:tcPr>
          <w:p w:rsidRPr="001404DB" w:rsidR="00AE1893" w:rsidP="00BC3A1F" w:rsidRDefault="00AE1893" w14:paraId="5D84FD46" w14:textId="77777777">
            <w:pPr>
              <w:ind w:firstLine="200" w:firstLineChars="100"/>
              <w:rPr>
                <w:rFonts w:ascii="Arial" w:hAnsi="Arial" w:eastAsia="Times New Roman" w:cs="Arial"/>
                <w:sz w:val="20"/>
                <w:szCs w:val="20"/>
              </w:rPr>
            </w:pPr>
            <w:r w:rsidRPr="001404DB">
              <w:rPr>
                <w:rFonts w:ascii="Arial" w:hAnsi="Arial"/>
                <w:sz w:val="20"/>
              </w:rPr>
              <w:t>b. Operazioni di finanziamento tramite titoli</w:t>
            </w:r>
          </w:p>
        </w:tc>
        <w:tc>
          <w:tcPr>
            <w:tcW w:w="2745" w:type="dxa"/>
            <w:tcBorders>
              <w:left w:val="nil"/>
              <w:right w:val="nil"/>
            </w:tcBorders>
            <w:noWrap/>
            <w:hideMark/>
          </w:tcPr>
          <w:p w:rsidRPr="001404DB" w:rsidR="00AE1893" w:rsidP="00BC3A1F" w:rsidRDefault="00AE1893" w14:paraId="51F55985" w14:textId="77777777">
            <w:pPr>
              <w:ind w:firstLine="200" w:firstLineChars="100"/>
              <w:rPr>
                <w:rFonts w:ascii="Arial" w:hAnsi="Arial" w:eastAsia="Times New Roman" w:cs="Arial"/>
                <w:sz w:val="20"/>
                <w:szCs w:val="20"/>
              </w:rPr>
            </w:pPr>
            <w:r w:rsidRPr="001404DB">
              <w:rPr>
                <w:rFonts w:ascii="Arial" w:hAnsi="Arial"/>
                <w:sz w:val="20"/>
              </w:rPr>
              <w:t> </w:t>
            </w:r>
          </w:p>
        </w:tc>
      </w:tr>
      <w:tr w:rsidRPr="001404DB" w:rsidR="00AE1893" w:rsidTr="00BC3A1F" w14:paraId="13450D62" w14:textId="77777777">
        <w:trPr>
          <w:trHeight w:val="300"/>
        </w:trPr>
        <w:tc>
          <w:tcPr>
            <w:tcW w:w="6804" w:type="dxa"/>
            <w:tcBorders>
              <w:left w:val="nil"/>
              <w:right w:val="nil"/>
            </w:tcBorders>
            <w:noWrap/>
            <w:hideMark/>
          </w:tcPr>
          <w:p w:rsidRPr="001404DB" w:rsidR="00AE1893" w:rsidP="00BC3A1F" w:rsidRDefault="00AE1893" w14:paraId="37035934" w14:textId="77777777">
            <w:pPr>
              <w:ind w:firstLine="400" w:firstLineChars="200"/>
              <w:rPr>
                <w:rFonts w:ascii="Arial" w:hAnsi="Arial" w:eastAsia="Times New Roman" w:cs="Arial"/>
                <w:sz w:val="20"/>
                <w:szCs w:val="20"/>
              </w:rPr>
            </w:pPr>
            <w:r w:rsidRPr="001404DB">
              <w:rPr>
                <w:rFonts w:ascii="Arial" w:hAnsi="Arial"/>
                <w:sz w:val="20"/>
                <w:lang w:eastAsia="en-GB"/>
              </w:rPr>
              <w:t xml:space="preserve">(1) </w:t>
            </w:r>
            <w:r w:rsidRPr="001404DB">
              <w:rPr>
                <w:rFonts w:ascii="Arial" w:hAnsi="Arial"/>
                <w:sz w:val="20"/>
              </w:rPr>
              <w:t>Valore lordo rettificato delle operazioni di finanziamento tramite titoli</w:t>
            </w:r>
          </w:p>
        </w:tc>
        <w:tc>
          <w:tcPr>
            <w:tcW w:w="2745" w:type="dxa"/>
            <w:tcBorders>
              <w:left w:val="nil"/>
              <w:right w:val="nil"/>
            </w:tcBorders>
            <w:noWrap/>
            <w:hideMark/>
          </w:tcPr>
          <w:p w:rsidRPr="001404DB" w:rsidR="00AE1893" w:rsidP="00BC3A1F" w:rsidRDefault="00AE1893" w14:paraId="1681F948"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41066127" w14:textId="77777777">
        <w:trPr>
          <w:trHeight w:val="300"/>
        </w:trPr>
        <w:tc>
          <w:tcPr>
            <w:tcW w:w="6804" w:type="dxa"/>
            <w:tcBorders>
              <w:left w:val="nil"/>
              <w:right w:val="nil"/>
            </w:tcBorders>
            <w:noWrap/>
            <w:hideMark/>
          </w:tcPr>
          <w:p w:rsidRPr="001404DB" w:rsidR="00AE1893" w:rsidP="00BC3A1F" w:rsidRDefault="00AE1893" w14:paraId="5B1F345A" w14:textId="77777777">
            <w:pPr>
              <w:ind w:firstLine="400" w:firstLineChars="200"/>
              <w:rPr>
                <w:rFonts w:ascii="Arial" w:hAnsi="Arial" w:eastAsia="Times New Roman" w:cs="Arial"/>
                <w:sz w:val="20"/>
                <w:szCs w:val="20"/>
              </w:rPr>
            </w:pPr>
            <w:r w:rsidRPr="001404DB">
              <w:rPr>
                <w:rFonts w:ascii="Arial" w:hAnsi="Arial"/>
                <w:sz w:val="20"/>
                <w:lang w:eastAsia="en-GB"/>
              </w:rPr>
              <w:t xml:space="preserve">(2) </w:t>
            </w:r>
            <w:r w:rsidRPr="001404DB">
              <w:rPr>
                <w:rFonts w:ascii="Arial" w:hAnsi="Arial"/>
                <w:sz w:val="20"/>
              </w:rPr>
              <w:t>Esposizione al rischio di controparte delle operazioni di finanziamento tramite titoli</w:t>
            </w:r>
          </w:p>
        </w:tc>
        <w:tc>
          <w:tcPr>
            <w:tcW w:w="2745" w:type="dxa"/>
            <w:tcBorders>
              <w:left w:val="nil"/>
              <w:right w:val="nil"/>
            </w:tcBorders>
            <w:noWrap/>
            <w:hideMark/>
          </w:tcPr>
          <w:p w:rsidRPr="001404DB" w:rsidR="00AE1893" w:rsidP="00BC3A1F" w:rsidRDefault="00AE1893" w14:paraId="57285309"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5CCC5135" w14:textId="77777777">
        <w:trPr>
          <w:trHeight w:val="300"/>
        </w:trPr>
        <w:tc>
          <w:tcPr>
            <w:tcW w:w="6804" w:type="dxa"/>
            <w:tcBorders>
              <w:left w:val="nil"/>
              <w:right w:val="nil"/>
            </w:tcBorders>
            <w:noWrap/>
            <w:hideMark/>
          </w:tcPr>
          <w:p w:rsidRPr="001404DB" w:rsidR="00AE1893" w:rsidP="00BC3A1F" w:rsidRDefault="00AE1893" w14:paraId="2CC9E9B0" w14:textId="77777777">
            <w:pPr>
              <w:ind w:firstLine="200" w:firstLineChars="100"/>
              <w:rPr>
                <w:rFonts w:ascii="Arial" w:hAnsi="Arial" w:eastAsia="Times New Roman" w:cs="Arial"/>
                <w:sz w:val="20"/>
                <w:szCs w:val="20"/>
              </w:rPr>
            </w:pPr>
            <w:r w:rsidRPr="001404DB">
              <w:rPr>
                <w:rFonts w:ascii="Arial" w:hAnsi="Arial"/>
                <w:sz w:val="20"/>
              </w:rPr>
              <w:t>c. Altre attività</w:t>
            </w:r>
          </w:p>
        </w:tc>
        <w:tc>
          <w:tcPr>
            <w:tcW w:w="2745" w:type="dxa"/>
            <w:tcBorders>
              <w:left w:val="nil"/>
              <w:right w:val="nil"/>
            </w:tcBorders>
            <w:noWrap/>
            <w:hideMark/>
          </w:tcPr>
          <w:p w:rsidRPr="001404DB" w:rsidR="00AE1893" w:rsidP="00BC3A1F" w:rsidRDefault="00AE1893" w14:paraId="5916DA94"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00D32381" w14:textId="77777777">
        <w:trPr>
          <w:trHeight w:val="300"/>
        </w:trPr>
        <w:tc>
          <w:tcPr>
            <w:tcW w:w="6804" w:type="dxa"/>
            <w:tcBorders>
              <w:left w:val="nil"/>
              <w:right w:val="nil"/>
            </w:tcBorders>
            <w:noWrap/>
            <w:hideMark/>
          </w:tcPr>
          <w:p w:rsidRPr="001404DB" w:rsidR="00AE1893" w:rsidP="00BC3A1F" w:rsidRDefault="00AE1893" w14:paraId="2554383F" w14:textId="77777777">
            <w:pPr>
              <w:ind w:firstLine="200" w:firstLineChars="100"/>
              <w:rPr>
                <w:rFonts w:ascii="Arial" w:hAnsi="Arial" w:eastAsia="Times New Roman" w:cs="Arial"/>
                <w:sz w:val="20"/>
                <w:szCs w:val="20"/>
              </w:rPr>
            </w:pPr>
            <w:r w:rsidRPr="001404DB">
              <w:rPr>
                <w:rFonts w:ascii="Arial" w:hAnsi="Arial"/>
                <w:sz w:val="20"/>
              </w:rPr>
              <w:t>d. Importo nozionale lordo degli elementi fuori bilancio</w:t>
            </w:r>
          </w:p>
        </w:tc>
        <w:tc>
          <w:tcPr>
            <w:tcW w:w="2745" w:type="dxa"/>
            <w:tcBorders>
              <w:left w:val="nil"/>
              <w:right w:val="nil"/>
            </w:tcBorders>
            <w:noWrap/>
            <w:hideMark/>
          </w:tcPr>
          <w:p w:rsidRPr="001404DB" w:rsidR="00AE1893" w:rsidP="00BC3A1F" w:rsidRDefault="00AE1893" w14:paraId="2AFE8222" w14:textId="77777777">
            <w:pPr>
              <w:ind w:firstLine="200" w:firstLineChars="100"/>
              <w:rPr>
                <w:rFonts w:ascii="Arial" w:hAnsi="Arial" w:eastAsia="Times New Roman" w:cs="Arial"/>
                <w:sz w:val="20"/>
                <w:szCs w:val="20"/>
              </w:rPr>
            </w:pPr>
            <w:r w:rsidRPr="001404DB">
              <w:rPr>
                <w:rFonts w:ascii="Arial" w:hAnsi="Arial"/>
                <w:sz w:val="20"/>
              </w:rPr>
              <w:t> </w:t>
            </w:r>
          </w:p>
        </w:tc>
      </w:tr>
      <w:tr w:rsidRPr="001404DB" w:rsidR="00AE1893" w:rsidTr="00BC3A1F" w14:paraId="0EA21481" w14:textId="77777777">
        <w:trPr>
          <w:trHeight w:val="300"/>
        </w:trPr>
        <w:tc>
          <w:tcPr>
            <w:tcW w:w="6804" w:type="dxa"/>
            <w:tcBorders>
              <w:left w:val="nil"/>
              <w:right w:val="nil"/>
            </w:tcBorders>
            <w:noWrap/>
            <w:hideMark/>
          </w:tcPr>
          <w:p w:rsidRPr="001404DB" w:rsidR="00AE1893" w:rsidP="00BC3A1F" w:rsidRDefault="00AE1893" w14:paraId="3F05B47A" w14:textId="77777777">
            <w:pPr>
              <w:ind w:firstLine="400" w:firstLineChars="200"/>
              <w:rPr>
                <w:rFonts w:ascii="Arial" w:hAnsi="Arial" w:eastAsia="Times New Roman" w:cs="Arial"/>
                <w:sz w:val="20"/>
                <w:szCs w:val="20"/>
              </w:rPr>
            </w:pPr>
            <w:r w:rsidRPr="001404DB">
              <w:rPr>
                <w:rFonts w:ascii="Arial" w:hAnsi="Arial"/>
                <w:sz w:val="20"/>
                <w:lang w:eastAsia="en-GB"/>
              </w:rPr>
              <w:t xml:space="preserve">(1) </w:t>
            </w:r>
            <w:r w:rsidRPr="001404DB">
              <w:rPr>
                <w:rFonts w:ascii="Arial" w:hAnsi="Arial"/>
                <w:sz w:val="20"/>
              </w:rPr>
              <w:t>Elementi con un fattore di conversione creditizia (FCC) dello 0 %</w:t>
            </w:r>
          </w:p>
        </w:tc>
        <w:tc>
          <w:tcPr>
            <w:tcW w:w="2745" w:type="dxa"/>
            <w:tcBorders>
              <w:left w:val="nil"/>
              <w:right w:val="nil"/>
            </w:tcBorders>
            <w:noWrap/>
            <w:hideMark/>
          </w:tcPr>
          <w:p w:rsidRPr="001404DB" w:rsidR="00AE1893" w:rsidP="00BC3A1F" w:rsidRDefault="00AE1893" w14:paraId="58E97108"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09040637" w14:textId="77777777">
        <w:trPr>
          <w:trHeight w:val="300"/>
        </w:trPr>
        <w:tc>
          <w:tcPr>
            <w:tcW w:w="6804" w:type="dxa"/>
            <w:tcBorders>
              <w:left w:val="nil"/>
              <w:right w:val="nil"/>
            </w:tcBorders>
            <w:noWrap/>
            <w:hideMark/>
          </w:tcPr>
          <w:p w:rsidRPr="001404DB" w:rsidR="00AE1893" w:rsidP="00BC3A1F" w:rsidRDefault="00AE1893" w14:paraId="7AF94F1C" w14:textId="77777777">
            <w:pPr>
              <w:ind w:firstLine="400" w:firstLineChars="200"/>
              <w:rPr>
                <w:rFonts w:ascii="Arial" w:hAnsi="Arial" w:eastAsia="Times New Roman" w:cs="Arial"/>
                <w:sz w:val="20"/>
                <w:szCs w:val="20"/>
              </w:rPr>
            </w:pPr>
            <w:r w:rsidRPr="001404DB">
              <w:rPr>
                <w:rFonts w:ascii="Arial" w:hAnsi="Arial"/>
                <w:sz w:val="20"/>
                <w:lang w:eastAsia="en-GB"/>
              </w:rPr>
              <w:t xml:space="preserve">(2) </w:t>
            </w:r>
            <w:r w:rsidRPr="001404DB">
              <w:rPr>
                <w:rFonts w:ascii="Arial" w:hAnsi="Arial"/>
                <w:sz w:val="20"/>
              </w:rPr>
              <w:t>Elementi con un FCC del 20 %</w:t>
            </w:r>
          </w:p>
        </w:tc>
        <w:tc>
          <w:tcPr>
            <w:tcW w:w="2745" w:type="dxa"/>
            <w:tcBorders>
              <w:left w:val="nil"/>
              <w:right w:val="nil"/>
            </w:tcBorders>
            <w:noWrap/>
            <w:hideMark/>
          </w:tcPr>
          <w:p w:rsidRPr="001404DB" w:rsidR="00AE1893" w:rsidP="00BC3A1F" w:rsidRDefault="00AE1893" w14:paraId="495CD27E"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3E6D815D" w14:textId="77777777">
        <w:trPr>
          <w:trHeight w:val="300"/>
        </w:trPr>
        <w:tc>
          <w:tcPr>
            <w:tcW w:w="6804" w:type="dxa"/>
            <w:tcBorders>
              <w:left w:val="nil"/>
              <w:right w:val="nil"/>
            </w:tcBorders>
            <w:noWrap/>
            <w:hideMark/>
          </w:tcPr>
          <w:p w:rsidRPr="001404DB" w:rsidR="00AE1893" w:rsidP="00BC3A1F" w:rsidRDefault="00AE1893" w14:paraId="7A6F28AB" w14:textId="77777777">
            <w:pPr>
              <w:ind w:firstLine="400" w:firstLineChars="200"/>
              <w:rPr>
                <w:rFonts w:ascii="Arial" w:hAnsi="Arial" w:eastAsia="Times New Roman" w:cs="Arial"/>
                <w:sz w:val="20"/>
                <w:szCs w:val="20"/>
              </w:rPr>
            </w:pPr>
            <w:r w:rsidRPr="001404DB">
              <w:rPr>
                <w:rFonts w:ascii="Arial" w:hAnsi="Arial"/>
                <w:sz w:val="20"/>
                <w:lang w:eastAsia="en-GB"/>
              </w:rPr>
              <w:t xml:space="preserve">(3) </w:t>
            </w:r>
            <w:r w:rsidRPr="001404DB">
              <w:rPr>
                <w:rFonts w:ascii="Arial" w:hAnsi="Arial"/>
                <w:sz w:val="20"/>
              </w:rPr>
              <w:t>Elementi con un FCC del 50 %</w:t>
            </w:r>
          </w:p>
        </w:tc>
        <w:tc>
          <w:tcPr>
            <w:tcW w:w="2745" w:type="dxa"/>
            <w:tcBorders>
              <w:left w:val="nil"/>
              <w:right w:val="nil"/>
            </w:tcBorders>
            <w:noWrap/>
            <w:hideMark/>
          </w:tcPr>
          <w:p w:rsidRPr="001404DB" w:rsidR="00AE1893" w:rsidP="00BC3A1F" w:rsidRDefault="00AE1893" w14:paraId="15782D46"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344A7604" w14:textId="77777777">
        <w:trPr>
          <w:trHeight w:val="300"/>
        </w:trPr>
        <w:tc>
          <w:tcPr>
            <w:tcW w:w="6804" w:type="dxa"/>
            <w:tcBorders>
              <w:left w:val="nil"/>
              <w:right w:val="nil"/>
            </w:tcBorders>
            <w:noWrap/>
            <w:hideMark/>
          </w:tcPr>
          <w:p w:rsidRPr="001404DB" w:rsidR="00AE1893" w:rsidP="00BC3A1F" w:rsidRDefault="00AE1893" w14:paraId="0A08A9B3" w14:textId="77777777">
            <w:pPr>
              <w:ind w:firstLine="400" w:firstLineChars="200"/>
              <w:rPr>
                <w:rFonts w:ascii="Arial" w:hAnsi="Arial" w:eastAsia="Times New Roman" w:cs="Arial"/>
                <w:sz w:val="20"/>
                <w:szCs w:val="20"/>
              </w:rPr>
            </w:pPr>
            <w:r w:rsidRPr="001404DB">
              <w:rPr>
                <w:rFonts w:ascii="Arial" w:hAnsi="Arial"/>
                <w:sz w:val="20"/>
                <w:lang w:eastAsia="en-GB"/>
              </w:rPr>
              <w:t xml:space="preserve">(4) </w:t>
            </w:r>
            <w:r w:rsidRPr="001404DB">
              <w:rPr>
                <w:rFonts w:ascii="Arial" w:hAnsi="Arial"/>
                <w:sz w:val="20"/>
              </w:rPr>
              <w:t>Elementi con un FCC del 100 %</w:t>
            </w:r>
          </w:p>
        </w:tc>
        <w:tc>
          <w:tcPr>
            <w:tcW w:w="2745" w:type="dxa"/>
            <w:tcBorders>
              <w:left w:val="nil"/>
              <w:right w:val="nil"/>
            </w:tcBorders>
            <w:noWrap/>
            <w:hideMark/>
          </w:tcPr>
          <w:p w:rsidRPr="001404DB" w:rsidR="00AE1893" w:rsidP="00BC3A1F" w:rsidRDefault="00AE1893" w14:paraId="0962F480"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7ADC6E4A" w14:textId="77777777">
        <w:trPr>
          <w:trHeight w:val="300"/>
        </w:trPr>
        <w:tc>
          <w:tcPr>
            <w:tcW w:w="6804" w:type="dxa"/>
            <w:tcBorders>
              <w:left w:val="nil"/>
              <w:right w:val="nil"/>
            </w:tcBorders>
            <w:noWrap/>
            <w:hideMark/>
          </w:tcPr>
          <w:p w:rsidRPr="001404DB" w:rsidR="00AE1893" w:rsidP="00BC3A1F" w:rsidRDefault="00AE1893" w14:paraId="279E550A" w14:textId="77777777">
            <w:pPr>
              <w:ind w:firstLine="200" w:firstLineChars="100"/>
              <w:rPr>
                <w:rFonts w:ascii="Arial" w:hAnsi="Arial" w:eastAsia="Times New Roman" w:cs="Arial"/>
                <w:sz w:val="20"/>
                <w:szCs w:val="20"/>
              </w:rPr>
            </w:pPr>
            <w:r w:rsidRPr="001404DB">
              <w:rPr>
                <w:rFonts w:ascii="Arial" w:hAnsi="Arial"/>
                <w:sz w:val="20"/>
              </w:rPr>
              <w:t>e. Rettifiche regolamentari</w:t>
            </w:r>
          </w:p>
        </w:tc>
        <w:tc>
          <w:tcPr>
            <w:tcW w:w="2745" w:type="dxa"/>
            <w:tcBorders>
              <w:left w:val="nil"/>
              <w:right w:val="nil"/>
            </w:tcBorders>
            <w:noWrap/>
            <w:hideMark/>
          </w:tcPr>
          <w:p w:rsidRPr="001404DB" w:rsidR="00AE1893" w:rsidP="00BC3A1F" w:rsidRDefault="00AE1893" w14:paraId="00313575"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40BB4401" w14:textId="77777777">
        <w:trPr>
          <w:trHeight w:val="300"/>
        </w:trPr>
        <w:tc>
          <w:tcPr>
            <w:tcW w:w="6804" w:type="dxa"/>
            <w:tcBorders>
              <w:left w:val="nil"/>
              <w:right w:val="nil"/>
            </w:tcBorders>
            <w:noWrap/>
          </w:tcPr>
          <w:p w:rsidRPr="001404DB" w:rsidR="00AE1893" w:rsidP="00BC3A1F" w:rsidRDefault="00AE1893" w14:paraId="75801434" w14:textId="77777777">
            <w:pPr>
              <w:ind w:left="171" w:firstLine="28" w:firstLineChars="14"/>
              <w:rPr>
                <w:rFonts w:ascii="Arial" w:hAnsi="Arial" w:eastAsia="Times New Roman" w:cs="Arial"/>
                <w:sz w:val="20"/>
                <w:szCs w:val="20"/>
              </w:rPr>
            </w:pPr>
            <w:r w:rsidRPr="001404DB">
              <w:rPr>
                <w:rFonts w:ascii="Arial" w:hAnsi="Arial"/>
                <w:sz w:val="20"/>
              </w:rPr>
              <w:lastRenderedPageBreak/>
              <w:t>f. Esposizioni totali al lordo delle rettifiche regolamentari [somma delle voci da 2.a.(1) a 2.c, 0,1 volte 2.d.(1), 0,2 volte 2.d.(2), 0,5 volte 2.d.(3), e 2.d.(4)]</w:t>
            </w:r>
          </w:p>
        </w:tc>
        <w:tc>
          <w:tcPr>
            <w:tcW w:w="2745" w:type="dxa"/>
            <w:tcBorders>
              <w:left w:val="nil"/>
              <w:right w:val="nil"/>
            </w:tcBorders>
            <w:noWrap/>
          </w:tcPr>
          <w:p w:rsidRPr="001404DB" w:rsidR="00AE1893" w:rsidP="00BC3A1F" w:rsidRDefault="00AE1893" w14:paraId="4D93F8C4" w14:textId="77777777">
            <w:pPr>
              <w:jc w:val="right"/>
              <w:rPr>
                <w:rFonts w:ascii="Arial" w:hAnsi="Arial" w:eastAsia="Times New Roman" w:cs="Arial"/>
                <w:sz w:val="20"/>
                <w:szCs w:val="20"/>
                <w:lang w:eastAsia="en-GB"/>
              </w:rPr>
            </w:pPr>
          </w:p>
        </w:tc>
      </w:tr>
      <w:tr w:rsidRPr="001404DB" w:rsidR="00AE1893" w:rsidTr="00BC3A1F" w14:paraId="0358E59D" w14:textId="77777777">
        <w:trPr>
          <w:trHeight w:val="300"/>
        </w:trPr>
        <w:tc>
          <w:tcPr>
            <w:tcW w:w="6804" w:type="dxa"/>
            <w:tcBorders>
              <w:left w:val="nil"/>
              <w:right w:val="nil"/>
            </w:tcBorders>
            <w:noWrap/>
          </w:tcPr>
          <w:p w:rsidRPr="001404DB" w:rsidR="00AE1893" w:rsidP="00BC3A1F" w:rsidRDefault="00AE1893" w14:paraId="6B2CBB2B" w14:textId="77777777">
            <w:pPr>
              <w:ind w:left="171" w:firstLine="28" w:firstLineChars="14"/>
              <w:rPr>
                <w:rFonts w:ascii="Arial" w:hAnsi="Arial" w:eastAsia="Times New Roman" w:cs="Arial"/>
                <w:sz w:val="20"/>
                <w:szCs w:val="20"/>
              </w:rPr>
            </w:pPr>
            <w:r w:rsidRPr="001404DB">
              <w:rPr>
                <w:rFonts w:ascii="Arial" w:hAnsi="Arial"/>
                <w:sz w:val="20"/>
              </w:rPr>
              <w:t>g. Esposizioni delle compagnie assicurative controllate non incluse nel punto 2.f. al netto dell’infragruppo:</w:t>
            </w:r>
          </w:p>
        </w:tc>
        <w:tc>
          <w:tcPr>
            <w:tcW w:w="2745" w:type="dxa"/>
            <w:tcBorders>
              <w:left w:val="nil"/>
              <w:right w:val="nil"/>
            </w:tcBorders>
            <w:noWrap/>
          </w:tcPr>
          <w:p w:rsidRPr="001404DB" w:rsidR="00AE1893" w:rsidP="00BC3A1F" w:rsidRDefault="00AE1893" w14:paraId="2E155489" w14:textId="77777777">
            <w:pPr>
              <w:jc w:val="right"/>
              <w:rPr>
                <w:rFonts w:ascii="Arial" w:hAnsi="Arial" w:eastAsia="Times New Roman" w:cs="Arial"/>
                <w:sz w:val="20"/>
                <w:szCs w:val="20"/>
                <w:lang w:eastAsia="en-GB"/>
              </w:rPr>
            </w:pPr>
          </w:p>
        </w:tc>
      </w:tr>
      <w:tr w:rsidRPr="001404DB" w:rsidR="00AE1893" w:rsidTr="00BC3A1F" w14:paraId="69DF97A5" w14:textId="77777777">
        <w:trPr>
          <w:trHeight w:val="300"/>
        </w:trPr>
        <w:tc>
          <w:tcPr>
            <w:tcW w:w="6804" w:type="dxa"/>
            <w:tcBorders>
              <w:left w:val="nil"/>
              <w:right w:val="nil"/>
            </w:tcBorders>
            <w:noWrap/>
          </w:tcPr>
          <w:p w:rsidRPr="001404DB" w:rsidR="00AE1893" w:rsidP="00BC3A1F" w:rsidRDefault="00AE1893" w14:paraId="046D6359" w14:textId="77777777">
            <w:pPr>
              <w:ind w:left="720" w:firstLine="28" w:firstLineChars="14"/>
              <w:rPr>
                <w:rFonts w:ascii="Arial" w:hAnsi="Arial" w:eastAsia="Times New Roman" w:cs="Arial"/>
                <w:sz w:val="20"/>
                <w:szCs w:val="20"/>
              </w:rPr>
            </w:pPr>
            <w:r w:rsidRPr="001404DB">
              <w:rPr>
                <w:rFonts w:ascii="Arial" w:hAnsi="Arial"/>
                <w:sz w:val="20"/>
                <w:lang w:eastAsia="en-GB"/>
              </w:rPr>
              <w:t xml:space="preserve">(1) </w:t>
            </w:r>
            <w:r w:rsidRPr="001404DB">
              <w:rPr>
                <w:rFonts w:ascii="Arial" w:hAnsi="Arial"/>
                <w:sz w:val="20"/>
              </w:rPr>
              <w:t>Attività in bilancio e fuori bilancio delle compagnie assicurative controllate</w:t>
            </w:r>
          </w:p>
        </w:tc>
        <w:tc>
          <w:tcPr>
            <w:tcW w:w="2745" w:type="dxa"/>
            <w:tcBorders>
              <w:left w:val="nil"/>
              <w:right w:val="nil"/>
            </w:tcBorders>
            <w:noWrap/>
          </w:tcPr>
          <w:p w:rsidRPr="001404DB" w:rsidR="00AE1893" w:rsidP="00BC3A1F" w:rsidRDefault="00AE1893" w14:paraId="7389005B" w14:textId="77777777">
            <w:pPr>
              <w:jc w:val="right"/>
              <w:rPr>
                <w:rFonts w:ascii="Arial" w:hAnsi="Arial" w:eastAsia="Times New Roman" w:cs="Arial"/>
                <w:sz w:val="20"/>
                <w:szCs w:val="20"/>
                <w:lang w:eastAsia="en-GB"/>
              </w:rPr>
            </w:pPr>
          </w:p>
        </w:tc>
      </w:tr>
      <w:tr w:rsidRPr="001404DB" w:rsidR="00AE1893" w:rsidTr="00BC3A1F" w14:paraId="541C347B" w14:textId="77777777">
        <w:trPr>
          <w:trHeight w:val="300"/>
        </w:trPr>
        <w:tc>
          <w:tcPr>
            <w:tcW w:w="6804" w:type="dxa"/>
            <w:tcBorders>
              <w:left w:val="nil"/>
              <w:right w:val="nil"/>
            </w:tcBorders>
            <w:noWrap/>
          </w:tcPr>
          <w:p w:rsidRPr="001404DB" w:rsidR="00AE1893" w:rsidP="00BC3A1F" w:rsidRDefault="00AE1893" w14:paraId="41C9870F" w14:textId="77777777">
            <w:pPr>
              <w:ind w:left="720" w:firstLine="28" w:firstLineChars="14"/>
              <w:rPr>
                <w:rFonts w:ascii="Arial" w:hAnsi="Arial" w:eastAsia="Times New Roman" w:cs="Arial"/>
                <w:sz w:val="20"/>
                <w:szCs w:val="20"/>
              </w:rPr>
            </w:pPr>
            <w:r w:rsidRPr="001404DB">
              <w:rPr>
                <w:rFonts w:ascii="Arial" w:hAnsi="Arial"/>
                <w:sz w:val="20"/>
                <w:lang w:eastAsia="en-GB"/>
              </w:rPr>
              <w:t xml:space="preserve">(2) </w:t>
            </w:r>
            <w:r w:rsidRPr="001404DB">
              <w:rPr>
                <w:rFonts w:ascii="Arial" w:hAnsi="Arial"/>
                <w:sz w:val="20"/>
              </w:rPr>
              <w:t>Esposizione potenziale futura dei contratti derivati di compagnie assicurative controllate</w:t>
            </w:r>
          </w:p>
        </w:tc>
        <w:tc>
          <w:tcPr>
            <w:tcW w:w="2745" w:type="dxa"/>
            <w:tcBorders>
              <w:left w:val="nil"/>
              <w:right w:val="nil"/>
            </w:tcBorders>
            <w:noWrap/>
          </w:tcPr>
          <w:p w:rsidRPr="001404DB" w:rsidR="00AE1893" w:rsidP="00BC3A1F" w:rsidRDefault="00AE1893" w14:paraId="6B4F166D" w14:textId="77777777">
            <w:pPr>
              <w:jc w:val="right"/>
              <w:rPr>
                <w:rFonts w:ascii="Arial" w:hAnsi="Arial" w:eastAsia="Times New Roman" w:cs="Arial"/>
                <w:sz w:val="20"/>
                <w:szCs w:val="20"/>
                <w:lang w:eastAsia="en-GB"/>
              </w:rPr>
            </w:pPr>
          </w:p>
        </w:tc>
      </w:tr>
      <w:tr w:rsidRPr="001404DB" w:rsidR="00AE1893" w:rsidTr="00BC3A1F" w14:paraId="55D57BBD" w14:textId="77777777">
        <w:trPr>
          <w:trHeight w:val="300"/>
        </w:trPr>
        <w:tc>
          <w:tcPr>
            <w:tcW w:w="6804" w:type="dxa"/>
            <w:tcBorders>
              <w:left w:val="nil"/>
              <w:right w:val="nil"/>
            </w:tcBorders>
            <w:noWrap/>
          </w:tcPr>
          <w:p w:rsidRPr="001404DB" w:rsidR="00AE1893" w:rsidP="00BC3A1F" w:rsidRDefault="00AE1893" w14:paraId="59162747" w14:textId="77777777">
            <w:pPr>
              <w:ind w:left="720" w:firstLine="28" w:firstLineChars="14"/>
              <w:rPr>
                <w:rFonts w:ascii="Arial" w:hAnsi="Arial" w:eastAsia="Times New Roman" w:cs="Arial"/>
                <w:sz w:val="20"/>
                <w:szCs w:val="20"/>
              </w:rPr>
            </w:pPr>
            <w:r w:rsidRPr="001404DB">
              <w:rPr>
                <w:rFonts w:ascii="Arial" w:hAnsi="Arial"/>
                <w:sz w:val="20"/>
                <w:lang w:eastAsia="en-GB"/>
              </w:rPr>
              <w:t xml:space="preserve">(3) </w:t>
            </w:r>
            <w:r w:rsidRPr="001404DB">
              <w:rPr>
                <w:rFonts w:ascii="Arial" w:hAnsi="Arial"/>
                <w:sz w:val="20"/>
              </w:rPr>
              <w:t>Valore di investimento nei soggetti consolidati</w:t>
            </w:r>
          </w:p>
        </w:tc>
        <w:tc>
          <w:tcPr>
            <w:tcW w:w="2745" w:type="dxa"/>
            <w:tcBorders>
              <w:left w:val="nil"/>
              <w:right w:val="nil"/>
            </w:tcBorders>
            <w:noWrap/>
          </w:tcPr>
          <w:p w:rsidRPr="001404DB" w:rsidR="00AE1893" w:rsidP="00BC3A1F" w:rsidRDefault="00AE1893" w14:paraId="41EDAB68" w14:textId="77777777">
            <w:pPr>
              <w:jc w:val="right"/>
              <w:rPr>
                <w:rFonts w:ascii="Arial" w:hAnsi="Arial" w:eastAsia="Times New Roman" w:cs="Arial"/>
                <w:sz w:val="20"/>
                <w:szCs w:val="20"/>
                <w:lang w:eastAsia="en-GB"/>
              </w:rPr>
            </w:pPr>
          </w:p>
        </w:tc>
      </w:tr>
      <w:tr w:rsidRPr="001404DB" w:rsidR="00AE1893" w:rsidTr="00BC3A1F" w14:paraId="1CB349B0" w14:textId="77777777">
        <w:trPr>
          <w:trHeight w:val="300"/>
        </w:trPr>
        <w:tc>
          <w:tcPr>
            <w:tcW w:w="6804" w:type="dxa"/>
            <w:tcBorders>
              <w:left w:val="nil"/>
              <w:right w:val="nil"/>
            </w:tcBorders>
            <w:noWrap/>
          </w:tcPr>
          <w:p w:rsidRPr="001404DB" w:rsidR="00AE1893" w:rsidP="00BC3A1F" w:rsidRDefault="00AE1893" w14:paraId="79F8DC05" w14:textId="77777777">
            <w:pPr>
              <w:ind w:left="171"/>
              <w:rPr>
                <w:rFonts w:ascii="Arial" w:hAnsi="Arial" w:eastAsia="Times New Roman" w:cs="Arial"/>
                <w:sz w:val="20"/>
                <w:szCs w:val="20"/>
              </w:rPr>
            </w:pPr>
            <w:r w:rsidRPr="001404DB">
              <w:rPr>
                <w:rFonts w:ascii="Arial" w:hAnsi="Arial"/>
                <w:sz w:val="20"/>
              </w:rPr>
              <w:t>h. Esposizioni infragruppo incluse nella voce 2.f. verso compagnie assicurative controllate segnalate alla voce 2.g.</w:t>
            </w:r>
          </w:p>
        </w:tc>
        <w:tc>
          <w:tcPr>
            <w:tcW w:w="2745" w:type="dxa"/>
            <w:tcBorders>
              <w:left w:val="nil"/>
              <w:right w:val="nil"/>
            </w:tcBorders>
            <w:noWrap/>
          </w:tcPr>
          <w:p w:rsidRPr="001404DB" w:rsidR="00AE1893" w:rsidP="00BC3A1F" w:rsidRDefault="00AE1893" w14:paraId="5B1DAE44" w14:textId="77777777">
            <w:pPr>
              <w:jc w:val="right"/>
              <w:rPr>
                <w:rFonts w:ascii="Arial" w:hAnsi="Arial" w:eastAsia="Times New Roman" w:cs="Arial"/>
                <w:sz w:val="20"/>
                <w:szCs w:val="20"/>
                <w:lang w:eastAsia="en-GB"/>
              </w:rPr>
            </w:pPr>
          </w:p>
        </w:tc>
      </w:tr>
      <w:tr w:rsidRPr="001404DB" w:rsidR="00AE1893" w:rsidTr="00BC3A1F" w14:paraId="39094F0E" w14:textId="77777777">
        <w:trPr>
          <w:trHeight w:val="300"/>
        </w:trPr>
        <w:tc>
          <w:tcPr>
            <w:tcW w:w="6804" w:type="dxa"/>
            <w:tcBorders>
              <w:left w:val="nil"/>
              <w:bottom w:val="single" w:color="auto" w:sz="4" w:space="0"/>
              <w:right w:val="nil"/>
            </w:tcBorders>
            <w:noWrap/>
          </w:tcPr>
          <w:p w:rsidRPr="001404DB" w:rsidR="00AE1893" w:rsidP="00BC3A1F" w:rsidRDefault="00AE1893" w14:paraId="251E9664" w14:textId="77777777">
            <w:pPr>
              <w:ind w:left="171"/>
              <w:rPr>
                <w:rFonts w:ascii="Arial" w:hAnsi="Arial" w:eastAsia="Times New Roman" w:cs="Arial"/>
                <w:sz w:val="20"/>
                <w:szCs w:val="20"/>
              </w:rPr>
            </w:pPr>
            <w:r w:rsidRPr="001404DB">
              <w:rPr>
                <w:rFonts w:ascii="Arial" w:hAnsi="Arial"/>
                <w:sz w:val="20"/>
              </w:rPr>
              <w:t>i. Indicatore delle esposizioni totali, comprese le compagnie assicurative controllate [somma delle voci da 2.f., 2.g.(1) a 2.g.(2) meno 2.g.(3) a 2.h.]</w:t>
            </w:r>
          </w:p>
        </w:tc>
        <w:tc>
          <w:tcPr>
            <w:tcW w:w="2745" w:type="dxa"/>
            <w:tcBorders>
              <w:left w:val="nil"/>
              <w:bottom w:val="single" w:color="auto" w:sz="4" w:space="0"/>
              <w:right w:val="nil"/>
            </w:tcBorders>
            <w:noWrap/>
          </w:tcPr>
          <w:p w:rsidRPr="001404DB" w:rsidR="00AE1893" w:rsidP="00BC3A1F" w:rsidRDefault="00AE1893" w14:paraId="217C4FAC" w14:textId="77777777">
            <w:pPr>
              <w:jc w:val="right"/>
              <w:rPr>
                <w:rFonts w:ascii="Arial" w:hAnsi="Arial" w:eastAsia="Times New Roman" w:cs="Arial"/>
                <w:sz w:val="20"/>
                <w:szCs w:val="20"/>
                <w:lang w:eastAsia="en-GB"/>
              </w:rPr>
            </w:pPr>
          </w:p>
        </w:tc>
      </w:tr>
      <w:tr w:rsidRPr="001404DB" w:rsidR="00AE1893" w:rsidTr="00BC3A1F" w14:paraId="5387C66D" w14:textId="77777777">
        <w:trPr>
          <w:trHeight w:val="403"/>
        </w:trPr>
        <w:tc>
          <w:tcPr>
            <w:tcW w:w="9549" w:type="dxa"/>
            <w:gridSpan w:val="2"/>
            <w:tcBorders>
              <w:left w:val="nil"/>
              <w:right w:val="nil"/>
            </w:tcBorders>
            <w:noWrap/>
            <w:hideMark/>
          </w:tcPr>
          <w:p w:rsidRPr="001404DB" w:rsidR="00AE1893" w:rsidP="00BC3A1F" w:rsidRDefault="00AE1893" w14:paraId="352A9032" w14:textId="77777777">
            <w:pPr>
              <w:keepNext/>
              <w:keepLines/>
              <w:spacing w:before="47"/>
              <w:outlineLvl w:val="5"/>
              <w:rPr>
                <w:rFonts w:ascii="Arial" w:hAnsi="Arial" w:eastAsia="Times New Roman" w:cs="Arial"/>
                <w:b/>
                <w:bCs/>
                <w:i/>
                <w:iCs/>
                <w:caps/>
                <w:color w:val="172B39" w:themeColor="accent1" w:themeShade="80"/>
                <w:sz w:val="20"/>
                <w:szCs w:val="20"/>
                <w:lang w:eastAsia="en-GB"/>
              </w:rPr>
            </w:pPr>
          </w:p>
          <w:p w:rsidRPr="001404DB" w:rsidR="00AE1893" w:rsidP="00BC3A1F" w:rsidRDefault="00AE1893" w14:paraId="3CEAAC46" w14:textId="77777777">
            <w:pPr>
              <w:keepNext/>
              <w:keepLines/>
              <w:spacing w:before="47"/>
              <w:outlineLvl w:val="5"/>
              <w:rPr>
                <w:rFonts w:ascii="Arial" w:hAnsi="Arial" w:eastAsia="Times New Roman" w:cs="Arial"/>
                <w:i/>
                <w:iCs/>
                <w:caps/>
                <w:color w:val="172B39" w:themeColor="accent1" w:themeShade="80"/>
                <w:sz w:val="20"/>
                <w:szCs w:val="20"/>
              </w:rPr>
            </w:pPr>
            <w:r w:rsidRPr="001404DB">
              <w:rPr>
                <w:rFonts w:ascii="Arial" w:hAnsi="Arial"/>
                <w:b/>
                <w:i/>
                <w:caps/>
                <w:color w:val="172B39" w:themeColor="accent1" w:themeShade="80"/>
                <w:sz w:val="24"/>
              </w:rPr>
              <w:t> </w:t>
            </w:r>
            <w:r w:rsidRPr="001404DB">
              <w:rPr>
                <w:rFonts w:asciiTheme="majorHAnsi" w:hAnsiTheme="majorHAnsi"/>
                <w:b/>
                <w:i/>
                <w:caps/>
              </w:rPr>
              <w:t>Indicatori dell’interconnessione</w:t>
            </w:r>
          </w:p>
          <w:p w:rsidRPr="001404DB" w:rsidR="00AE1893" w:rsidP="00BC3A1F" w:rsidRDefault="00AE1893" w14:paraId="11DFD8AB" w14:textId="77777777">
            <w:pPr>
              <w:rPr>
                <w:rFonts w:ascii="Arial" w:hAnsi="Arial" w:eastAsia="Times New Roman" w:cs="Arial"/>
                <w:b/>
                <w:bCs/>
                <w:sz w:val="24"/>
                <w:szCs w:val="24"/>
              </w:rPr>
            </w:pPr>
            <w:r w:rsidRPr="001404DB">
              <w:rPr>
                <w:rFonts w:ascii="Arial" w:hAnsi="Arial"/>
                <w:b/>
                <w:sz w:val="24"/>
              </w:rPr>
              <w:t> </w:t>
            </w:r>
          </w:p>
        </w:tc>
      </w:tr>
      <w:tr w:rsidRPr="001404DB" w:rsidR="00AE1893" w:rsidTr="00BC3A1F" w14:paraId="266D1F99" w14:textId="77777777">
        <w:trPr>
          <w:trHeight w:val="300"/>
        </w:trPr>
        <w:tc>
          <w:tcPr>
            <w:tcW w:w="6804" w:type="dxa"/>
            <w:tcBorders>
              <w:left w:val="nil"/>
              <w:bottom w:val="single" w:color="auto" w:sz="4" w:space="0"/>
              <w:right w:val="nil"/>
            </w:tcBorders>
            <w:noWrap/>
            <w:hideMark/>
          </w:tcPr>
          <w:p w:rsidRPr="001404DB" w:rsidR="00AE1893" w:rsidP="00BC3A1F" w:rsidRDefault="00AE1893" w14:paraId="1AD4272E" w14:textId="77777777">
            <w:pPr>
              <w:rPr>
                <w:rFonts w:ascii="Arial" w:hAnsi="Arial" w:eastAsia="Times New Roman" w:cs="Arial"/>
                <w:b/>
                <w:bCs/>
                <w:sz w:val="20"/>
                <w:szCs w:val="20"/>
              </w:rPr>
            </w:pPr>
            <w:r w:rsidRPr="001404DB">
              <w:rPr>
                <w:rFonts w:ascii="Arial" w:hAnsi="Arial"/>
                <w:b/>
                <w:sz w:val="20"/>
              </w:rPr>
              <w:t>Sezione 3 – Attività verso altri enti finanziari</w:t>
            </w:r>
          </w:p>
        </w:tc>
        <w:tc>
          <w:tcPr>
            <w:tcW w:w="2745" w:type="dxa"/>
            <w:tcBorders>
              <w:left w:val="nil"/>
              <w:bottom w:val="single" w:color="auto" w:sz="4" w:space="0"/>
              <w:right w:val="nil"/>
            </w:tcBorders>
            <w:hideMark/>
          </w:tcPr>
          <w:p w:rsidRPr="001404DB" w:rsidR="00AE1893" w:rsidP="00BC3A1F" w:rsidRDefault="00AE1893" w14:paraId="57EFD28C" w14:textId="77777777">
            <w:pPr>
              <w:jc w:val="center"/>
              <w:rPr>
                <w:rFonts w:ascii="Arial" w:hAnsi="Arial" w:eastAsia="Times New Roman" w:cs="Arial"/>
                <w:b/>
                <w:bCs/>
                <w:sz w:val="20"/>
                <w:szCs w:val="20"/>
              </w:rPr>
            </w:pPr>
            <w:r w:rsidRPr="001404DB">
              <w:rPr>
                <w:rFonts w:ascii="Arial" w:hAnsi="Arial"/>
                <w:b/>
                <w:sz w:val="20"/>
              </w:rPr>
              <w:t>Importo</w:t>
            </w:r>
          </w:p>
        </w:tc>
      </w:tr>
      <w:tr w:rsidRPr="001404DB" w:rsidR="00AE1893" w:rsidTr="00BC3A1F" w14:paraId="2F676F88" w14:textId="77777777">
        <w:trPr>
          <w:trHeight w:val="300"/>
        </w:trPr>
        <w:tc>
          <w:tcPr>
            <w:tcW w:w="6804" w:type="dxa"/>
            <w:tcBorders>
              <w:left w:val="nil"/>
              <w:right w:val="nil"/>
            </w:tcBorders>
            <w:noWrap/>
            <w:hideMark/>
          </w:tcPr>
          <w:p w:rsidRPr="001404DB" w:rsidR="00AE1893" w:rsidP="00BC3A1F" w:rsidRDefault="00AE1893" w14:paraId="43620926" w14:textId="77777777">
            <w:pPr>
              <w:ind w:firstLine="200" w:firstLineChars="100"/>
              <w:rPr>
                <w:rFonts w:ascii="Arial" w:hAnsi="Arial" w:eastAsia="Times New Roman" w:cs="Arial"/>
                <w:sz w:val="20"/>
                <w:szCs w:val="20"/>
              </w:rPr>
            </w:pPr>
            <w:r w:rsidRPr="001404DB">
              <w:rPr>
                <w:rFonts w:ascii="Arial" w:hAnsi="Arial"/>
                <w:sz w:val="20"/>
              </w:rPr>
              <w:t>a. Fondi depositati presso altri enti finanziari o dati in prestito ad altri enti finanziari</w:t>
            </w:r>
          </w:p>
        </w:tc>
        <w:tc>
          <w:tcPr>
            <w:tcW w:w="2745" w:type="dxa"/>
            <w:tcBorders>
              <w:left w:val="nil"/>
              <w:right w:val="nil"/>
            </w:tcBorders>
            <w:noWrap/>
            <w:hideMark/>
          </w:tcPr>
          <w:p w:rsidRPr="001404DB" w:rsidR="00AE1893" w:rsidP="00BC3A1F" w:rsidRDefault="00AE1893" w14:paraId="2305C51B"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71647994" w14:textId="77777777">
        <w:trPr>
          <w:trHeight w:val="300"/>
        </w:trPr>
        <w:tc>
          <w:tcPr>
            <w:tcW w:w="6804" w:type="dxa"/>
            <w:tcBorders>
              <w:left w:val="nil"/>
              <w:bottom w:val="single" w:color="auto" w:sz="4" w:space="0"/>
              <w:right w:val="nil"/>
            </w:tcBorders>
            <w:noWrap/>
            <w:hideMark/>
          </w:tcPr>
          <w:p w:rsidRPr="001404DB" w:rsidR="00AE1893" w:rsidP="00BC3A1F" w:rsidRDefault="00AE1893" w14:paraId="2E2E7C44" w14:textId="77777777">
            <w:pPr>
              <w:ind w:firstLine="400" w:firstLineChars="200"/>
              <w:rPr>
                <w:rFonts w:ascii="Arial" w:hAnsi="Arial" w:eastAsia="Times New Roman" w:cs="Arial"/>
                <w:sz w:val="20"/>
                <w:szCs w:val="20"/>
              </w:rPr>
            </w:pPr>
            <w:r w:rsidRPr="001404DB">
              <w:rPr>
                <w:rFonts w:ascii="Arial" w:hAnsi="Arial"/>
                <w:sz w:val="20"/>
                <w:lang w:eastAsia="en-GB"/>
              </w:rPr>
              <w:t xml:space="preserve">(1) </w:t>
            </w:r>
            <w:r w:rsidRPr="001404DB">
              <w:rPr>
                <w:rFonts w:ascii="Arial" w:hAnsi="Arial"/>
                <w:sz w:val="20"/>
              </w:rPr>
              <w:t xml:space="preserve">Certificati di deposito </w:t>
            </w:r>
          </w:p>
        </w:tc>
        <w:tc>
          <w:tcPr>
            <w:tcW w:w="2745" w:type="dxa"/>
            <w:tcBorders>
              <w:left w:val="nil"/>
              <w:right w:val="nil"/>
            </w:tcBorders>
            <w:noWrap/>
            <w:hideMark/>
          </w:tcPr>
          <w:p w:rsidRPr="001404DB" w:rsidR="00AE1893" w:rsidP="00BC3A1F" w:rsidRDefault="00AE1893" w14:paraId="4861F799"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2827E093" w14:textId="77777777">
        <w:trPr>
          <w:gridAfter w:val="1"/>
          <w:wAfter w:w="2745" w:type="dxa"/>
          <w:trHeight w:val="300"/>
        </w:trPr>
        <w:tc>
          <w:tcPr>
            <w:tcW w:w="6804" w:type="dxa"/>
            <w:tcBorders>
              <w:left w:val="nil"/>
              <w:right w:val="nil"/>
            </w:tcBorders>
            <w:noWrap/>
            <w:hideMark/>
          </w:tcPr>
          <w:p w:rsidRPr="001404DB" w:rsidR="00AE1893" w:rsidP="00BC3A1F" w:rsidRDefault="00AE1893" w14:paraId="36990A2B" w14:textId="77777777">
            <w:pPr>
              <w:ind w:left="171" w:firstLine="28" w:firstLineChars="14"/>
              <w:rPr>
                <w:rFonts w:ascii="Arial" w:hAnsi="Arial" w:eastAsia="Times New Roman" w:cs="Arial"/>
                <w:sz w:val="20"/>
                <w:szCs w:val="20"/>
              </w:rPr>
            </w:pPr>
            <w:r w:rsidRPr="001404DB">
              <w:rPr>
                <w:rFonts w:ascii="Arial" w:hAnsi="Arial"/>
                <w:sz w:val="20"/>
              </w:rPr>
              <w:t>b. Porzione non utilizzata delle linee impegnate estese ad altri enti finanziari</w:t>
            </w:r>
          </w:p>
        </w:tc>
      </w:tr>
      <w:tr w:rsidRPr="001404DB" w:rsidR="00AE1893" w:rsidTr="00BC3A1F" w14:paraId="59752C07" w14:textId="77777777">
        <w:trPr>
          <w:trHeight w:val="300"/>
        </w:trPr>
        <w:tc>
          <w:tcPr>
            <w:tcW w:w="6804" w:type="dxa"/>
            <w:tcBorders>
              <w:left w:val="nil"/>
              <w:right w:val="nil"/>
            </w:tcBorders>
            <w:noWrap/>
            <w:hideMark/>
          </w:tcPr>
          <w:p w:rsidRPr="001404DB" w:rsidR="00AE1893" w:rsidP="00BC3A1F" w:rsidRDefault="00AE1893" w14:paraId="1CDF2FC9" w14:textId="77777777">
            <w:pPr>
              <w:ind w:firstLine="200" w:firstLineChars="100"/>
              <w:rPr>
                <w:rFonts w:ascii="Arial" w:hAnsi="Arial" w:eastAsia="Times New Roman" w:cs="Arial"/>
                <w:sz w:val="20"/>
                <w:szCs w:val="20"/>
              </w:rPr>
            </w:pPr>
            <w:r w:rsidRPr="001404DB">
              <w:rPr>
                <w:rFonts w:ascii="Arial" w:hAnsi="Arial"/>
                <w:sz w:val="20"/>
              </w:rPr>
              <w:t>c. Detenzione di titoli emessi da altri enti finanziari:</w:t>
            </w:r>
          </w:p>
        </w:tc>
        <w:tc>
          <w:tcPr>
            <w:tcW w:w="2745" w:type="dxa"/>
            <w:tcBorders>
              <w:left w:val="nil"/>
              <w:right w:val="nil"/>
            </w:tcBorders>
            <w:noWrap/>
            <w:hideMark/>
          </w:tcPr>
          <w:p w:rsidRPr="001404DB" w:rsidR="00AE1893" w:rsidP="00BC3A1F" w:rsidRDefault="00AE1893" w14:paraId="3938F754" w14:textId="77777777">
            <w:pPr>
              <w:ind w:firstLine="200" w:firstLineChars="100"/>
              <w:rPr>
                <w:rFonts w:ascii="Arial" w:hAnsi="Arial" w:eastAsia="Times New Roman" w:cs="Arial"/>
                <w:sz w:val="20"/>
                <w:szCs w:val="20"/>
              </w:rPr>
            </w:pPr>
            <w:r w:rsidRPr="001404DB">
              <w:rPr>
                <w:rFonts w:ascii="Arial" w:hAnsi="Arial"/>
                <w:sz w:val="20"/>
              </w:rPr>
              <w:t> </w:t>
            </w:r>
          </w:p>
        </w:tc>
      </w:tr>
      <w:tr w:rsidRPr="001404DB" w:rsidR="00AE1893" w:rsidTr="00BC3A1F" w14:paraId="3D05FE5A" w14:textId="77777777">
        <w:trPr>
          <w:trHeight w:val="300"/>
        </w:trPr>
        <w:tc>
          <w:tcPr>
            <w:tcW w:w="6804" w:type="dxa"/>
            <w:tcBorders>
              <w:left w:val="nil"/>
              <w:right w:val="nil"/>
            </w:tcBorders>
            <w:noWrap/>
            <w:hideMark/>
          </w:tcPr>
          <w:p w:rsidRPr="001404DB" w:rsidR="00AE1893" w:rsidP="00BC3A1F" w:rsidRDefault="00AE1893" w14:paraId="7F26F290" w14:textId="77777777">
            <w:pPr>
              <w:ind w:firstLine="400" w:firstLineChars="200"/>
              <w:rPr>
                <w:rFonts w:ascii="Arial" w:hAnsi="Arial" w:eastAsia="Times New Roman" w:cs="Arial"/>
                <w:sz w:val="20"/>
                <w:szCs w:val="20"/>
              </w:rPr>
            </w:pPr>
            <w:r w:rsidRPr="001404DB">
              <w:rPr>
                <w:rFonts w:ascii="Arial" w:hAnsi="Arial"/>
                <w:sz w:val="20"/>
                <w:lang w:eastAsia="en-GB"/>
              </w:rPr>
              <w:t xml:space="preserve">(1) </w:t>
            </w:r>
            <w:r w:rsidRPr="001404DB">
              <w:rPr>
                <w:rFonts w:ascii="Arial" w:hAnsi="Arial"/>
                <w:sz w:val="20"/>
              </w:rPr>
              <w:t>Titoli di debito garantiti</w:t>
            </w:r>
          </w:p>
        </w:tc>
        <w:tc>
          <w:tcPr>
            <w:tcW w:w="2745" w:type="dxa"/>
            <w:tcBorders>
              <w:left w:val="nil"/>
              <w:right w:val="nil"/>
            </w:tcBorders>
            <w:noWrap/>
            <w:hideMark/>
          </w:tcPr>
          <w:p w:rsidRPr="001404DB" w:rsidR="00AE1893" w:rsidP="00BC3A1F" w:rsidRDefault="00AE1893" w14:paraId="14347F58"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001895EF" w14:textId="77777777">
        <w:trPr>
          <w:trHeight w:val="300"/>
        </w:trPr>
        <w:tc>
          <w:tcPr>
            <w:tcW w:w="6804" w:type="dxa"/>
            <w:tcBorders>
              <w:left w:val="nil"/>
              <w:right w:val="nil"/>
            </w:tcBorders>
            <w:noWrap/>
            <w:hideMark/>
          </w:tcPr>
          <w:p w:rsidRPr="001404DB" w:rsidR="00AE1893" w:rsidP="00BC3A1F" w:rsidRDefault="00AE1893" w14:paraId="29FBA30E" w14:textId="77777777">
            <w:pPr>
              <w:ind w:firstLine="400" w:firstLineChars="200"/>
              <w:rPr>
                <w:rFonts w:ascii="Arial" w:hAnsi="Arial" w:eastAsia="Times New Roman" w:cs="Arial"/>
                <w:sz w:val="20"/>
                <w:szCs w:val="20"/>
              </w:rPr>
            </w:pPr>
            <w:r w:rsidRPr="001404DB">
              <w:rPr>
                <w:rFonts w:ascii="Arial" w:hAnsi="Arial"/>
                <w:sz w:val="20"/>
                <w:lang w:eastAsia="en-GB"/>
              </w:rPr>
              <w:t xml:space="preserve">(2) </w:t>
            </w:r>
            <w:r w:rsidRPr="001404DB">
              <w:rPr>
                <w:rFonts w:ascii="Arial" w:hAnsi="Arial"/>
                <w:sz w:val="20"/>
              </w:rPr>
              <w:t>Titoli di debito senior non garantiti</w:t>
            </w:r>
          </w:p>
        </w:tc>
        <w:tc>
          <w:tcPr>
            <w:tcW w:w="2745" w:type="dxa"/>
            <w:tcBorders>
              <w:left w:val="nil"/>
              <w:right w:val="nil"/>
            </w:tcBorders>
            <w:noWrap/>
            <w:hideMark/>
          </w:tcPr>
          <w:p w:rsidRPr="001404DB" w:rsidR="00AE1893" w:rsidP="00BC3A1F" w:rsidRDefault="00AE1893" w14:paraId="35AB1A31"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4B1F4655" w14:textId="77777777">
        <w:trPr>
          <w:trHeight w:val="300"/>
        </w:trPr>
        <w:tc>
          <w:tcPr>
            <w:tcW w:w="6804" w:type="dxa"/>
            <w:tcBorders>
              <w:left w:val="nil"/>
              <w:right w:val="nil"/>
            </w:tcBorders>
            <w:noWrap/>
            <w:hideMark/>
          </w:tcPr>
          <w:p w:rsidRPr="001404DB" w:rsidR="00AE1893" w:rsidP="00BC3A1F" w:rsidRDefault="00AE1893" w14:paraId="4A3C93EB" w14:textId="77777777">
            <w:pPr>
              <w:ind w:firstLine="400" w:firstLineChars="200"/>
              <w:rPr>
                <w:rFonts w:ascii="Arial" w:hAnsi="Arial" w:eastAsia="Times New Roman" w:cs="Arial"/>
                <w:sz w:val="20"/>
                <w:szCs w:val="20"/>
              </w:rPr>
            </w:pPr>
            <w:r w:rsidRPr="001404DB">
              <w:rPr>
                <w:rFonts w:ascii="Arial" w:hAnsi="Arial"/>
                <w:sz w:val="20"/>
                <w:lang w:eastAsia="en-GB"/>
              </w:rPr>
              <w:t xml:space="preserve">(3) </w:t>
            </w:r>
            <w:r w:rsidRPr="001404DB">
              <w:rPr>
                <w:rFonts w:ascii="Arial" w:hAnsi="Arial"/>
                <w:sz w:val="20"/>
              </w:rPr>
              <w:t>Titoli di debito subordinati</w:t>
            </w:r>
          </w:p>
        </w:tc>
        <w:tc>
          <w:tcPr>
            <w:tcW w:w="2745" w:type="dxa"/>
            <w:tcBorders>
              <w:left w:val="nil"/>
              <w:right w:val="nil"/>
            </w:tcBorders>
            <w:noWrap/>
            <w:hideMark/>
          </w:tcPr>
          <w:p w:rsidRPr="001404DB" w:rsidR="00AE1893" w:rsidP="00BC3A1F" w:rsidRDefault="00AE1893" w14:paraId="11036AA7"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43CFEBE6" w14:textId="77777777">
        <w:trPr>
          <w:trHeight w:val="300"/>
        </w:trPr>
        <w:tc>
          <w:tcPr>
            <w:tcW w:w="6804" w:type="dxa"/>
            <w:tcBorders>
              <w:left w:val="nil"/>
              <w:right w:val="nil"/>
            </w:tcBorders>
            <w:noWrap/>
            <w:hideMark/>
          </w:tcPr>
          <w:p w:rsidRPr="001404DB" w:rsidR="00AE1893" w:rsidP="00BC3A1F" w:rsidRDefault="00AE1893" w14:paraId="09DA1787" w14:textId="77777777">
            <w:pPr>
              <w:ind w:firstLine="400" w:firstLineChars="200"/>
              <w:rPr>
                <w:rFonts w:ascii="Arial" w:hAnsi="Arial" w:eastAsia="Times New Roman" w:cs="Arial"/>
                <w:sz w:val="20"/>
                <w:szCs w:val="20"/>
              </w:rPr>
            </w:pPr>
            <w:r w:rsidRPr="001404DB">
              <w:rPr>
                <w:rFonts w:ascii="Arial" w:hAnsi="Arial"/>
                <w:sz w:val="20"/>
                <w:lang w:eastAsia="en-GB"/>
              </w:rPr>
              <w:t xml:space="preserve">(4) </w:t>
            </w:r>
            <w:r w:rsidRPr="001404DB">
              <w:rPr>
                <w:rFonts w:ascii="Arial" w:hAnsi="Arial"/>
                <w:sz w:val="20"/>
              </w:rPr>
              <w:t xml:space="preserve">Commercial paper </w:t>
            </w:r>
          </w:p>
        </w:tc>
        <w:tc>
          <w:tcPr>
            <w:tcW w:w="2745" w:type="dxa"/>
            <w:tcBorders>
              <w:left w:val="nil"/>
              <w:right w:val="nil"/>
            </w:tcBorders>
            <w:noWrap/>
            <w:hideMark/>
          </w:tcPr>
          <w:p w:rsidRPr="001404DB" w:rsidR="00AE1893" w:rsidP="00BC3A1F" w:rsidRDefault="00AE1893" w14:paraId="0EC5580F"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00FD0CDF" w14:textId="77777777">
        <w:trPr>
          <w:trHeight w:val="300"/>
        </w:trPr>
        <w:tc>
          <w:tcPr>
            <w:tcW w:w="6804" w:type="dxa"/>
            <w:tcBorders>
              <w:left w:val="nil"/>
              <w:bottom w:val="single" w:color="auto" w:sz="4" w:space="0"/>
              <w:right w:val="nil"/>
            </w:tcBorders>
            <w:noWrap/>
            <w:hideMark/>
          </w:tcPr>
          <w:p w:rsidRPr="001404DB" w:rsidR="00AE1893" w:rsidP="00BC3A1F" w:rsidRDefault="00AE1893" w14:paraId="1A99B617" w14:textId="77777777">
            <w:pPr>
              <w:ind w:firstLine="400" w:firstLineChars="200"/>
              <w:rPr>
                <w:rFonts w:ascii="Arial" w:hAnsi="Arial" w:eastAsia="Times New Roman" w:cs="Arial"/>
                <w:sz w:val="20"/>
                <w:szCs w:val="20"/>
              </w:rPr>
            </w:pPr>
            <w:r w:rsidRPr="001404DB">
              <w:rPr>
                <w:rFonts w:ascii="Arial" w:hAnsi="Arial"/>
                <w:sz w:val="20"/>
                <w:lang w:eastAsia="en-GB"/>
              </w:rPr>
              <w:t xml:space="preserve">(5) </w:t>
            </w:r>
            <w:r w:rsidRPr="001404DB">
              <w:rPr>
                <w:rFonts w:ascii="Arial" w:hAnsi="Arial"/>
                <w:sz w:val="20"/>
              </w:rPr>
              <w:t>Titoli di capitale</w:t>
            </w:r>
          </w:p>
        </w:tc>
        <w:tc>
          <w:tcPr>
            <w:tcW w:w="2745" w:type="dxa"/>
            <w:tcBorders>
              <w:left w:val="nil"/>
              <w:right w:val="nil"/>
            </w:tcBorders>
            <w:noWrap/>
            <w:hideMark/>
          </w:tcPr>
          <w:p w:rsidRPr="001404DB" w:rsidR="00AE1893" w:rsidP="00BC3A1F" w:rsidRDefault="00AE1893" w14:paraId="15EB5A8A"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633056E6" w14:textId="77777777">
        <w:trPr>
          <w:trHeight w:val="300"/>
        </w:trPr>
        <w:tc>
          <w:tcPr>
            <w:tcW w:w="6804" w:type="dxa"/>
            <w:tcBorders>
              <w:left w:val="nil"/>
              <w:bottom w:val="single" w:color="auto" w:sz="4" w:space="0"/>
              <w:right w:val="nil"/>
            </w:tcBorders>
            <w:noWrap/>
          </w:tcPr>
          <w:p w:rsidRPr="001404DB" w:rsidR="00AE1893" w:rsidP="00BC3A1F" w:rsidRDefault="00AE1893" w14:paraId="06E364FD" w14:textId="77777777">
            <w:pPr>
              <w:ind w:left="313" w:firstLine="86" w:firstLineChars="43"/>
              <w:rPr>
                <w:rFonts w:ascii="Arial" w:hAnsi="Arial" w:eastAsia="Times New Roman" w:cs="Arial"/>
                <w:sz w:val="20"/>
                <w:szCs w:val="20"/>
              </w:rPr>
            </w:pPr>
            <w:r w:rsidRPr="001404DB">
              <w:rPr>
                <w:rFonts w:ascii="Arial" w:hAnsi="Arial"/>
                <w:sz w:val="20"/>
                <w:lang w:eastAsia="en-GB"/>
              </w:rPr>
              <w:t xml:space="preserve">(6) </w:t>
            </w:r>
            <w:r w:rsidRPr="001404DB">
              <w:rPr>
                <w:rFonts w:ascii="Arial" w:hAnsi="Arial"/>
                <w:sz w:val="20"/>
              </w:rPr>
              <w:t>Posizioni corte di segno opposto in relazione agli specifici titoli azionari di cui alla voce 3.c.(5)</w:t>
            </w:r>
          </w:p>
        </w:tc>
        <w:tc>
          <w:tcPr>
            <w:tcW w:w="2745" w:type="dxa"/>
            <w:tcBorders>
              <w:left w:val="nil"/>
              <w:right w:val="nil"/>
            </w:tcBorders>
            <w:noWrap/>
          </w:tcPr>
          <w:p w:rsidRPr="001404DB" w:rsidR="00AE1893" w:rsidP="00BC3A1F" w:rsidRDefault="00AE1893" w14:paraId="5CA5E433" w14:textId="77777777">
            <w:pPr>
              <w:jc w:val="right"/>
              <w:rPr>
                <w:rFonts w:ascii="Arial" w:hAnsi="Arial" w:eastAsia="Times New Roman" w:cs="Arial"/>
                <w:sz w:val="20"/>
                <w:szCs w:val="20"/>
                <w:lang w:eastAsia="en-GB"/>
              </w:rPr>
            </w:pPr>
          </w:p>
        </w:tc>
      </w:tr>
      <w:tr w:rsidRPr="001404DB" w:rsidR="00AE1893" w:rsidTr="00BC3A1F" w14:paraId="225806C3" w14:textId="77777777">
        <w:trPr>
          <w:trHeight w:val="300"/>
        </w:trPr>
        <w:tc>
          <w:tcPr>
            <w:tcW w:w="6804" w:type="dxa"/>
            <w:tcBorders>
              <w:left w:val="nil"/>
              <w:bottom w:val="single" w:color="auto" w:sz="4" w:space="0"/>
              <w:right w:val="nil"/>
            </w:tcBorders>
            <w:noWrap/>
          </w:tcPr>
          <w:p w:rsidRPr="001404DB" w:rsidR="00AE1893" w:rsidP="00BC3A1F" w:rsidRDefault="00AE1893" w14:paraId="508299F5" w14:textId="77777777">
            <w:pPr>
              <w:ind w:firstLine="171"/>
              <w:rPr>
                <w:rFonts w:ascii="Arial" w:hAnsi="Arial" w:eastAsia="Times New Roman" w:cs="Arial"/>
                <w:sz w:val="20"/>
                <w:szCs w:val="20"/>
              </w:rPr>
            </w:pPr>
            <w:r w:rsidRPr="001404DB">
              <w:rPr>
                <w:rFonts w:ascii="Arial" w:hAnsi="Arial"/>
                <w:sz w:val="20"/>
              </w:rPr>
              <w:t>d. Esposizione corrente netta positiva delle operazioni di finanziamento tramite titoli con altri enti finanziari</w:t>
            </w:r>
          </w:p>
        </w:tc>
        <w:tc>
          <w:tcPr>
            <w:tcW w:w="2745" w:type="dxa"/>
            <w:tcBorders>
              <w:left w:val="nil"/>
              <w:right w:val="nil"/>
            </w:tcBorders>
            <w:noWrap/>
          </w:tcPr>
          <w:p w:rsidRPr="001404DB" w:rsidR="00AE1893" w:rsidP="00BC3A1F" w:rsidRDefault="00AE1893" w14:paraId="3D593521" w14:textId="77777777">
            <w:pPr>
              <w:jc w:val="right"/>
              <w:rPr>
                <w:rFonts w:ascii="Arial" w:hAnsi="Arial" w:eastAsia="Times New Roman" w:cs="Arial"/>
                <w:sz w:val="20"/>
                <w:szCs w:val="20"/>
                <w:lang w:eastAsia="en-GB"/>
              </w:rPr>
            </w:pPr>
          </w:p>
        </w:tc>
      </w:tr>
      <w:tr w:rsidRPr="001404DB" w:rsidR="00AE1893" w:rsidTr="00BC3A1F" w14:paraId="4381BB51" w14:textId="77777777">
        <w:trPr>
          <w:trHeight w:val="300"/>
        </w:trPr>
        <w:tc>
          <w:tcPr>
            <w:tcW w:w="6804" w:type="dxa"/>
            <w:tcBorders>
              <w:left w:val="nil"/>
              <w:bottom w:val="single" w:color="auto" w:sz="4" w:space="0"/>
              <w:right w:val="nil"/>
            </w:tcBorders>
            <w:noWrap/>
          </w:tcPr>
          <w:p w:rsidRPr="001404DB" w:rsidR="00AE1893" w:rsidP="00BC3A1F" w:rsidRDefault="00AE1893" w14:paraId="26081D2A" w14:textId="77777777">
            <w:pPr>
              <w:ind w:left="171"/>
              <w:rPr>
                <w:rFonts w:ascii="Arial" w:hAnsi="Arial" w:eastAsia="Times New Roman" w:cs="Arial"/>
                <w:sz w:val="20"/>
                <w:szCs w:val="20"/>
              </w:rPr>
            </w:pPr>
            <w:r w:rsidRPr="001404DB">
              <w:rPr>
                <w:rFonts w:ascii="Arial" w:hAnsi="Arial"/>
                <w:sz w:val="20"/>
              </w:rPr>
              <w:t>e. Derivati OTC con altri enti finanziari aventi un valore equo netto positivo</w:t>
            </w:r>
          </w:p>
        </w:tc>
        <w:tc>
          <w:tcPr>
            <w:tcW w:w="2745" w:type="dxa"/>
            <w:tcBorders>
              <w:left w:val="nil"/>
              <w:right w:val="nil"/>
            </w:tcBorders>
            <w:noWrap/>
          </w:tcPr>
          <w:p w:rsidRPr="001404DB" w:rsidR="00AE1893" w:rsidP="00BC3A1F" w:rsidRDefault="00AE1893" w14:paraId="2053A22F" w14:textId="77777777">
            <w:pPr>
              <w:jc w:val="right"/>
              <w:rPr>
                <w:rFonts w:ascii="Arial" w:hAnsi="Arial" w:eastAsia="Times New Roman" w:cs="Arial"/>
                <w:sz w:val="20"/>
                <w:szCs w:val="20"/>
                <w:lang w:eastAsia="en-GB"/>
              </w:rPr>
            </w:pPr>
          </w:p>
        </w:tc>
      </w:tr>
      <w:tr w:rsidRPr="001404DB" w:rsidR="00AE1893" w:rsidTr="00BC3A1F" w14:paraId="396BBC70" w14:textId="77777777">
        <w:trPr>
          <w:trHeight w:val="300"/>
        </w:trPr>
        <w:tc>
          <w:tcPr>
            <w:tcW w:w="6804" w:type="dxa"/>
            <w:tcBorders>
              <w:left w:val="nil"/>
              <w:bottom w:val="single" w:color="auto" w:sz="4" w:space="0"/>
              <w:right w:val="nil"/>
            </w:tcBorders>
            <w:noWrap/>
          </w:tcPr>
          <w:p w:rsidRPr="001404DB" w:rsidR="00AE1893" w:rsidP="00BC3A1F" w:rsidRDefault="00AE1893" w14:paraId="62FBEEE3" w14:textId="77777777">
            <w:pPr>
              <w:ind w:left="313" w:firstLine="86" w:firstLineChars="43"/>
              <w:rPr>
                <w:rFonts w:ascii="Arial" w:hAnsi="Arial" w:eastAsia="Times New Roman" w:cs="Arial"/>
                <w:sz w:val="20"/>
                <w:szCs w:val="20"/>
              </w:rPr>
            </w:pPr>
            <w:r w:rsidRPr="001404DB">
              <w:rPr>
                <w:rFonts w:ascii="Arial" w:hAnsi="Arial"/>
                <w:sz w:val="20"/>
                <w:lang w:eastAsia="en-GB"/>
              </w:rPr>
              <w:t xml:space="preserve">(1) </w:t>
            </w:r>
            <w:r w:rsidRPr="001404DB">
              <w:rPr>
                <w:rFonts w:ascii="Arial" w:hAnsi="Arial"/>
                <w:sz w:val="20"/>
              </w:rPr>
              <w:t>Valore equo netto positivo</w:t>
            </w:r>
          </w:p>
        </w:tc>
        <w:tc>
          <w:tcPr>
            <w:tcW w:w="2745" w:type="dxa"/>
            <w:tcBorders>
              <w:left w:val="nil"/>
              <w:right w:val="nil"/>
            </w:tcBorders>
            <w:noWrap/>
          </w:tcPr>
          <w:p w:rsidRPr="001404DB" w:rsidR="00AE1893" w:rsidP="00BC3A1F" w:rsidRDefault="00AE1893" w14:paraId="760859D8" w14:textId="77777777">
            <w:pPr>
              <w:jc w:val="right"/>
              <w:rPr>
                <w:rFonts w:ascii="Arial" w:hAnsi="Arial" w:eastAsia="Times New Roman" w:cs="Arial"/>
                <w:sz w:val="20"/>
                <w:szCs w:val="20"/>
                <w:lang w:eastAsia="en-GB"/>
              </w:rPr>
            </w:pPr>
          </w:p>
        </w:tc>
      </w:tr>
      <w:tr w:rsidRPr="001404DB" w:rsidR="00AE1893" w:rsidTr="00BC3A1F" w14:paraId="424AC5D5" w14:textId="77777777">
        <w:trPr>
          <w:trHeight w:val="300"/>
        </w:trPr>
        <w:tc>
          <w:tcPr>
            <w:tcW w:w="6804" w:type="dxa"/>
            <w:tcBorders>
              <w:left w:val="nil"/>
              <w:bottom w:val="single" w:color="auto" w:sz="4" w:space="0"/>
              <w:right w:val="nil"/>
            </w:tcBorders>
            <w:noWrap/>
          </w:tcPr>
          <w:p w:rsidRPr="001404DB" w:rsidR="00AE1893" w:rsidP="00BC3A1F" w:rsidRDefault="00AE1893" w14:paraId="7528F006" w14:textId="77777777">
            <w:pPr>
              <w:ind w:left="313" w:firstLine="86" w:firstLineChars="43"/>
              <w:rPr>
                <w:rFonts w:ascii="Arial" w:hAnsi="Arial" w:eastAsia="Times New Roman" w:cs="Arial"/>
                <w:sz w:val="20"/>
                <w:szCs w:val="20"/>
              </w:rPr>
            </w:pPr>
            <w:r w:rsidRPr="001404DB">
              <w:rPr>
                <w:rFonts w:ascii="Arial" w:hAnsi="Arial"/>
                <w:sz w:val="20"/>
                <w:lang w:eastAsia="en-GB"/>
              </w:rPr>
              <w:t xml:space="preserve">(2) </w:t>
            </w:r>
            <w:r w:rsidRPr="001404DB">
              <w:rPr>
                <w:rFonts w:ascii="Arial" w:hAnsi="Arial"/>
                <w:sz w:val="20"/>
              </w:rPr>
              <w:t>Esposizione potenziale futura</w:t>
            </w:r>
          </w:p>
        </w:tc>
        <w:tc>
          <w:tcPr>
            <w:tcW w:w="2745" w:type="dxa"/>
            <w:tcBorders>
              <w:left w:val="nil"/>
              <w:right w:val="nil"/>
            </w:tcBorders>
            <w:noWrap/>
          </w:tcPr>
          <w:p w:rsidRPr="001404DB" w:rsidR="00AE1893" w:rsidP="00BC3A1F" w:rsidRDefault="00AE1893" w14:paraId="3E8D0021" w14:textId="77777777">
            <w:pPr>
              <w:jc w:val="right"/>
              <w:rPr>
                <w:rFonts w:ascii="Arial" w:hAnsi="Arial" w:eastAsia="Times New Roman" w:cs="Arial"/>
                <w:sz w:val="20"/>
                <w:szCs w:val="20"/>
                <w:lang w:eastAsia="en-GB"/>
              </w:rPr>
            </w:pPr>
          </w:p>
        </w:tc>
      </w:tr>
      <w:tr w:rsidRPr="001404DB" w:rsidR="00AE1893" w:rsidTr="00BC3A1F" w14:paraId="5C350313" w14:textId="77777777">
        <w:trPr>
          <w:gridAfter w:val="1"/>
          <w:wAfter w:w="2745" w:type="dxa"/>
          <w:trHeight w:val="450"/>
        </w:trPr>
        <w:tc>
          <w:tcPr>
            <w:tcW w:w="6804" w:type="dxa"/>
            <w:vMerge w:val="restart"/>
            <w:tcBorders>
              <w:left w:val="nil"/>
              <w:right w:val="nil"/>
            </w:tcBorders>
            <w:hideMark/>
          </w:tcPr>
          <w:p w:rsidRPr="001404DB" w:rsidR="00AE1893" w:rsidP="00BC3A1F" w:rsidRDefault="00AE1893" w14:paraId="49946009" w14:textId="77777777">
            <w:pPr>
              <w:ind w:left="171" w:firstLine="28" w:firstLineChars="14"/>
              <w:rPr>
                <w:rFonts w:ascii="Arial" w:hAnsi="Arial" w:eastAsia="Times New Roman" w:cs="Arial"/>
                <w:sz w:val="20"/>
                <w:szCs w:val="20"/>
              </w:rPr>
            </w:pPr>
            <w:r w:rsidRPr="001404DB">
              <w:rPr>
                <w:rFonts w:ascii="Arial" w:hAnsi="Arial"/>
                <w:sz w:val="20"/>
              </w:rPr>
              <w:t>f. Indicatore delle attività verso altri enti finanziari, comprese le compagnie assicurative controllate (somma delle voci 3.a., da 3.b. a 3.c(5), 3.d., 3.e.(1) e 3.e.(2) meno 3.c.(6)]</w:t>
            </w:r>
          </w:p>
        </w:tc>
      </w:tr>
      <w:tr w:rsidRPr="001404DB" w:rsidR="00AE1893" w:rsidTr="00BC3A1F" w14:paraId="09A3B543" w14:textId="77777777">
        <w:trPr>
          <w:gridAfter w:val="1"/>
          <w:wAfter w:w="2745" w:type="dxa"/>
          <w:trHeight w:val="450"/>
        </w:trPr>
        <w:tc>
          <w:tcPr>
            <w:tcW w:w="6804" w:type="dxa"/>
            <w:vMerge/>
            <w:tcBorders>
              <w:left w:val="nil"/>
              <w:right w:val="nil"/>
            </w:tcBorders>
            <w:hideMark/>
          </w:tcPr>
          <w:p w:rsidRPr="001404DB" w:rsidR="00AE1893" w:rsidP="00BC3A1F" w:rsidRDefault="00AE1893" w14:paraId="78C3C684" w14:textId="77777777">
            <w:pPr>
              <w:rPr>
                <w:rFonts w:ascii="Arial" w:hAnsi="Arial" w:eastAsia="Times New Roman" w:cs="Arial"/>
                <w:sz w:val="20"/>
                <w:szCs w:val="20"/>
                <w:lang w:eastAsia="en-GB"/>
              </w:rPr>
            </w:pPr>
          </w:p>
        </w:tc>
      </w:tr>
      <w:tr w:rsidRPr="001404DB" w:rsidR="00AE1893" w:rsidTr="00BC3A1F" w14:paraId="3659B1D7" w14:textId="77777777">
        <w:trPr>
          <w:trHeight w:val="300"/>
        </w:trPr>
        <w:tc>
          <w:tcPr>
            <w:tcW w:w="6804" w:type="dxa"/>
            <w:tcBorders>
              <w:left w:val="nil"/>
              <w:bottom w:val="nil"/>
              <w:right w:val="nil"/>
            </w:tcBorders>
            <w:noWrap/>
          </w:tcPr>
          <w:p w:rsidRPr="001404DB" w:rsidR="00AE1893" w:rsidP="00BC3A1F" w:rsidRDefault="00AE1893" w14:paraId="686D6FD4"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1404DB" w:rsidR="00AE1893" w:rsidP="00BC3A1F" w:rsidRDefault="00AE1893" w14:paraId="49680376" w14:textId="77777777">
            <w:pPr>
              <w:jc w:val="center"/>
              <w:rPr>
                <w:rFonts w:ascii="Arial" w:hAnsi="Arial" w:eastAsia="Times New Roman" w:cs="Arial"/>
                <w:b/>
                <w:bCs/>
                <w:sz w:val="20"/>
                <w:szCs w:val="20"/>
                <w:lang w:eastAsia="en-GB"/>
              </w:rPr>
            </w:pPr>
          </w:p>
        </w:tc>
      </w:tr>
      <w:tr w:rsidRPr="001404DB" w:rsidR="00AE1893" w:rsidTr="00BC3A1F" w14:paraId="27059335" w14:textId="77777777">
        <w:trPr>
          <w:trHeight w:val="300"/>
        </w:trPr>
        <w:tc>
          <w:tcPr>
            <w:tcW w:w="6804" w:type="dxa"/>
            <w:tcBorders>
              <w:top w:val="nil"/>
              <w:left w:val="nil"/>
              <w:bottom w:val="single" w:color="auto" w:sz="4" w:space="0"/>
              <w:right w:val="nil"/>
            </w:tcBorders>
            <w:noWrap/>
            <w:hideMark/>
          </w:tcPr>
          <w:p w:rsidRPr="001404DB" w:rsidR="00AE1893" w:rsidP="00BC3A1F" w:rsidRDefault="00AE1893" w14:paraId="2A085521" w14:textId="77777777">
            <w:pPr>
              <w:rPr>
                <w:rFonts w:ascii="Arial" w:hAnsi="Arial" w:eastAsia="Times New Roman" w:cs="Arial"/>
                <w:b/>
                <w:bCs/>
                <w:sz w:val="20"/>
                <w:szCs w:val="20"/>
              </w:rPr>
            </w:pPr>
            <w:r w:rsidRPr="001404DB">
              <w:rPr>
                <w:rFonts w:ascii="Arial" w:hAnsi="Arial"/>
                <w:b/>
                <w:sz w:val="20"/>
              </w:rPr>
              <w:t>Sezione 4 – Passività verso altri enti finanziari</w:t>
            </w:r>
          </w:p>
        </w:tc>
        <w:tc>
          <w:tcPr>
            <w:tcW w:w="2745" w:type="dxa"/>
            <w:tcBorders>
              <w:top w:val="nil"/>
              <w:left w:val="nil"/>
              <w:right w:val="nil"/>
            </w:tcBorders>
            <w:hideMark/>
          </w:tcPr>
          <w:p w:rsidRPr="001404DB" w:rsidR="00AE1893" w:rsidP="00BC3A1F" w:rsidRDefault="00AE1893" w14:paraId="1CB6AC88" w14:textId="77777777">
            <w:pPr>
              <w:jc w:val="center"/>
              <w:rPr>
                <w:rFonts w:ascii="Arial" w:hAnsi="Arial" w:eastAsia="Times New Roman" w:cs="Arial"/>
                <w:b/>
                <w:bCs/>
                <w:sz w:val="20"/>
                <w:szCs w:val="20"/>
              </w:rPr>
            </w:pPr>
            <w:r w:rsidRPr="001404DB">
              <w:rPr>
                <w:rFonts w:ascii="Arial" w:hAnsi="Arial"/>
                <w:b/>
                <w:sz w:val="20"/>
              </w:rPr>
              <w:t>Importo</w:t>
            </w:r>
          </w:p>
        </w:tc>
      </w:tr>
      <w:tr w:rsidRPr="001404DB" w:rsidR="00AE1893" w:rsidTr="00BC3A1F" w14:paraId="724EFAED" w14:textId="77777777">
        <w:trPr>
          <w:gridAfter w:val="1"/>
          <w:wAfter w:w="2745" w:type="dxa"/>
          <w:trHeight w:val="300"/>
        </w:trPr>
        <w:tc>
          <w:tcPr>
            <w:tcW w:w="6804" w:type="dxa"/>
            <w:tcBorders>
              <w:left w:val="nil"/>
              <w:right w:val="nil"/>
            </w:tcBorders>
            <w:noWrap/>
            <w:hideMark/>
          </w:tcPr>
          <w:p w:rsidRPr="001404DB" w:rsidR="00AE1893" w:rsidP="00BC3A1F" w:rsidRDefault="00AE1893" w14:paraId="1BED1BC4" w14:textId="77777777">
            <w:pPr>
              <w:ind w:left="171" w:firstLine="28" w:firstLineChars="14"/>
              <w:rPr>
                <w:rFonts w:ascii="Arial" w:hAnsi="Arial" w:eastAsia="Times New Roman" w:cs="Arial"/>
                <w:sz w:val="20"/>
                <w:szCs w:val="20"/>
              </w:rPr>
            </w:pPr>
            <w:r w:rsidRPr="001404DB">
              <w:rPr>
                <w:rFonts w:ascii="Arial" w:hAnsi="Arial"/>
                <w:sz w:val="20"/>
              </w:rPr>
              <w:t>a. Fondi depositati da altri enti finanziari o presi in prestito presso altri enti finanziari</w:t>
            </w:r>
          </w:p>
        </w:tc>
      </w:tr>
      <w:tr w:rsidRPr="001404DB" w:rsidR="00AE1893" w:rsidTr="00BC3A1F" w14:paraId="33EA0834" w14:textId="77777777">
        <w:trPr>
          <w:trHeight w:val="300"/>
        </w:trPr>
        <w:tc>
          <w:tcPr>
            <w:tcW w:w="6804" w:type="dxa"/>
            <w:tcBorders>
              <w:left w:val="nil"/>
              <w:right w:val="nil"/>
            </w:tcBorders>
            <w:noWrap/>
            <w:hideMark/>
          </w:tcPr>
          <w:p w:rsidRPr="001404DB" w:rsidR="00AE1893" w:rsidP="00BC3A1F" w:rsidRDefault="00AE1893" w14:paraId="5AFD564C" w14:textId="77777777">
            <w:pPr>
              <w:ind w:firstLine="400" w:firstLineChars="200"/>
              <w:rPr>
                <w:rFonts w:ascii="Arial" w:hAnsi="Arial" w:eastAsia="Times New Roman" w:cs="Arial"/>
                <w:sz w:val="20"/>
                <w:szCs w:val="20"/>
              </w:rPr>
            </w:pPr>
            <w:r w:rsidRPr="001404DB">
              <w:rPr>
                <w:rFonts w:ascii="Arial" w:hAnsi="Arial"/>
                <w:sz w:val="20"/>
                <w:lang w:eastAsia="en-GB"/>
              </w:rPr>
              <w:t xml:space="preserve">(1) </w:t>
            </w:r>
            <w:r w:rsidRPr="001404DB">
              <w:rPr>
                <w:rFonts w:ascii="Arial" w:hAnsi="Arial"/>
                <w:sz w:val="20"/>
              </w:rPr>
              <w:t>Depositi dovuti a enti depositari</w:t>
            </w:r>
          </w:p>
        </w:tc>
        <w:tc>
          <w:tcPr>
            <w:tcW w:w="2745" w:type="dxa"/>
            <w:tcBorders>
              <w:left w:val="nil"/>
              <w:right w:val="nil"/>
            </w:tcBorders>
            <w:noWrap/>
            <w:hideMark/>
          </w:tcPr>
          <w:p w:rsidRPr="001404DB" w:rsidR="00AE1893" w:rsidP="00BC3A1F" w:rsidRDefault="00AE1893" w14:paraId="43E499B8"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613C3DA8" w14:textId="77777777">
        <w:trPr>
          <w:trHeight w:val="300"/>
        </w:trPr>
        <w:tc>
          <w:tcPr>
            <w:tcW w:w="6804" w:type="dxa"/>
            <w:tcBorders>
              <w:left w:val="nil"/>
              <w:right w:val="nil"/>
            </w:tcBorders>
            <w:noWrap/>
            <w:hideMark/>
          </w:tcPr>
          <w:p w:rsidRPr="001404DB" w:rsidR="00AE1893" w:rsidP="00BC3A1F" w:rsidRDefault="00AE1893" w14:paraId="34497CFF" w14:textId="77777777">
            <w:pPr>
              <w:ind w:firstLine="400" w:firstLineChars="200"/>
              <w:rPr>
                <w:rFonts w:ascii="Arial" w:hAnsi="Arial" w:eastAsia="Times New Roman" w:cs="Arial"/>
                <w:sz w:val="20"/>
                <w:szCs w:val="20"/>
              </w:rPr>
            </w:pPr>
            <w:r w:rsidRPr="001404DB">
              <w:rPr>
                <w:rFonts w:ascii="Arial" w:hAnsi="Arial"/>
                <w:sz w:val="20"/>
                <w:lang w:eastAsia="en-GB"/>
              </w:rPr>
              <w:t xml:space="preserve">(2) </w:t>
            </w:r>
            <w:r w:rsidRPr="001404DB">
              <w:rPr>
                <w:rFonts w:ascii="Arial" w:hAnsi="Arial"/>
                <w:sz w:val="20"/>
              </w:rPr>
              <w:t>Depositi dovuti a enti finanziari non depositari</w:t>
            </w:r>
          </w:p>
        </w:tc>
        <w:tc>
          <w:tcPr>
            <w:tcW w:w="2745" w:type="dxa"/>
            <w:tcBorders>
              <w:left w:val="nil"/>
              <w:right w:val="nil"/>
            </w:tcBorders>
            <w:noWrap/>
            <w:hideMark/>
          </w:tcPr>
          <w:p w:rsidRPr="001404DB" w:rsidR="00AE1893" w:rsidP="00BC3A1F" w:rsidRDefault="00AE1893" w14:paraId="024D0EC5"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0A762813" w14:textId="77777777">
        <w:trPr>
          <w:trHeight w:val="300"/>
        </w:trPr>
        <w:tc>
          <w:tcPr>
            <w:tcW w:w="6804" w:type="dxa"/>
            <w:tcBorders>
              <w:left w:val="nil"/>
              <w:right w:val="nil"/>
            </w:tcBorders>
            <w:noWrap/>
            <w:hideMark/>
          </w:tcPr>
          <w:p w:rsidRPr="001404DB" w:rsidR="00AE1893" w:rsidP="00BC3A1F" w:rsidRDefault="00AE1893" w14:paraId="5F1648AC" w14:textId="77777777">
            <w:pPr>
              <w:ind w:firstLine="400" w:firstLineChars="200"/>
              <w:rPr>
                <w:rFonts w:ascii="Arial" w:hAnsi="Arial" w:eastAsia="Times New Roman" w:cs="Arial"/>
                <w:sz w:val="20"/>
                <w:szCs w:val="20"/>
              </w:rPr>
            </w:pPr>
            <w:r w:rsidRPr="001404DB">
              <w:rPr>
                <w:rFonts w:ascii="Arial" w:hAnsi="Arial"/>
                <w:sz w:val="20"/>
                <w:lang w:eastAsia="en-GB"/>
              </w:rPr>
              <w:t xml:space="preserve">(3) </w:t>
            </w:r>
            <w:r w:rsidRPr="001404DB">
              <w:rPr>
                <w:rFonts w:ascii="Arial" w:hAnsi="Arial"/>
                <w:sz w:val="20"/>
              </w:rPr>
              <w:t>Prestiti ottenuti da altri enti finanziari</w:t>
            </w:r>
          </w:p>
        </w:tc>
        <w:tc>
          <w:tcPr>
            <w:tcW w:w="2745" w:type="dxa"/>
            <w:tcBorders>
              <w:left w:val="nil"/>
              <w:right w:val="nil"/>
            </w:tcBorders>
            <w:noWrap/>
            <w:hideMark/>
          </w:tcPr>
          <w:p w:rsidRPr="001404DB" w:rsidR="00AE1893" w:rsidP="00BC3A1F" w:rsidRDefault="00AE1893" w14:paraId="74EEDBE0"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56013CCF" w14:textId="77777777">
        <w:trPr>
          <w:trHeight w:val="300"/>
        </w:trPr>
        <w:tc>
          <w:tcPr>
            <w:tcW w:w="6804" w:type="dxa"/>
            <w:tcBorders>
              <w:left w:val="nil"/>
              <w:right w:val="nil"/>
            </w:tcBorders>
            <w:noWrap/>
          </w:tcPr>
          <w:p w:rsidRPr="001404DB" w:rsidR="00AE1893" w:rsidP="00BC3A1F" w:rsidRDefault="00AE1893" w14:paraId="71EC1294" w14:textId="77777777">
            <w:pPr>
              <w:ind w:left="171"/>
              <w:rPr>
                <w:rFonts w:ascii="Arial" w:hAnsi="Arial" w:eastAsia="Times New Roman" w:cs="Arial"/>
                <w:sz w:val="20"/>
                <w:szCs w:val="20"/>
              </w:rPr>
            </w:pPr>
            <w:r w:rsidRPr="001404DB">
              <w:rPr>
                <w:rFonts w:ascii="Arial" w:hAnsi="Arial"/>
                <w:sz w:val="20"/>
              </w:rPr>
              <w:lastRenderedPageBreak/>
              <w:t>b. Porzione non utilizzata delle linee impegnate ottenute da altri enti finanziari</w:t>
            </w:r>
          </w:p>
        </w:tc>
        <w:tc>
          <w:tcPr>
            <w:tcW w:w="2745" w:type="dxa"/>
            <w:tcBorders>
              <w:left w:val="nil"/>
              <w:right w:val="nil"/>
            </w:tcBorders>
            <w:noWrap/>
          </w:tcPr>
          <w:p w:rsidRPr="001404DB" w:rsidR="00AE1893" w:rsidP="00BC3A1F" w:rsidRDefault="00AE1893" w14:paraId="0891A205" w14:textId="77777777">
            <w:pPr>
              <w:jc w:val="right"/>
              <w:rPr>
                <w:rFonts w:ascii="Arial" w:hAnsi="Arial" w:eastAsia="Times New Roman" w:cs="Arial"/>
                <w:sz w:val="20"/>
                <w:szCs w:val="20"/>
                <w:lang w:eastAsia="en-GB"/>
              </w:rPr>
            </w:pPr>
          </w:p>
        </w:tc>
      </w:tr>
      <w:tr w:rsidRPr="001404DB" w:rsidR="00AE1893" w:rsidTr="00BC3A1F" w14:paraId="6BD26974" w14:textId="77777777">
        <w:trPr>
          <w:trHeight w:val="300"/>
        </w:trPr>
        <w:tc>
          <w:tcPr>
            <w:tcW w:w="6804" w:type="dxa"/>
            <w:tcBorders>
              <w:left w:val="nil"/>
              <w:right w:val="nil"/>
            </w:tcBorders>
            <w:noWrap/>
          </w:tcPr>
          <w:p w:rsidRPr="001404DB" w:rsidR="00AE1893" w:rsidP="00BC3A1F" w:rsidRDefault="00AE1893" w14:paraId="0886A460" w14:textId="77777777">
            <w:pPr>
              <w:ind w:left="171"/>
              <w:rPr>
                <w:rFonts w:ascii="Arial" w:hAnsi="Arial" w:eastAsia="Times New Roman" w:cs="Arial"/>
                <w:sz w:val="20"/>
                <w:szCs w:val="20"/>
              </w:rPr>
            </w:pPr>
            <w:r w:rsidRPr="001404DB">
              <w:rPr>
                <w:rFonts w:ascii="Arial" w:hAnsi="Arial"/>
                <w:sz w:val="20"/>
              </w:rPr>
              <w:t>c. Esposizione corrente netta negativa delle operazioni di finanziamento tramite titoli con altri enti finanziari</w:t>
            </w:r>
          </w:p>
        </w:tc>
        <w:tc>
          <w:tcPr>
            <w:tcW w:w="2745" w:type="dxa"/>
            <w:tcBorders>
              <w:left w:val="nil"/>
              <w:right w:val="nil"/>
            </w:tcBorders>
            <w:noWrap/>
          </w:tcPr>
          <w:p w:rsidRPr="001404DB" w:rsidR="00AE1893" w:rsidP="00BC3A1F" w:rsidRDefault="00AE1893" w14:paraId="305C9BD1" w14:textId="77777777">
            <w:pPr>
              <w:jc w:val="right"/>
              <w:rPr>
                <w:rFonts w:ascii="Arial" w:hAnsi="Arial" w:eastAsia="Times New Roman" w:cs="Arial"/>
                <w:sz w:val="20"/>
                <w:szCs w:val="20"/>
                <w:lang w:eastAsia="en-GB"/>
              </w:rPr>
            </w:pPr>
          </w:p>
        </w:tc>
      </w:tr>
      <w:tr w:rsidRPr="001404DB" w:rsidR="00AE1893" w:rsidTr="00BC3A1F" w14:paraId="46E54276" w14:textId="77777777">
        <w:trPr>
          <w:trHeight w:val="300"/>
        </w:trPr>
        <w:tc>
          <w:tcPr>
            <w:tcW w:w="6804" w:type="dxa"/>
            <w:tcBorders>
              <w:left w:val="nil"/>
              <w:bottom w:val="single" w:color="auto" w:sz="4" w:space="0"/>
              <w:right w:val="nil"/>
            </w:tcBorders>
            <w:noWrap/>
          </w:tcPr>
          <w:p w:rsidRPr="001404DB" w:rsidR="00AE1893" w:rsidP="00BC3A1F" w:rsidRDefault="00AE1893" w14:paraId="022480C1" w14:textId="77777777">
            <w:pPr>
              <w:ind w:left="171"/>
              <w:rPr>
                <w:rFonts w:ascii="Arial" w:hAnsi="Arial" w:eastAsia="Times New Roman" w:cs="Arial"/>
                <w:sz w:val="20"/>
                <w:szCs w:val="20"/>
              </w:rPr>
            </w:pPr>
            <w:r w:rsidRPr="001404DB">
              <w:rPr>
                <w:rFonts w:ascii="Arial" w:hAnsi="Arial"/>
                <w:sz w:val="20"/>
              </w:rPr>
              <w:t>d. Derivati OTC con altri enti finanziari aventi un valore equo netto negativo:</w:t>
            </w:r>
          </w:p>
        </w:tc>
        <w:tc>
          <w:tcPr>
            <w:tcW w:w="2745" w:type="dxa"/>
            <w:tcBorders>
              <w:left w:val="nil"/>
              <w:bottom w:val="single" w:color="auto" w:sz="4" w:space="0"/>
              <w:right w:val="nil"/>
            </w:tcBorders>
            <w:noWrap/>
          </w:tcPr>
          <w:p w:rsidRPr="001404DB" w:rsidR="00AE1893" w:rsidP="00BC3A1F" w:rsidRDefault="00AE1893" w14:paraId="4D6C1818" w14:textId="77777777">
            <w:pPr>
              <w:jc w:val="right"/>
              <w:rPr>
                <w:rFonts w:ascii="Arial" w:hAnsi="Arial" w:eastAsia="Times New Roman" w:cs="Arial"/>
                <w:sz w:val="20"/>
                <w:szCs w:val="20"/>
                <w:lang w:eastAsia="en-GB"/>
              </w:rPr>
            </w:pPr>
          </w:p>
        </w:tc>
      </w:tr>
      <w:tr w:rsidRPr="001404DB" w:rsidR="00AE1893" w:rsidTr="00BC3A1F" w14:paraId="644CB582" w14:textId="77777777">
        <w:trPr>
          <w:trHeight w:val="300"/>
        </w:trPr>
        <w:tc>
          <w:tcPr>
            <w:tcW w:w="6804" w:type="dxa"/>
            <w:tcBorders>
              <w:left w:val="nil"/>
              <w:right w:val="nil"/>
            </w:tcBorders>
            <w:noWrap/>
            <w:hideMark/>
          </w:tcPr>
          <w:p w:rsidRPr="001404DB" w:rsidR="00AE1893" w:rsidP="00BC3A1F" w:rsidRDefault="00AE1893" w14:paraId="64338F5E" w14:textId="77777777">
            <w:pPr>
              <w:ind w:firstLine="400" w:firstLineChars="200"/>
              <w:rPr>
                <w:rFonts w:ascii="Arial" w:hAnsi="Arial" w:eastAsia="Times New Roman" w:cs="Arial"/>
                <w:sz w:val="20"/>
                <w:szCs w:val="20"/>
              </w:rPr>
            </w:pPr>
            <w:r w:rsidRPr="001404DB">
              <w:rPr>
                <w:rFonts w:ascii="Arial" w:hAnsi="Arial"/>
                <w:sz w:val="20"/>
                <w:lang w:eastAsia="en-GB"/>
              </w:rPr>
              <w:t xml:space="preserve">(1) </w:t>
            </w:r>
            <w:r w:rsidRPr="001404DB">
              <w:rPr>
                <w:rFonts w:ascii="Arial" w:hAnsi="Arial"/>
                <w:sz w:val="20"/>
              </w:rPr>
              <w:t>Valore equo netto negativo</w:t>
            </w:r>
          </w:p>
        </w:tc>
        <w:tc>
          <w:tcPr>
            <w:tcW w:w="2745" w:type="dxa"/>
            <w:tcBorders>
              <w:left w:val="nil"/>
              <w:right w:val="nil"/>
            </w:tcBorders>
            <w:noWrap/>
            <w:hideMark/>
          </w:tcPr>
          <w:p w:rsidRPr="001404DB" w:rsidR="00AE1893" w:rsidP="00BC3A1F" w:rsidRDefault="00AE1893" w14:paraId="290FF592"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0C910DC3" w14:textId="77777777">
        <w:trPr>
          <w:trHeight w:val="300"/>
        </w:trPr>
        <w:tc>
          <w:tcPr>
            <w:tcW w:w="6804" w:type="dxa"/>
            <w:tcBorders>
              <w:left w:val="nil"/>
              <w:right w:val="nil"/>
            </w:tcBorders>
            <w:noWrap/>
            <w:hideMark/>
          </w:tcPr>
          <w:p w:rsidRPr="001404DB" w:rsidR="00AE1893" w:rsidP="00BC3A1F" w:rsidRDefault="00AE1893" w14:paraId="6DDC2366" w14:textId="77777777">
            <w:pPr>
              <w:ind w:firstLine="400" w:firstLineChars="200"/>
              <w:rPr>
                <w:rFonts w:ascii="Arial" w:hAnsi="Arial" w:eastAsia="Times New Roman" w:cs="Arial"/>
                <w:sz w:val="20"/>
                <w:szCs w:val="20"/>
              </w:rPr>
            </w:pPr>
            <w:r w:rsidRPr="001404DB">
              <w:rPr>
                <w:rFonts w:ascii="Arial" w:hAnsi="Arial"/>
                <w:sz w:val="20"/>
                <w:lang w:eastAsia="en-GB"/>
              </w:rPr>
              <w:t xml:space="preserve">(2) </w:t>
            </w:r>
            <w:r w:rsidRPr="001404DB">
              <w:rPr>
                <w:rFonts w:ascii="Arial" w:hAnsi="Arial"/>
                <w:sz w:val="20"/>
              </w:rPr>
              <w:t>Esposizione potenziale futura</w:t>
            </w:r>
          </w:p>
        </w:tc>
        <w:tc>
          <w:tcPr>
            <w:tcW w:w="2745" w:type="dxa"/>
            <w:tcBorders>
              <w:left w:val="nil"/>
              <w:right w:val="nil"/>
            </w:tcBorders>
            <w:noWrap/>
            <w:hideMark/>
          </w:tcPr>
          <w:p w:rsidRPr="001404DB" w:rsidR="00AE1893" w:rsidP="00BC3A1F" w:rsidRDefault="00AE1893" w14:paraId="314704D4"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59F96417" w14:textId="77777777">
        <w:trPr>
          <w:trHeight w:val="300"/>
        </w:trPr>
        <w:tc>
          <w:tcPr>
            <w:tcW w:w="6804" w:type="dxa"/>
            <w:tcBorders>
              <w:left w:val="nil"/>
              <w:bottom w:val="single" w:color="auto" w:sz="4" w:space="0"/>
              <w:right w:val="nil"/>
            </w:tcBorders>
            <w:noWrap/>
          </w:tcPr>
          <w:p w:rsidRPr="001404DB" w:rsidR="00AE1893" w:rsidP="00BC3A1F" w:rsidRDefault="00AE1893" w14:paraId="33C9B607" w14:textId="77777777">
            <w:pPr>
              <w:ind w:left="171"/>
              <w:rPr>
                <w:rFonts w:ascii="Arial" w:hAnsi="Arial" w:eastAsia="Times New Roman" w:cs="Arial"/>
                <w:sz w:val="20"/>
                <w:szCs w:val="20"/>
              </w:rPr>
            </w:pPr>
            <w:r w:rsidRPr="001404DB">
              <w:rPr>
                <w:rFonts w:ascii="Arial" w:hAnsi="Arial"/>
                <w:sz w:val="20"/>
              </w:rPr>
              <w:t>e. Indicatore delle passività verso altri enti finanziari, comprese le compagnie assicurative controllate [somma delle voci da 4.a.(1) a 4.d.(2)]</w:t>
            </w:r>
          </w:p>
        </w:tc>
        <w:tc>
          <w:tcPr>
            <w:tcW w:w="2745" w:type="dxa"/>
            <w:tcBorders>
              <w:left w:val="nil"/>
              <w:bottom w:val="single" w:color="auto" w:sz="4" w:space="0"/>
              <w:right w:val="nil"/>
            </w:tcBorders>
            <w:noWrap/>
          </w:tcPr>
          <w:p w:rsidRPr="001404DB" w:rsidR="00AE1893" w:rsidP="00BC3A1F" w:rsidRDefault="00AE1893" w14:paraId="5C58E942" w14:textId="77777777">
            <w:pPr>
              <w:jc w:val="right"/>
              <w:rPr>
                <w:rFonts w:ascii="Arial" w:hAnsi="Arial" w:eastAsia="Times New Roman" w:cs="Arial"/>
                <w:sz w:val="20"/>
                <w:szCs w:val="20"/>
                <w:lang w:eastAsia="en-GB"/>
              </w:rPr>
            </w:pPr>
          </w:p>
        </w:tc>
      </w:tr>
      <w:tr w:rsidRPr="001404DB" w:rsidR="00AE1893" w:rsidTr="00BC3A1F" w14:paraId="6393C521" w14:textId="77777777">
        <w:trPr>
          <w:trHeight w:val="300"/>
        </w:trPr>
        <w:tc>
          <w:tcPr>
            <w:tcW w:w="6804" w:type="dxa"/>
            <w:tcBorders>
              <w:left w:val="nil"/>
              <w:bottom w:val="nil"/>
              <w:right w:val="nil"/>
            </w:tcBorders>
            <w:noWrap/>
          </w:tcPr>
          <w:p w:rsidRPr="001404DB" w:rsidR="00AE1893" w:rsidP="00BC3A1F" w:rsidRDefault="00AE1893" w14:paraId="4F819B66"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1404DB" w:rsidR="00AE1893" w:rsidP="00BC3A1F" w:rsidRDefault="00AE1893" w14:paraId="3A33781D" w14:textId="77777777">
            <w:pPr>
              <w:jc w:val="center"/>
              <w:rPr>
                <w:rFonts w:ascii="Arial" w:hAnsi="Arial" w:eastAsia="Times New Roman" w:cs="Arial"/>
                <w:b/>
                <w:bCs/>
                <w:sz w:val="20"/>
                <w:szCs w:val="20"/>
                <w:lang w:eastAsia="en-GB"/>
              </w:rPr>
            </w:pPr>
          </w:p>
        </w:tc>
      </w:tr>
      <w:tr w:rsidRPr="001404DB" w:rsidR="00AE1893" w:rsidTr="00BC3A1F" w14:paraId="246D4149" w14:textId="77777777">
        <w:trPr>
          <w:trHeight w:val="300"/>
        </w:trPr>
        <w:tc>
          <w:tcPr>
            <w:tcW w:w="6804" w:type="dxa"/>
            <w:tcBorders>
              <w:top w:val="nil"/>
              <w:left w:val="nil"/>
              <w:right w:val="nil"/>
            </w:tcBorders>
            <w:noWrap/>
            <w:hideMark/>
          </w:tcPr>
          <w:p w:rsidRPr="001404DB" w:rsidR="00AE1893" w:rsidP="00BC3A1F" w:rsidRDefault="00AE1893" w14:paraId="36FE5F9A" w14:textId="77777777">
            <w:pPr>
              <w:rPr>
                <w:rFonts w:ascii="Arial" w:hAnsi="Arial" w:eastAsia="Times New Roman" w:cs="Arial"/>
                <w:b/>
                <w:bCs/>
                <w:sz w:val="20"/>
                <w:szCs w:val="20"/>
              </w:rPr>
            </w:pPr>
            <w:r w:rsidRPr="001404DB">
              <w:rPr>
                <w:rFonts w:ascii="Arial" w:hAnsi="Arial"/>
                <w:b/>
                <w:sz w:val="20"/>
              </w:rPr>
              <w:t>Sezione 5 – Titoli in circolazione</w:t>
            </w:r>
          </w:p>
        </w:tc>
        <w:tc>
          <w:tcPr>
            <w:tcW w:w="2745" w:type="dxa"/>
            <w:tcBorders>
              <w:top w:val="nil"/>
              <w:left w:val="nil"/>
              <w:right w:val="nil"/>
            </w:tcBorders>
            <w:hideMark/>
          </w:tcPr>
          <w:p w:rsidRPr="001404DB" w:rsidR="00AE1893" w:rsidP="00BC3A1F" w:rsidRDefault="00AE1893" w14:paraId="57A65DE7" w14:textId="77777777">
            <w:pPr>
              <w:jc w:val="center"/>
              <w:rPr>
                <w:rFonts w:ascii="Arial" w:hAnsi="Arial" w:eastAsia="Times New Roman" w:cs="Arial"/>
                <w:b/>
                <w:bCs/>
                <w:sz w:val="20"/>
                <w:szCs w:val="20"/>
              </w:rPr>
            </w:pPr>
            <w:r w:rsidRPr="001404DB">
              <w:rPr>
                <w:rFonts w:ascii="Arial" w:hAnsi="Arial"/>
                <w:b/>
                <w:sz w:val="20"/>
              </w:rPr>
              <w:t>Importo</w:t>
            </w:r>
          </w:p>
        </w:tc>
      </w:tr>
      <w:tr w:rsidRPr="001404DB" w:rsidR="00AE1893" w:rsidTr="00BC3A1F" w14:paraId="75E340CE" w14:textId="77777777">
        <w:trPr>
          <w:trHeight w:val="300"/>
        </w:trPr>
        <w:tc>
          <w:tcPr>
            <w:tcW w:w="6804" w:type="dxa"/>
            <w:tcBorders>
              <w:left w:val="nil"/>
              <w:right w:val="nil"/>
            </w:tcBorders>
            <w:noWrap/>
            <w:hideMark/>
          </w:tcPr>
          <w:p w:rsidRPr="001404DB" w:rsidR="00AE1893" w:rsidP="00BC3A1F" w:rsidRDefault="00AE1893" w14:paraId="0E6E433F" w14:textId="77777777">
            <w:pPr>
              <w:ind w:firstLine="200" w:firstLineChars="100"/>
              <w:rPr>
                <w:rFonts w:ascii="Arial" w:hAnsi="Arial" w:eastAsia="Times New Roman" w:cs="Arial"/>
                <w:sz w:val="20"/>
                <w:szCs w:val="20"/>
              </w:rPr>
            </w:pPr>
            <w:r w:rsidRPr="001404DB">
              <w:rPr>
                <w:rFonts w:ascii="Arial" w:hAnsi="Arial"/>
                <w:sz w:val="20"/>
              </w:rPr>
              <w:t>a. Titoli di debito garantiti</w:t>
            </w:r>
          </w:p>
        </w:tc>
        <w:tc>
          <w:tcPr>
            <w:tcW w:w="2745" w:type="dxa"/>
            <w:tcBorders>
              <w:left w:val="nil"/>
              <w:right w:val="nil"/>
            </w:tcBorders>
            <w:noWrap/>
            <w:hideMark/>
          </w:tcPr>
          <w:p w:rsidRPr="001404DB" w:rsidR="00AE1893" w:rsidP="00BC3A1F" w:rsidRDefault="00AE1893" w14:paraId="3716846E"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197CFC04" w14:textId="77777777">
        <w:trPr>
          <w:trHeight w:val="300"/>
        </w:trPr>
        <w:tc>
          <w:tcPr>
            <w:tcW w:w="6804" w:type="dxa"/>
            <w:tcBorders>
              <w:left w:val="nil"/>
              <w:right w:val="nil"/>
            </w:tcBorders>
            <w:noWrap/>
            <w:hideMark/>
          </w:tcPr>
          <w:p w:rsidRPr="001404DB" w:rsidR="00AE1893" w:rsidP="00BC3A1F" w:rsidRDefault="00AE1893" w14:paraId="2A3A1EAA" w14:textId="77777777">
            <w:pPr>
              <w:ind w:firstLine="200" w:firstLineChars="100"/>
              <w:rPr>
                <w:rFonts w:ascii="Arial" w:hAnsi="Arial" w:eastAsia="Times New Roman" w:cs="Arial"/>
                <w:sz w:val="20"/>
                <w:szCs w:val="20"/>
              </w:rPr>
            </w:pPr>
            <w:r w:rsidRPr="001404DB">
              <w:rPr>
                <w:rFonts w:ascii="Arial" w:hAnsi="Arial"/>
                <w:sz w:val="20"/>
              </w:rPr>
              <w:t>b. Titoli di debito senior non garantiti</w:t>
            </w:r>
          </w:p>
        </w:tc>
        <w:tc>
          <w:tcPr>
            <w:tcW w:w="2745" w:type="dxa"/>
            <w:tcBorders>
              <w:left w:val="nil"/>
              <w:right w:val="nil"/>
            </w:tcBorders>
            <w:noWrap/>
            <w:hideMark/>
          </w:tcPr>
          <w:p w:rsidRPr="001404DB" w:rsidR="00AE1893" w:rsidP="00BC3A1F" w:rsidRDefault="00AE1893" w14:paraId="12B7351B"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6A046977" w14:textId="77777777">
        <w:trPr>
          <w:trHeight w:val="300"/>
        </w:trPr>
        <w:tc>
          <w:tcPr>
            <w:tcW w:w="6804" w:type="dxa"/>
            <w:tcBorders>
              <w:left w:val="nil"/>
              <w:right w:val="nil"/>
            </w:tcBorders>
            <w:noWrap/>
            <w:hideMark/>
          </w:tcPr>
          <w:p w:rsidRPr="001404DB" w:rsidR="00AE1893" w:rsidP="00BC3A1F" w:rsidRDefault="00AE1893" w14:paraId="6ADCE990" w14:textId="77777777">
            <w:pPr>
              <w:ind w:firstLine="200" w:firstLineChars="100"/>
              <w:rPr>
                <w:rFonts w:ascii="Arial" w:hAnsi="Arial" w:eastAsia="Times New Roman" w:cs="Arial"/>
                <w:sz w:val="20"/>
                <w:szCs w:val="20"/>
              </w:rPr>
            </w:pPr>
            <w:r w:rsidRPr="001404DB">
              <w:rPr>
                <w:rFonts w:ascii="Arial" w:hAnsi="Arial"/>
                <w:sz w:val="20"/>
              </w:rPr>
              <w:t>c. Titoli di debito subordinati</w:t>
            </w:r>
          </w:p>
        </w:tc>
        <w:tc>
          <w:tcPr>
            <w:tcW w:w="2745" w:type="dxa"/>
            <w:tcBorders>
              <w:left w:val="nil"/>
              <w:right w:val="nil"/>
            </w:tcBorders>
            <w:noWrap/>
            <w:hideMark/>
          </w:tcPr>
          <w:p w:rsidRPr="001404DB" w:rsidR="00AE1893" w:rsidP="00BC3A1F" w:rsidRDefault="00AE1893" w14:paraId="37F9176C"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23919693" w14:textId="77777777">
        <w:trPr>
          <w:trHeight w:val="300"/>
        </w:trPr>
        <w:tc>
          <w:tcPr>
            <w:tcW w:w="6804" w:type="dxa"/>
            <w:tcBorders>
              <w:left w:val="nil"/>
              <w:right w:val="nil"/>
            </w:tcBorders>
            <w:noWrap/>
            <w:hideMark/>
          </w:tcPr>
          <w:p w:rsidRPr="001404DB" w:rsidR="00AE1893" w:rsidP="00BC3A1F" w:rsidRDefault="00AE1893" w14:paraId="464EF543" w14:textId="77777777">
            <w:pPr>
              <w:ind w:firstLine="200" w:firstLineChars="100"/>
              <w:rPr>
                <w:rFonts w:ascii="Arial" w:hAnsi="Arial" w:eastAsia="Times New Roman" w:cs="Arial"/>
                <w:sz w:val="20"/>
                <w:szCs w:val="20"/>
              </w:rPr>
            </w:pPr>
            <w:r w:rsidRPr="001404DB">
              <w:rPr>
                <w:rFonts w:ascii="Arial" w:hAnsi="Arial"/>
                <w:sz w:val="20"/>
              </w:rPr>
              <w:t>d. Commercial paper</w:t>
            </w:r>
          </w:p>
        </w:tc>
        <w:tc>
          <w:tcPr>
            <w:tcW w:w="2745" w:type="dxa"/>
            <w:tcBorders>
              <w:left w:val="nil"/>
              <w:right w:val="nil"/>
            </w:tcBorders>
            <w:noWrap/>
            <w:hideMark/>
          </w:tcPr>
          <w:p w:rsidRPr="001404DB" w:rsidR="00AE1893" w:rsidP="00BC3A1F" w:rsidRDefault="00AE1893" w14:paraId="5E23EEEB"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57454939" w14:textId="77777777">
        <w:trPr>
          <w:trHeight w:val="300"/>
        </w:trPr>
        <w:tc>
          <w:tcPr>
            <w:tcW w:w="6804" w:type="dxa"/>
            <w:tcBorders>
              <w:left w:val="nil"/>
              <w:right w:val="nil"/>
            </w:tcBorders>
            <w:noWrap/>
            <w:hideMark/>
          </w:tcPr>
          <w:p w:rsidRPr="001404DB" w:rsidR="00AE1893" w:rsidP="00BC3A1F" w:rsidRDefault="00AE1893" w14:paraId="234A39C8" w14:textId="77777777">
            <w:pPr>
              <w:ind w:firstLine="200" w:firstLineChars="100"/>
              <w:rPr>
                <w:rFonts w:ascii="Arial" w:hAnsi="Arial" w:eastAsia="Times New Roman" w:cs="Arial"/>
                <w:sz w:val="20"/>
                <w:szCs w:val="20"/>
              </w:rPr>
            </w:pPr>
            <w:r w:rsidRPr="001404DB">
              <w:rPr>
                <w:rFonts w:ascii="Arial" w:hAnsi="Arial"/>
                <w:sz w:val="20"/>
              </w:rPr>
              <w:t>e. Certificati di deposito</w:t>
            </w:r>
          </w:p>
        </w:tc>
        <w:tc>
          <w:tcPr>
            <w:tcW w:w="2745" w:type="dxa"/>
            <w:tcBorders>
              <w:left w:val="nil"/>
              <w:right w:val="nil"/>
            </w:tcBorders>
            <w:noWrap/>
            <w:hideMark/>
          </w:tcPr>
          <w:p w:rsidRPr="001404DB" w:rsidR="00AE1893" w:rsidP="00BC3A1F" w:rsidRDefault="00AE1893" w14:paraId="71975FDB"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27D76613" w14:textId="77777777">
        <w:trPr>
          <w:trHeight w:val="300"/>
        </w:trPr>
        <w:tc>
          <w:tcPr>
            <w:tcW w:w="6804" w:type="dxa"/>
            <w:tcBorders>
              <w:left w:val="nil"/>
              <w:right w:val="nil"/>
            </w:tcBorders>
            <w:noWrap/>
            <w:hideMark/>
          </w:tcPr>
          <w:p w:rsidRPr="001404DB" w:rsidR="00AE1893" w:rsidP="00BC3A1F" w:rsidRDefault="00AE1893" w14:paraId="1816E281" w14:textId="77777777">
            <w:pPr>
              <w:ind w:firstLine="200" w:firstLineChars="100"/>
              <w:rPr>
                <w:rFonts w:ascii="Arial" w:hAnsi="Arial" w:eastAsia="Times New Roman" w:cs="Arial"/>
                <w:sz w:val="20"/>
                <w:szCs w:val="20"/>
              </w:rPr>
            </w:pPr>
            <w:r w:rsidRPr="001404DB">
              <w:rPr>
                <w:rFonts w:ascii="Arial" w:hAnsi="Arial"/>
                <w:sz w:val="20"/>
              </w:rPr>
              <w:t>f. Capitale primario</w:t>
            </w:r>
          </w:p>
        </w:tc>
        <w:tc>
          <w:tcPr>
            <w:tcW w:w="2745" w:type="dxa"/>
            <w:tcBorders>
              <w:left w:val="nil"/>
              <w:right w:val="nil"/>
            </w:tcBorders>
            <w:noWrap/>
            <w:hideMark/>
          </w:tcPr>
          <w:p w:rsidRPr="001404DB" w:rsidR="00AE1893" w:rsidP="00BC3A1F" w:rsidRDefault="00AE1893" w14:paraId="40FC3DB0"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31B06A69" w14:textId="77777777">
        <w:trPr>
          <w:trHeight w:val="300"/>
        </w:trPr>
        <w:tc>
          <w:tcPr>
            <w:tcW w:w="6804" w:type="dxa"/>
            <w:tcBorders>
              <w:left w:val="nil"/>
              <w:right w:val="nil"/>
            </w:tcBorders>
            <w:noWrap/>
          </w:tcPr>
          <w:p w:rsidRPr="001404DB" w:rsidR="00AE1893" w:rsidP="00BC3A1F" w:rsidRDefault="00AE1893" w14:paraId="0D73B847" w14:textId="77777777">
            <w:pPr>
              <w:ind w:left="171"/>
              <w:rPr>
                <w:rFonts w:ascii="Arial" w:hAnsi="Arial" w:eastAsia="Times New Roman" w:cs="Arial"/>
                <w:sz w:val="20"/>
                <w:szCs w:val="20"/>
              </w:rPr>
            </w:pPr>
            <w:r w:rsidRPr="001404DB">
              <w:rPr>
                <w:rFonts w:ascii="Arial" w:hAnsi="Arial"/>
                <w:sz w:val="20"/>
              </w:rPr>
              <w:t>g. Azioni privilegiate e tutte le altre forme di finanziamenti subordinati non incluse alla voce 5.c.</w:t>
            </w:r>
          </w:p>
        </w:tc>
        <w:tc>
          <w:tcPr>
            <w:tcW w:w="2745" w:type="dxa"/>
            <w:tcBorders>
              <w:left w:val="nil"/>
              <w:right w:val="nil"/>
            </w:tcBorders>
            <w:noWrap/>
          </w:tcPr>
          <w:p w:rsidRPr="001404DB" w:rsidR="00AE1893" w:rsidP="00BC3A1F" w:rsidRDefault="00AE1893" w14:paraId="2B713950" w14:textId="77777777">
            <w:pPr>
              <w:jc w:val="right"/>
              <w:rPr>
                <w:rFonts w:ascii="Arial" w:hAnsi="Arial" w:eastAsia="Times New Roman" w:cs="Arial"/>
                <w:sz w:val="20"/>
                <w:szCs w:val="20"/>
                <w:lang w:eastAsia="en-GB"/>
              </w:rPr>
            </w:pPr>
          </w:p>
        </w:tc>
      </w:tr>
      <w:tr w:rsidRPr="001404DB" w:rsidR="00AE1893" w:rsidTr="00BC3A1F" w14:paraId="1D11647A" w14:textId="77777777">
        <w:trPr>
          <w:trHeight w:val="300"/>
        </w:trPr>
        <w:tc>
          <w:tcPr>
            <w:tcW w:w="6804" w:type="dxa"/>
            <w:tcBorders>
              <w:left w:val="nil"/>
              <w:bottom w:val="single" w:color="auto" w:sz="4" w:space="0"/>
              <w:right w:val="nil"/>
            </w:tcBorders>
            <w:noWrap/>
          </w:tcPr>
          <w:p w:rsidRPr="001404DB" w:rsidR="00AE1893" w:rsidP="00BC3A1F" w:rsidRDefault="00AE1893" w14:paraId="57EF0866" w14:textId="77777777">
            <w:pPr>
              <w:ind w:left="171"/>
              <w:rPr>
                <w:rFonts w:ascii="Arial" w:hAnsi="Arial" w:eastAsia="Times New Roman" w:cs="Arial"/>
                <w:sz w:val="20"/>
                <w:szCs w:val="20"/>
              </w:rPr>
            </w:pPr>
            <w:r w:rsidRPr="001404DB">
              <w:rPr>
                <w:rFonts w:ascii="Arial" w:hAnsi="Arial"/>
                <w:sz w:val="20"/>
              </w:rPr>
              <w:t>h. Indicatore dei titoli in circolazione, compresi i titoli emessi da compagnie assicurative controllate (somma delle voci da 5.a. a 5.g.)</w:t>
            </w:r>
          </w:p>
        </w:tc>
        <w:tc>
          <w:tcPr>
            <w:tcW w:w="2745" w:type="dxa"/>
            <w:tcBorders>
              <w:left w:val="nil"/>
              <w:bottom w:val="single" w:color="auto" w:sz="4" w:space="0"/>
              <w:right w:val="nil"/>
            </w:tcBorders>
            <w:noWrap/>
          </w:tcPr>
          <w:p w:rsidRPr="001404DB" w:rsidR="00AE1893" w:rsidP="00BC3A1F" w:rsidRDefault="00AE1893" w14:paraId="08220B1F" w14:textId="77777777">
            <w:pPr>
              <w:jc w:val="right"/>
              <w:rPr>
                <w:rFonts w:ascii="Arial" w:hAnsi="Arial" w:eastAsia="Times New Roman" w:cs="Arial"/>
                <w:sz w:val="20"/>
                <w:szCs w:val="20"/>
                <w:lang w:eastAsia="en-GB"/>
              </w:rPr>
            </w:pPr>
          </w:p>
        </w:tc>
      </w:tr>
      <w:tr w:rsidRPr="001404DB" w:rsidR="00AE1893" w:rsidTr="00BC3A1F" w14:paraId="5183DCC3" w14:textId="77777777">
        <w:trPr>
          <w:trHeight w:val="300"/>
        </w:trPr>
        <w:tc>
          <w:tcPr>
            <w:tcW w:w="6804" w:type="dxa"/>
            <w:tcBorders>
              <w:top w:val="single" w:color="auto" w:sz="4" w:space="0"/>
              <w:left w:val="nil"/>
              <w:bottom w:val="nil"/>
              <w:right w:val="nil"/>
            </w:tcBorders>
            <w:noWrap/>
          </w:tcPr>
          <w:p w:rsidRPr="001404DB" w:rsidR="00AE1893" w:rsidP="00BC3A1F" w:rsidRDefault="00AE1893" w14:paraId="3F486959" w14:textId="77777777">
            <w:pPr>
              <w:keepNext/>
              <w:keepLines/>
              <w:spacing w:before="47"/>
              <w:outlineLvl w:val="5"/>
              <w:rPr>
                <w:rFonts w:ascii="Arial" w:hAnsi="Arial" w:cs="Arial" w:eastAsiaTheme="majorEastAsia"/>
                <w:b/>
                <w:bCs/>
                <w:i/>
                <w:iCs/>
                <w:caps/>
                <w:spacing w:val="-2"/>
                <w:sz w:val="20"/>
                <w:szCs w:val="20"/>
              </w:rPr>
            </w:pPr>
          </w:p>
        </w:tc>
        <w:tc>
          <w:tcPr>
            <w:tcW w:w="2745" w:type="dxa"/>
            <w:tcBorders>
              <w:top w:val="single" w:color="auto" w:sz="4" w:space="0"/>
              <w:left w:val="nil"/>
              <w:bottom w:val="nil"/>
              <w:right w:val="nil"/>
            </w:tcBorders>
            <w:noWrap/>
          </w:tcPr>
          <w:p w:rsidRPr="001404DB" w:rsidR="00AE1893" w:rsidP="00BC3A1F" w:rsidRDefault="00AE1893" w14:paraId="57FE4AAE" w14:textId="77777777">
            <w:pPr>
              <w:jc w:val="center"/>
              <w:rPr>
                <w:rFonts w:ascii="Arial" w:hAnsi="Arial" w:eastAsia="Times New Roman" w:cs="Arial"/>
                <w:b/>
                <w:bCs/>
                <w:sz w:val="20"/>
                <w:szCs w:val="20"/>
                <w:lang w:eastAsia="en-GB"/>
              </w:rPr>
            </w:pPr>
          </w:p>
        </w:tc>
      </w:tr>
      <w:tr w:rsidRPr="001404DB" w:rsidR="00AE1893" w:rsidTr="00BC3A1F" w14:paraId="125887D7" w14:textId="77777777">
        <w:trPr>
          <w:trHeight w:val="300"/>
        </w:trPr>
        <w:tc>
          <w:tcPr>
            <w:tcW w:w="6804" w:type="dxa"/>
            <w:tcBorders>
              <w:top w:val="nil"/>
              <w:left w:val="nil"/>
              <w:bottom w:val="nil"/>
              <w:right w:val="nil"/>
            </w:tcBorders>
            <w:noWrap/>
          </w:tcPr>
          <w:p w:rsidRPr="001404DB" w:rsidR="00AE1893" w:rsidP="00BC3A1F" w:rsidRDefault="00AE1893" w14:paraId="4AB8FFBA" w14:textId="77777777">
            <w:pPr>
              <w:keepNext/>
              <w:keepLines/>
              <w:spacing w:before="47"/>
              <w:outlineLvl w:val="5"/>
              <w:rPr>
                <w:rFonts w:asciiTheme="majorHAnsi" w:hAnsiTheme="majorHAnsi" w:eastAsiaTheme="majorEastAsia" w:cstheme="majorBidi"/>
                <w:b/>
                <w:bCs/>
                <w:i/>
                <w:iCs/>
                <w:caps/>
                <w:spacing w:val="-2"/>
              </w:rPr>
            </w:pPr>
            <w:r w:rsidRPr="001404DB">
              <w:rPr>
                <w:rFonts w:asciiTheme="majorHAnsi" w:hAnsiTheme="majorHAnsi"/>
                <w:b/>
                <w:i/>
                <w:caps/>
              </w:rPr>
              <w:t>Indicatori della sostituibilità/dell’infrastruttura dell’ente finanziario</w:t>
            </w:r>
          </w:p>
          <w:p w:rsidRPr="001404DB" w:rsidR="00AE1893" w:rsidP="00BC3A1F" w:rsidRDefault="00AE1893" w14:paraId="36376913" w14:textId="77777777">
            <w:pPr>
              <w:rPr>
                <w:rFonts w:ascii="Arial" w:hAnsi="Arial" w:eastAsia="Times New Roman" w:cs="Arial"/>
                <w:b/>
                <w:bCs/>
                <w:sz w:val="20"/>
                <w:szCs w:val="20"/>
                <w:lang w:eastAsia="en-GB"/>
              </w:rPr>
            </w:pPr>
          </w:p>
        </w:tc>
        <w:tc>
          <w:tcPr>
            <w:tcW w:w="2745" w:type="dxa"/>
            <w:tcBorders>
              <w:top w:val="nil"/>
              <w:left w:val="nil"/>
              <w:bottom w:val="nil"/>
              <w:right w:val="nil"/>
            </w:tcBorders>
            <w:noWrap/>
          </w:tcPr>
          <w:p w:rsidRPr="001404DB" w:rsidR="00AE1893" w:rsidP="00BC3A1F" w:rsidRDefault="00AE1893" w14:paraId="06C6C3F7" w14:textId="77777777">
            <w:pPr>
              <w:jc w:val="center"/>
              <w:rPr>
                <w:rFonts w:ascii="Arial" w:hAnsi="Arial" w:eastAsia="Times New Roman" w:cs="Arial"/>
                <w:b/>
                <w:bCs/>
                <w:sz w:val="20"/>
                <w:szCs w:val="20"/>
                <w:lang w:eastAsia="en-GB"/>
              </w:rPr>
            </w:pPr>
          </w:p>
        </w:tc>
      </w:tr>
      <w:tr w:rsidRPr="001404DB" w:rsidR="00AE1893" w:rsidTr="00BC3A1F" w14:paraId="7A59C966" w14:textId="77777777">
        <w:trPr>
          <w:trHeight w:val="300"/>
        </w:trPr>
        <w:tc>
          <w:tcPr>
            <w:tcW w:w="6804" w:type="dxa"/>
            <w:tcBorders>
              <w:left w:val="nil"/>
              <w:bottom w:val="single" w:color="auto" w:sz="4" w:space="0"/>
              <w:right w:val="nil"/>
            </w:tcBorders>
            <w:noWrap/>
          </w:tcPr>
          <w:p w:rsidRPr="001404DB" w:rsidR="00AE1893" w:rsidP="00BC3A1F" w:rsidRDefault="00AE1893" w14:paraId="696003EB" w14:textId="77777777">
            <w:pPr>
              <w:rPr>
                <w:rFonts w:ascii="Arial" w:hAnsi="Arial" w:eastAsia="Times New Roman" w:cs="Arial"/>
                <w:sz w:val="20"/>
                <w:szCs w:val="20"/>
              </w:rPr>
            </w:pPr>
            <w:r w:rsidRPr="001404DB">
              <w:rPr>
                <w:rFonts w:ascii="Arial" w:hAnsi="Arial"/>
                <w:b/>
                <w:sz w:val="20"/>
              </w:rPr>
              <w:t>Sezione 6 – Pagamenti effettuati nell’anno della segnalazione (esclusi i pagamenti infragruppo)</w:t>
            </w:r>
          </w:p>
        </w:tc>
        <w:tc>
          <w:tcPr>
            <w:tcW w:w="2745" w:type="dxa"/>
            <w:tcBorders>
              <w:left w:val="nil"/>
              <w:bottom w:val="single" w:color="auto" w:sz="4" w:space="0"/>
              <w:right w:val="nil"/>
            </w:tcBorders>
            <w:noWrap/>
          </w:tcPr>
          <w:p w:rsidRPr="001404DB" w:rsidR="00AE1893" w:rsidP="00BC3A1F" w:rsidRDefault="00AE1893" w14:paraId="23832CC8" w14:textId="77777777">
            <w:pPr>
              <w:jc w:val="center"/>
              <w:rPr>
                <w:rFonts w:ascii="Arial" w:hAnsi="Arial" w:eastAsia="Times New Roman" w:cs="Arial"/>
                <w:b/>
                <w:bCs/>
                <w:sz w:val="20"/>
                <w:szCs w:val="20"/>
              </w:rPr>
            </w:pPr>
            <w:r w:rsidRPr="001404DB">
              <w:rPr>
                <w:rFonts w:ascii="Arial" w:hAnsi="Arial"/>
                <w:b/>
                <w:sz w:val="20"/>
              </w:rPr>
              <w:t>Importo</w:t>
            </w:r>
          </w:p>
        </w:tc>
      </w:tr>
      <w:tr w:rsidRPr="001404DB" w:rsidR="00AE1893" w:rsidTr="00BC3A1F" w14:paraId="29AEEE09" w14:textId="77777777">
        <w:trPr>
          <w:trHeight w:val="300"/>
        </w:trPr>
        <w:tc>
          <w:tcPr>
            <w:tcW w:w="6804" w:type="dxa"/>
            <w:tcBorders>
              <w:left w:val="nil"/>
              <w:right w:val="nil"/>
            </w:tcBorders>
            <w:noWrap/>
            <w:hideMark/>
          </w:tcPr>
          <w:p w:rsidRPr="001404DB" w:rsidR="00AE1893" w:rsidP="00BC3A1F" w:rsidRDefault="00AE1893" w14:paraId="6190389A" w14:textId="77777777">
            <w:pPr>
              <w:ind w:firstLine="200" w:firstLineChars="100"/>
              <w:rPr>
                <w:rFonts w:ascii="Arial" w:hAnsi="Arial" w:eastAsia="Times New Roman" w:cs="Arial"/>
                <w:sz w:val="20"/>
                <w:szCs w:val="20"/>
              </w:rPr>
            </w:pPr>
            <w:r w:rsidRPr="001404DB">
              <w:rPr>
                <w:rFonts w:ascii="Arial" w:hAnsi="Arial"/>
                <w:sz w:val="20"/>
              </w:rPr>
              <w:t xml:space="preserve"> a. Dollaro australiano (AUD)</w:t>
            </w:r>
          </w:p>
        </w:tc>
        <w:tc>
          <w:tcPr>
            <w:tcW w:w="2745" w:type="dxa"/>
            <w:tcBorders>
              <w:left w:val="nil"/>
              <w:right w:val="nil"/>
            </w:tcBorders>
            <w:noWrap/>
            <w:hideMark/>
          </w:tcPr>
          <w:p w:rsidRPr="001404DB" w:rsidR="00AE1893" w:rsidP="00BC3A1F" w:rsidRDefault="00AE1893" w14:paraId="74D8512C"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4AA5DAAA" w14:textId="77777777">
        <w:trPr>
          <w:trHeight w:val="300"/>
        </w:trPr>
        <w:tc>
          <w:tcPr>
            <w:tcW w:w="6804" w:type="dxa"/>
            <w:tcBorders>
              <w:left w:val="nil"/>
              <w:right w:val="nil"/>
            </w:tcBorders>
            <w:noWrap/>
            <w:hideMark/>
          </w:tcPr>
          <w:p w:rsidRPr="001404DB" w:rsidR="00AE1893" w:rsidP="00BC3A1F" w:rsidRDefault="00AE1893" w14:paraId="36EE9C39" w14:textId="77777777">
            <w:pPr>
              <w:ind w:firstLine="200" w:firstLineChars="100"/>
              <w:rPr>
                <w:rFonts w:ascii="Arial" w:hAnsi="Arial" w:eastAsia="Times New Roman" w:cs="Arial"/>
                <w:sz w:val="20"/>
                <w:szCs w:val="20"/>
              </w:rPr>
            </w:pPr>
            <w:r w:rsidRPr="001404DB">
              <w:rPr>
                <w:rFonts w:ascii="Arial" w:hAnsi="Arial"/>
                <w:sz w:val="20"/>
              </w:rPr>
              <w:t>b. Dollaro canadese (CAD)</w:t>
            </w:r>
          </w:p>
        </w:tc>
        <w:tc>
          <w:tcPr>
            <w:tcW w:w="2745" w:type="dxa"/>
            <w:tcBorders>
              <w:left w:val="nil"/>
              <w:right w:val="nil"/>
            </w:tcBorders>
            <w:noWrap/>
            <w:hideMark/>
          </w:tcPr>
          <w:p w:rsidRPr="001404DB" w:rsidR="00AE1893" w:rsidP="00BC3A1F" w:rsidRDefault="00AE1893" w14:paraId="7AEBFF16"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531889E9" w14:textId="77777777">
        <w:trPr>
          <w:trHeight w:val="300"/>
        </w:trPr>
        <w:tc>
          <w:tcPr>
            <w:tcW w:w="6804" w:type="dxa"/>
            <w:tcBorders>
              <w:left w:val="nil"/>
              <w:right w:val="nil"/>
            </w:tcBorders>
            <w:noWrap/>
            <w:hideMark/>
          </w:tcPr>
          <w:p w:rsidRPr="001404DB" w:rsidR="00AE1893" w:rsidP="00BC3A1F" w:rsidRDefault="00AE1893" w14:paraId="57C28658" w14:textId="77777777">
            <w:pPr>
              <w:ind w:firstLine="200" w:firstLineChars="100"/>
              <w:rPr>
                <w:rFonts w:ascii="Arial" w:hAnsi="Arial" w:eastAsia="Times New Roman" w:cs="Arial"/>
                <w:sz w:val="20"/>
                <w:szCs w:val="20"/>
              </w:rPr>
            </w:pPr>
            <w:r w:rsidRPr="001404DB">
              <w:rPr>
                <w:rFonts w:ascii="Arial" w:hAnsi="Arial"/>
                <w:sz w:val="20"/>
              </w:rPr>
              <w:t>c. Franco svizzero (CHF)</w:t>
            </w:r>
          </w:p>
        </w:tc>
        <w:tc>
          <w:tcPr>
            <w:tcW w:w="2745" w:type="dxa"/>
            <w:tcBorders>
              <w:left w:val="nil"/>
              <w:right w:val="nil"/>
            </w:tcBorders>
            <w:noWrap/>
            <w:hideMark/>
          </w:tcPr>
          <w:p w:rsidRPr="001404DB" w:rsidR="00AE1893" w:rsidP="00BC3A1F" w:rsidRDefault="00AE1893" w14:paraId="5CA8CEF6"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718A9CC9" w14:textId="77777777">
        <w:trPr>
          <w:trHeight w:val="300"/>
        </w:trPr>
        <w:tc>
          <w:tcPr>
            <w:tcW w:w="6804" w:type="dxa"/>
            <w:tcBorders>
              <w:left w:val="nil"/>
              <w:right w:val="nil"/>
            </w:tcBorders>
            <w:noWrap/>
            <w:hideMark/>
          </w:tcPr>
          <w:p w:rsidRPr="001404DB" w:rsidR="00AE1893" w:rsidP="00BC3A1F" w:rsidRDefault="00AE1893" w14:paraId="6F6F819D" w14:textId="77777777">
            <w:pPr>
              <w:ind w:firstLine="200" w:firstLineChars="100"/>
              <w:rPr>
                <w:rFonts w:ascii="Arial" w:hAnsi="Arial" w:eastAsia="Times New Roman" w:cs="Arial"/>
                <w:sz w:val="20"/>
                <w:szCs w:val="20"/>
              </w:rPr>
            </w:pPr>
            <w:r w:rsidRPr="001404DB">
              <w:rPr>
                <w:rFonts w:ascii="Arial" w:hAnsi="Arial"/>
                <w:sz w:val="20"/>
              </w:rPr>
              <w:t>d. Yuan cinese (CNY)</w:t>
            </w:r>
          </w:p>
        </w:tc>
        <w:tc>
          <w:tcPr>
            <w:tcW w:w="2745" w:type="dxa"/>
            <w:tcBorders>
              <w:left w:val="nil"/>
              <w:right w:val="nil"/>
            </w:tcBorders>
            <w:noWrap/>
            <w:hideMark/>
          </w:tcPr>
          <w:p w:rsidRPr="001404DB" w:rsidR="00AE1893" w:rsidP="00BC3A1F" w:rsidRDefault="00AE1893" w14:paraId="23CC594D"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30382BE7" w14:textId="77777777">
        <w:trPr>
          <w:trHeight w:val="300"/>
        </w:trPr>
        <w:tc>
          <w:tcPr>
            <w:tcW w:w="6804" w:type="dxa"/>
            <w:tcBorders>
              <w:left w:val="nil"/>
              <w:right w:val="nil"/>
            </w:tcBorders>
            <w:noWrap/>
            <w:hideMark/>
          </w:tcPr>
          <w:p w:rsidRPr="001404DB" w:rsidR="00AE1893" w:rsidP="00BC3A1F" w:rsidRDefault="00AE1893" w14:paraId="6DADC59A" w14:textId="77777777">
            <w:pPr>
              <w:ind w:firstLine="200" w:firstLineChars="100"/>
              <w:rPr>
                <w:rFonts w:ascii="Arial" w:hAnsi="Arial" w:eastAsia="Times New Roman" w:cs="Arial"/>
                <w:sz w:val="20"/>
                <w:szCs w:val="20"/>
              </w:rPr>
            </w:pPr>
            <w:r w:rsidRPr="001404DB">
              <w:rPr>
                <w:rFonts w:ascii="Arial" w:hAnsi="Arial"/>
                <w:sz w:val="20"/>
              </w:rPr>
              <w:t>e. Euro (EUR)</w:t>
            </w:r>
          </w:p>
        </w:tc>
        <w:tc>
          <w:tcPr>
            <w:tcW w:w="2745" w:type="dxa"/>
            <w:tcBorders>
              <w:left w:val="nil"/>
              <w:right w:val="nil"/>
            </w:tcBorders>
            <w:noWrap/>
            <w:hideMark/>
          </w:tcPr>
          <w:p w:rsidRPr="001404DB" w:rsidR="00AE1893" w:rsidP="00BC3A1F" w:rsidRDefault="00AE1893" w14:paraId="3E828514"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6F93AB11" w14:textId="77777777">
        <w:trPr>
          <w:trHeight w:val="300"/>
        </w:trPr>
        <w:tc>
          <w:tcPr>
            <w:tcW w:w="6804" w:type="dxa"/>
            <w:tcBorders>
              <w:left w:val="nil"/>
              <w:right w:val="nil"/>
            </w:tcBorders>
            <w:noWrap/>
            <w:hideMark/>
          </w:tcPr>
          <w:p w:rsidRPr="001404DB" w:rsidR="00AE1893" w:rsidP="00BC3A1F" w:rsidRDefault="00AE1893" w14:paraId="75F91C60" w14:textId="77777777">
            <w:pPr>
              <w:ind w:firstLine="200" w:firstLineChars="100"/>
              <w:rPr>
                <w:rFonts w:ascii="Arial" w:hAnsi="Arial" w:eastAsia="Times New Roman" w:cs="Arial"/>
                <w:sz w:val="20"/>
                <w:szCs w:val="20"/>
              </w:rPr>
            </w:pPr>
            <w:r w:rsidRPr="001404DB">
              <w:rPr>
                <w:rFonts w:ascii="Arial" w:hAnsi="Arial"/>
                <w:sz w:val="20"/>
              </w:rPr>
              <w:t>f. Lira sterlina (GBP)</w:t>
            </w:r>
          </w:p>
        </w:tc>
        <w:tc>
          <w:tcPr>
            <w:tcW w:w="2745" w:type="dxa"/>
            <w:tcBorders>
              <w:left w:val="nil"/>
              <w:right w:val="nil"/>
            </w:tcBorders>
            <w:noWrap/>
            <w:hideMark/>
          </w:tcPr>
          <w:p w:rsidRPr="001404DB" w:rsidR="00AE1893" w:rsidP="00BC3A1F" w:rsidRDefault="00AE1893" w14:paraId="70C27872"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6313B28D" w14:textId="77777777">
        <w:trPr>
          <w:trHeight w:val="300"/>
        </w:trPr>
        <w:tc>
          <w:tcPr>
            <w:tcW w:w="6804" w:type="dxa"/>
            <w:tcBorders>
              <w:left w:val="nil"/>
              <w:right w:val="nil"/>
            </w:tcBorders>
            <w:noWrap/>
            <w:hideMark/>
          </w:tcPr>
          <w:p w:rsidRPr="001404DB" w:rsidR="00AE1893" w:rsidP="00BC3A1F" w:rsidRDefault="00AE1893" w14:paraId="0F169C8C" w14:textId="77777777">
            <w:pPr>
              <w:ind w:firstLine="200" w:firstLineChars="100"/>
              <w:rPr>
                <w:rFonts w:ascii="Arial" w:hAnsi="Arial" w:eastAsia="Times New Roman" w:cs="Arial"/>
                <w:sz w:val="20"/>
                <w:szCs w:val="20"/>
              </w:rPr>
            </w:pPr>
            <w:r w:rsidRPr="001404DB">
              <w:rPr>
                <w:rFonts w:ascii="Arial" w:hAnsi="Arial"/>
                <w:sz w:val="20"/>
              </w:rPr>
              <w:t>g. Dollaro di Hong Kong (HKD)</w:t>
            </w:r>
          </w:p>
        </w:tc>
        <w:tc>
          <w:tcPr>
            <w:tcW w:w="2745" w:type="dxa"/>
            <w:tcBorders>
              <w:left w:val="nil"/>
              <w:right w:val="nil"/>
            </w:tcBorders>
            <w:noWrap/>
            <w:hideMark/>
          </w:tcPr>
          <w:p w:rsidRPr="001404DB" w:rsidR="00AE1893" w:rsidP="00BC3A1F" w:rsidRDefault="00AE1893" w14:paraId="71805397"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1FAAF1B4" w14:textId="77777777">
        <w:trPr>
          <w:trHeight w:val="300"/>
        </w:trPr>
        <w:tc>
          <w:tcPr>
            <w:tcW w:w="6804" w:type="dxa"/>
            <w:tcBorders>
              <w:left w:val="nil"/>
              <w:right w:val="nil"/>
            </w:tcBorders>
            <w:noWrap/>
            <w:hideMark/>
          </w:tcPr>
          <w:p w:rsidRPr="001404DB" w:rsidR="00AE1893" w:rsidP="00BC3A1F" w:rsidRDefault="00AE1893" w14:paraId="05B5BE3E" w14:textId="77777777">
            <w:pPr>
              <w:ind w:firstLine="200" w:firstLineChars="100"/>
              <w:rPr>
                <w:rFonts w:ascii="Arial" w:hAnsi="Arial" w:eastAsia="Times New Roman" w:cs="Arial"/>
                <w:sz w:val="20"/>
                <w:szCs w:val="20"/>
              </w:rPr>
            </w:pPr>
            <w:r w:rsidRPr="001404DB">
              <w:rPr>
                <w:rFonts w:ascii="Arial" w:hAnsi="Arial"/>
                <w:sz w:val="20"/>
              </w:rPr>
              <w:t>h. Rupia indiana (INR)</w:t>
            </w:r>
          </w:p>
        </w:tc>
        <w:tc>
          <w:tcPr>
            <w:tcW w:w="2745" w:type="dxa"/>
            <w:tcBorders>
              <w:left w:val="nil"/>
              <w:right w:val="nil"/>
            </w:tcBorders>
            <w:noWrap/>
            <w:hideMark/>
          </w:tcPr>
          <w:p w:rsidRPr="001404DB" w:rsidR="00AE1893" w:rsidP="00BC3A1F" w:rsidRDefault="00AE1893" w14:paraId="284FFD08"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52D55575" w14:textId="77777777">
        <w:trPr>
          <w:trHeight w:val="300"/>
        </w:trPr>
        <w:tc>
          <w:tcPr>
            <w:tcW w:w="6804" w:type="dxa"/>
            <w:tcBorders>
              <w:left w:val="nil"/>
              <w:right w:val="nil"/>
            </w:tcBorders>
            <w:noWrap/>
            <w:hideMark/>
          </w:tcPr>
          <w:p w:rsidRPr="001404DB" w:rsidR="00AE1893" w:rsidP="00BC3A1F" w:rsidRDefault="00AE1893" w14:paraId="7C07390A" w14:textId="77777777">
            <w:pPr>
              <w:ind w:firstLine="200" w:firstLineChars="100"/>
              <w:rPr>
                <w:rFonts w:ascii="Arial" w:hAnsi="Arial" w:eastAsia="Times New Roman" w:cs="Arial"/>
                <w:sz w:val="20"/>
                <w:szCs w:val="20"/>
              </w:rPr>
            </w:pPr>
            <w:r w:rsidRPr="001404DB">
              <w:rPr>
                <w:rFonts w:ascii="Arial" w:hAnsi="Arial"/>
                <w:sz w:val="20"/>
              </w:rPr>
              <w:t>i. Yen giapponese (JPY)</w:t>
            </w:r>
          </w:p>
        </w:tc>
        <w:tc>
          <w:tcPr>
            <w:tcW w:w="2745" w:type="dxa"/>
            <w:tcBorders>
              <w:left w:val="nil"/>
              <w:right w:val="nil"/>
            </w:tcBorders>
            <w:noWrap/>
            <w:hideMark/>
          </w:tcPr>
          <w:p w:rsidRPr="001404DB" w:rsidR="00AE1893" w:rsidP="00BC3A1F" w:rsidRDefault="00AE1893" w14:paraId="3C242CBE"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1856FFC3" w14:textId="77777777">
        <w:trPr>
          <w:trHeight w:val="300"/>
        </w:trPr>
        <w:tc>
          <w:tcPr>
            <w:tcW w:w="6804" w:type="dxa"/>
            <w:tcBorders>
              <w:left w:val="nil"/>
              <w:right w:val="nil"/>
            </w:tcBorders>
            <w:noWrap/>
            <w:hideMark/>
          </w:tcPr>
          <w:p w:rsidRPr="001404DB" w:rsidR="00AE1893" w:rsidP="00BC3A1F" w:rsidRDefault="00AE1893" w14:paraId="5D3C3A93" w14:textId="77777777">
            <w:pPr>
              <w:ind w:firstLine="200" w:firstLineChars="100"/>
              <w:rPr>
                <w:rFonts w:ascii="Arial" w:hAnsi="Arial" w:eastAsia="Times New Roman" w:cs="Arial"/>
                <w:sz w:val="20"/>
                <w:szCs w:val="20"/>
              </w:rPr>
            </w:pPr>
            <w:r w:rsidRPr="001404DB">
              <w:rPr>
                <w:rFonts w:ascii="Arial" w:hAnsi="Arial"/>
                <w:sz w:val="20"/>
              </w:rPr>
              <w:t>j. Dollaro neozelandese (NZD)</w:t>
            </w:r>
          </w:p>
        </w:tc>
        <w:tc>
          <w:tcPr>
            <w:tcW w:w="2745" w:type="dxa"/>
            <w:tcBorders>
              <w:left w:val="nil"/>
              <w:right w:val="nil"/>
            </w:tcBorders>
            <w:noWrap/>
            <w:hideMark/>
          </w:tcPr>
          <w:p w:rsidRPr="001404DB" w:rsidR="00AE1893" w:rsidP="00BC3A1F" w:rsidRDefault="00AE1893" w14:paraId="6AA007C5"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76AE596B" w14:textId="77777777">
        <w:trPr>
          <w:trHeight w:val="300"/>
        </w:trPr>
        <w:tc>
          <w:tcPr>
            <w:tcW w:w="6804" w:type="dxa"/>
            <w:tcBorders>
              <w:left w:val="nil"/>
              <w:right w:val="nil"/>
            </w:tcBorders>
            <w:noWrap/>
            <w:hideMark/>
          </w:tcPr>
          <w:p w:rsidRPr="001404DB" w:rsidR="00AE1893" w:rsidP="00BC3A1F" w:rsidRDefault="00AE1893" w14:paraId="5C9EA498" w14:textId="77777777">
            <w:pPr>
              <w:ind w:firstLine="200" w:firstLineChars="100"/>
              <w:rPr>
                <w:rFonts w:ascii="Arial" w:hAnsi="Arial" w:eastAsia="Times New Roman" w:cs="Arial"/>
                <w:sz w:val="20"/>
                <w:szCs w:val="20"/>
              </w:rPr>
            </w:pPr>
            <w:r w:rsidRPr="001404DB">
              <w:rPr>
                <w:rFonts w:ascii="Arial" w:hAnsi="Arial"/>
                <w:sz w:val="20"/>
              </w:rPr>
              <w:t>k. Corona svedese (SEK)</w:t>
            </w:r>
          </w:p>
        </w:tc>
        <w:tc>
          <w:tcPr>
            <w:tcW w:w="2745" w:type="dxa"/>
            <w:tcBorders>
              <w:left w:val="nil"/>
              <w:right w:val="nil"/>
            </w:tcBorders>
            <w:noWrap/>
            <w:hideMark/>
          </w:tcPr>
          <w:p w:rsidRPr="001404DB" w:rsidR="00AE1893" w:rsidP="00BC3A1F" w:rsidRDefault="00AE1893" w14:paraId="4D1D435E"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58E6586C" w14:textId="77777777">
        <w:trPr>
          <w:trHeight w:val="300"/>
        </w:trPr>
        <w:tc>
          <w:tcPr>
            <w:tcW w:w="6804" w:type="dxa"/>
            <w:tcBorders>
              <w:left w:val="nil"/>
              <w:right w:val="nil"/>
            </w:tcBorders>
            <w:noWrap/>
            <w:hideMark/>
          </w:tcPr>
          <w:p w:rsidRPr="001404DB" w:rsidR="00AE1893" w:rsidP="00BC3A1F" w:rsidRDefault="00AE1893" w14:paraId="19A949C5" w14:textId="77777777">
            <w:pPr>
              <w:ind w:firstLine="200" w:firstLineChars="100"/>
              <w:rPr>
                <w:rFonts w:ascii="Arial" w:hAnsi="Arial" w:eastAsia="Times New Roman" w:cs="Arial"/>
                <w:sz w:val="20"/>
                <w:szCs w:val="20"/>
              </w:rPr>
            </w:pPr>
            <w:r w:rsidRPr="001404DB">
              <w:rPr>
                <w:rFonts w:ascii="Arial" w:hAnsi="Arial"/>
                <w:sz w:val="20"/>
              </w:rPr>
              <w:t>l. Dollaro USA (USD)</w:t>
            </w:r>
          </w:p>
        </w:tc>
        <w:tc>
          <w:tcPr>
            <w:tcW w:w="2745" w:type="dxa"/>
            <w:tcBorders>
              <w:left w:val="nil"/>
              <w:right w:val="nil"/>
            </w:tcBorders>
            <w:noWrap/>
            <w:hideMark/>
          </w:tcPr>
          <w:p w:rsidRPr="001404DB" w:rsidR="00AE1893" w:rsidP="00BC3A1F" w:rsidRDefault="00AE1893" w14:paraId="0E7FD3A0"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1FE72CF4" w14:textId="77777777">
        <w:trPr>
          <w:trHeight w:val="300"/>
        </w:trPr>
        <w:tc>
          <w:tcPr>
            <w:tcW w:w="6804" w:type="dxa"/>
            <w:tcBorders>
              <w:left w:val="nil"/>
              <w:bottom w:val="single" w:color="auto" w:sz="4" w:space="0"/>
              <w:right w:val="nil"/>
            </w:tcBorders>
            <w:noWrap/>
            <w:hideMark/>
          </w:tcPr>
          <w:p w:rsidRPr="001404DB" w:rsidR="00AE1893" w:rsidP="00BC3A1F" w:rsidRDefault="00AE1893" w14:paraId="17DB0306" w14:textId="77777777">
            <w:pPr>
              <w:ind w:firstLine="200" w:firstLineChars="100"/>
              <w:rPr>
                <w:rFonts w:ascii="Arial" w:hAnsi="Arial" w:eastAsia="Times New Roman" w:cs="Arial"/>
                <w:sz w:val="20"/>
                <w:szCs w:val="20"/>
              </w:rPr>
            </w:pPr>
            <w:r w:rsidRPr="001404DB">
              <w:rPr>
                <w:rFonts w:ascii="Arial" w:hAnsi="Arial"/>
                <w:sz w:val="20"/>
              </w:rPr>
              <w:t>m. Indicatore delle attività di pagamento (somma delle voci da 6.a. a 6.l.)</w:t>
            </w:r>
          </w:p>
        </w:tc>
        <w:tc>
          <w:tcPr>
            <w:tcW w:w="2745" w:type="dxa"/>
            <w:tcBorders>
              <w:left w:val="nil"/>
              <w:bottom w:val="single" w:color="auto" w:sz="4" w:space="0"/>
              <w:right w:val="nil"/>
            </w:tcBorders>
            <w:noWrap/>
            <w:hideMark/>
          </w:tcPr>
          <w:p w:rsidRPr="001404DB" w:rsidR="00AE1893" w:rsidP="00BC3A1F" w:rsidRDefault="00AE1893" w14:paraId="480FC436" w14:textId="77777777">
            <w:pPr>
              <w:jc w:val="right"/>
              <w:rPr>
                <w:rFonts w:ascii="Arial" w:hAnsi="Arial" w:eastAsia="Times New Roman" w:cs="Arial"/>
                <w:sz w:val="20"/>
                <w:szCs w:val="20"/>
              </w:rPr>
            </w:pPr>
            <w:r w:rsidRPr="001404DB">
              <w:rPr>
                <w:rFonts w:ascii="Arial" w:hAnsi="Arial"/>
                <w:sz w:val="20"/>
              </w:rPr>
              <w:t xml:space="preserve"> </w:t>
            </w:r>
          </w:p>
        </w:tc>
      </w:tr>
      <w:tr w:rsidRPr="001404DB" w:rsidR="00AE1893" w:rsidTr="00BC3A1F" w14:paraId="3032B32A" w14:textId="77777777">
        <w:trPr>
          <w:trHeight w:val="300"/>
        </w:trPr>
        <w:tc>
          <w:tcPr>
            <w:tcW w:w="6804" w:type="dxa"/>
            <w:tcBorders>
              <w:left w:val="nil"/>
              <w:bottom w:val="nil"/>
              <w:right w:val="nil"/>
            </w:tcBorders>
            <w:noWrap/>
          </w:tcPr>
          <w:p w:rsidRPr="001404DB" w:rsidR="00AE1893" w:rsidP="00BC3A1F" w:rsidRDefault="00AE1893" w14:paraId="02B43E3F"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1404DB" w:rsidR="00AE1893" w:rsidP="00BC3A1F" w:rsidRDefault="00AE1893" w14:paraId="57C4B3CD" w14:textId="77777777">
            <w:pPr>
              <w:jc w:val="center"/>
              <w:rPr>
                <w:rFonts w:ascii="Arial" w:hAnsi="Arial" w:eastAsia="Times New Roman" w:cs="Arial"/>
                <w:b/>
                <w:bCs/>
                <w:sz w:val="20"/>
                <w:szCs w:val="20"/>
                <w:lang w:eastAsia="en-GB"/>
              </w:rPr>
            </w:pPr>
          </w:p>
        </w:tc>
      </w:tr>
      <w:tr w:rsidRPr="001404DB" w:rsidR="00AE1893" w:rsidTr="00BC3A1F" w14:paraId="1C29CC8E" w14:textId="77777777">
        <w:trPr>
          <w:trHeight w:val="300"/>
        </w:trPr>
        <w:tc>
          <w:tcPr>
            <w:tcW w:w="6804" w:type="dxa"/>
            <w:tcBorders>
              <w:top w:val="nil"/>
              <w:left w:val="nil"/>
              <w:bottom w:val="single" w:color="auto" w:sz="4" w:space="0"/>
              <w:right w:val="nil"/>
            </w:tcBorders>
            <w:noWrap/>
            <w:hideMark/>
          </w:tcPr>
          <w:p w:rsidRPr="001404DB" w:rsidR="00AE1893" w:rsidP="00BC3A1F" w:rsidRDefault="00AE1893" w14:paraId="24102E1F" w14:textId="77777777">
            <w:pPr>
              <w:rPr>
                <w:rFonts w:ascii="Arial" w:hAnsi="Arial" w:eastAsia="Times New Roman" w:cs="Arial"/>
                <w:b/>
                <w:bCs/>
                <w:sz w:val="20"/>
                <w:szCs w:val="20"/>
              </w:rPr>
            </w:pPr>
            <w:r w:rsidRPr="001404DB">
              <w:rPr>
                <w:rFonts w:ascii="Arial" w:hAnsi="Arial"/>
                <w:b/>
                <w:sz w:val="20"/>
              </w:rPr>
              <w:t>Sezione 7 – Attività in custodia</w:t>
            </w:r>
          </w:p>
        </w:tc>
        <w:tc>
          <w:tcPr>
            <w:tcW w:w="2745" w:type="dxa"/>
            <w:tcBorders>
              <w:top w:val="nil"/>
              <w:left w:val="nil"/>
              <w:bottom w:val="single" w:color="auto" w:sz="4" w:space="0"/>
              <w:right w:val="nil"/>
            </w:tcBorders>
            <w:hideMark/>
          </w:tcPr>
          <w:p w:rsidRPr="001404DB" w:rsidR="00AE1893" w:rsidP="00BC3A1F" w:rsidRDefault="00AE1893" w14:paraId="1BC62944" w14:textId="77777777">
            <w:pPr>
              <w:jc w:val="center"/>
              <w:rPr>
                <w:rFonts w:ascii="Arial" w:hAnsi="Arial" w:eastAsia="Times New Roman" w:cs="Arial"/>
                <w:b/>
                <w:bCs/>
                <w:sz w:val="20"/>
                <w:szCs w:val="20"/>
              </w:rPr>
            </w:pPr>
            <w:r w:rsidRPr="001404DB">
              <w:rPr>
                <w:rFonts w:ascii="Arial" w:hAnsi="Arial"/>
                <w:b/>
                <w:sz w:val="20"/>
              </w:rPr>
              <w:t>Importo</w:t>
            </w:r>
          </w:p>
        </w:tc>
      </w:tr>
      <w:tr w:rsidRPr="001404DB" w:rsidR="00AE1893" w:rsidTr="00BC3A1F" w14:paraId="157E32A0" w14:textId="77777777">
        <w:trPr>
          <w:trHeight w:val="300"/>
        </w:trPr>
        <w:tc>
          <w:tcPr>
            <w:tcW w:w="6804" w:type="dxa"/>
            <w:tcBorders>
              <w:left w:val="nil"/>
              <w:bottom w:val="single" w:color="auto" w:sz="4" w:space="0"/>
              <w:right w:val="nil"/>
            </w:tcBorders>
            <w:noWrap/>
            <w:hideMark/>
          </w:tcPr>
          <w:p w:rsidRPr="001404DB" w:rsidR="00AE1893" w:rsidP="00BC3A1F" w:rsidRDefault="00AE1893" w14:paraId="0A991591" w14:textId="77777777">
            <w:pPr>
              <w:ind w:firstLine="200" w:firstLineChars="100"/>
              <w:rPr>
                <w:rFonts w:ascii="Arial" w:hAnsi="Arial" w:eastAsia="Times New Roman" w:cs="Arial"/>
                <w:sz w:val="20"/>
                <w:szCs w:val="20"/>
              </w:rPr>
            </w:pPr>
            <w:r w:rsidRPr="001404DB">
              <w:rPr>
                <w:rFonts w:ascii="Arial" w:hAnsi="Arial"/>
                <w:sz w:val="20"/>
              </w:rPr>
              <w:t>a. Indicatore delle attività in custodia</w:t>
            </w:r>
          </w:p>
        </w:tc>
        <w:tc>
          <w:tcPr>
            <w:tcW w:w="2745" w:type="dxa"/>
            <w:tcBorders>
              <w:left w:val="nil"/>
              <w:bottom w:val="single" w:color="auto" w:sz="4" w:space="0"/>
              <w:right w:val="nil"/>
            </w:tcBorders>
            <w:noWrap/>
            <w:hideMark/>
          </w:tcPr>
          <w:p w:rsidRPr="001404DB" w:rsidR="00AE1893" w:rsidP="00BC3A1F" w:rsidRDefault="00AE1893" w14:paraId="2DDD1513"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2EE8D4B1" w14:textId="77777777">
        <w:trPr>
          <w:trHeight w:val="300"/>
        </w:trPr>
        <w:tc>
          <w:tcPr>
            <w:tcW w:w="6804" w:type="dxa"/>
            <w:tcBorders>
              <w:left w:val="nil"/>
              <w:bottom w:val="nil"/>
              <w:right w:val="nil"/>
            </w:tcBorders>
            <w:noWrap/>
          </w:tcPr>
          <w:p w:rsidRPr="001404DB" w:rsidR="00AE1893" w:rsidP="00BC3A1F" w:rsidRDefault="00AE1893" w14:paraId="2568EADC"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1404DB" w:rsidR="00AE1893" w:rsidP="00BC3A1F" w:rsidRDefault="00AE1893" w14:paraId="4506BF61" w14:textId="77777777">
            <w:pPr>
              <w:jc w:val="center"/>
              <w:rPr>
                <w:rFonts w:ascii="Arial" w:hAnsi="Arial" w:eastAsia="Times New Roman" w:cs="Arial"/>
                <w:b/>
                <w:bCs/>
                <w:sz w:val="20"/>
                <w:szCs w:val="20"/>
                <w:lang w:eastAsia="en-GB"/>
              </w:rPr>
            </w:pPr>
          </w:p>
        </w:tc>
      </w:tr>
      <w:tr w:rsidRPr="001404DB" w:rsidR="00AE1893" w:rsidTr="00BC3A1F" w14:paraId="5115D188" w14:textId="77777777">
        <w:trPr>
          <w:trHeight w:val="300"/>
        </w:trPr>
        <w:tc>
          <w:tcPr>
            <w:tcW w:w="6804" w:type="dxa"/>
            <w:tcBorders>
              <w:top w:val="nil"/>
              <w:left w:val="nil"/>
              <w:bottom w:val="single" w:color="auto" w:sz="4" w:space="0"/>
              <w:right w:val="nil"/>
            </w:tcBorders>
            <w:noWrap/>
          </w:tcPr>
          <w:p w:rsidRPr="001404DB" w:rsidR="00AE1893" w:rsidP="00BC3A1F" w:rsidRDefault="00AE1893" w14:paraId="353445B8" w14:textId="77777777">
            <w:pPr>
              <w:rPr>
                <w:rFonts w:ascii="Arial" w:hAnsi="Arial" w:eastAsia="Times New Roman" w:cs="Arial"/>
                <w:sz w:val="20"/>
                <w:szCs w:val="20"/>
              </w:rPr>
            </w:pPr>
            <w:r w:rsidRPr="001404DB">
              <w:rPr>
                <w:rFonts w:ascii="Arial" w:hAnsi="Arial"/>
                <w:b/>
                <w:sz w:val="20"/>
              </w:rPr>
              <w:lastRenderedPageBreak/>
              <w:t>Sezione 8 – Operazioni di sottoscrizione sui mercati obbligazionari e azionari</w:t>
            </w:r>
          </w:p>
        </w:tc>
        <w:tc>
          <w:tcPr>
            <w:tcW w:w="2745" w:type="dxa"/>
            <w:tcBorders>
              <w:top w:val="nil"/>
              <w:left w:val="nil"/>
              <w:bottom w:val="single" w:color="auto" w:sz="4" w:space="0"/>
              <w:right w:val="nil"/>
            </w:tcBorders>
            <w:noWrap/>
          </w:tcPr>
          <w:p w:rsidRPr="001404DB" w:rsidR="00AE1893" w:rsidP="00BC3A1F" w:rsidRDefault="00AE1893" w14:paraId="31637F42" w14:textId="77777777">
            <w:pPr>
              <w:jc w:val="center"/>
              <w:rPr>
                <w:rFonts w:ascii="Arial" w:hAnsi="Arial" w:eastAsia="Times New Roman" w:cs="Arial"/>
                <w:b/>
                <w:bCs/>
                <w:sz w:val="20"/>
                <w:szCs w:val="20"/>
              </w:rPr>
            </w:pPr>
            <w:r w:rsidRPr="001404DB">
              <w:rPr>
                <w:rFonts w:ascii="Arial" w:hAnsi="Arial"/>
                <w:b/>
                <w:sz w:val="20"/>
              </w:rPr>
              <w:t>Importo</w:t>
            </w:r>
          </w:p>
        </w:tc>
      </w:tr>
      <w:tr w:rsidRPr="001404DB" w:rsidR="00AE1893" w:rsidTr="00BC3A1F" w14:paraId="7AB0FE51" w14:textId="77777777">
        <w:trPr>
          <w:trHeight w:val="300"/>
        </w:trPr>
        <w:tc>
          <w:tcPr>
            <w:tcW w:w="6804" w:type="dxa"/>
            <w:tcBorders>
              <w:left w:val="nil"/>
              <w:right w:val="nil"/>
            </w:tcBorders>
            <w:noWrap/>
            <w:hideMark/>
          </w:tcPr>
          <w:p w:rsidRPr="001404DB" w:rsidR="00AE1893" w:rsidP="00BC3A1F" w:rsidRDefault="00AE1893" w14:paraId="4D141DFB" w14:textId="77777777">
            <w:pPr>
              <w:ind w:firstLine="200" w:firstLineChars="100"/>
              <w:rPr>
                <w:rFonts w:ascii="Arial" w:hAnsi="Arial" w:eastAsia="Times New Roman" w:cs="Arial"/>
                <w:sz w:val="20"/>
                <w:szCs w:val="20"/>
              </w:rPr>
            </w:pPr>
            <w:r w:rsidRPr="001404DB">
              <w:rPr>
                <w:rFonts w:ascii="Arial" w:hAnsi="Arial"/>
                <w:sz w:val="20"/>
              </w:rPr>
              <w:t>a. Attività di sottoscrizione azionaria</w:t>
            </w:r>
          </w:p>
        </w:tc>
        <w:tc>
          <w:tcPr>
            <w:tcW w:w="2745" w:type="dxa"/>
            <w:tcBorders>
              <w:left w:val="nil"/>
              <w:right w:val="nil"/>
            </w:tcBorders>
            <w:noWrap/>
            <w:hideMark/>
          </w:tcPr>
          <w:p w:rsidRPr="001404DB" w:rsidR="00AE1893" w:rsidP="00BC3A1F" w:rsidRDefault="00AE1893" w14:paraId="17CEFC47"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21AE8D18" w14:textId="77777777">
        <w:trPr>
          <w:trHeight w:val="300"/>
        </w:trPr>
        <w:tc>
          <w:tcPr>
            <w:tcW w:w="6804" w:type="dxa"/>
            <w:tcBorders>
              <w:left w:val="nil"/>
              <w:right w:val="nil"/>
            </w:tcBorders>
            <w:noWrap/>
            <w:hideMark/>
          </w:tcPr>
          <w:p w:rsidRPr="001404DB" w:rsidR="00AE1893" w:rsidP="00BC3A1F" w:rsidRDefault="00AE1893" w14:paraId="7319510C" w14:textId="77777777">
            <w:pPr>
              <w:ind w:firstLine="200" w:firstLineChars="100"/>
              <w:rPr>
                <w:rFonts w:ascii="Arial" w:hAnsi="Arial" w:eastAsia="Times New Roman" w:cs="Arial"/>
                <w:sz w:val="20"/>
                <w:szCs w:val="20"/>
              </w:rPr>
            </w:pPr>
            <w:r w:rsidRPr="001404DB">
              <w:rPr>
                <w:rFonts w:ascii="Arial" w:hAnsi="Arial"/>
                <w:sz w:val="20"/>
              </w:rPr>
              <w:t>b. Attività di sottoscrizione obbligazionaria</w:t>
            </w:r>
          </w:p>
        </w:tc>
        <w:tc>
          <w:tcPr>
            <w:tcW w:w="2745" w:type="dxa"/>
            <w:tcBorders>
              <w:left w:val="nil"/>
              <w:right w:val="nil"/>
            </w:tcBorders>
            <w:noWrap/>
            <w:hideMark/>
          </w:tcPr>
          <w:p w:rsidRPr="001404DB" w:rsidR="00AE1893" w:rsidP="00BC3A1F" w:rsidRDefault="00AE1893" w14:paraId="2D4741A8"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08CA6951" w14:textId="77777777">
        <w:trPr>
          <w:trHeight w:val="300"/>
        </w:trPr>
        <w:tc>
          <w:tcPr>
            <w:tcW w:w="6804" w:type="dxa"/>
            <w:tcBorders>
              <w:left w:val="nil"/>
              <w:bottom w:val="single" w:color="auto" w:sz="4" w:space="0"/>
              <w:right w:val="nil"/>
            </w:tcBorders>
            <w:noWrap/>
            <w:hideMark/>
          </w:tcPr>
          <w:p w:rsidRPr="001404DB" w:rsidR="00AE1893" w:rsidP="00BC3A1F" w:rsidRDefault="00AE1893" w14:paraId="40679B00" w14:textId="77777777">
            <w:pPr>
              <w:ind w:firstLine="200" w:firstLineChars="100"/>
              <w:rPr>
                <w:rFonts w:ascii="Arial" w:hAnsi="Arial" w:eastAsia="Times New Roman" w:cs="Arial"/>
                <w:sz w:val="20"/>
                <w:szCs w:val="20"/>
              </w:rPr>
            </w:pPr>
            <w:r w:rsidRPr="001404DB">
              <w:rPr>
                <w:rFonts w:ascii="Arial" w:hAnsi="Arial"/>
                <w:sz w:val="20"/>
              </w:rPr>
              <w:t>c. Indicatore dell’attività di sottoscrizione (somma delle voci 8.a. e 8.b.)</w:t>
            </w:r>
          </w:p>
        </w:tc>
        <w:tc>
          <w:tcPr>
            <w:tcW w:w="2745" w:type="dxa"/>
            <w:tcBorders>
              <w:left w:val="nil"/>
              <w:bottom w:val="single" w:color="auto" w:sz="4" w:space="0"/>
              <w:right w:val="nil"/>
            </w:tcBorders>
            <w:noWrap/>
            <w:hideMark/>
          </w:tcPr>
          <w:p w:rsidRPr="001404DB" w:rsidR="00AE1893" w:rsidP="00BC3A1F" w:rsidRDefault="00AE1893" w14:paraId="61B21B33"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093D0A12" w14:textId="77777777">
        <w:trPr>
          <w:trHeight w:val="300"/>
        </w:trPr>
        <w:tc>
          <w:tcPr>
            <w:tcW w:w="6804" w:type="dxa"/>
            <w:tcBorders>
              <w:left w:val="nil"/>
              <w:bottom w:val="nil"/>
              <w:right w:val="nil"/>
            </w:tcBorders>
            <w:noWrap/>
          </w:tcPr>
          <w:p w:rsidRPr="001404DB" w:rsidR="00AE1893" w:rsidP="00BC3A1F" w:rsidRDefault="00AE1893" w14:paraId="58371095"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1404DB" w:rsidR="00AE1893" w:rsidP="00BC3A1F" w:rsidRDefault="00AE1893" w14:paraId="5383FAE5" w14:textId="77777777">
            <w:pPr>
              <w:jc w:val="center"/>
              <w:rPr>
                <w:rFonts w:ascii="Arial" w:hAnsi="Arial" w:eastAsia="Times New Roman" w:cs="Arial"/>
                <w:b/>
                <w:bCs/>
                <w:sz w:val="20"/>
                <w:szCs w:val="20"/>
                <w:lang w:eastAsia="en-GB"/>
              </w:rPr>
            </w:pPr>
          </w:p>
        </w:tc>
      </w:tr>
      <w:tr w:rsidRPr="001404DB" w:rsidR="00AE1893" w:rsidTr="00BC3A1F" w14:paraId="5582F009" w14:textId="77777777">
        <w:trPr>
          <w:trHeight w:val="300"/>
        </w:trPr>
        <w:tc>
          <w:tcPr>
            <w:tcW w:w="6804" w:type="dxa"/>
            <w:tcBorders>
              <w:top w:val="nil"/>
              <w:left w:val="nil"/>
              <w:right w:val="nil"/>
            </w:tcBorders>
            <w:noWrap/>
            <w:hideMark/>
          </w:tcPr>
          <w:p w:rsidRPr="001404DB" w:rsidR="00AE1893" w:rsidP="00BC3A1F" w:rsidRDefault="00AE1893" w14:paraId="05B81714" w14:textId="77777777">
            <w:pPr>
              <w:rPr>
                <w:rFonts w:ascii="Arial" w:hAnsi="Arial" w:eastAsia="Times New Roman" w:cs="Arial"/>
                <w:b/>
                <w:bCs/>
                <w:sz w:val="20"/>
                <w:szCs w:val="20"/>
              </w:rPr>
            </w:pPr>
            <w:r w:rsidRPr="001404DB">
              <w:rPr>
                <w:rFonts w:ascii="Arial" w:hAnsi="Arial"/>
                <w:b/>
                <w:sz w:val="20"/>
              </w:rPr>
              <w:t>Sezione 9 – Volume di negoziazione</w:t>
            </w:r>
          </w:p>
        </w:tc>
        <w:tc>
          <w:tcPr>
            <w:tcW w:w="2745" w:type="dxa"/>
            <w:tcBorders>
              <w:top w:val="nil"/>
              <w:left w:val="nil"/>
              <w:right w:val="nil"/>
            </w:tcBorders>
            <w:hideMark/>
          </w:tcPr>
          <w:p w:rsidRPr="001404DB" w:rsidR="00AE1893" w:rsidP="00BC3A1F" w:rsidRDefault="00AE1893" w14:paraId="025A1922" w14:textId="77777777">
            <w:pPr>
              <w:jc w:val="center"/>
              <w:rPr>
                <w:rFonts w:ascii="Arial" w:hAnsi="Arial" w:eastAsia="Times New Roman" w:cs="Arial"/>
                <w:b/>
                <w:bCs/>
                <w:sz w:val="20"/>
                <w:szCs w:val="20"/>
              </w:rPr>
            </w:pPr>
            <w:r w:rsidRPr="001404DB">
              <w:rPr>
                <w:rFonts w:ascii="Arial" w:hAnsi="Arial"/>
                <w:b/>
                <w:sz w:val="20"/>
              </w:rPr>
              <w:t>Importo</w:t>
            </w:r>
          </w:p>
        </w:tc>
      </w:tr>
      <w:tr w:rsidRPr="001404DB" w:rsidR="00AE1893" w:rsidTr="00BC3A1F" w14:paraId="21135134" w14:textId="77777777">
        <w:trPr>
          <w:trHeight w:val="300"/>
        </w:trPr>
        <w:tc>
          <w:tcPr>
            <w:tcW w:w="6804" w:type="dxa"/>
            <w:tcBorders>
              <w:left w:val="nil"/>
              <w:right w:val="nil"/>
            </w:tcBorders>
            <w:noWrap/>
          </w:tcPr>
          <w:p w:rsidRPr="001404DB" w:rsidR="00AE1893" w:rsidP="00BC3A1F" w:rsidRDefault="00AE1893" w14:paraId="1B3F7C70" w14:textId="77777777">
            <w:pPr>
              <w:ind w:left="171" w:firstLine="28" w:firstLineChars="14"/>
              <w:rPr>
                <w:rFonts w:ascii="Arial" w:hAnsi="Arial" w:eastAsia="Times New Roman" w:cs="Arial"/>
                <w:sz w:val="20"/>
                <w:szCs w:val="20"/>
              </w:rPr>
            </w:pPr>
            <w:r w:rsidRPr="001404DB">
              <w:rPr>
                <w:rFonts w:ascii="Arial" w:hAnsi="Arial"/>
                <w:sz w:val="20"/>
              </w:rPr>
              <w:t>a. Volume di negoziazione di titoli emessi da altri enti del settore pubblico, escluse le operazioni infragruppo</w:t>
            </w:r>
          </w:p>
        </w:tc>
        <w:tc>
          <w:tcPr>
            <w:tcW w:w="2745" w:type="dxa"/>
            <w:tcBorders>
              <w:left w:val="nil"/>
              <w:right w:val="nil"/>
            </w:tcBorders>
            <w:noWrap/>
          </w:tcPr>
          <w:p w:rsidRPr="001404DB" w:rsidR="00AE1893" w:rsidP="00BC3A1F" w:rsidRDefault="00AE1893" w14:paraId="6D95A622" w14:textId="77777777">
            <w:pPr>
              <w:jc w:val="right"/>
              <w:rPr>
                <w:rFonts w:ascii="Arial" w:hAnsi="Arial" w:eastAsia="Times New Roman" w:cs="Arial"/>
                <w:sz w:val="20"/>
                <w:szCs w:val="20"/>
                <w:lang w:eastAsia="en-GB"/>
              </w:rPr>
            </w:pPr>
          </w:p>
        </w:tc>
      </w:tr>
      <w:tr w:rsidRPr="001404DB" w:rsidR="00AE1893" w:rsidTr="00BC3A1F" w14:paraId="034EB685" w14:textId="77777777">
        <w:trPr>
          <w:trHeight w:val="300"/>
        </w:trPr>
        <w:tc>
          <w:tcPr>
            <w:tcW w:w="6804" w:type="dxa"/>
            <w:tcBorders>
              <w:left w:val="nil"/>
              <w:bottom w:val="single" w:color="auto" w:sz="4" w:space="0"/>
              <w:right w:val="nil"/>
            </w:tcBorders>
            <w:noWrap/>
            <w:hideMark/>
          </w:tcPr>
          <w:p w:rsidRPr="001404DB" w:rsidR="00AE1893" w:rsidP="00BC3A1F" w:rsidRDefault="00AE1893" w14:paraId="7D1EEC43" w14:textId="77777777">
            <w:pPr>
              <w:ind w:left="171" w:firstLine="28" w:firstLineChars="14"/>
              <w:rPr>
                <w:rFonts w:ascii="Arial" w:hAnsi="Arial" w:eastAsia="Times New Roman" w:cs="Arial"/>
                <w:sz w:val="20"/>
                <w:szCs w:val="20"/>
              </w:rPr>
            </w:pPr>
            <w:r w:rsidRPr="001404DB">
              <w:rPr>
                <w:rFonts w:ascii="Arial" w:hAnsi="Arial"/>
                <w:sz w:val="20"/>
              </w:rPr>
              <w:t>b. Volume delle negoziazioni di altri titoli a reddito fisso, escluse le operazioni infragruppo</w:t>
            </w:r>
          </w:p>
        </w:tc>
        <w:tc>
          <w:tcPr>
            <w:tcW w:w="2745" w:type="dxa"/>
            <w:tcBorders>
              <w:left w:val="nil"/>
              <w:right w:val="nil"/>
            </w:tcBorders>
            <w:noWrap/>
            <w:hideMark/>
          </w:tcPr>
          <w:p w:rsidRPr="001404DB" w:rsidR="00AE1893" w:rsidP="00BC3A1F" w:rsidRDefault="00AE1893" w14:paraId="265AC545"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4E1C34A7" w14:textId="77777777">
        <w:trPr>
          <w:gridAfter w:val="1"/>
          <w:wAfter w:w="2745" w:type="dxa"/>
          <w:trHeight w:val="300"/>
        </w:trPr>
        <w:tc>
          <w:tcPr>
            <w:tcW w:w="6804" w:type="dxa"/>
            <w:tcBorders>
              <w:left w:val="nil"/>
              <w:bottom w:val="single" w:color="auto" w:sz="4" w:space="0"/>
              <w:right w:val="nil"/>
            </w:tcBorders>
            <w:noWrap/>
            <w:hideMark/>
          </w:tcPr>
          <w:p w:rsidRPr="001404DB" w:rsidR="00AE1893" w:rsidP="00BC3A1F" w:rsidRDefault="00AE1893" w14:paraId="7DBCC69B" w14:textId="77777777">
            <w:pPr>
              <w:ind w:firstLine="200" w:firstLineChars="100"/>
              <w:rPr>
                <w:rFonts w:ascii="Arial" w:hAnsi="Arial" w:eastAsia="Times New Roman" w:cs="Arial"/>
                <w:sz w:val="20"/>
                <w:szCs w:val="20"/>
              </w:rPr>
            </w:pPr>
            <w:r w:rsidRPr="001404DB">
              <w:rPr>
                <w:rFonts w:ascii="Arial" w:hAnsi="Arial"/>
                <w:sz w:val="20"/>
              </w:rPr>
              <w:t>c. Sotto-indicatore del volume di negoziazione del reddito fisso (somma delle voci 9.a. e 9.b.)</w:t>
            </w:r>
          </w:p>
        </w:tc>
      </w:tr>
      <w:tr w:rsidRPr="001404DB" w:rsidR="00AE1893" w:rsidTr="00BC3A1F" w14:paraId="39151B71" w14:textId="77777777">
        <w:trPr>
          <w:trHeight w:val="300"/>
        </w:trPr>
        <w:tc>
          <w:tcPr>
            <w:tcW w:w="6804" w:type="dxa"/>
            <w:tcBorders>
              <w:left w:val="nil"/>
              <w:right w:val="nil"/>
            </w:tcBorders>
            <w:noWrap/>
            <w:hideMark/>
          </w:tcPr>
          <w:p w:rsidRPr="001404DB" w:rsidR="00AE1893" w:rsidP="00BC3A1F" w:rsidRDefault="00AE1893" w14:paraId="2B1CBD51" w14:textId="77777777">
            <w:pPr>
              <w:ind w:firstLine="200" w:firstLineChars="100"/>
              <w:rPr>
                <w:rFonts w:ascii="Arial" w:hAnsi="Arial" w:eastAsia="Times New Roman" w:cs="Arial"/>
                <w:sz w:val="20"/>
                <w:szCs w:val="20"/>
              </w:rPr>
            </w:pPr>
            <w:r w:rsidRPr="001404DB">
              <w:rPr>
                <w:rFonts w:ascii="Arial" w:hAnsi="Arial"/>
                <w:sz w:val="20"/>
              </w:rPr>
              <w:t>d. Volume di negoziazione di strumenti di capitale quotati, escluse le operazioni infragruppo</w:t>
            </w:r>
          </w:p>
        </w:tc>
        <w:tc>
          <w:tcPr>
            <w:tcW w:w="2745" w:type="dxa"/>
            <w:tcBorders>
              <w:left w:val="nil"/>
              <w:right w:val="nil"/>
            </w:tcBorders>
            <w:noWrap/>
            <w:hideMark/>
          </w:tcPr>
          <w:p w:rsidRPr="001404DB" w:rsidR="00AE1893" w:rsidP="00BC3A1F" w:rsidRDefault="00AE1893" w14:paraId="08978D51"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53504269" w14:textId="77777777">
        <w:trPr>
          <w:trHeight w:val="300"/>
        </w:trPr>
        <w:tc>
          <w:tcPr>
            <w:tcW w:w="6804" w:type="dxa"/>
            <w:tcBorders>
              <w:left w:val="nil"/>
              <w:bottom w:val="single" w:color="auto" w:sz="4" w:space="0"/>
              <w:right w:val="nil"/>
            </w:tcBorders>
            <w:noWrap/>
            <w:hideMark/>
          </w:tcPr>
          <w:p w:rsidRPr="001404DB" w:rsidR="00AE1893" w:rsidP="00BC3A1F" w:rsidRDefault="00AE1893" w14:paraId="79CA8EAC" w14:textId="77777777">
            <w:pPr>
              <w:ind w:left="171"/>
              <w:rPr>
                <w:rFonts w:ascii="Arial" w:hAnsi="Arial" w:eastAsia="Times New Roman" w:cs="Arial"/>
                <w:sz w:val="20"/>
                <w:szCs w:val="20"/>
              </w:rPr>
            </w:pPr>
            <w:r w:rsidRPr="001404DB">
              <w:rPr>
                <w:rFonts w:ascii="Arial" w:hAnsi="Arial"/>
                <w:sz w:val="20"/>
              </w:rPr>
              <w:t>e. Volume di negoziazione di tutti gli altri titoli, escluse le operazioni infragruppo</w:t>
            </w:r>
          </w:p>
        </w:tc>
        <w:tc>
          <w:tcPr>
            <w:tcW w:w="2745" w:type="dxa"/>
            <w:tcBorders>
              <w:left w:val="nil"/>
              <w:right w:val="nil"/>
            </w:tcBorders>
            <w:noWrap/>
            <w:hideMark/>
          </w:tcPr>
          <w:p w:rsidRPr="001404DB" w:rsidR="00AE1893" w:rsidP="00BC3A1F" w:rsidRDefault="00AE1893" w14:paraId="6AD04768"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1F58DB37" w14:textId="77777777">
        <w:trPr>
          <w:gridAfter w:val="1"/>
          <w:wAfter w:w="2745" w:type="dxa"/>
          <w:trHeight w:val="300"/>
        </w:trPr>
        <w:tc>
          <w:tcPr>
            <w:tcW w:w="6804" w:type="dxa"/>
            <w:tcBorders>
              <w:left w:val="nil"/>
              <w:bottom w:val="single" w:color="auto" w:sz="4" w:space="0"/>
              <w:right w:val="nil"/>
            </w:tcBorders>
            <w:noWrap/>
            <w:hideMark/>
          </w:tcPr>
          <w:p w:rsidRPr="001404DB" w:rsidR="00AE1893" w:rsidP="00BC3A1F" w:rsidRDefault="00AE1893" w14:paraId="4910AA0F" w14:textId="77777777">
            <w:pPr>
              <w:ind w:left="171" w:firstLine="28" w:firstLineChars="14"/>
              <w:rPr>
                <w:rFonts w:ascii="Arial" w:hAnsi="Arial" w:eastAsia="Times New Roman" w:cs="Arial"/>
                <w:sz w:val="20"/>
                <w:szCs w:val="20"/>
              </w:rPr>
            </w:pPr>
            <w:r w:rsidRPr="001404DB">
              <w:rPr>
                <w:rFonts w:ascii="Arial" w:hAnsi="Arial"/>
                <w:sz w:val="20"/>
              </w:rPr>
              <w:t>f. Sottoindicatore del volume di negoziazione di strumenti di capitale e altri titoli (somma delle voci 9.d. e 9.e.)</w:t>
            </w:r>
          </w:p>
        </w:tc>
      </w:tr>
      <w:tr w:rsidRPr="001404DB" w:rsidR="00AE1893" w:rsidTr="00BC3A1F" w14:paraId="10ED03D9" w14:textId="77777777">
        <w:trPr>
          <w:trHeight w:val="403"/>
        </w:trPr>
        <w:tc>
          <w:tcPr>
            <w:tcW w:w="6804" w:type="dxa"/>
            <w:tcBorders>
              <w:left w:val="nil"/>
              <w:bottom w:val="nil"/>
              <w:right w:val="nil"/>
            </w:tcBorders>
            <w:noWrap/>
          </w:tcPr>
          <w:p w:rsidRPr="001404DB" w:rsidR="00AE1893" w:rsidP="00BC3A1F" w:rsidRDefault="00AE1893" w14:paraId="2EDE97AF"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left w:val="nil"/>
              <w:bottom w:val="nil"/>
              <w:right w:val="nil"/>
            </w:tcBorders>
            <w:noWrap/>
          </w:tcPr>
          <w:p w:rsidRPr="001404DB" w:rsidR="00AE1893" w:rsidP="00BC3A1F" w:rsidRDefault="00AE1893" w14:paraId="2C6DF216" w14:textId="77777777">
            <w:pPr>
              <w:rPr>
                <w:rFonts w:ascii="Arial" w:hAnsi="Arial" w:eastAsia="Times New Roman" w:cs="Arial"/>
                <w:sz w:val="20"/>
                <w:szCs w:val="20"/>
                <w:lang w:eastAsia="en-GB"/>
              </w:rPr>
            </w:pPr>
          </w:p>
        </w:tc>
      </w:tr>
      <w:tr w:rsidRPr="001404DB" w:rsidR="00AE1893" w:rsidTr="00BC3A1F" w14:paraId="5809D264" w14:textId="77777777">
        <w:trPr>
          <w:trHeight w:val="403"/>
        </w:trPr>
        <w:tc>
          <w:tcPr>
            <w:tcW w:w="6804" w:type="dxa"/>
            <w:tcBorders>
              <w:top w:val="nil"/>
              <w:left w:val="nil"/>
              <w:bottom w:val="nil"/>
              <w:right w:val="nil"/>
            </w:tcBorders>
            <w:noWrap/>
            <w:hideMark/>
          </w:tcPr>
          <w:p w:rsidRPr="001404DB" w:rsidR="00AE1893" w:rsidP="00BC3A1F" w:rsidRDefault="00AE1893" w14:paraId="6FB944BE" w14:textId="77777777">
            <w:pPr>
              <w:keepNext/>
              <w:keepLines/>
              <w:spacing w:before="47"/>
              <w:outlineLvl w:val="5"/>
              <w:rPr>
                <w:rFonts w:ascii="Arial" w:hAnsi="Arial" w:eastAsia="Times New Roman" w:cs="Arial"/>
                <w:sz w:val="20"/>
                <w:szCs w:val="20"/>
                <w:lang w:eastAsia="en-GB"/>
              </w:rPr>
            </w:pPr>
            <w:r w:rsidRPr="001404DB">
              <w:rPr>
                <w:rFonts w:ascii="Arial" w:hAnsi="Arial"/>
                <w:i/>
                <w:caps/>
                <w:color w:val="172B39" w:themeColor="accent1" w:themeShade="80"/>
                <w:sz w:val="20"/>
              </w:rPr>
              <w:t> </w:t>
            </w:r>
            <w:r w:rsidRPr="001404DB">
              <w:rPr>
                <w:rFonts w:asciiTheme="majorHAnsi" w:hAnsiTheme="majorHAnsi"/>
                <w:b/>
                <w:i/>
                <w:caps/>
              </w:rPr>
              <w:t>Indicatori della complessità</w:t>
            </w:r>
          </w:p>
        </w:tc>
        <w:tc>
          <w:tcPr>
            <w:tcW w:w="2745" w:type="dxa"/>
            <w:tcBorders>
              <w:top w:val="nil"/>
              <w:left w:val="nil"/>
              <w:bottom w:val="nil"/>
              <w:right w:val="nil"/>
            </w:tcBorders>
            <w:noWrap/>
            <w:hideMark/>
          </w:tcPr>
          <w:p w:rsidRPr="001404DB" w:rsidR="00AE1893" w:rsidP="00BC3A1F" w:rsidRDefault="00AE1893" w14:paraId="318F0D9B" w14:textId="77777777">
            <w:pPr>
              <w:rPr>
                <w:rFonts w:ascii="Arial" w:hAnsi="Arial" w:eastAsia="Times New Roman" w:cs="Arial"/>
                <w:sz w:val="20"/>
                <w:szCs w:val="20"/>
              </w:rPr>
            </w:pPr>
            <w:r w:rsidRPr="001404DB">
              <w:rPr>
                <w:rFonts w:ascii="Arial" w:hAnsi="Arial"/>
                <w:sz w:val="20"/>
              </w:rPr>
              <w:t> </w:t>
            </w:r>
          </w:p>
        </w:tc>
      </w:tr>
      <w:tr w:rsidRPr="001404DB" w:rsidR="00AE1893" w:rsidTr="00BC3A1F" w14:paraId="7BD3DB88" w14:textId="77777777">
        <w:trPr>
          <w:trHeight w:val="403"/>
        </w:trPr>
        <w:tc>
          <w:tcPr>
            <w:tcW w:w="6804" w:type="dxa"/>
            <w:tcBorders>
              <w:top w:val="nil"/>
              <w:left w:val="nil"/>
              <w:bottom w:val="single" w:color="auto" w:sz="4" w:space="0"/>
              <w:right w:val="nil"/>
            </w:tcBorders>
            <w:noWrap/>
          </w:tcPr>
          <w:p w:rsidRPr="001404DB" w:rsidR="00AE1893" w:rsidP="00BC3A1F" w:rsidRDefault="00AE1893" w14:paraId="0BD9336D"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top w:val="nil"/>
              <w:left w:val="nil"/>
              <w:bottom w:val="single" w:color="auto" w:sz="4" w:space="0"/>
              <w:right w:val="nil"/>
            </w:tcBorders>
            <w:noWrap/>
          </w:tcPr>
          <w:p w:rsidRPr="001404DB" w:rsidR="00AE1893" w:rsidP="00BC3A1F" w:rsidRDefault="00AE1893" w14:paraId="2696A20F" w14:textId="77777777">
            <w:pPr>
              <w:rPr>
                <w:rFonts w:ascii="Arial" w:hAnsi="Arial" w:eastAsia="Times New Roman" w:cs="Arial"/>
                <w:sz w:val="20"/>
                <w:szCs w:val="20"/>
                <w:lang w:eastAsia="en-GB"/>
              </w:rPr>
            </w:pPr>
          </w:p>
        </w:tc>
      </w:tr>
      <w:tr w:rsidRPr="001404DB" w:rsidR="00AE1893" w:rsidTr="00BC3A1F" w14:paraId="3FE45BA4" w14:textId="77777777">
        <w:trPr>
          <w:trHeight w:val="300"/>
        </w:trPr>
        <w:tc>
          <w:tcPr>
            <w:tcW w:w="6804" w:type="dxa"/>
            <w:tcBorders>
              <w:left w:val="nil"/>
              <w:right w:val="nil"/>
            </w:tcBorders>
            <w:noWrap/>
          </w:tcPr>
          <w:p w:rsidRPr="001404DB" w:rsidR="00AE1893" w:rsidP="00BC3A1F" w:rsidRDefault="00AE1893" w14:paraId="0999F88E" w14:textId="77777777">
            <w:pPr>
              <w:ind w:firstLine="201" w:firstLineChars="100"/>
              <w:rPr>
                <w:rFonts w:ascii="Arial" w:hAnsi="Arial" w:eastAsia="Times New Roman" w:cs="Arial"/>
                <w:sz w:val="20"/>
                <w:szCs w:val="20"/>
              </w:rPr>
            </w:pPr>
            <w:r w:rsidRPr="001404DB">
              <w:rPr>
                <w:rFonts w:ascii="Arial" w:hAnsi="Arial"/>
                <w:b/>
                <w:sz w:val="20"/>
              </w:rPr>
              <w:t>Sezione 10 – Importo nozionale dei derivati OTC</w:t>
            </w:r>
          </w:p>
        </w:tc>
        <w:tc>
          <w:tcPr>
            <w:tcW w:w="2745" w:type="dxa"/>
            <w:tcBorders>
              <w:left w:val="nil"/>
              <w:right w:val="nil"/>
            </w:tcBorders>
            <w:noWrap/>
          </w:tcPr>
          <w:p w:rsidRPr="001404DB" w:rsidR="00AE1893" w:rsidP="00BC3A1F" w:rsidRDefault="00AE1893" w14:paraId="72E114B5" w14:textId="77777777">
            <w:pPr>
              <w:jc w:val="center"/>
              <w:rPr>
                <w:rFonts w:ascii="Arial" w:hAnsi="Arial" w:eastAsia="Times New Roman" w:cs="Arial"/>
                <w:b/>
                <w:bCs/>
                <w:sz w:val="20"/>
                <w:szCs w:val="20"/>
              </w:rPr>
            </w:pPr>
            <w:r w:rsidRPr="001404DB">
              <w:rPr>
                <w:rFonts w:ascii="Arial" w:hAnsi="Arial"/>
                <w:b/>
                <w:sz w:val="20"/>
              </w:rPr>
              <w:t>Importo</w:t>
            </w:r>
          </w:p>
        </w:tc>
      </w:tr>
      <w:tr w:rsidRPr="001404DB" w:rsidR="00AE1893" w:rsidTr="00BC3A1F" w14:paraId="7492D0E0" w14:textId="77777777">
        <w:trPr>
          <w:trHeight w:val="300"/>
        </w:trPr>
        <w:tc>
          <w:tcPr>
            <w:tcW w:w="6804" w:type="dxa"/>
            <w:tcBorders>
              <w:left w:val="nil"/>
              <w:right w:val="nil"/>
            </w:tcBorders>
            <w:noWrap/>
            <w:hideMark/>
          </w:tcPr>
          <w:p w:rsidRPr="001404DB" w:rsidR="00AE1893" w:rsidP="00BC3A1F" w:rsidRDefault="00AE1893" w14:paraId="369C6E08" w14:textId="77777777">
            <w:pPr>
              <w:ind w:firstLine="200" w:firstLineChars="100"/>
              <w:rPr>
                <w:rFonts w:ascii="Arial" w:hAnsi="Arial" w:eastAsia="Times New Roman" w:cs="Arial"/>
                <w:sz w:val="20"/>
                <w:szCs w:val="20"/>
              </w:rPr>
            </w:pPr>
            <w:r w:rsidRPr="001404DB">
              <w:rPr>
                <w:rFonts w:ascii="Arial" w:hAnsi="Arial"/>
                <w:sz w:val="20"/>
              </w:rPr>
              <w:t>a. Derivati OTC compensati mediante controparte centrale</w:t>
            </w:r>
          </w:p>
        </w:tc>
        <w:tc>
          <w:tcPr>
            <w:tcW w:w="2745" w:type="dxa"/>
            <w:tcBorders>
              <w:left w:val="nil"/>
              <w:right w:val="nil"/>
            </w:tcBorders>
            <w:noWrap/>
            <w:hideMark/>
          </w:tcPr>
          <w:p w:rsidRPr="001404DB" w:rsidR="00AE1893" w:rsidP="00BC3A1F" w:rsidRDefault="00AE1893" w14:paraId="2A35FF60"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46A18A07" w14:textId="77777777">
        <w:trPr>
          <w:trHeight w:val="300"/>
        </w:trPr>
        <w:tc>
          <w:tcPr>
            <w:tcW w:w="6804" w:type="dxa"/>
            <w:tcBorders>
              <w:left w:val="nil"/>
              <w:right w:val="nil"/>
            </w:tcBorders>
            <w:noWrap/>
            <w:hideMark/>
          </w:tcPr>
          <w:p w:rsidRPr="001404DB" w:rsidR="00AE1893" w:rsidP="00BC3A1F" w:rsidRDefault="00AE1893" w14:paraId="3F641AC2" w14:textId="77777777">
            <w:pPr>
              <w:ind w:firstLine="200" w:firstLineChars="100"/>
              <w:rPr>
                <w:rFonts w:ascii="Arial" w:hAnsi="Arial" w:eastAsia="Times New Roman" w:cs="Arial"/>
                <w:sz w:val="20"/>
                <w:szCs w:val="20"/>
              </w:rPr>
            </w:pPr>
            <w:r w:rsidRPr="001404DB">
              <w:rPr>
                <w:rFonts w:ascii="Arial" w:hAnsi="Arial"/>
                <w:sz w:val="20"/>
              </w:rPr>
              <w:t>b. Derivati OTC regolati a livello bilaterale</w:t>
            </w:r>
          </w:p>
        </w:tc>
        <w:tc>
          <w:tcPr>
            <w:tcW w:w="2745" w:type="dxa"/>
            <w:tcBorders>
              <w:left w:val="nil"/>
              <w:right w:val="nil"/>
            </w:tcBorders>
            <w:noWrap/>
            <w:hideMark/>
          </w:tcPr>
          <w:p w:rsidRPr="001404DB" w:rsidR="00AE1893" w:rsidP="00BC3A1F" w:rsidRDefault="00AE1893" w14:paraId="7E636834"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1C82C651" w14:textId="77777777">
        <w:trPr>
          <w:trHeight w:val="300"/>
        </w:trPr>
        <w:tc>
          <w:tcPr>
            <w:tcW w:w="6804" w:type="dxa"/>
            <w:tcBorders>
              <w:left w:val="nil"/>
              <w:bottom w:val="single" w:color="auto" w:sz="4" w:space="0"/>
              <w:right w:val="nil"/>
            </w:tcBorders>
            <w:noWrap/>
          </w:tcPr>
          <w:p w:rsidRPr="001404DB" w:rsidR="00AE1893" w:rsidP="00BC3A1F" w:rsidRDefault="00AE1893" w14:paraId="3E390130" w14:textId="77777777">
            <w:pPr>
              <w:ind w:left="171" w:firstLine="28" w:firstLineChars="14"/>
              <w:rPr>
                <w:rFonts w:ascii="Arial" w:hAnsi="Arial" w:eastAsia="Times New Roman" w:cs="Arial"/>
                <w:sz w:val="20"/>
                <w:szCs w:val="20"/>
              </w:rPr>
            </w:pPr>
            <w:r w:rsidRPr="001404DB">
              <w:rPr>
                <w:rFonts w:ascii="Arial" w:hAnsi="Arial"/>
                <w:sz w:val="20"/>
              </w:rPr>
              <w:t>c. Importo nozionale dell’indicatore dei derivati over-the-counter (OTC), comprese le controllate assicurative (somma delle voci 10.a. e 10.b.)</w:t>
            </w:r>
          </w:p>
        </w:tc>
        <w:tc>
          <w:tcPr>
            <w:tcW w:w="2745" w:type="dxa"/>
            <w:tcBorders>
              <w:left w:val="nil"/>
              <w:bottom w:val="single" w:color="auto" w:sz="4" w:space="0"/>
              <w:right w:val="nil"/>
            </w:tcBorders>
            <w:noWrap/>
          </w:tcPr>
          <w:p w:rsidRPr="001404DB" w:rsidR="00AE1893" w:rsidP="00BC3A1F" w:rsidRDefault="00AE1893" w14:paraId="2BEF75B1" w14:textId="77777777">
            <w:pPr>
              <w:jc w:val="right"/>
              <w:rPr>
                <w:rFonts w:ascii="Arial" w:hAnsi="Arial" w:eastAsia="Times New Roman" w:cs="Arial"/>
                <w:sz w:val="20"/>
                <w:szCs w:val="20"/>
                <w:lang w:eastAsia="en-GB"/>
              </w:rPr>
            </w:pPr>
          </w:p>
        </w:tc>
      </w:tr>
      <w:tr w:rsidRPr="001404DB" w:rsidR="00AE1893" w:rsidTr="00BC3A1F" w14:paraId="489398B6" w14:textId="77777777">
        <w:trPr>
          <w:trHeight w:val="300"/>
        </w:trPr>
        <w:tc>
          <w:tcPr>
            <w:tcW w:w="6804" w:type="dxa"/>
            <w:tcBorders>
              <w:left w:val="nil"/>
              <w:bottom w:val="nil"/>
              <w:right w:val="nil"/>
            </w:tcBorders>
            <w:noWrap/>
          </w:tcPr>
          <w:p w:rsidRPr="001404DB" w:rsidR="00AE1893" w:rsidP="00BC3A1F" w:rsidRDefault="00AE1893" w14:paraId="5FFEE20C"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1404DB" w:rsidR="00AE1893" w:rsidP="00BC3A1F" w:rsidRDefault="00AE1893" w14:paraId="5032D148" w14:textId="77777777">
            <w:pPr>
              <w:jc w:val="center"/>
              <w:rPr>
                <w:rFonts w:ascii="Arial" w:hAnsi="Arial" w:eastAsia="Times New Roman" w:cs="Arial"/>
                <w:b/>
                <w:bCs/>
                <w:sz w:val="20"/>
                <w:szCs w:val="20"/>
                <w:lang w:eastAsia="en-GB"/>
              </w:rPr>
            </w:pPr>
          </w:p>
        </w:tc>
      </w:tr>
      <w:tr w:rsidRPr="001404DB" w:rsidR="00AE1893" w:rsidTr="00BC3A1F" w14:paraId="54378D77" w14:textId="77777777">
        <w:trPr>
          <w:trHeight w:val="300"/>
        </w:trPr>
        <w:tc>
          <w:tcPr>
            <w:tcW w:w="6804" w:type="dxa"/>
            <w:tcBorders>
              <w:top w:val="nil"/>
              <w:left w:val="nil"/>
              <w:bottom w:val="single" w:color="auto" w:sz="4" w:space="0"/>
              <w:right w:val="nil"/>
            </w:tcBorders>
            <w:noWrap/>
            <w:hideMark/>
          </w:tcPr>
          <w:p w:rsidRPr="001404DB" w:rsidR="00AE1893" w:rsidP="00BC3A1F" w:rsidRDefault="00AE1893" w14:paraId="61566AFC" w14:textId="77777777">
            <w:pPr>
              <w:rPr>
                <w:rFonts w:ascii="Arial" w:hAnsi="Arial" w:eastAsia="Times New Roman" w:cs="Arial"/>
                <w:b/>
                <w:bCs/>
                <w:sz w:val="20"/>
                <w:szCs w:val="20"/>
              </w:rPr>
            </w:pPr>
            <w:r w:rsidRPr="001404DB">
              <w:rPr>
                <w:rFonts w:ascii="Arial" w:hAnsi="Arial"/>
                <w:b/>
                <w:sz w:val="20"/>
              </w:rPr>
              <w:t>Sezione 11 – Titoli detenuti per la negoziazione e disponibili per la vendita</w:t>
            </w:r>
          </w:p>
        </w:tc>
        <w:tc>
          <w:tcPr>
            <w:tcW w:w="2745" w:type="dxa"/>
            <w:tcBorders>
              <w:top w:val="nil"/>
              <w:left w:val="nil"/>
              <w:bottom w:val="single" w:color="auto" w:sz="4" w:space="0"/>
              <w:right w:val="nil"/>
            </w:tcBorders>
            <w:hideMark/>
          </w:tcPr>
          <w:p w:rsidRPr="001404DB" w:rsidR="00AE1893" w:rsidP="00BC3A1F" w:rsidRDefault="00AE1893" w14:paraId="4B5342D4" w14:textId="77777777">
            <w:pPr>
              <w:jc w:val="center"/>
              <w:rPr>
                <w:rFonts w:ascii="Arial" w:hAnsi="Arial" w:eastAsia="Times New Roman" w:cs="Arial"/>
                <w:b/>
                <w:bCs/>
                <w:sz w:val="20"/>
                <w:szCs w:val="20"/>
              </w:rPr>
            </w:pPr>
            <w:r w:rsidRPr="001404DB">
              <w:rPr>
                <w:rFonts w:ascii="Arial" w:hAnsi="Arial"/>
                <w:b/>
                <w:sz w:val="20"/>
              </w:rPr>
              <w:t>Importo</w:t>
            </w:r>
          </w:p>
        </w:tc>
      </w:tr>
      <w:tr w:rsidRPr="001404DB" w:rsidR="00AE1893" w:rsidTr="00BC3A1F" w14:paraId="35DFB122" w14:textId="77777777">
        <w:trPr>
          <w:trHeight w:val="300"/>
        </w:trPr>
        <w:tc>
          <w:tcPr>
            <w:tcW w:w="6804" w:type="dxa"/>
            <w:tcBorders>
              <w:left w:val="nil"/>
              <w:right w:val="nil"/>
            </w:tcBorders>
            <w:noWrap/>
            <w:hideMark/>
          </w:tcPr>
          <w:p w:rsidRPr="001404DB" w:rsidR="00AE1893" w:rsidP="00BC3A1F" w:rsidRDefault="00AE1893" w14:paraId="723AEEE3" w14:textId="77777777">
            <w:pPr>
              <w:ind w:firstLine="200" w:firstLineChars="100"/>
              <w:rPr>
                <w:rFonts w:ascii="Arial" w:hAnsi="Arial" w:eastAsia="Times New Roman" w:cs="Arial"/>
                <w:sz w:val="20"/>
                <w:szCs w:val="20"/>
              </w:rPr>
            </w:pPr>
            <w:r w:rsidRPr="001404DB">
              <w:rPr>
                <w:rFonts w:ascii="Arial" w:hAnsi="Arial"/>
                <w:sz w:val="20"/>
              </w:rPr>
              <w:t>a. Titoli detenuti per la negoziazione</w:t>
            </w:r>
          </w:p>
        </w:tc>
        <w:tc>
          <w:tcPr>
            <w:tcW w:w="2745" w:type="dxa"/>
            <w:tcBorders>
              <w:left w:val="nil"/>
              <w:right w:val="nil"/>
            </w:tcBorders>
            <w:noWrap/>
            <w:hideMark/>
          </w:tcPr>
          <w:p w:rsidRPr="001404DB" w:rsidR="00AE1893" w:rsidP="00BC3A1F" w:rsidRDefault="00AE1893" w14:paraId="59EB6071"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6E341E5B" w14:textId="77777777">
        <w:trPr>
          <w:trHeight w:val="300"/>
        </w:trPr>
        <w:tc>
          <w:tcPr>
            <w:tcW w:w="6804" w:type="dxa"/>
            <w:tcBorders>
              <w:left w:val="nil"/>
              <w:bottom w:val="single" w:color="auto" w:sz="4" w:space="0"/>
              <w:right w:val="nil"/>
            </w:tcBorders>
            <w:noWrap/>
            <w:hideMark/>
          </w:tcPr>
          <w:p w:rsidRPr="001404DB" w:rsidR="00AE1893" w:rsidP="00BC3A1F" w:rsidRDefault="00AE1893" w14:paraId="619B3646" w14:textId="77777777">
            <w:pPr>
              <w:ind w:firstLine="200" w:firstLineChars="100"/>
              <w:rPr>
                <w:rFonts w:ascii="Arial" w:hAnsi="Arial" w:eastAsia="Times New Roman" w:cs="Arial"/>
                <w:sz w:val="20"/>
                <w:szCs w:val="20"/>
              </w:rPr>
            </w:pPr>
            <w:r w:rsidRPr="001404DB">
              <w:rPr>
                <w:rFonts w:ascii="Arial" w:hAnsi="Arial"/>
                <w:sz w:val="20"/>
              </w:rPr>
              <w:t>b. Titoli disponibili per la vendita</w:t>
            </w:r>
          </w:p>
        </w:tc>
        <w:tc>
          <w:tcPr>
            <w:tcW w:w="2745" w:type="dxa"/>
            <w:tcBorders>
              <w:left w:val="nil"/>
              <w:right w:val="nil"/>
            </w:tcBorders>
            <w:noWrap/>
            <w:hideMark/>
          </w:tcPr>
          <w:p w:rsidRPr="001404DB" w:rsidR="00AE1893" w:rsidP="00BC3A1F" w:rsidRDefault="00AE1893" w14:paraId="1A7DFBDD"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7945375E" w14:textId="77777777">
        <w:trPr>
          <w:trHeight w:val="300"/>
        </w:trPr>
        <w:tc>
          <w:tcPr>
            <w:tcW w:w="6804" w:type="dxa"/>
            <w:tcBorders>
              <w:left w:val="nil"/>
              <w:bottom w:val="single" w:color="auto" w:sz="4" w:space="0"/>
              <w:right w:val="nil"/>
            </w:tcBorders>
            <w:noWrap/>
          </w:tcPr>
          <w:p w:rsidRPr="001404DB" w:rsidR="00AE1893" w:rsidP="00BC3A1F" w:rsidRDefault="00AE1893" w14:paraId="607D776D" w14:textId="77777777">
            <w:pPr>
              <w:ind w:firstLine="200" w:firstLineChars="100"/>
              <w:rPr>
                <w:rFonts w:ascii="Arial" w:hAnsi="Arial" w:eastAsia="Times New Roman" w:cs="Arial"/>
                <w:sz w:val="20"/>
                <w:szCs w:val="20"/>
              </w:rPr>
            </w:pPr>
            <w:r w:rsidRPr="001404DB">
              <w:rPr>
                <w:rFonts w:ascii="Arial" w:hAnsi="Arial"/>
                <w:sz w:val="20"/>
              </w:rPr>
              <w:t>c. Titoli detenuti per la negoziazione e disponibili per la vendita che soddisfano la definizione di attività di livello 1</w:t>
            </w:r>
          </w:p>
        </w:tc>
        <w:tc>
          <w:tcPr>
            <w:tcW w:w="2745" w:type="dxa"/>
            <w:tcBorders>
              <w:left w:val="nil"/>
              <w:right w:val="nil"/>
            </w:tcBorders>
            <w:noWrap/>
          </w:tcPr>
          <w:p w:rsidRPr="001404DB" w:rsidR="00AE1893" w:rsidP="00BC3A1F" w:rsidRDefault="00AE1893" w14:paraId="485B7FDE" w14:textId="77777777">
            <w:pPr>
              <w:jc w:val="right"/>
              <w:rPr>
                <w:rFonts w:ascii="Arial" w:hAnsi="Arial" w:eastAsia="Times New Roman" w:cs="Arial"/>
                <w:sz w:val="20"/>
                <w:szCs w:val="20"/>
                <w:lang w:eastAsia="en-GB"/>
              </w:rPr>
            </w:pPr>
          </w:p>
        </w:tc>
      </w:tr>
      <w:tr w:rsidRPr="001404DB" w:rsidR="00AE1893" w:rsidTr="00BC3A1F" w14:paraId="687CBF9D" w14:textId="77777777">
        <w:trPr>
          <w:trHeight w:val="300"/>
        </w:trPr>
        <w:tc>
          <w:tcPr>
            <w:tcW w:w="6804" w:type="dxa"/>
            <w:tcBorders>
              <w:left w:val="nil"/>
              <w:bottom w:val="single" w:color="auto" w:sz="4" w:space="0"/>
              <w:right w:val="nil"/>
            </w:tcBorders>
            <w:noWrap/>
          </w:tcPr>
          <w:p w:rsidRPr="001404DB" w:rsidR="00AE1893" w:rsidP="00BC3A1F" w:rsidRDefault="00AE1893" w14:paraId="6F6A1B8A" w14:textId="77777777">
            <w:pPr>
              <w:ind w:left="171" w:firstLine="28" w:firstLineChars="14"/>
              <w:rPr>
                <w:rFonts w:ascii="Arial" w:hAnsi="Arial" w:eastAsia="Times New Roman" w:cs="Arial"/>
                <w:sz w:val="20"/>
                <w:szCs w:val="20"/>
              </w:rPr>
            </w:pPr>
            <w:r w:rsidRPr="001404DB">
              <w:rPr>
                <w:rFonts w:ascii="Arial" w:hAnsi="Arial"/>
                <w:sz w:val="20"/>
              </w:rPr>
              <w:t>d. Titoli detenuti per la negoziazione e disponibili per la vendita che soddisfano la definizione di attività di livello 2, con coefficienti di scarto (haircut)</w:t>
            </w:r>
          </w:p>
        </w:tc>
        <w:tc>
          <w:tcPr>
            <w:tcW w:w="2745" w:type="dxa"/>
            <w:tcBorders>
              <w:left w:val="nil"/>
              <w:right w:val="nil"/>
            </w:tcBorders>
            <w:noWrap/>
          </w:tcPr>
          <w:p w:rsidRPr="001404DB" w:rsidR="00AE1893" w:rsidP="00BC3A1F" w:rsidRDefault="00AE1893" w14:paraId="54AF69DA" w14:textId="77777777">
            <w:pPr>
              <w:jc w:val="right"/>
              <w:rPr>
                <w:rFonts w:ascii="Arial" w:hAnsi="Arial" w:eastAsia="Times New Roman" w:cs="Arial"/>
                <w:sz w:val="20"/>
                <w:szCs w:val="20"/>
                <w:lang w:eastAsia="en-GB"/>
              </w:rPr>
            </w:pPr>
          </w:p>
        </w:tc>
      </w:tr>
      <w:tr w:rsidRPr="001404DB" w:rsidR="00AE1893" w:rsidTr="00BC3A1F" w14:paraId="0CB8D02D" w14:textId="77777777">
        <w:trPr>
          <w:trHeight w:val="300"/>
        </w:trPr>
        <w:tc>
          <w:tcPr>
            <w:tcW w:w="6804" w:type="dxa"/>
            <w:tcBorders>
              <w:left w:val="nil"/>
              <w:bottom w:val="single" w:color="auto" w:sz="4" w:space="0"/>
              <w:right w:val="nil"/>
            </w:tcBorders>
            <w:noWrap/>
          </w:tcPr>
          <w:p w:rsidRPr="001404DB" w:rsidR="00AE1893" w:rsidP="00BC3A1F" w:rsidRDefault="00AE1893" w14:paraId="14CFC7B3" w14:textId="77777777">
            <w:pPr>
              <w:ind w:left="171" w:firstLine="28" w:firstLineChars="14"/>
              <w:rPr>
                <w:rFonts w:ascii="Arial" w:hAnsi="Arial" w:eastAsia="Times New Roman" w:cs="Arial"/>
                <w:sz w:val="20"/>
                <w:szCs w:val="20"/>
              </w:rPr>
            </w:pPr>
            <w:r w:rsidRPr="001404DB">
              <w:rPr>
                <w:rFonts w:ascii="Arial" w:hAnsi="Arial"/>
                <w:sz w:val="20"/>
              </w:rPr>
              <w:t>e. Indicatore dei titoli detenuti per la negoziazione e disponibili per la vendita (somma delle voci 11.a. e 11.b. meno la somma delle voci 11.c. e 11.d.)</w:t>
            </w:r>
          </w:p>
        </w:tc>
        <w:tc>
          <w:tcPr>
            <w:tcW w:w="2745" w:type="dxa"/>
            <w:tcBorders>
              <w:left w:val="nil"/>
              <w:bottom w:val="single" w:color="auto" w:sz="4" w:space="0"/>
              <w:right w:val="nil"/>
            </w:tcBorders>
            <w:noWrap/>
          </w:tcPr>
          <w:p w:rsidRPr="001404DB" w:rsidR="00AE1893" w:rsidP="00BC3A1F" w:rsidRDefault="00AE1893" w14:paraId="022CD375" w14:textId="77777777">
            <w:pPr>
              <w:jc w:val="right"/>
              <w:rPr>
                <w:rFonts w:ascii="Arial" w:hAnsi="Arial" w:eastAsia="Times New Roman" w:cs="Arial"/>
                <w:sz w:val="20"/>
                <w:szCs w:val="20"/>
                <w:lang w:eastAsia="en-GB"/>
              </w:rPr>
            </w:pPr>
          </w:p>
        </w:tc>
      </w:tr>
      <w:tr w:rsidRPr="001404DB" w:rsidR="00AE1893" w:rsidTr="00BC3A1F" w14:paraId="279E3BEF" w14:textId="77777777">
        <w:trPr>
          <w:trHeight w:val="300"/>
        </w:trPr>
        <w:tc>
          <w:tcPr>
            <w:tcW w:w="6804" w:type="dxa"/>
            <w:tcBorders>
              <w:left w:val="nil"/>
              <w:bottom w:val="nil"/>
              <w:right w:val="nil"/>
            </w:tcBorders>
            <w:noWrap/>
          </w:tcPr>
          <w:p w:rsidRPr="001404DB" w:rsidR="00AE1893" w:rsidP="00BC3A1F" w:rsidRDefault="00AE1893" w14:paraId="29170952"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1404DB" w:rsidR="00AE1893" w:rsidP="00BC3A1F" w:rsidRDefault="00AE1893" w14:paraId="73CD5762" w14:textId="77777777">
            <w:pPr>
              <w:jc w:val="center"/>
              <w:rPr>
                <w:rFonts w:ascii="Arial" w:hAnsi="Arial" w:eastAsia="Times New Roman" w:cs="Arial"/>
                <w:b/>
                <w:bCs/>
                <w:sz w:val="20"/>
                <w:szCs w:val="20"/>
                <w:lang w:eastAsia="en-GB"/>
              </w:rPr>
            </w:pPr>
          </w:p>
        </w:tc>
      </w:tr>
      <w:tr w:rsidRPr="001404DB" w:rsidR="00AE1893" w:rsidTr="00BC3A1F" w14:paraId="6D3D105C" w14:textId="77777777">
        <w:trPr>
          <w:trHeight w:val="300"/>
        </w:trPr>
        <w:tc>
          <w:tcPr>
            <w:tcW w:w="6804" w:type="dxa"/>
            <w:tcBorders>
              <w:top w:val="nil"/>
              <w:left w:val="nil"/>
              <w:bottom w:val="single" w:color="auto" w:sz="4" w:space="0"/>
              <w:right w:val="nil"/>
            </w:tcBorders>
            <w:noWrap/>
            <w:hideMark/>
          </w:tcPr>
          <w:p w:rsidRPr="001404DB" w:rsidR="00AE1893" w:rsidP="00BC3A1F" w:rsidRDefault="00AE1893" w14:paraId="7C6DFC4A" w14:textId="77777777">
            <w:pPr>
              <w:rPr>
                <w:rFonts w:ascii="Arial" w:hAnsi="Arial" w:eastAsia="Times New Roman" w:cs="Arial"/>
                <w:b/>
                <w:bCs/>
                <w:sz w:val="20"/>
                <w:szCs w:val="20"/>
              </w:rPr>
            </w:pPr>
            <w:r w:rsidRPr="001404DB">
              <w:rPr>
                <w:rFonts w:ascii="Arial" w:hAnsi="Arial"/>
                <w:b/>
                <w:sz w:val="20"/>
              </w:rPr>
              <w:t>Sezione 12 – Attività di livello 3</w:t>
            </w:r>
          </w:p>
        </w:tc>
        <w:tc>
          <w:tcPr>
            <w:tcW w:w="2745" w:type="dxa"/>
            <w:tcBorders>
              <w:top w:val="nil"/>
              <w:left w:val="nil"/>
              <w:bottom w:val="single" w:color="auto" w:sz="4" w:space="0"/>
              <w:right w:val="nil"/>
            </w:tcBorders>
            <w:hideMark/>
          </w:tcPr>
          <w:p w:rsidRPr="001404DB" w:rsidR="00AE1893" w:rsidP="00BC3A1F" w:rsidRDefault="00AE1893" w14:paraId="22749321" w14:textId="77777777">
            <w:pPr>
              <w:jc w:val="center"/>
              <w:rPr>
                <w:rFonts w:ascii="Arial" w:hAnsi="Arial" w:eastAsia="Times New Roman" w:cs="Arial"/>
                <w:b/>
                <w:bCs/>
                <w:sz w:val="20"/>
                <w:szCs w:val="20"/>
              </w:rPr>
            </w:pPr>
            <w:r w:rsidRPr="001404DB">
              <w:rPr>
                <w:rFonts w:ascii="Arial" w:hAnsi="Arial"/>
                <w:b/>
                <w:sz w:val="20"/>
              </w:rPr>
              <w:t>Importo</w:t>
            </w:r>
          </w:p>
        </w:tc>
      </w:tr>
      <w:tr w:rsidRPr="001404DB" w:rsidR="00AE1893" w:rsidTr="00BC3A1F" w14:paraId="2FB67C36" w14:textId="77777777">
        <w:trPr>
          <w:trHeight w:val="300"/>
        </w:trPr>
        <w:tc>
          <w:tcPr>
            <w:tcW w:w="6804" w:type="dxa"/>
            <w:tcBorders>
              <w:left w:val="nil"/>
              <w:bottom w:val="single" w:color="auto" w:sz="4" w:space="0"/>
              <w:right w:val="nil"/>
            </w:tcBorders>
            <w:noWrap/>
            <w:hideMark/>
          </w:tcPr>
          <w:p w:rsidRPr="001404DB" w:rsidR="00AE1893" w:rsidP="00BC3A1F" w:rsidRDefault="00AE1893" w14:paraId="5AA97C2D" w14:textId="77777777">
            <w:pPr>
              <w:ind w:firstLine="200" w:firstLineChars="100"/>
              <w:rPr>
                <w:rFonts w:ascii="Arial" w:hAnsi="Arial" w:eastAsia="Times New Roman" w:cs="Arial"/>
                <w:sz w:val="20"/>
                <w:szCs w:val="20"/>
              </w:rPr>
            </w:pPr>
            <w:r w:rsidRPr="001404DB">
              <w:rPr>
                <w:rFonts w:ascii="Arial" w:hAnsi="Arial"/>
                <w:sz w:val="20"/>
              </w:rPr>
              <w:t xml:space="preserve">a. Attività di livello 3, comprese le compagnie assicurative controllate </w:t>
            </w:r>
          </w:p>
        </w:tc>
        <w:tc>
          <w:tcPr>
            <w:tcW w:w="2745" w:type="dxa"/>
            <w:tcBorders>
              <w:left w:val="nil"/>
              <w:bottom w:val="single" w:color="auto" w:sz="4" w:space="0"/>
              <w:right w:val="nil"/>
            </w:tcBorders>
            <w:noWrap/>
            <w:hideMark/>
          </w:tcPr>
          <w:p w:rsidRPr="001404DB" w:rsidR="00AE1893" w:rsidP="00BC3A1F" w:rsidRDefault="00AE1893" w14:paraId="330DB3C6"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4C35A6A3" w14:textId="77777777">
        <w:trPr>
          <w:trHeight w:val="300"/>
        </w:trPr>
        <w:tc>
          <w:tcPr>
            <w:tcW w:w="6804" w:type="dxa"/>
            <w:tcBorders>
              <w:left w:val="nil"/>
              <w:bottom w:val="nil"/>
              <w:right w:val="nil"/>
            </w:tcBorders>
            <w:noWrap/>
          </w:tcPr>
          <w:p w:rsidRPr="001404DB" w:rsidR="00AE1893" w:rsidP="00BC3A1F" w:rsidRDefault="00AE1893" w14:paraId="06C7EFD3"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1404DB" w:rsidR="00AE1893" w:rsidP="00BC3A1F" w:rsidRDefault="00AE1893" w14:paraId="3F481AB7" w14:textId="77777777">
            <w:pPr>
              <w:jc w:val="right"/>
              <w:rPr>
                <w:rFonts w:ascii="Arial" w:hAnsi="Arial" w:eastAsia="Times New Roman" w:cs="Arial"/>
                <w:sz w:val="20"/>
                <w:szCs w:val="20"/>
                <w:lang w:eastAsia="en-GB"/>
              </w:rPr>
            </w:pPr>
          </w:p>
        </w:tc>
      </w:tr>
      <w:tr w:rsidRPr="001404DB" w:rsidR="00AE1893" w:rsidTr="00BC3A1F" w14:paraId="0475F55A" w14:textId="77777777">
        <w:trPr>
          <w:trHeight w:val="300"/>
        </w:trPr>
        <w:tc>
          <w:tcPr>
            <w:tcW w:w="6804" w:type="dxa"/>
            <w:tcBorders>
              <w:top w:val="nil"/>
              <w:left w:val="nil"/>
              <w:bottom w:val="nil"/>
              <w:right w:val="nil"/>
            </w:tcBorders>
            <w:noWrap/>
          </w:tcPr>
          <w:p w:rsidRPr="001404DB" w:rsidR="00AE1893" w:rsidP="00BC3A1F" w:rsidRDefault="00AE1893" w14:paraId="414691FB" w14:textId="77777777">
            <w:pPr>
              <w:ind w:firstLine="221" w:firstLineChars="100"/>
              <w:rPr>
                <w:rFonts w:ascii="Arial" w:hAnsi="Arial" w:eastAsia="Times New Roman" w:cs="Arial"/>
                <w:sz w:val="20"/>
                <w:szCs w:val="20"/>
              </w:rPr>
            </w:pPr>
            <w:r w:rsidRPr="001404DB">
              <w:rPr>
                <w:rFonts w:asciiTheme="majorHAnsi" w:hAnsiTheme="majorHAnsi"/>
                <w:b/>
                <w:i/>
                <w:caps/>
              </w:rPr>
              <w:t>Indicatori dell’attività transgiurisdizionale</w:t>
            </w:r>
          </w:p>
        </w:tc>
        <w:tc>
          <w:tcPr>
            <w:tcW w:w="2745" w:type="dxa"/>
            <w:tcBorders>
              <w:top w:val="nil"/>
              <w:left w:val="nil"/>
              <w:bottom w:val="nil"/>
              <w:right w:val="nil"/>
            </w:tcBorders>
            <w:noWrap/>
          </w:tcPr>
          <w:p w:rsidRPr="001404DB" w:rsidR="00AE1893" w:rsidP="00BC3A1F" w:rsidRDefault="00AE1893" w14:paraId="4B5B310F" w14:textId="77777777">
            <w:pPr>
              <w:jc w:val="right"/>
              <w:rPr>
                <w:rFonts w:ascii="Arial" w:hAnsi="Arial" w:eastAsia="Times New Roman" w:cs="Arial"/>
                <w:sz w:val="20"/>
                <w:szCs w:val="20"/>
                <w:lang w:eastAsia="en-GB"/>
              </w:rPr>
            </w:pPr>
          </w:p>
        </w:tc>
      </w:tr>
      <w:tr w:rsidRPr="001404DB" w:rsidR="00AE1893" w:rsidTr="00BC3A1F" w14:paraId="664D83CD" w14:textId="77777777">
        <w:trPr>
          <w:trHeight w:val="300"/>
        </w:trPr>
        <w:tc>
          <w:tcPr>
            <w:tcW w:w="6804" w:type="dxa"/>
            <w:tcBorders>
              <w:top w:val="nil"/>
              <w:left w:val="nil"/>
              <w:bottom w:val="single" w:color="auto" w:sz="4" w:space="0"/>
              <w:right w:val="nil"/>
            </w:tcBorders>
            <w:noWrap/>
          </w:tcPr>
          <w:p w:rsidRPr="001404DB" w:rsidR="00AE1893" w:rsidP="00BC3A1F" w:rsidRDefault="00AE1893" w14:paraId="3C523C90" w14:textId="77777777">
            <w:pPr>
              <w:ind w:firstLine="200" w:firstLineChars="100"/>
              <w:rPr>
                <w:rFonts w:ascii="Arial" w:hAnsi="Arial" w:eastAsia="Times New Roman" w:cs="Arial"/>
                <w:sz w:val="20"/>
                <w:szCs w:val="20"/>
                <w:lang w:eastAsia="en-GB"/>
              </w:rPr>
            </w:pPr>
          </w:p>
        </w:tc>
        <w:tc>
          <w:tcPr>
            <w:tcW w:w="2745" w:type="dxa"/>
            <w:tcBorders>
              <w:top w:val="nil"/>
              <w:left w:val="nil"/>
              <w:bottom w:val="single" w:color="auto" w:sz="4" w:space="0"/>
              <w:right w:val="nil"/>
            </w:tcBorders>
            <w:noWrap/>
          </w:tcPr>
          <w:p w:rsidRPr="001404DB" w:rsidR="00AE1893" w:rsidP="00BC3A1F" w:rsidRDefault="00AE1893" w14:paraId="39EA2300" w14:textId="77777777">
            <w:pPr>
              <w:jc w:val="right"/>
              <w:rPr>
                <w:rFonts w:ascii="Arial" w:hAnsi="Arial" w:eastAsia="Times New Roman" w:cs="Arial"/>
                <w:sz w:val="20"/>
                <w:szCs w:val="20"/>
                <w:lang w:eastAsia="en-GB"/>
              </w:rPr>
            </w:pPr>
          </w:p>
        </w:tc>
      </w:tr>
      <w:tr w:rsidRPr="001404DB" w:rsidR="00AE1893" w:rsidTr="00BC3A1F" w14:paraId="262F8485" w14:textId="77777777">
        <w:trPr>
          <w:trHeight w:val="300"/>
        </w:trPr>
        <w:tc>
          <w:tcPr>
            <w:tcW w:w="6804" w:type="dxa"/>
            <w:tcBorders>
              <w:left w:val="nil"/>
              <w:bottom w:val="single" w:color="auto" w:sz="4" w:space="0"/>
              <w:right w:val="nil"/>
            </w:tcBorders>
            <w:noWrap/>
            <w:hideMark/>
          </w:tcPr>
          <w:p w:rsidRPr="001404DB" w:rsidR="00AE1893" w:rsidP="00BC3A1F" w:rsidRDefault="00AE1893" w14:paraId="46C63048" w14:textId="77777777">
            <w:pPr>
              <w:rPr>
                <w:rFonts w:ascii="Arial" w:hAnsi="Arial" w:eastAsia="Times New Roman" w:cs="Arial"/>
                <w:b/>
                <w:bCs/>
                <w:sz w:val="20"/>
                <w:szCs w:val="20"/>
              </w:rPr>
            </w:pPr>
            <w:r w:rsidRPr="001404DB">
              <w:rPr>
                <w:rFonts w:ascii="Arial" w:hAnsi="Arial"/>
                <w:b/>
                <w:sz w:val="20"/>
              </w:rPr>
              <w:t xml:space="preserve">Sezione 13 – </w:t>
            </w:r>
            <w:r>
              <w:rPr>
                <w:rFonts w:ascii="Arial" w:hAnsi="Arial"/>
                <w:b/>
                <w:sz w:val="20"/>
              </w:rPr>
              <w:t>Attività</w:t>
            </w:r>
            <w:r w:rsidRPr="001404DB">
              <w:rPr>
                <w:rFonts w:ascii="Arial" w:hAnsi="Arial"/>
                <w:b/>
                <w:sz w:val="20"/>
              </w:rPr>
              <w:t xml:space="preserve"> transgiurisdizionali</w:t>
            </w:r>
          </w:p>
        </w:tc>
        <w:tc>
          <w:tcPr>
            <w:tcW w:w="2745" w:type="dxa"/>
            <w:tcBorders>
              <w:left w:val="nil"/>
              <w:bottom w:val="single" w:color="auto" w:sz="4" w:space="0"/>
              <w:right w:val="nil"/>
            </w:tcBorders>
            <w:hideMark/>
          </w:tcPr>
          <w:p w:rsidRPr="001404DB" w:rsidR="00AE1893" w:rsidP="00BC3A1F" w:rsidRDefault="00AE1893" w14:paraId="3C3707B5" w14:textId="77777777">
            <w:pPr>
              <w:jc w:val="center"/>
              <w:rPr>
                <w:rFonts w:ascii="Arial" w:hAnsi="Arial" w:eastAsia="Times New Roman" w:cs="Arial"/>
                <w:b/>
                <w:bCs/>
                <w:sz w:val="20"/>
                <w:szCs w:val="20"/>
              </w:rPr>
            </w:pPr>
            <w:r w:rsidRPr="001404DB">
              <w:rPr>
                <w:rFonts w:ascii="Arial" w:hAnsi="Arial"/>
                <w:b/>
                <w:sz w:val="20"/>
              </w:rPr>
              <w:t>Importo</w:t>
            </w:r>
          </w:p>
        </w:tc>
      </w:tr>
      <w:tr w:rsidRPr="001404DB" w:rsidR="00AE1893" w:rsidTr="00BC3A1F" w14:paraId="1AAD425E" w14:textId="77777777">
        <w:trPr>
          <w:trHeight w:val="300"/>
        </w:trPr>
        <w:tc>
          <w:tcPr>
            <w:tcW w:w="6804" w:type="dxa"/>
            <w:tcBorders>
              <w:left w:val="nil"/>
              <w:right w:val="nil"/>
            </w:tcBorders>
            <w:noWrap/>
            <w:hideMark/>
          </w:tcPr>
          <w:p w:rsidRPr="001404DB" w:rsidR="00AE1893" w:rsidP="00BC3A1F" w:rsidRDefault="00AE1893" w14:paraId="07FBAD06" w14:textId="77777777">
            <w:pPr>
              <w:ind w:firstLine="200" w:firstLineChars="100"/>
              <w:rPr>
                <w:rFonts w:ascii="Arial" w:hAnsi="Arial" w:eastAsia="Times New Roman" w:cs="Arial"/>
                <w:sz w:val="20"/>
                <w:szCs w:val="20"/>
              </w:rPr>
            </w:pPr>
            <w:r w:rsidRPr="001404DB">
              <w:rPr>
                <w:rFonts w:ascii="Arial" w:hAnsi="Arial"/>
                <w:sz w:val="20"/>
              </w:rPr>
              <w:t>a. Attività estere totali su base «rischio ultimo»</w:t>
            </w:r>
          </w:p>
        </w:tc>
        <w:tc>
          <w:tcPr>
            <w:tcW w:w="2745" w:type="dxa"/>
            <w:tcBorders>
              <w:left w:val="nil"/>
              <w:right w:val="nil"/>
            </w:tcBorders>
            <w:noWrap/>
            <w:hideMark/>
          </w:tcPr>
          <w:p w:rsidRPr="001404DB" w:rsidR="00AE1893" w:rsidP="00BC3A1F" w:rsidRDefault="00AE1893" w14:paraId="5D297653"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0A15BAF0" w14:textId="77777777">
        <w:trPr>
          <w:trHeight w:val="300"/>
        </w:trPr>
        <w:tc>
          <w:tcPr>
            <w:tcW w:w="6804" w:type="dxa"/>
            <w:tcBorders>
              <w:left w:val="nil"/>
              <w:right w:val="nil"/>
            </w:tcBorders>
            <w:noWrap/>
            <w:hideMark/>
          </w:tcPr>
          <w:p w:rsidRPr="001404DB" w:rsidR="00AE1893" w:rsidP="00BC3A1F" w:rsidRDefault="00AE1893" w14:paraId="03D7DF6D" w14:textId="77777777">
            <w:pPr>
              <w:ind w:firstLine="200" w:firstLineChars="100"/>
              <w:rPr>
                <w:rFonts w:ascii="Arial" w:hAnsi="Arial" w:eastAsia="Times New Roman" w:cs="Arial"/>
                <w:sz w:val="20"/>
                <w:szCs w:val="20"/>
              </w:rPr>
            </w:pPr>
            <w:r w:rsidRPr="001404DB">
              <w:rPr>
                <w:rFonts w:ascii="Arial" w:hAnsi="Arial"/>
                <w:sz w:val="20"/>
              </w:rPr>
              <w:lastRenderedPageBreak/>
              <w:t>b. Attività estere su derivati su base «rischio ultimo»</w:t>
            </w:r>
          </w:p>
        </w:tc>
        <w:tc>
          <w:tcPr>
            <w:tcW w:w="2745" w:type="dxa"/>
            <w:tcBorders>
              <w:left w:val="nil"/>
              <w:right w:val="nil"/>
            </w:tcBorders>
            <w:noWrap/>
            <w:hideMark/>
          </w:tcPr>
          <w:p w:rsidRPr="001404DB" w:rsidR="00AE1893" w:rsidP="00BC3A1F" w:rsidRDefault="00AE1893" w14:paraId="0BA312D2"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72488238" w14:textId="77777777">
        <w:trPr>
          <w:gridAfter w:val="1"/>
          <w:wAfter w:w="2745" w:type="dxa"/>
          <w:trHeight w:val="300"/>
        </w:trPr>
        <w:tc>
          <w:tcPr>
            <w:tcW w:w="6804" w:type="dxa"/>
            <w:tcBorders>
              <w:left w:val="nil"/>
              <w:bottom w:val="single" w:color="auto" w:sz="4" w:space="0"/>
              <w:right w:val="nil"/>
            </w:tcBorders>
            <w:hideMark/>
          </w:tcPr>
          <w:p w:rsidRPr="001404DB" w:rsidR="00AE1893" w:rsidP="00BC3A1F" w:rsidRDefault="00AE1893" w14:paraId="7EB148F3" w14:textId="77777777">
            <w:pPr>
              <w:ind w:firstLine="200" w:firstLineChars="100"/>
              <w:rPr>
                <w:rFonts w:ascii="Arial" w:hAnsi="Arial" w:eastAsia="Times New Roman" w:cs="Arial"/>
                <w:sz w:val="20"/>
                <w:szCs w:val="20"/>
              </w:rPr>
            </w:pPr>
            <w:r w:rsidRPr="001404DB">
              <w:rPr>
                <w:rFonts w:ascii="Arial" w:hAnsi="Arial"/>
                <w:sz w:val="20"/>
              </w:rPr>
              <w:t>c. Indicatore dei derivati OTC (somma delle voci 13.a. e 13.b.)</w:t>
            </w:r>
          </w:p>
        </w:tc>
      </w:tr>
      <w:tr w:rsidRPr="001404DB" w:rsidR="00AE1893" w:rsidTr="00BC3A1F" w14:paraId="5448E7A7" w14:textId="77777777">
        <w:trPr>
          <w:trHeight w:val="300"/>
        </w:trPr>
        <w:tc>
          <w:tcPr>
            <w:tcW w:w="6804" w:type="dxa"/>
            <w:tcBorders>
              <w:left w:val="nil"/>
              <w:bottom w:val="nil"/>
              <w:right w:val="nil"/>
            </w:tcBorders>
            <w:noWrap/>
          </w:tcPr>
          <w:p w:rsidRPr="001404DB" w:rsidR="00AE1893" w:rsidP="00BC3A1F" w:rsidRDefault="00AE1893" w14:paraId="62B88691"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1404DB" w:rsidR="00AE1893" w:rsidP="00BC3A1F" w:rsidRDefault="00AE1893" w14:paraId="5C0F5BFD" w14:textId="77777777">
            <w:pPr>
              <w:jc w:val="center"/>
              <w:rPr>
                <w:rFonts w:ascii="Arial" w:hAnsi="Arial" w:eastAsia="Times New Roman" w:cs="Arial"/>
                <w:b/>
                <w:bCs/>
                <w:sz w:val="20"/>
                <w:szCs w:val="20"/>
                <w:lang w:eastAsia="en-GB"/>
              </w:rPr>
            </w:pPr>
          </w:p>
        </w:tc>
      </w:tr>
      <w:tr w:rsidRPr="001404DB" w:rsidR="00AE1893" w:rsidTr="00BC3A1F" w14:paraId="2CAAC1EC" w14:textId="77777777">
        <w:trPr>
          <w:trHeight w:val="300"/>
        </w:trPr>
        <w:tc>
          <w:tcPr>
            <w:tcW w:w="6804" w:type="dxa"/>
            <w:tcBorders>
              <w:top w:val="nil"/>
              <w:left w:val="nil"/>
              <w:bottom w:val="single" w:color="auto" w:sz="4" w:space="0"/>
              <w:right w:val="nil"/>
            </w:tcBorders>
            <w:noWrap/>
            <w:hideMark/>
          </w:tcPr>
          <w:p w:rsidRPr="001404DB" w:rsidR="00AE1893" w:rsidP="00BC3A1F" w:rsidRDefault="00AE1893" w14:paraId="0BEBDD58" w14:textId="77777777">
            <w:pPr>
              <w:rPr>
                <w:rFonts w:ascii="Arial" w:hAnsi="Arial" w:eastAsia="Times New Roman" w:cs="Arial"/>
                <w:b/>
                <w:bCs/>
                <w:sz w:val="20"/>
                <w:szCs w:val="20"/>
              </w:rPr>
            </w:pPr>
            <w:r w:rsidRPr="001404DB">
              <w:rPr>
                <w:rFonts w:ascii="Arial" w:hAnsi="Arial"/>
                <w:b/>
                <w:sz w:val="20"/>
              </w:rPr>
              <w:t>Sezione 14 – Passività transgiurisdizionali</w:t>
            </w:r>
          </w:p>
        </w:tc>
        <w:tc>
          <w:tcPr>
            <w:tcW w:w="2745" w:type="dxa"/>
            <w:tcBorders>
              <w:top w:val="nil"/>
              <w:left w:val="nil"/>
              <w:right w:val="nil"/>
            </w:tcBorders>
            <w:hideMark/>
          </w:tcPr>
          <w:p w:rsidRPr="001404DB" w:rsidR="00AE1893" w:rsidP="00BC3A1F" w:rsidRDefault="00AE1893" w14:paraId="72972D1E" w14:textId="77777777">
            <w:pPr>
              <w:jc w:val="center"/>
              <w:rPr>
                <w:rFonts w:ascii="Arial" w:hAnsi="Arial" w:eastAsia="Times New Roman" w:cs="Arial"/>
                <w:b/>
                <w:bCs/>
                <w:sz w:val="20"/>
                <w:szCs w:val="20"/>
              </w:rPr>
            </w:pPr>
            <w:r w:rsidRPr="001404DB">
              <w:rPr>
                <w:rFonts w:ascii="Arial" w:hAnsi="Arial"/>
                <w:b/>
                <w:sz w:val="20"/>
              </w:rPr>
              <w:t>Importo</w:t>
            </w:r>
          </w:p>
        </w:tc>
      </w:tr>
      <w:tr w:rsidRPr="001404DB" w:rsidR="00AE1893" w:rsidTr="00BC3A1F" w14:paraId="4581DB86" w14:textId="77777777">
        <w:trPr>
          <w:gridAfter w:val="1"/>
          <w:wAfter w:w="2745" w:type="dxa"/>
          <w:trHeight w:val="300"/>
        </w:trPr>
        <w:tc>
          <w:tcPr>
            <w:tcW w:w="6804" w:type="dxa"/>
            <w:tcBorders>
              <w:left w:val="nil"/>
              <w:right w:val="nil"/>
            </w:tcBorders>
            <w:noWrap/>
            <w:hideMark/>
          </w:tcPr>
          <w:p w:rsidRPr="001404DB" w:rsidR="00AE1893" w:rsidP="00BC3A1F" w:rsidRDefault="00AE1893" w14:paraId="2DDE5579" w14:textId="77777777">
            <w:pPr>
              <w:ind w:left="171" w:firstLine="28" w:firstLineChars="14"/>
              <w:rPr>
                <w:rFonts w:ascii="Arial" w:hAnsi="Arial" w:eastAsia="Times New Roman" w:cs="Arial"/>
                <w:sz w:val="20"/>
                <w:szCs w:val="20"/>
              </w:rPr>
            </w:pPr>
            <w:r w:rsidRPr="001404DB">
              <w:rPr>
                <w:rFonts w:ascii="Arial" w:hAnsi="Arial"/>
                <w:sz w:val="20"/>
              </w:rPr>
              <w:t>a. Passività estere su base «rischio immediato», esclusi i derivati e comprese le passività locali in valuta locale</w:t>
            </w:r>
          </w:p>
        </w:tc>
      </w:tr>
      <w:tr w:rsidRPr="001404DB" w:rsidR="00AE1893" w:rsidTr="00BC3A1F" w14:paraId="7A489822" w14:textId="77777777">
        <w:trPr>
          <w:trHeight w:val="300"/>
        </w:trPr>
        <w:tc>
          <w:tcPr>
            <w:tcW w:w="6804" w:type="dxa"/>
            <w:tcBorders>
              <w:left w:val="nil"/>
              <w:right w:val="nil"/>
            </w:tcBorders>
            <w:noWrap/>
            <w:hideMark/>
          </w:tcPr>
          <w:p w:rsidRPr="001404DB" w:rsidR="00AE1893" w:rsidP="00BC3A1F" w:rsidRDefault="00AE1893" w14:paraId="21CF71FB" w14:textId="77777777">
            <w:pPr>
              <w:ind w:firstLine="200" w:firstLineChars="100"/>
              <w:rPr>
                <w:rFonts w:ascii="Arial" w:hAnsi="Arial" w:eastAsia="Times New Roman" w:cs="Arial"/>
                <w:sz w:val="20"/>
                <w:szCs w:val="20"/>
              </w:rPr>
            </w:pPr>
            <w:r w:rsidRPr="001404DB">
              <w:rPr>
                <w:rFonts w:ascii="Arial" w:hAnsi="Arial"/>
                <w:sz w:val="20"/>
              </w:rPr>
              <w:t>b. Passività estere su derivati su base «rischio immediato»</w:t>
            </w:r>
          </w:p>
        </w:tc>
        <w:tc>
          <w:tcPr>
            <w:tcW w:w="2745" w:type="dxa"/>
            <w:tcBorders>
              <w:left w:val="nil"/>
              <w:right w:val="nil"/>
            </w:tcBorders>
            <w:noWrap/>
            <w:hideMark/>
          </w:tcPr>
          <w:p w:rsidRPr="001404DB" w:rsidR="00AE1893" w:rsidP="00BC3A1F" w:rsidRDefault="00AE1893" w14:paraId="2E547CE8"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2498BC9B" w14:textId="77777777">
        <w:trPr>
          <w:gridAfter w:val="1"/>
          <w:wAfter w:w="2745" w:type="dxa"/>
          <w:trHeight w:val="300"/>
        </w:trPr>
        <w:tc>
          <w:tcPr>
            <w:tcW w:w="6804" w:type="dxa"/>
            <w:tcBorders>
              <w:left w:val="nil"/>
              <w:bottom w:val="single" w:color="auto" w:sz="4" w:space="0"/>
              <w:right w:val="nil"/>
            </w:tcBorders>
            <w:hideMark/>
          </w:tcPr>
          <w:p w:rsidRPr="001404DB" w:rsidR="00AE1893" w:rsidP="00BC3A1F" w:rsidRDefault="00AE1893" w14:paraId="4E0157F9" w14:textId="77777777">
            <w:pPr>
              <w:ind w:firstLine="200" w:firstLineChars="100"/>
              <w:rPr>
                <w:rFonts w:ascii="Arial" w:hAnsi="Arial" w:eastAsia="Times New Roman" w:cs="Arial"/>
                <w:sz w:val="20"/>
                <w:szCs w:val="20"/>
              </w:rPr>
            </w:pPr>
            <w:r w:rsidRPr="001404DB">
              <w:rPr>
                <w:rFonts w:ascii="Arial" w:hAnsi="Arial"/>
                <w:sz w:val="20"/>
              </w:rPr>
              <w:t>c. Indicatore dei derivati OTC (somma delle voci 9.a. e 9.b.)</w:t>
            </w:r>
          </w:p>
        </w:tc>
      </w:tr>
      <w:tr w:rsidRPr="001404DB" w:rsidR="00AE1893" w:rsidTr="00BC3A1F" w14:paraId="165C1E91" w14:textId="77777777">
        <w:trPr>
          <w:trHeight w:val="300"/>
        </w:trPr>
        <w:tc>
          <w:tcPr>
            <w:tcW w:w="6804" w:type="dxa"/>
            <w:tcBorders>
              <w:left w:val="nil"/>
              <w:bottom w:val="nil"/>
              <w:right w:val="nil"/>
            </w:tcBorders>
            <w:noWrap/>
          </w:tcPr>
          <w:p w:rsidRPr="001404DB" w:rsidR="00AE1893" w:rsidP="00BC3A1F" w:rsidRDefault="00AE1893" w14:paraId="12885549"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1404DB" w:rsidR="00AE1893" w:rsidP="00BC3A1F" w:rsidRDefault="00AE1893" w14:paraId="133C963B" w14:textId="77777777">
            <w:pPr>
              <w:jc w:val="center"/>
              <w:rPr>
                <w:rFonts w:ascii="Arial" w:hAnsi="Arial" w:eastAsia="Times New Roman" w:cs="Arial"/>
                <w:b/>
                <w:bCs/>
                <w:sz w:val="20"/>
                <w:szCs w:val="20"/>
                <w:lang w:eastAsia="en-GB"/>
              </w:rPr>
            </w:pPr>
          </w:p>
        </w:tc>
      </w:tr>
      <w:tr w:rsidRPr="001404DB" w:rsidR="00AE1893" w:rsidTr="00BC3A1F" w14:paraId="2A20FAC1" w14:textId="77777777">
        <w:trPr>
          <w:trHeight w:val="300"/>
        </w:trPr>
        <w:tc>
          <w:tcPr>
            <w:tcW w:w="6804" w:type="dxa"/>
            <w:tcBorders>
              <w:top w:val="nil"/>
              <w:left w:val="nil"/>
              <w:bottom w:val="nil"/>
              <w:right w:val="nil"/>
            </w:tcBorders>
            <w:noWrap/>
          </w:tcPr>
          <w:p w:rsidRPr="001404DB" w:rsidR="00AE1893" w:rsidP="00BC3A1F" w:rsidRDefault="00AE1893" w14:paraId="670D5EF0" w14:textId="77777777">
            <w:pPr>
              <w:keepNext/>
              <w:keepLines/>
              <w:spacing w:before="47"/>
              <w:outlineLvl w:val="5"/>
              <w:rPr>
                <w:rFonts w:ascii="Arial" w:hAnsi="Arial" w:eastAsia="Times New Roman" w:cs="Arial"/>
                <w:b/>
                <w:bCs/>
                <w:i/>
                <w:iCs/>
                <w:caps/>
                <w:color w:val="172B39" w:themeColor="accent1" w:themeShade="80"/>
                <w:sz w:val="20"/>
                <w:szCs w:val="20"/>
              </w:rPr>
            </w:pPr>
            <w:r w:rsidRPr="001404DB">
              <w:rPr>
                <w:rFonts w:asciiTheme="majorHAnsi" w:hAnsiTheme="majorHAnsi"/>
                <w:b/>
                <w:i/>
                <w:caps/>
              </w:rPr>
              <w:t>Dati accessori</w:t>
            </w:r>
          </w:p>
        </w:tc>
        <w:tc>
          <w:tcPr>
            <w:tcW w:w="2745" w:type="dxa"/>
            <w:tcBorders>
              <w:top w:val="nil"/>
              <w:left w:val="nil"/>
              <w:bottom w:val="nil"/>
              <w:right w:val="nil"/>
            </w:tcBorders>
          </w:tcPr>
          <w:p w:rsidRPr="001404DB" w:rsidR="00AE1893" w:rsidP="00BC3A1F" w:rsidRDefault="00AE1893" w14:paraId="07001B38" w14:textId="77777777">
            <w:pPr>
              <w:jc w:val="center"/>
              <w:rPr>
                <w:rFonts w:ascii="Arial" w:hAnsi="Arial" w:eastAsia="Times New Roman" w:cs="Arial"/>
                <w:b/>
                <w:bCs/>
                <w:sz w:val="20"/>
                <w:szCs w:val="20"/>
                <w:lang w:eastAsia="en-GB"/>
              </w:rPr>
            </w:pPr>
          </w:p>
        </w:tc>
      </w:tr>
      <w:tr w:rsidRPr="001404DB" w:rsidR="00AE1893" w:rsidTr="00BC3A1F" w14:paraId="618723A3" w14:textId="77777777">
        <w:trPr>
          <w:trHeight w:val="300"/>
        </w:trPr>
        <w:tc>
          <w:tcPr>
            <w:tcW w:w="6804" w:type="dxa"/>
            <w:tcBorders>
              <w:top w:val="nil"/>
              <w:left w:val="nil"/>
              <w:bottom w:val="single" w:color="auto" w:sz="4" w:space="0"/>
              <w:right w:val="nil"/>
            </w:tcBorders>
            <w:noWrap/>
          </w:tcPr>
          <w:p w:rsidRPr="001404DB" w:rsidR="00AE1893" w:rsidP="00BC3A1F" w:rsidRDefault="00AE1893" w14:paraId="4E40758F"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tcPr>
          <w:p w:rsidRPr="001404DB" w:rsidR="00AE1893" w:rsidP="00BC3A1F" w:rsidRDefault="00AE1893" w14:paraId="19EAD8AD" w14:textId="77777777">
            <w:pPr>
              <w:jc w:val="center"/>
              <w:rPr>
                <w:rFonts w:ascii="Arial" w:hAnsi="Arial" w:eastAsia="Times New Roman" w:cs="Arial"/>
                <w:b/>
                <w:bCs/>
                <w:sz w:val="20"/>
                <w:szCs w:val="20"/>
                <w:lang w:eastAsia="en-GB"/>
              </w:rPr>
            </w:pPr>
          </w:p>
        </w:tc>
      </w:tr>
      <w:tr w:rsidRPr="001404DB" w:rsidR="00AE1893" w:rsidTr="00BC3A1F" w14:paraId="2B3DDBD7" w14:textId="77777777">
        <w:trPr>
          <w:trHeight w:val="300"/>
        </w:trPr>
        <w:tc>
          <w:tcPr>
            <w:tcW w:w="6804" w:type="dxa"/>
            <w:tcBorders>
              <w:left w:val="nil"/>
              <w:bottom w:val="single" w:color="auto" w:sz="4" w:space="0"/>
              <w:right w:val="nil"/>
            </w:tcBorders>
            <w:noWrap/>
            <w:hideMark/>
          </w:tcPr>
          <w:p w:rsidRPr="001404DB" w:rsidR="00AE1893" w:rsidP="00BC3A1F" w:rsidRDefault="00AE1893" w14:paraId="186F064C" w14:textId="77777777">
            <w:pPr>
              <w:rPr>
                <w:rFonts w:ascii="Arial" w:hAnsi="Arial" w:eastAsia="Times New Roman" w:cs="Arial"/>
                <w:b/>
                <w:bCs/>
                <w:sz w:val="20"/>
                <w:szCs w:val="20"/>
              </w:rPr>
            </w:pPr>
            <w:r w:rsidRPr="001404DB">
              <w:rPr>
                <w:rFonts w:ascii="Arial" w:hAnsi="Arial"/>
                <w:b/>
                <w:sz w:val="20"/>
              </w:rPr>
              <w:t>Sezione 15 – Indicatori accessori</w:t>
            </w:r>
          </w:p>
        </w:tc>
        <w:tc>
          <w:tcPr>
            <w:tcW w:w="2745" w:type="dxa"/>
            <w:tcBorders>
              <w:left w:val="nil"/>
              <w:bottom w:val="single" w:color="auto" w:sz="4" w:space="0"/>
              <w:right w:val="nil"/>
            </w:tcBorders>
            <w:hideMark/>
          </w:tcPr>
          <w:p w:rsidRPr="001404DB" w:rsidR="00AE1893" w:rsidP="00BC3A1F" w:rsidRDefault="00AE1893" w14:paraId="76516287" w14:textId="77777777">
            <w:pPr>
              <w:jc w:val="center"/>
              <w:rPr>
                <w:rFonts w:ascii="Arial" w:hAnsi="Arial" w:eastAsia="Times New Roman" w:cs="Arial"/>
                <w:b/>
                <w:bCs/>
                <w:sz w:val="20"/>
                <w:szCs w:val="20"/>
              </w:rPr>
            </w:pPr>
            <w:r w:rsidRPr="001404DB">
              <w:rPr>
                <w:rFonts w:ascii="Arial" w:hAnsi="Arial"/>
                <w:b/>
                <w:sz w:val="20"/>
              </w:rPr>
              <w:t>Importo</w:t>
            </w:r>
          </w:p>
        </w:tc>
      </w:tr>
      <w:tr w:rsidRPr="001404DB" w:rsidR="00AE1893" w:rsidTr="00BC3A1F" w14:paraId="446A99B7" w14:textId="77777777">
        <w:trPr>
          <w:trHeight w:val="300"/>
        </w:trPr>
        <w:tc>
          <w:tcPr>
            <w:tcW w:w="6804" w:type="dxa"/>
            <w:tcBorders>
              <w:left w:val="nil"/>
              <w:right w:val="nil"/>
            </w:tcBorders>
            <w:noWrap/>
            <w:hideMark/>
          </w:tcPr>
          <w:p w:rsidRPr="001404DB" w:rsidR="00AE1893" w:rsidP="00BC3A1F" w:rsidRDefault="00AE1893" w14:paraId="7F279840" w14:textId="77777777">
            <w:pPr>
              <w:ind w:firstLine="200" w:firstLineChars="100"/>
              <w:rPr>
                <w:rFonts w:ascii="Arial" w:hAnsi="Arial" w:eastAsia="Times New Roman" w:cs="Arial"/>
                <w:sz w:val="20"/>
                <w:szCs w:val="20"/>
              </w:rPr>
            </w:pPr>
            <w:r w:rsidRPr="001404DB">
              <w:rPr>
                <w:rFonts w:ascii="Arial" w:hAnsi="Arial"/>
                <w:sz w:val="20"/>
              </w:rPr>
              <w:t>a. Totale delle passività</w:t>
            </w:r>
          </w:p>
        </w:tc>
        <w:tc>
          <w:tcPr>
            <w:tcW w:w="2745" w:type="dxa"/>
            <w:tcBorders>
              <w:left w:val="nil"/>
              <w:right w:val="nil"/>
            </w:tcBorders>
            <w:noWrap/>
            <w:hideMark/>
          </w:tcPr>
          <w:p w:rsidRPr="001404DB" w:rsidR="00AE1893" w:rsidP="00BC3A1F" w:rsidRDefault="00AE1893" w14:paraId="2D08C497"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3DFBFC4D" w14:textId="77777777">
        <w:trPr>
          <w:trHeight w:val="300"/>
        </w:trPr>
        <w:tc>
          <w:tcPr>
            <w:tcW w:w="6804" w:type="dxa"/>
            <w:tcBorders>
              <w:left w:val="nil"/>
              <w:right w:val="nil"/>
            </w:tcBorders>
            <w:noWrap/>
            <w:hideMark/>
          </w:tcPr>
          <w:p w:rsidRPr="001404DB" w:rsidR="00AE1893" w:rsidP="00BC3A1F" w:rsidRDefault="00AE1893" w14:paraId="4897D88C" w14:textId="77777777">
            <w:pPr>
              <w:ind w:firstLine="200" w:firstLineChars="100"/>
              <w:rPr>
                <w:rFonts w:ascii="Arial" w:hAnsi="Arial" w:eastAsia="Times New Roman" w:cs="Arial"/>
                <w:sz w:val="20"/>
                <w:szCs w:val="20"/>
              </w:rPr>
            </w:pPr>
            <w:r w:rsidRPr="001404DB">
              <w:rPr>
                <w:rFonts w:ascii="Arial" w:hAnsi="Arial"/>
                <w:sz w:val="20"/>
              </w:rPr>
              <w:t>b. Finanziamenti al dettaglio</w:t>
            </w:r>
          </w:p>
        </w:tc>
        <w:tc>
          <w:tcPr>
            <w:tcW w:w="2745" w:type="dxa"/>
            <w:tcBorders>
              <w:left w:val="nil"/>
              <w:right w:val="nil"/>
            </w:tcBorders>
            <w:noWrap/>
            <w:hideMark/>
          </w:tcPr>
          <w:p w:rsidRPr="001404DB" w:rsidR="00AE1893" w:rsidP="00BC3A1F" w:rsidRDefault="00AE1893" w14:paraId="045B4F40"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4B8D39FD" w14:textId="77777777">
        <w:trPr>
          <w:gridAfter w:val="1"/>
          <w:wAfter w:w="2745" w:type="dxa"/>
          <w:trHeight w:val="540"/>
        </w:trPr>
        <w:tc>
          <w:tcPr>
            <w:tcW w:w="6804" w:type="dxa"/>
            <w:tcBorders>
              <w:left w:val="nil"/>
              <w:right w:val="nil"/>
            </w:tcBorders>
            <w:noWrap/>
            <w:hideMark/>
          </w:tcPr>
          <w:p w:rsidRPr="001404DB" w:rsidR="00AE1893" w:rsidP="00BC3A1F" w:rsidRDefault="00AE1893" w14:paraId="070AFCB4" w14:textId="77777777">
            <w:pPr>
              <w:ind w:left="171"/>
              <w:rPr>
                <w:rFonts w:ascii="Arial" w:hAnsi="Arial" w:eastAsia="Times New Roman" w:cs="Arial"/>
                <w:sz w:val="20"/>
                <w:szCs w:val="20"/>
              </w:rPr>
            </w:pPr>
            <w:r w:rsidRPr="001404DB">
              <w:rPr>
                <w:rFonts w:ascii="Arial" w:hAnsi="Arial"/>
                <w:sz w:val="20"/>
              </w:rPr>
              <w:t>c. Coefficiente di dipendenza dal finanziamento all’ingrosso (differenza tra le voci 15.a. e 15.b. divise per 15.a.)</w:t>
            </w:r>
          </w:p>
        </w:tc>
      </w:tr>
      <w:tr w:rsidRPr="001404DB" w:rsidR="00AE1893" w:rsidTr="00BC3A1F" w14:paraId="1CCF7AFB" w14:textId="77777777">
        <w:trPr>
          <w:trHeight w:val="300"/>
        </w:trPr>
        <w:tc>
          <w:tcPr>
            <w:tcW w:w="6804" w:type="dxa"/>
            <w:tcBorders>
              <w:left w:val="nil"/>
              <w:right w:val="nil"/>
            </w:tcBorders>
            <w:noWrap/>
            <w:hideMark/>
          </w:tcPr>
          <w:p w:rsidRPr="001404DB" w:rsidR="00AE1893" w:rsidP="00BC3A1F" w:rsidRDefault="00AE1893" w14:paraId="03F68C62" w14:textId="77777777">
            <w:pPr>
              <w:ind w:firstLine="200" w:firstLineChars="100"/>
              <w:rPr>
                <w:rFonts w:ascii="Arial" w:hAnsi="Arial" w:eastAsia="Times New Roman" w:cs="Arial"/>
                <w:sz w:val="20"/>
                <w:szCs w:val="20"/>
              </w:rPr>
            </w:pPr>
            <w:r w:rsidRPr="001404DB">
              <w:rPr>
                <w:rFonts w:ascii="Arial" w:hAnsi="Arial"/>
                <w:sz w:val="20"/>
              </w:rPr>
              <w:t>d. Ricavi totali lordi</w:t>
            </w:r>
          </w:p>
        </w:tc>
        <w:tc>
          <w:tcPr>
            <w:tcW w:w="2745" w:type="dxa"/>
            <w:tcBorders>
              <w:left w:val="nil"/>
              <w:right w:val="nil"/>
            </w:tcBorders>
            <w:noWrap/>
            <w:hideMark/>
          </w:tcPr>
          <w:p w:rsidRPr="001404DB" w:rsidR="00AE1893" w:rsidP="00BC3A1F" w:rsidRDefault="00AE1893" w14:paraId="24744D8A"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745F383D" w14:textId="77777777">
        <w:trPr>
          <w:trHeight w:val="300"/>
        </w:trPr>
        <w:tc>
          <w:tcPr>
            <w:tcW w:w="6804" w:type="dxa"/>
            <w:tcBorders>
              <w:left w:val="nil"/>
              <w:right w:val="nil"/>
            </w:tcBorders>
            <w:noWrap/>
            <w:hideMark/>
          </w:tcPr>
          <w:p w:rsidRPr="001404DB" w:rsidR="00AE1893" w:rsidP="00BC3A1F" w:rsidRDefault="00AE1893" w14:paraId="5EADAC79" w14:textId="77777777">
            <w:pPr>
              <w:ind w:firstLine="200" w:firstLineChars="100"/>
              <w:rPr>
                <w:rFonts w:ascii="Arial" w:hAnsi="Arial" w:eastAsia="Times New Roman" w:cs="Arial"/>
                <w:sz w:val="20"/>
                <w:szCs w:val="20"/>
              </w:rPr>
            </w:pPr>
            <w:r w:rsidRPr="001404DB">
              <w:rPr>
                <w:rFonts w:ascii="Arial" w:hAnsi="Arial"/>
                <w:sz w:val="20"/>
              </w:rPr>
              <w:t>e. Ricavi totali netti</w:t>
            </w:r>
          </w:p>
        </w:tc>
        <w:tc>
          <w:tcPr>
            <w:tcW w:w="2745" w:type="dxa"/>
            <w:tcBorders>
              <w:left w:val="nil"/>
              <w:right w:val="nil"/>
            </w:tcBorders>
            <w:noWrap/>
            <w:hideMark/>
          </w:tcPr>
          <w:p w:rsidRPr="001404DB" w:rsidR="00AE1893" w:rsidP="00BC3A1F" w:rsidRDefault="00AE1893" w14:paraId="47BE8E20"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0BC4C414" w14:textId="77777777">
        <w:trPr>
          <w:trHeight w:val="300"/>
        </w:trPr>
        <w:tc>
          <w:tcPr>
            <w:tcW w:w="6804" w:type="dxa"/>
            <w:tcBorders>
              <w:left w:val="nil"/>
              <w:right w:val="nil"/>
            </w:tcBorders>
            <w:noWrap/>
            <w:hideMark/>
          </w:tcPr>
          <w:p w:rsidRPr="001404DB" w:rsidR="00AE1893" w:rsidP="00BC3A1F" w:rsidRDefault="00AE1893" w14:paraId="03FD7B78" w14:textId="77777777">
            <w:pPr>
              <w:ind w:firstLine="200" w:firstLineChars="100"/>
              <w:rPr>
                <w:rFonts w:ascii="Arial" w:hAnsi="Arial" w:eastAsia="Times New Roman" w:cs="Arial"/>
                <w:sz w:val="20"/>
                <w:szCs w:val="20"/>
              </w:rPr>
            </w:pPr>
            <w:r w:rsidRPr="001404DB">
              <w:rPr>
                <w:rFonts w:ascii="Arial" w:hAnsi="Arial"/>
                <w:sz w:val="20"/>
              </w:rPr>
              <w:t>f. Ricavi esteri netti</w:t>
            </w:r>
          </w:p>
        </w:tc>
        <w:tc>
          <w:tcPr>
            <w:tcW w:w="2745" w:type="dxa"/>
            <w:tcBorders>
              <w:left w:val="nil"/>
              <w:right w:val="nil"/>
            </w:tcBorders>
            <w:noWrap/>
            <w:hideMark/>
          </w:tcPr>
          <w:p w:rsidRPr="001404DB" w:rsidR="00AE1893" w:rsidP="00BC3A1F" w:rsidRDefault="00AE1893" w14:paraId="2E764F16"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7C681797" w14:textId="77777777">
        <w:trPr>
          <w:trHeight w:val="300"/>
        </w:trPr>
        <w:tc>
          <w:tcPr>
            <w:tcW w:w="6804" w:type="dxa"/>
            <w:tcBorders>
              <w:left w:val="nil"/>
              <w:right w:val="nil"/>
            </w:tcBorders>
            <w:noWrap/>
          </w:tcPr>
          <w:p w:rsidRPr="001404DB" w:rsidR="00AE1893" w:rsidP="00BC3A1F" w:rsidRDefault="00AE1893" w14:paraId="16A2F8E0" w14:textId="77777777">
            <w:pPr>
              <w:ind w:left="171"/>
              <w:rPr>
                <w:rFonts w:ascii="Arial" w:hAnsi="Arial" w:eastAsia="Times New Roman" w:cs="Arial"/>
                <w:sz w:val="20"/>
                <w:szCs w:val="20"/>
              </w:rPr>
            </w:pPr>
            <w:r w:rsidRPr="001404DB">
              <w:rPr>
                <w:rFonts w:ascii="Arial" w:hAnsi="Arial"/>
                <w:sz w:val="20"/>
              </w:rPr>
              <w:t>g. Valore lordo del contante dato in prestito e valore equo lordo dei titoli dati in prestito in operazioni di finanziamento tramite titoli</w:t>
            </w:r>
          </w:p>
        </w:tc>
        <w:tc>
          <w:tcPr>
            <w:tcW w:w="2745" w:type="dxa"/>
            <w:tcBorders>
              <w:left w:val="nil"/>
              <w:right w:val="nil"/>
            </w:tcBorders>
            <w:noWrap/>
          </w:tcPr>
          <w:p w:rsidRPr="001404DB" w:rsidR="00AE1893" w:rsidP="00BC3A1F" w:rsidRDefault="00AE1893" w14:paraId="05327967" w14:textId="77777777">
            <w:pPr>
              <w:jc w:val="right"/>
              <w:rPr>
                <w:rFonts w:ascii="Arial" w:hAnsi="Arial" w:eastAsia="Times New Roman" w:cs="Arial"/>
                <w:sz w:val="20"/>
                <w:szCs w:val="20"/>
                <w:lang w:eastAsia="en-GB"/>
              </w:rPr>
            </w:pPr>
          </w:p>
        </w:tc>
      </w:tr>
      <w:tr w:rsidRPr="001404DB" w:rsidR="00AE1893" w:rsidTr="00BC3A1F" w14:paraId="77741A00" w14:textId="77777777">
        <w:trPr>
          <w:trHeight w:val="300"/>
        </w:trPr>
        <w:tc>
          <w:tcPr>
            <w:tcW w:w="6804" w:type="dxa"/>
            <w:tcBorders>
              <w:left w:val="nil"/>
              <w:right w:val="nil"/>
            </w:tcBorders>
            <w:noWrap/>
          </w:tcPr>
          <w:p w:rsidRPr="001404DB" w:rsidR="00AE1893" w:rsidP="00BC3A1F" w:rsidRDefault="00AE1893" w14:paraId="405DFE62" w14:textId="77777777">
            <w:pPr>
              <w:ind w:left="171"/>
              <w:rPr>
                <w:rFonts w:ascii="Arial" w:hAnsi="Arial" w:eastAsia="Times New Roman" w:cs="Arial"/>
                <w:sz w:val="20"/>
                <w:szCs w:val="20"/>
              </w:rPr>
            </w:pPr>
            <w:r w:rsidRPr="001404DB">
              <w:rPr>
                <w:rFonts w:ascii="Arial" w:hAnsi="Arial"/>
                <w:sz w:val="20"/>
              </w:rPr>
              <w:t>h. Valore lordo del contante preso in prestito e valore equo lordo dei titoli presi in prestito in operazioni di finanziamento tramite titoli</w:t>
            </w:r>
          </w:p>
        </w:tc>
        <w:tc>
          <w:tcPr>
            <w:tcW w:w="2745" w:type="dxa"/>
            <w:tcBorders>
              <w:left w:val="nil"/>
              <w:right w:val="nil"/>
            </w:tcBorders>
            <w:noWrap/>
          </w:tcPr>
          <w:p w:rsidRPr="001404DB" w:rsidR="00AE1893" w:rsidP="00BC3A1F" w:rsidRDefault="00AE1893" w14:paraId="70F4B942" w14:textId="77777777">
            <w:pPr>
              <w:jc w:val="right"/>
              <w:rPr>
                <w:rFonts w:ascii="Arial" w:hAnsi="Arial" w:eastAsia="Times New Roman" w:cs="Arial"/>
                <w:sz w:val="20"/>
                <w:szCs w:val="20"/>
                <w:lang w:eastAsia="en-GB"/>
              </w:rPr>
            </w:pPr>
          </w:p>
        </w:tc>
      </w:tr>
      <w:tr w:rsidRPr="001404DB" w:rsidR="00AE1893" w:rsidTr="00BC3A1F" w14:paraId="48DECF61" w14:textId="77777777">
        <w:trPr>
          <w:trHeight w:val="300"/>
        </w:trPr>
        <w:tc>
          <w:tcPr>
            <w:tcW w:w="6804" w:type="dxa"/>
            <w:tcBorders>
              <w:left w:val="nil"/>
              <w:right w:val="nil"/>
            </w:tcBorders>
            <w:noWrap/>
          </w:tcPr>
          <w:p w:rsidRPr="001404DB" w:rsidR="00AE1893" w:rsidP="00BC3A1F" w:rsidRDefault="00AE1893" w14:paraId="3C166A1C" w14:textId="77777777">
            <w:pPr>
              <w:ind w:left="171"/>
              <w:rPr>
                <w:rFonts w:ascii="Arial" w:hAnsi="Arial" w:eastAsia="Times New Roman" w:cs="Arial"/>
                <w:sz w:val="20"/>
                <w:szCs w:val="20"/>
              </w:rPr>
            </w:pPr>
            <w:r w:rsidRPr="001404DB">
              <w:rPr>
                <w:rFonts w:ascii="Arial" w:hAnsi="Arial"/>
                <w:sz w:val="20"/>
              </w:rPr>
              <w:t>i. Valore equo positivo lordo di operazioni su derivati OTC</w:t>
            </w:r>
          </w:p>
        </w:tc>
        <w:tc>
          <w:tcPr>
            <w:tcW w:w="2745" w:type="dxa"/>
            <w:tcBorders>
              <w:left w:val="nil"/>
              <w:right w:val="nil"/>
            </w:tcBorders>
            <w:noWrap/>
          </w:tcPr>
          <w:p w:rsidRPr="001404DB" w:rsidR="00AE1893" w:rsidP="00BC3A1F" w:rsidRDefault="00AE1893" w14:paraId="42F1949B" w14:textId="77777777">
            <w:pPr>
              <w:jc w:val="right"/>
              <w:rPr>
                <w:rFonts w:ascii="Arial" w:hAnsi="Arial" w:eastAsia="Times New Roman" w:cs="Arial"/>
                <w:sz w:val="20"/>
                <w:szCs w:val="20"/>
                <w:lang w:eastAsia="en-GB"/>
              </w:rPr>
            </w:pPr>
          </w:p>
        </w:tc>
      </w:tr>
      <w:tr w:rsidRPr="001404DB" w:rsidR="00AE1893" w:rsidTr="00BC3A1F" w14:paraId="48D67C9E" w14:textId="77777777">
        <w:trPr>
          <w:trHeight w:val="300"/>
        </w:trPr>
        <w:tc>
          <w:tcPr>
            <w:tcW w:w="6804" w:type="dxa"/>
            <w:tcBorders>
              <w:left w:val="nil"/>
              <w:bottom w:val="single" w:color="auto" w:sz="4" w:space="0"/>
              <w:right w:val="nil"/>
            </w:tcBorders>
            <w:noWrap/>
          </w:tcPr>
          <w:p w:rsidRPr="001404DB" w:rsidR="00AE1893" w:rsidP="00BC3A1F" w:rsidRDefault="00AE1893" w14:paraId="26C6AA9C" w14:textId="77777777">
            <w:pPr>
              <w:ind w:left="171"/>
              <w:rPr>
                <w:rFonts w:ascii="Arial" w:hAnsi="Arial" w:eastAsia="Times New Roman" w:cs="Arial"/>
                <w:sz w:val="20"/>
                <w:szCs w:val="20"/>
              </w:rPr>
            </w:pPr>
            <w:r w:rsidRPr="001404DB">
              <w:rPr>
                <w:rFonts w:ascii="Arial" w:hAnsi="Arial"/>
                <w:sz w:val="20"/>
              </w:rPr>
              <w:t>j. Valore equo negativo lordo di operazioni su derivati OTC</w:t>
            </w:r>
          </w:p>
        </w:tc>
        <w:tc>
          <w:tcPr>
            <w:tcW w:w="2745" w:type="dxa"/>
            <w:tcBorders>
              <w:left w:val="nil"/>
              <w:bottom w:val="single" w:color="auto" w:sz="4" w:space="0"/>
              <w:right w:val="nil"/>
            </w:tcBorders>
            <w:noWrap/>
          </w:tcPr>
          <w:p w:rsidRPr="001404DB" w:rsidR="00AE1893" w:rsidP="00BC3A1F" w:rsidRDefault="00AE1893" w14:paraId="2E8BEB81" w14:textId="77777777">
            <w:pPr>
              <w:jc w:val="right"/>
              <w:rPr>
                <w:rFonts w:ascii="Arial" w:hAnsi="Arial" w:eastAsia="Times New Roman" w:cs="Arial"/>
                <w:sz w:val="20"/>
                <w:szCs w:val="20"/>
                <w:lang w:eastAsia="en-GB"/>
              </w:rPr>
            </w:pPr>
          </w:p>
        </w:tc>
      </w:tr>
      <w:tr w:rsidRPr="001404DB" w:rsidR="00AE1893" w:rsidTr="00BC3A1F" w14:paraId="2C7731E3" w14:textId="77777777">
        <w:trPr>
          <w:trHeight w:val="300"/>
        </w:trPr>
        <w:tc>
          <w:tcPr>
            <w:tcW w:w="6804" w:type="dxa"/>
            <w:tcBorders>
              <w:left w:val="nil"/>
              <w:bottom w:val="single" w:color="auto" w:sz="4" w:space="0"/>
              <w:right w:val="nil"/>
            </w:tcBorders>
            <w:noWrap/>
            <w:hideMark/>
          </w:tcPr>
          <w:p w:rsidRPr="001404DB" w:rsidR="00AE1893" w:rsidP="00BC3A1F" w:rsidRDefault="00AE1893" w14:paraId="6777A18C" w14:textId="77777777">
            <w:pPr>
              <w:rPr>
                <w:rFonts w:ascii="Arial" w:hAnsi="Arial" w:eastAsia="Times New Roman" w:cs="Arial"/>
                <w:sz w:val="20"/>
                <w:szCs w:val="20"/>
              </w:rPr>
            </w:pPr>
            <w:r w:rsidRPr="001404DB">
              <w:rPr>
                <w:rFonts w:ascii="Arial" w:hAnsi="Arial"/>
                <w:sz w:val="20"/>
              </w:rPr>
              <w:t> </w:t>
            </w:r>
          </w:p>
        </w:tc>
        <w:tc>
          <w:tcPr>
            <w:tcW w:w="2745" w:type="dxa"/>
            <w:tcBorders>
              <w:left w:val="nil"/>
              <w:bottom w:val="single" w:color="auto" w:sz="4" w:space="0"/>
              <w:right w:val="nil"/>
            </w:tcBorders>
            <w:hideMark/>
          </w:tcPr>
          <w:p w:rsidRPr="001404DB" w:rsidR="00AE1893" w:rsidP="00BC3A1F" w:rsidRDefault="00AE1893" w14:paraId="737D6421" w14:textId="77777777">
            <w:pPr>
              <w:jc w:val="center"/>
              <w:rPr>
                <w:rFonts w:ascii="Arial" w:hAnsi="Arial" w:eastAsia="Times New Roman" w:cs="Arial"/>
                <w:b/>
                <w:bCs/>
                <w:sz w:val="20"/>
                <w:szCs w:val="20"/>
              </w:rPr>
            </w:pPr>
            <w:r w:rsidRPr="001404DB">
              <w:rPr>
                <w:rFonts w:ascii="Arial" w:hAnsi="Arial"/>
                <w:b/>
                <w:sz w:val="20"/>
              </w:rPr>
              <w:t>Importo in unità singole</w:t>
            </w:r>
          </w:p>
        </w:tc>
      </w:tr>
      <w:tr w:rsidRPr="001404DB" w:rsidR="00AE1893" w:rsidTr="00BC3A1F" w14:paraId="0BF1FBC3" w14:textId="77777777">
        <w:trPr>
          <w:trHeight w:val="300"/>
        </w:trPr>
        <w:tc>
          <w:tcPr>
            <w:tcW w:w="6804" w:type="dxa"/>
            <w:tcBorders>
              <w:left w:val="nil"/>
              <w:bottom w:val="single" w:color="auto" w:sz="4" w:space="0"/>
              <w:right w:val="nil"/>
            </w:tcBorders>
            <w:noWrap/>
            <w:hideMark/>
          </w:tcPr>
          <w:p w:rsidRPr="001404DB" w:rsidR="00AE1893" w:rsidP="00BC3A1F" w:rsidRDefault="00AE1893" w14:paraId="73C19A84" w14:textId="77777777">
            <w:pPr>
              <w:ind w:firstLine="200" w:firstLineChars="100"/>
              <w:rPr>
                <w:rFonts w:ascii="Arial" w:hAnsi="Arial" w:eastAsia="Times New Roman" w:cs="Arial"/>
                <w:sz w:val="20"/>
                <w:szCs w:val="20"/>
              </w:rPr>
            </w:pPr>
            <w:r w:rsidRPr="001404DB">
              <w:rPr>
                <w:rFonts w:ascii="Arial" w:hAnsi="Arial"/>
                <w:sz w:val="20"/>
              </w:rPr>
              <w:t xml:space="preserve">k. Numero di giurisdizioni </w:t>
            </w:r>
          </w:p>
        </w:tc>
        <w:tc>
          <w:tcPr>
            <w:tcW w:w="2745" w:type="dxa"/>
            <w:tcBorders>
              <w:left w:val="nil"/>
              <w:bottom w:val="single" w:color="auto" w:sz="4" w:space="0"/>
              <w:right w:val="nil"/>
            </w:tcBorders>
            <w:noWrap/>
            <w:hideMark/>
          </w:tcPr>
          <w:p w:rsidRPr="001404DB" w:rsidR="00AE1893" w:rsidP="00BC3A1F" w:rsidRDefault="00AE1893" w14:paraId="6551BDFA"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2B96E994" w14:textId="77777777">
        <w:trPr>
          <w:trHeight w:val="300"/>
        </w:trPr>
        <w:tc>
          <w:tcPr>
            <w:tcW w:w="6804" w:type="dxa"/>
            <w:tcBorders>
              <w:left w:val="nil"/>
              <w:bottom w:val="nil"/>
              <w:right w:val="nil"/>
            </w:tcBorders>
            <w:noWrap/>
          </w:tcPr>
          <w:p w:rsidRPr="001404DB" w:rsidR="00AE1893" w:rsidP="00BC3A1F" w:rsidRDefault="00AE1893" w14:paraId="5D541672"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1404DB" w:rsidR="00AE1893" w:rsidP="00BC3A1F" w:rsidRDefault="00AE1893" w14:paraId="7DEDEC80" w14:textId="77777777">
            <w:pPr>
              <w:jc w:val="center"/>
              <w:rPr>
                <w:rFonts w:ascii="Arial" w:hAnsi="Arial" w:eastAsia="Times New Roman" w:cs="Arial"/>
                <w:b/>
                <w:bCs/>
                <w:sz w:val="20"/>
                <w:szCs w:val="20"/>
                <w:lang w:eastAsia="en-GB"/>
              </w:rPr>
            </w:pPr>
          </w:p>
        </w:tc>
      </w:tr>
      <w:tr w:rsidRPr="001404DB" w:rsidR="00AE1893" w:rsidTr="00BC3A1F" w14:paraId="485FBE13" w14:textId="77777777">
        <w:trPr>
          <w:trHeight w:val="300"/>
        </w:trPr>
        <w:tc>
          <w:tcPr>
            <w:tcW w:w="6804" w:type="dxa"/>
            <w:tcBorders>
              <w:top w:val="nil"/>
              <w:left w:val="nil"/>
              <w:bottom w:val="single" w:color="auto" w:sz="4" w:space="0"/>
              <w:right w:val="nil"/>
            </w:tcBorders>
            <w:noWrap/>
            <w:hideMark/>
          </w:tcPr>
          <w:p w:rsidRPr="001404DB" w:rsidR="00AE1893" w:rsidP="00BC3A1F" w:rsidRDefault="00AE1893" w14:paraId="578BAF00" w14:textId="77777777">
            <w:pPr>
              <w:rPr>
                <w:rFonts w:ascii="Arial" w:hAnsi="Arial" w:eastAsia="Times New Roman" w:cs="Arial"/>
                <w:b/>
                <w:bCs/>
                <w:sz w:val="20"/>
                <w:szCs w:val="20"/>
              </w:rPr>
            </w:pPr>
            <w:r w:rsidRPr="001404DB">
              <w:rPr>
                <w:rFonts w:ascii="Arial" w:hAnsi="Arial"/>
                <w:b/>
                <w:sz w:val="20"/>
              </w:rPr>
              <w:t>Sezione 16 – Voci accessorie</w:t>
            </w:r>
          </w:p>
        </w:tc>
        <w:tc>
          <w:tcPr>
            <w:tcW w:w="2745" w:type="dxa"/>
            <w:tcBorders>
              <w:top w:val="nil"/>
              <w:left w:val="nil"/>
              <w:bottom w:val="single" w:color="auto" w:sz="4" w:space="0"/>
              <w:right w:val="nil"/>
            </w:tcBorders>
            <w:hideMark/>
          </w:tcPr>
          <w:p w:rsidRPr="001404DB" w:rsidR="00AE1893" w:rsidP="00BC3A1F" w:rsidRDefault="00AE1893" w14:paraId="24C583D8" w14:textId="77777777">
            <w:pPr>
              <w:jc w:val="center"/>
              <w:rPr>
                <w:rFonts w:ascii="Arial" w:hAnsi="Arial" w:eastAsia="Times New Roman" w:cs="Arial"/>
                <w:b/>
                <w:bCs/>
                <w:sz w:val="20"/>
                <w:szCs w:val="20"/>
              </w:rPr>
            </w:pPr>
            <w:r w:rsidRPr="001404DB">
              <w:rPr>
                <w:rFonts w:ascii="Arial" w:hAnsi="Arial"/>
                <w:b/>
                <w:sz w:val="20"/>
              </w:rPr>
              <w:t>Importo</w:t>
            </w:r>
          </w:p>
        </w:tc>
      </w:tr>
      <w:tr w:rsidRPr="001404DB" w:rsidR="00AE1893" w:rsidTr="00BC3A1F" w14:paraId="358EF182" w14:textId="77777777">
        <w:trPr>
          <w:trHeight w:val="300"/>
        </w:trPr>
        <w:tc>
          <w:tcPr>
            <w:tcW w:w="6804" w:type="dxa"/>
            <w:tcBorders>
              <w:left w:val="nil"/>
              <w:right w:val="nil"/>
            </w:tcBorders>
            <w:noWrap/>
            <w:hideMark/>
          </w:tcPr>
          <w:p w:rsidRPr="001404DB" w:rsidR="00AE1893" w:rsidP="00BC3A1F" w:rsidRDefault="00AE1893" w14:paraId="1C0BB91E" w14:textId="77777777">
            <w:pPr>
              <w:ind w:firstLine="200" w:firstLineChars="100"/>
              <w:rPr>
                <w:rFonts w:ascii="Arial" w:hAnsi="Arial" w:eastAsia="Times New Roman" w:cs="Arial"/>
                <w:sz w:val="20"/>
                <w:szCs w:val="20"/>
              </w:rPr>
            </w:pPr>
            <w:r w:rsidRPr="001404DB">
              <w:rPr>
                <w:rFonts w:ascii="Arial" w:hAnsi="Arial"/>
                <w:sz w:val="20"/>
              </w:rPr>
              <w:t>a. Titoli detenuti fino a scadenza</w:t>
            </w:r>
          </w:p>
        </w:tc>
        <w:tc>
          <w:tcPr>
            <w:tcW w:w="2745" w:type="dxa"/>
            <w:tcBorders>
              <w:left w:val="nil"/>
              <w:right w:val="nil"/>
            </w:tcBorders>
            <w:noWrap/>
            <w:hideMark/>
          </w:tcPr>
          <w:p w:rsidRPr="001404DB" w:rsidR="00AE1893" w:rsidP="00BC3A1F" w:rsidRDefault="00AE1893" w14:paraId="08C9820D"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2904D370" w14:textId="77777777">
        <w:trPr>
          <w:trHeight w:val="300"/>
        </w:trPr>
        <w:tc>
          <w:tcPr>
            <w:tcW w:w="6804" w:type="dxa"/>
            <w:tcBorders>
              <w:left w:val="nil"/>
              <w:right w:val="nil"/>
            </w:tcBorders>
            <w:noWrap/>
            <w:hideMark/>
          </w:tcPr>
          <w:p w:rsidRPr="001404DB" w:rsidR="00AE1893" w:rsidP="00BC3A1F" w:rsidRDefault="00AE1893" w14:paraId="47D3D853" w14:textId="77777777">
            <w:pPr>
              <w:ind w:firstLine="200" w:firstLineChars="100"/>
              <w:rPr>
                <w:rFonts w:ascii="Arial" w:hAnsi="Arial" w:eastAsia="Times New Roman" w:cs="Arial"/>
                <w:sz w:val="20"/>
                <w:szCs w:val="20"/>
              </w:rPr>
            </w:pPr>
            <w:r w:rsidRPr="001404DB">
              <w:rPr>
                <w:rFonts w:ascii="Arial" w:hAnsi="Arial"/>
                <w:sz w:val="20"/>
              </w:rPr>
              <w:t>b. Pagamenti effettuati nell’anno della segnalazione</w:t>
            </w:r>
          </w:p>
        </w:tc>
        <w:tc>
          <w:tcPr>
            <w:tcW w:w="2745" w:type="dxa"/>
            <w:tcBorders>
              <w:left w:val="nil"/>
              <w:right w:val="nil"/>
            </w:tcBorders>
            <w:noWrap/>
            <w:hideMark/>
          </w:tcPr>
          <w:p w:rsidRPr="001404DB" w:rsidR="00AE1893" w:rsidP="00BC3A1F" w:rsidRDefault="00AE1893" w14:paraId="251EC8A9" w14:textId="77777777">
            <w:pPr>
              <w:ind w:firstLine="200" w:firstLineChars="100"/>
              <w:rPr>
                <w:rFonts w:ascii="Arial" w:hAnsi="Arial" w:eastAsia="Times New Roman" w:cs="Arial"/>
                <w:sz w:val="20"/>
                <w:szCs w:val="20"/>
              </w:rPr>
            </w:pPr>
            <w:r w:rsidRPr="001404DB">
              <w:rPr>
                <w:rFonts w:ascii="Arial" w:hAnsi="Arial"/>
                <w:sz w:val="20"/>
              </w:rPr>
              <w:t> </w:t>
            </w:r>
          </w:p>
        </w:tc>
      </w:tr>
      <w:tr w:rsidRPr="001404DB" w:rsidR="00AE1893" w:rsidTr="00BC3A1F" w14:paraId="2B28C0E8" w14:textId="77777777">
        <w:trPr>
          <w:trHeight w:val="300"/>
        </w:trPr>
        <w:tc>
          <w:tcPr>
            <w:tcW w:w="6804" w:type="dxa"/>
            <w:tcBorders>
              <w:left w:val="nil"/>
              <w:right w:val="nil"/>
            </w:tcBorders>
            <w:noWrap/>
            <w:hideMark/>
          </w:tcPr>
          <w:p w:rsidRPr="001404DB" w:rsidR="00AE1893" w:rsidP="00BC3A1F" w:rsidRDefault="00AE1893" w14:paraId="39303393" w14:textId="77777777">
            <w:pPr>
              <w:ind w:firstLine="400" w:firstLineChars="200"/>
              <w:rPr>
                <w:rFonts w:ascii="Arial" w:hAnsi="Arial" w:eastAsia="Times New Roman" w:cs="Arial"/>
                <w:sz w:val="20"/>
                <w:szCs w:val="20"/>
              </w:rPr>
            </w:pPr>
            <w:r w:rsidRPr="001404DB">
              <w:rPr>
                <w:rFonts w:ascii="Arial" w:hAnsi="Arial"/>
                <w:sz w:val="20"/>
                <w:lang w:eastAsia="en-GB"/>
              </w:rPr>
              <w:t xml:space="preserve">(1) </w:t>
            </w:r>
            <w:r w:rsidRPr="001404DB">
              <w:rPr>
                <w:rFonts w:ascii="Arial" w:hAnsi="Arial"/>
                <w:sz w:val="20"/>
              </w:rPr>
              <w:t>Real brasiliano (BRL)</w:t>
            </w:r>
          </w:p>
        </w:tc>
        <w:tc>
          <w:tcPr>
            <w:tcW w:w="2745" w:type="dxa"/>
            <w:tcBorders>
              <w:left w:val="nil"/>
              <w:right w:val="nil"/>
            </w:tcBorders>
            <w:noWrap/>
            <w:hideMark/>
          </w:tcPr>
          <w:p w:rsidRPr="001404DB" w:rsidR="00AE1893" w:rsidP="00BC3A1F" w:rsidRDefault="00AE1893" w14:paraId="0937579C"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28C69766" w14:textId="77777777">
        <w:trPr>
          <w:trHeight w:val="300"/>
        </w:trPr>
        <w:tc>
          <w:tcPr>
            <w:tcW w:w="6804" w:type="dxa"/>
            <w:tcBorders>
              <w:left w:val="nil"/>
              <w:right w:val="nil"/>
            </w:tcBorders>
            <w:noWrap/>
            <w:hideMark/>
          </w:tcPr>
          <w:p w:rsidRPr="001404DB" w:rsidR="00AE1893" w:rsidP="00BC3A1F" w:rsidRDefault="00AE1893" w14:paraId="557D57D3" w14:textId="77777777">
            <w:pPr>
              <w:ind w:firstLine="400" w:firstLineChars="200"/>
              <w:rPr>
                <w:rFonts w:ascii="Arial" w:hAnsi="Arial" w:eastAsia="Times New Roman" w:cs="Arial"/>
                <w:sz w:val="20"/>
                <w:szCs w:val="20"/>
              </w:rPr>
            </w:pPr>
            <w:r w:rsidRPr="001404DB">
              <w:rPr>
                <w:rFonts w:ascii="Arial" w:hAnsi="Arial"/>
                <w:sz w:val="20"/>
                <w:lang w:eastAsia="en-GB"/>
              </w:rPr>
              <w:t xml:space="preserve">(2) </w:t>
            </w:r>
            <w:r w:rsidRPr="001404DB">
              <w:rPr>
                <w:rFonts w:ascii="Arial" w:hAnsi="Arial"/>
                <w:sz w:val="20"/>
              </w:rPr>
              <w:t>Peso messicano (MXN)</w:t>
            </w:r>
          </w:p>
        </w:tc>
        <w:tc>
          <w:tcPr>
            <w:tcW w:w="2745" w:type="dxa"/>
            <w:tcBorders>
              <w:left w:val="nil"/>
              <w:right w:val="nil"/>
            </w:tcBorders>
            <w:noWrap/>
            <w:hideMark/>
          </w:tcPr>
          <w:p w:rsidRPr="001404DB" w:rsidR="00AE1893" w:rsidP="00BC3A1F" w:rsidRDefault="00AE1893" w14:paraId="449F27CC"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2A0EE791" w14:textId="77777777">
        <w:trPr>
          <w:trHeight w:val="300"/>
        </w:trPr>
        <w:tc>
          <w:tcPr>
            <w:tcW w:w="6804" w:type="dxa"/>
            <w:tcBorders>
              <w:left w:val="nil"/>
              <w:right w:val="nil"/>
            </w:tcBorders>
            <w:noWrap/>
            <w:hideMark/>
          </w:tcPr>
          <w:p w:rsidRPr="001404DB" w:rsidR="00AE1893" w:rsidP="00BC3A1F" w:rsidRDefault="00AE1893" w14:paraId="65AAF92C" w14:textId="77777777">
            <w:pPr>
              <w:ind w:firstLine="400" w:firstLineChars="200"/>
              <w:jc w:val="both"/>
              <w:rPr>
                <w:rFonts w:ascii="Arial" w:hAnsi="Arial" w:eastAsia="Times New Roman" w:cs="Arial"/>
                <w:sz w:val="20"/>
                <w:szCs w:val="20"/>
              </w:rPr>
            </w:pPr>
            <w:r w:rsidRPr="001404DB">
              <w:rPr>
                <w:rFonts w:ascii="Arial" w:hAnsi="Arial"/>
                <w:sz w:val="20"/>
                <w:lang w:eastAsia="en-GB"/>
              </w:rPr>
              <w:t xml:space="preserve">(3) </w:t>
            </w:r>
            <w:r w:rsidRPr="001404DB">
              <w:rPr>
                <w:rFonts w:ascii="Arial" w:hAnsi="Arial"/>
                <w:sz w:val="20"/>
              </w:rPr>
              <w:t>Corona norvegese (NOK)</w:t>
            </w:r>
          </w:p>
        </w:tc>
        <w:tc>
          <w:tcPr>
            <w:tcW w:w="2745" w:type="dxa"/>
            <w:tcBorders>
              <w:left w:val="nil"/>
              <w:right w:val="nil"/>
            </w:tcBorders>
            <w:noWrap/>
            <w:hideMark/>
          </w:tcPr>
          <w:p w:rsidRPr="001404DB" w:rsidR="00AE1893" w:rsidP="00BC3A1F" w:rsidRDefault="00AE1893" w14:paraId="6B25F402"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51258AAF" w14:textId="77777777">
        <w:trPr>
          <w:trHeight w:val="300"/>
        </w:trPr>
        <w:tc>
          <w:tcPr>
            <w:tcW w:w="6804" w:type="dxa"/>
            <w:tcBorders>
              <w:left w:val="nil"/>
              <w:right w:val="nil"/>
            </w:tcBorders>
            <w:noWrap/>
            <w:hideMark/>
          </w:tcPr>
          <w:p w:rsidRPr="001404DB" w:rsidR="00AE1893" w:rsidP="00BC3A1F" w:rsidRDefault="00AE1893" w14:paraId="18D65C73" w14:textId="77777777">
            <w:pPr>
              <w:ind w:firstLine="400" w:firstLineChars="200"/>
              <w:rPr>
                <w:rFonts w:ascii="Arial" w:hAnsi="Arial" w:eastAsia="Times New Roman" w:cs="Arial"/>
                <w:sz w:val="20"/>
                <w:szCs w:val="20"/>
              </w:rPr>
            </w:pPr>
            <w:r w:rsidRPr="001404DB">
              <w:rPr>
                <w:rFonts w:ascii="Arial" w:hAnsi="Arial"/>
                <w:sz w:val="20"/>
                <w:lang w:eastAsia="en-GB"/>
              </w:rPr>
              <w:t xml:space="preserve">(4) </w:t>
            </w:r>
            <w:r w:rsidRPr="001404DB">
              <w:rPr>
                <w:rFonts w:ascii="Arial" w:hAnsi="Arial"/>
                <w:sz w:val="20"/>
              </w:rPr>
              <w:t>Rublo russo (RUB)</w:t>
            </w:r>
          </w:p>
        </w:tc>
        <w:tc>
          <w:tcPr>
            <w:tcW w:w="2745" w:type="dxa"/>
            <w:tcBorders>
              <w:left w:val="nil"/>
              <w:right w:val="nil"/>
            </w:tcBorders>
            <w:noWrap/>
            <w:hideMark/>
          </w:tcPr>
          <w:p w:rsidRPr="001404DB" w:rsidR="00AE1893" w:rsidP="00BC3A1F" w:rsidRDefault="00AE1893" w14:paraId="72A57926"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24A10BE3" w14:textId="77777777">
        <w:trPr>
          <w:trHeight w:val="300"/>
        </w:trPr>
        <w:tc>
          <w:tcPr>
            <w:tcW w:w="6804" w:type="dxa"/>
            <w:tcBorders>
              <w:left w:val="nil"/>
              <w:right w:val="nil"/>
            </w:tcBorders>
            <w:noWrap/>
            <w:hideMark/>
          </w:tcPr>
          <w:p w:rsidRPr="001404DB" w:rsidR="00AE1893" w:rsidP="00BC3A1F" w:rsidRDefault="00AE1893" w14:paraId="28463A5C" w14:textId="77777777">
            <w:pPr>
              <w:ind w:firstLine="400" w:firstLineChars="200"/>
              <w:rPr>
                <w:rFonts w:ascii="Arial" w:hAnsi="Arial" w:eastAsia="Times New Roman" w:cs="Arial"/>
                <w:sz w:val="20"/>
                <w:szCs w:val="20"/>
              </w:rPr>
            </w:pPr>
            <w:r w:rsidRPr="001404DB">
              <w:rPr>
                <w:rFonts w:ascii="Arial" w:hAnsi="Arial"/>
                <w:sz w:val="20"/>
                <w:lang w:eastAsia="en-GB"/>
              </w:rPr>
              <w:t xml:space="preserve">(5) </w:t>
            </w:r>
            <w:r w:rsidRPr="001404DB">
              <w:rPr>
                <w:rFonts w:ascii="Arial" w:hAnsi="Arial"/>
                <w:sz w:val="20"/>
              </w:rPr>
              <w:t>Dollaro di Singapore (SGD)</w:t>
            </w:r>
          </w:p>
        </w:tc>
        <w:tc>
          <w:tcPr>
            <w:tcW w:w="2745" w:type="dxa"/>
            <w:tcBorders>
              <w:left w:val="nil"/>
              <w:right w:val="nil"/>
            </w:tcBorders>
            <w:noWrap/>
            <w:hideMark/>
          </w:tcPr>
          <w:p w:rsidRPr="001404DB" w:rsidR="00AE1893" w:rsidP="00BC3A1F" w:rsidRDefault="00AE1893" w14:paraId="2939ACA5"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17FE7FF7" w14:textId="77777777">
        <w:trPr>
          <w:trHeight w:val="300"/>
        </w:trPr>
        <w:tc>
          <w:tcPr>
            <w:tcW w:w="6804" w:type="dxa"/>
            <w:tcBorders>
              <w:left w:val="nil"/>
              <w:bottom w:val="single" w:color="auto" w:sz="4" w:space="0"/>
              <w:right w:val="nil"/>
            </w:tcBorders>
            <w:noWrap/>
            <w:hideMark/>
          </w:tcPr>
          <w:p w:rsidRPr="001404DB" w:rsidR="00AE1893" w:rsidP="00BC3A1F" w:rsidRDefault="00AE1893" w14:paraId="5151C40D" w14:textId="77777777">
            <w:pPr>
              <w:ind w:firstLine="400" w:firstLineChars="200"/>
              <w:rPr>
                <w:rFonts w:ascii="Arial" w:hAnsi="Arial" w:eastAsia="Times New Roman" w:cs="Arial"/>
                <w:sz w:val="20"/>
                <w:szCs w:val="20"/>
              </w:rPr>
            </w:pPr>
            <w:r w:rsidRPr="001404DB">
              <w:rPr>
                <w:rFonts w:ascii="Arial" w:hAnsi="Arial"/>
                <w:sz w:val="20"/>
                <w:lang w:eastAsia="en-GB"/>
              </w:rPr>
              <w:t xml:space="preserve">(6) </w:t>
            </w:r>
            <w:r w:rsidRPr="001404DB">
              <w:rPr>
                <w:rFonts w:ascii="Arial" w:hAnsi="Arial"/>
                <w:sz w:val="20"/>
              </w:rPr>
              <w:t>Won sudcoreano (KRW)</w:t>
            </w:r>
          </w:p>
        </w:tc>
        <w:tc>
          <w:tcPr>
            <w:tcW w:w="2745" w:type="dxa"/>
            <w:tcBorders>
              <w:left w:val="nil"/>
              <w:bottom w:val="single" w:color="auto" w:sz="4" w:space="0"/>
              <w:right w:val="nil"/>
            </w:tcBorders>
            <w:noWrap/>
            <w:hideMark/>
          </w:tcPr>
          <w:p w:rsidRPr="001404DB" w:rsidR="00AE1893" w:rsidP="00BC3A1F" w:rsidRDefault="00AE1893" w14:paraId="48DB1697"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2F110ABF" w14:textId="77777777">
        <w:trPr>
          <w:trHeight w:val="403"/>
        </w:trPr>
        <w:tc>
          <w:tcPr>
            <w:tcW w:w="6804" w:type="dxa"/>
            <w:tcBorders>
              <w:left w:val="nil"/>
              <w:bottom w:val="nil"/>
              <w:right w:val="nil"/>
            </w:tcBorders>
            <w:noWrap/>
            <w:hideMark/>
          </w:tcPr>
          <w:p w:rsidRPr="001404DB" w:rsidR="00AE1893" w:rsidP="00BC3A1F" w:rsidRDefault="00AE1893" w14:paraId="197FE9CB" w14:textId="77777777">
            <w:pPr>
              <w:rPr>
                <w:rFonts w:ascii="Arial" w:hAnsi="Arial" w:eastAsia="Times New Roman" w:cs="Arial"/>
                <w:sz w:val="20"/>
                <w:szCs w:val="20"/>
              </w:rPr>
            </w:pPr>
            <w:r w:rsidRPr="001404DB">
              <w:rPr>
                <w:rFonts w:ascii="Arial" w:hAnsi="Arial"/>
                <w:sz w:val="20"/>
              </w:rPr>
              <w:t> </w:t>
            </w:r>
          </w:p>
        </w:tc>
        <w:tc>
          <w:tcPr>
            <w:tcW w:w="2745" w:type="dxa"/>
            <w:tcBorders>
              <w:left w:val="nil"/>
              <w:bottom w:val="nil"/>
              <w:right w:val="nil"/>
            </w:tcBorders>
            <w:noWrap/>
            <w:hideMark/>
          </w:tcPr>
          <w:p w:rsidRPr="001404DB" w:rsidR="00AE1893" w:rsidP="00BC3A1F" w:rsidRDefault="00AE1893" w14:paraId="5B38DA06" w14:textId="77777777">
            <w:pPr>
              <w:rPr>
                <w:rFonts w:ascii="Arial" w:hAnsi="Arial" w:eastAsia="Times New Roman" w:cs="Arial"/>
                <w:sz w:val="20"/>
                <w:szCs w:val="20"/>
              </w:rPr>
            </w:pPr>
            <w:r w:rsidRPr="001404DB">
              <w:rPr>
                <w:rFonts w:ascii="Arial" w:hAnsi="Arial"/>
                <w:sz w:val="20"/>
              </w:rPr>
              <w:t> </w:t>
            </w:r>
          </w:p>
        </w:tc>
      </w:tr>
      <w:tr w:rsidRPr="001404DB" w:rsidR="00AE1893" w:rsidTr="00BC3A1F" w14:paraId="7514409C" w14:textId="77777777">
        <w:trPr>
          <w:trHeight w:val="403"/>
        </w:trPr>
        <w:tc>
          <w:tcPr>
            <w:tcW w:w="6804" w:type="dxa"/>
            <w:tcBorders>
              <w:top w:val="nil"/>
              <w:left w:val="nil"/>
              <w:bottom w:val="nil"/>
              <w:right w:val="nil"/>
            </w:tcBorders>
            <w:noWrap/>
            <w:hideMark/>
          </w:tcPr>
          <w:p w:rsidRPr="001404DB" w:rsidR="00AE1893" w:rsidP="00BC3A1F" w:rsidRDefault="00AE1893" w14:paraId="3BD610D0" w14:textId="77777777">
            <w:pPr>
              <w:rPr>
                <w:rFonts w:asciiTheme="majorHAnsi" w:hAnsiTheme="majorHAnsi" w:eastAsiaTheme="majorEastAsia" w:cstheme="majorBidi"/>
                <w:b/>
                <w:bCs/>
                <w:i/>
                <w:iCs/>
                <w:caps/>
                <w:spacing w:val="-2"/>
              </w:rPr>
            </w:pPr>
            <w:r w:rsidRPr="001404DB">
              <w:rPr>
                <w:rFonts w:asciiTheme="majorHAnsi" w:hAnsiTheme="majorHAnsi"/>
                <w:b/>
                <w:i/>
                <w:caps/>
              </w:rPr>
              <w:t> Voci per memoria</w:t>
            </w:r>
          </w:p>
        </w:tc>
        <w:tc>
          <w:tcPr>
            <w:tcW w:w="2745" w:type="dxa"/>
            <w:tcBorders>
              <w:top w:val="nil"/>
              <w:left w:val="nil"/>
              <w:bottom w:val="nil"/>
              <w:right w:val="nil"/>
            </w:tcBorders>
            <w:noWrap/>
            <w:hideMark/>
          </w:tcPr>
          <w:p w:rsidRPr="001404DB" w:rsidR="00AE1893" w:rsidP="00BC3A1F" w:rsidRDefault="00AE1893" w14:paraId="1E4FC3B9" w14:textId="77777777">
            <w:pPr>
              <w:rPr>
                <w:rFonts w:ascii="Arial" w:hAnsi="Arial" w:eastAsia="Times New Roman" w:cs="Arial"/>
                <w:b/>
                <w:bCs/>
                <w:sz w:val="24"/>
                <w:szCs w:val="24"/>
              </w:rPr>
            </w:pPr>
            <w:r w:rsidRPr="001404DB">
              <w:rPr>
                <w:rFonts w:ascii="Arial" w:hAnsi="Arial"/>
                <w:b/>
                <w:sz w:val="24"/>
              </w:rPr>
              <w:t> </w:t>
            </w:r>
          </w:p>
        </w:tc>
      </w:tr>
      <w:tr w:rsidRPr="001404DB" w:rsidR="00AE1893" w:rsidTr="00BC3A1F" w14:paraId="6A7A4D93" w14:textId="77777777">
        <w:trPr>
          <w:trHeight w:val="132"/>
        </w:trPr>
        <w:tc>
          <w:tcPr>
            <w:tcW w:w="6804" w:type="dxa"/>
            <w:tcBorders>
              <w:top w:val="nil"/>
              <w:left w:val="nil"/>
              <w:bottom w:val="single" w:color="auto" w:sz="4" w:space="0"/>
              <w:right w:val="nil"/>
            </w:tcBorders>
            <w:noWrap/>
            <w:hideMark/>
          </w:tcPr>
          <w:p w:rsidRPr="001404DB" w:rsidR="00AE1893" w:rsidP="00BC3A1F" w:rsidRDefault="00AE1893" w14:paraId="24FF878D" w14:textId="77777777">
            <w:pPr>
              <w:ind w:firstLine="241" w:firstLineChars="100"/>
              <w:rPr>
                <w:rFonts w:ascii="Arial" w:hAnsi="Arial" w:eastAsia="Times New Roman" w:cs="Arial"/>
                <w:b/>
                <w:bCs/>
                <w:sz w:val="24"/>
                <w:szCs w:val="24"/>
              </w:rPr>
            </w:pPr>
            <w:r w:rsidRPr="001404DB">
              <w:rPr>
                <w:rFonts w:ascii="Arial" w:hAnsi="Arial"/>
                <w:b/>
                <w:sz w:val="24"/>
              </w:rPr>
              <w:t> </w:t>
            </w:r>
          </w:p>
        </w:tc>
        <w:tc>
          <w:tcPr>
            <w:tcW w:w="2745" w:type="dxa"/>
            <w:tcBorders>
              <w:top w:val="nil"/>
              <w:left w:val="nil"/>
              <w:bottom w:val="single" w:color="auto" w:sz="4" w:space="0"/>
              <w:right w:val="nil"/>
            </w:tcBorders>
            <w:noWrap/>
            <w:hideMark/>
          </w:tcPr>
          <w:p w:rsidRPr="001404DB" w:rsidR="00AE1893" w:rsidP="00BC3A1F" w:rsidRDefault="00AE1893" w14:paraId="79FFEED5" w14:textId="77777777">
            <w:pPr>
              <w:rPr>
                <w:rFonts w:ascii="Arial" w:hAnsi="Arial" w:eastAsia="Times New Roman" w:cs="Arial"/>
                <w:b/>
                <w:bCs/>
                <w:sz w:val="24"/>
                <w:szCs w:val="24"/>
              </w:rPr>
            </w:pPr>
            <w:r w:rsidRPr="001404DB">
              <w:rPr>
                <w:rFonts w:ascii="Arial" w:hAnsi="Arial"/>
                <w:b/>
                <w:sz w:val="24"/>
              </w:rPr>
              <w:t> </w:t>
            </w:r>
          </w:p>
        </w:tc>
      </w:tr>
      <w:tr w:rsidRPr="001404DB" w:rsidR="00AE1893" w:rsidTr="00BC3A1F" w14:paraId="0004E587" w14:textId="77777777">
        <w:trPr>
          <w:trHeight w:val="300"/>
        </w:trPr>
        <w:tc>
          <w:tcPr>
            <w:tcW w:w="6804" w:type="dxa"/>
            <w:tcBorders>
              <w:left w:val="nil"/>
              <w:right w:val="nil"/>
            </w:tcBorders>
            <w:noWrap/>
            <w:hideMark/>
          </w:tcPr>
          <w:p w:rsidRPr="001404DB" w:rsidR="00AE1893" w:rsidP="00BC3A1F" w:rsidRDefault="00AE1893" w14:paraId="70FEE554" w14:textId="77777777">
            <w:pPr>
              <w:rPr>
                <w:rFonts w:ascii="Arial" w:hAnsi="Arial" w:eastAsia="Times New Roman" w:cs="Arial"/>
                <w:b/>
                <w:bCs/>
                <w:sz w:val="20"/>
                <w:szCs w:val="20"/>
              </w:rPr>
            </w:pPr>
            <w:r w:rsidRPr="001404DB">
              <w:rPr>
                <w:rFonts w:ascii="Arial" w:hAnsi="Arial"/>
                <w:b/>
                <w:sz w:val="20"/>
              </w:rPr>
              <w:t>Sezione 17 – Voci relative alla dimensione</w:t>
            </w:r>
          </w:p>
        </w:tc>
        <w:tc>
          <w:tcPr>
            <w:tcW w:w="2745" w:type="dxa"/>
            <w:tcBorders>
              <w:left w:val="nil"/>
              <w:right w:val="nil"/>
            </w:tcBorders>
            <w:hideMark/>
          </w:tcPr>
          <w:p w:rsidRPr="001404DB" w:rsidR="00AE1893" w:rsidP="00BC3A1F" w:rsidRDefault="00AE1893" w14:paraId="7DB0BB0D" w14:textId="77777777">
            <w:pPr>
              <w:jc w:val="center"/>
              <w:rPr>
                <w:rFonts w:ascii="Arial" w:hAnsi="Arial" w:eastAsia="Times New Roman" w:cs="Arial"/>
                <w:b/>
                <w:bCs/>
                <w:sz w:val="20"/>
                <w:szCs w:val="20"/>
              </w:rPr>
            </w:pPr>
            <w:r w:rsidRPr="001404DB">
              <w:rPr>
                <w:rFonts w:ascii="Arial" w:hAnsi="Arial"/>
                <w:b/>
                <w:sz w:val="20"/>
              </w:rPr>
              <w:t>Importo</w:t>
            </w:r>
          </w:p>
        </w:tc>
      </w:tr>
      <w:tr w:rsidRPr="001404DB" w:rsidR="00AE1893" w:rsidTr="00BC3A1F" w14:paraId="527FA394" w14:textId="77777777">
        <w:trPr>
          <w:gridAfter w:val="1"/>
          <w:wAfter w:w="2745" w:type="dxa"/>
          <w:trHeight w:val="300"/>
        </w:trPr>
        <w:tc>
          <w:tcPr>
            <w:tcW w:w="6804" w:type="dxa"/>
            <w:tcBorders>
              <w:left w:val="nil"/>
              <w:right w:val="nil"/>
            </w:tcBorders>
            <w:noWrap/>
            <w:hideMark/>
          </w:tcPr>
          <w:p w:rsidRPr="001404DB" w:rsidR="00AE1893" w:rsidP="00BC3A1F" w:rsidRDefault="00AE1893" w14:paraId="56E60CA3" w14:textId="77777777">
            <w:pPr>
              <w:ind w:left="171" w:firstLine="28" w:firstLineChars="14"/>
              <w:rPr>
                <w:rFonts w:ascii="Arial" w:hAnsi="Arial" w:eastAsia="Times New Roman" w:cs="Arial"/>
                <w:sz w:val="20"/>
                <w:szCs w:val="20"/>
              </w:rPr>
            </w:pPr>
            <w:r w:rsidRPr="001404DB">
              <w:rPr>
                <w:rFonts w:ascii="Arial" w:hAnsi="Arial"/>
                <w:sz w:val="20"/>
              </w:rPr>
              <w:t>a. Esposizioni delle compagnie assicurative controllate già incluse nell’ambito del consolidamento prudenziale regolamentare</w:t>
            </w:r>
          </w:p>
        </w:tc>
      </w:tr>
      <w:tr w:rsidRPr="001404DB" w:rsidR="00AE1893" w:rsidTr="00BC3A1F" w14:paraId="7E911210" w14:textId="77777777">
        <w:trPr>
          <w:trHeight w:val="300"/>
        </w:trPr>
        <w:tc>
          <w:tcPr>
            <w:tcW w:w="6804" w:type="dxa"/>
            <w:tcBorders>
              <w:left w:val="nil"/>
              <w:right w:val="nil"/>
            </w:tcBorders>
            <w:noWrap/>
            <w:hideMark/>
          </w:tcPr>
          <w:p w:rsidRPr="001404DB" w:rsidR="00AE1893" w:rsidP="00BC3A1F" w:rsidRDefault="00AE1893" w14:paraId="05B34EB8" w14:textId="77777777">
            <w:pPr>
              <w:ind w:firstLine="200" w:firstLineChars="100"/>
              <w:rPr>
                <w:rFonts w:ascii="Arial" w:hAnsi="Arial" w:eastAsia="Times New Roman" w:cs="Arial"/>
                <w:sz w:val="20"/>
                <w:szCs w:val="20"/>
              </w:rPr>
            </w:pPr>
            <w:r w:rsidRPr="001404DB">
              <w:rPr>
                <w:rFonts w:ascii="Arial" w:hAnsi="Arial"/>
                <w:sz w:val="20"/>
              </w:rPr>
              <w:t xml:space="preserve">b. Valore medio trimestrale delle esposizioni totali </w:t>
            </w:r>
          </w:p>
        </w:tc>
        <w:tc>
          <w:tcPr>
            <w:tcW w:w="2745" w:type="dxa"/>
            <w:tcBorders>
              <w:left w:val="nil"/>
              <w:right w:val="nil"/>
            </w:tcBorders>
            <w:noWrap/>
            <w:hideMark/>
          </w:tcPr>
          <w:p w:rsidRPr="001404DB" w:rsidR="00AE1893" w:rsidP="00BC3A1F" w:rsidRDefault="00AE1893" w14:paraId="4ADF962D"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7C85CF41" w14:textId="77777777">
        <w:trPr>
          <w:trHeight w:val="300"/>
        </w:trPr>
        <w:tc>
          <w:tcPr>
            <w:tcW w:w="6804" w:type="dxa"/>
            <w:tcBorders>
              <w:left w:val="nil"/>
              <w:bottom w:val="single" w:color="auto" w:sz="4" w:space="0"/>
              <w:right w:val="nil"/>
            </w:tcBorders>
            <w:noWrap/>
            <w:hideMark/>
          </w:tcPr>
          <w:p w:rsidRPr="001404DB" w:rsidR="00AE1893" w:rsidP="00BC3A1F" w:rsidRDefault="00AE1893" w14:paraId="1E6EE83A" w14:textId="77777777">
            <w:pPr>
              <w:ind w:firstLine="200" w:firstLineChars="100"/>
              <w:rPr>
                <w:rFonts w:ascii="Arial" w:hAnsi="Arial" w:eastAsia="Times New Roman" w:cs="Arial"/>
                <w:sz w:val="20"/>
                <w:szCs w:val="20"/>
              </w:rPr>
            </w:pPr>
            <w:r w:rsidRPr="001404DB">
              <w:rPr>
                <w:rFonts w:ascii="Arial" w:hAnsi="Arial"/>
                <w:sz w:val="20"/>
              </w:rPr>
              <w:lastRenderedPageBreak/>
              <w:t xml:space="preserve">c. Valore medio mensile delle esposizioni totali </w:t>
            </w:r>
          </w:p>
        </w:tc>
        <w:tc>
          <w:tcPr>
            <w:tcW w:w="2745" w:type="dxa"/>
            <w:tcBorders>
              <w:left w:val="nil"/>
              <w:bottom w:val="single" w:color="auto" w:sz="4" w:space="0"/>
              <w:right w:val="nil"/>
            </w:tcBorders>
            <w:noWrap/>
            <w:hideMark/>
          </w:tcPr>
          <w:p w:rsidRPr="001404DB" w:rsidR="00AE1893" w:rsidP="00BC3A1F" w:rsidRDefault="00AE1893" w14:paraId="1FCFA8A7"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4623A1AD" w14:textId="77777777">
        <w:trPr>
          <w:trHeight w:val="300"/>
        </w:trPr>
        <w:tc>
          <w:tcPr>
            <w:tcW w:w="6804" w:type="dxa"/>
            <w:tcBorders>
              <w:left w:val="nil"/>
              <w:bottom w:val="nil"/>
              <w:right w:val="nil"/>
            </w:tcBorders>
            <w:noWrap/>
          </w:tcPr>
          <w:p w:rsidRPr="001404DB" w:rsidR="00AE1893" w:rsidP="00BC3A1F" w:rsidRDefault="00AE1893" w14:paraId="346CE07B"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1404DB" w:rsidR="00AE1893" w:rsidP="00BC3A1F" w:rsidRDefault="00AE1893" w14:paraId="4FECAFDD" w14:textId="77777777">
            <w:pPr>
              <w:jc w:val="center"/>
              <w:rPr>
                <w:rFonts w:ascii="Arial" w:hAnsi="Arial" w:eastAsia="Times New Roman" w:cs="Arial"/>
                <w:b/>
                <w:bCs/>
                <w:sz w:val="20"/>
                <w:szCs w:val="20"/>
                <w:lang w:eastAsia="en-GB"/>
              </w:rPr>
            </w:pPr>
          </w:p>
        </w:tc>
      </w:tr>
      <w:tr w:rsidRPr="001404DB" w:rsidR="00AE1893" w:rsidTr="00BC3A1F" w14:paraId="05AA4043" w14:textId="77777777">
        <w:trPr>
          <w:trHeight w:val="300"/>
        </w:trPr>
        <w:tc>
          <w:tcPr>
            <w:tcW w:w="6804" w:type="dxa"/>
            <w:tcBorders>
              <w:top w:val="nil"/>
              <w:left w:val="nil"/>
              <w:right w:val="nil"/>
            </w:tcBorders>
            <w:noWrap/>
            <w:hideMark/>
          </w:tcPr>
          <w:p w:rsidRPr="001404DB" w:rsidR="00AE1893" w:rsidP="00BC3A1F" w:rsidRDefault="00AE1893" w14:paraId="5FFE555E" w14:textId="77777777">
            <w:pPr>
              <w:rPr>
                <w:rFonts w:ascii="Arial" w:hAnsi="Arial" w:eastAsia="Times New Roman" w:cs="Arial"/>
                <w:b/>
                <w:bCs/>
                <w:sz w:val="20"/>
                <w:szCs w:val="20"/>
              </w:rPr>
            </w:pPr>
            <w:r w:rsidRPr="001404DB">
              <w:rPr>
                <w:rFonts w:ascii="Arial" w:hAnsi="Arial"/>
                <w:b/>
                <w:sz w:val="20"/>
              </w:rPr>
              <w:t>Sezione 18 – Voci relative all’interconnessione</w:t>
            </w:r>
          </w:p>
        </w:tc>
        <w:tc>
          <w:tcPr>
            <w:tcW w:w="2745" w:type="dxa"/>
            <w:tcBorders>
              <w:top w:val="nil"/>
              <w:left w:val="nil"/>
              <w:right w:val="nil"/>
            </w:tcBorders>
            <w:hideMark/>
          </w:tcPr>
          <w:p w:rsidRPr="001404DB" w:rsidR="00AE1893" w:rsidP="00BC3A1F" w:rsidRDefault="00AE1893" w14:paraId="3B1DEA17" w14:textId="77777777">
            <w:pPr>
              <w:jc w:val="center"/>
              <w:rPr>
                <w:rFonts w:ascii="Arial" w:hAnsi="Arial" w:eastAsia="Times New Roman" w:cs="Arial"/>
                <w:b/>
                <w:bCs/>
                <w:sz w:val="20"/>
                <w:szCs w:val="20"/>
              </w:rPr>
            </w:pPr>
            <w:r w:rsidRPr="001404DB">
              <w:rPr>
                <w:rFonts w:ascii="Arial" w:hAnsi="Arial"/>
                <w:b/>
                <w:sz w:val="20"/>
              </w:rPr>
              <w:t>Importo</w:t>
            </w:r>
          </w:p>
        </w:tc>
      </w:tr>
      <w:tr w:rsidRPr="001404DB" w:rsidR="00AE1893" w:rsidTr="00BC3A1F" w14:paraId="655B8CEF" w14:textId="77777777">
        <w:trPr>
          <w:trHeight w:val="300"/>
        </w:trPr>
        <w:tc>
          <w:tcPr>
            <w:tcW w:w="6804" w:type="dxa"/>
            <w:tcBorders>
              <w:left w:val="nil"/>
              <w:right w:val="nil"/>
            </w:tcBorders>
            <w:noWrap/>
            <w:hideMark/>
          </w:tcPr>
          <w:p w:rsidRPr="001404DB" w:rsidR="00AE1893" w:rsidP="00BC3A1F" w:rsidRDefault="00AE1893" w14:paraId="6F6FFDE3" w14:textId="77777777">
            <w:pPr>
              <w:ind w:firstLine="200" w:firstLineChars="100"/>
              <w:rPr>
                <w:rFonts w:ascii="Arial" w:hAnsi="Arial" w:eastAsia="Times New Roman" w:cs="Arial"/>
                <w:sz w:val="20"/>
                <w:szCs w:val="20"/>
              </w:rPr>
            </w:pPr>
            <w:r w:rsidRPr="001404DB">
              <w:rPr>
                <w:rFonts w:ascii="Arial" w:hAnsi="Arial"/>
                <w:sz w:val="20"/>
              </w:rPr>
              <w:t>a. Indicatore delle attività verso altri enti finanziari (indicatore vecchio)</w:t>
            </w:r>
          </w:p>
        </w:tc>
        <w:tc>
          <w:tcPr>
            <w:tcW w:w="2745" w:type="dxa"/>
            <w:tcBorders>
              <w:left w:val="nil"/>
              <w:right w:val="nil"/>
            </w:tcBorders>
            <w:noWrap/>
            <w:hideMark/>
          </w:tcPr>
          <w:p w:rsidRPr="001404DB" w:rsidR="00AE1893" w:rsidP="00BC3A1F" w:rsidRDefault="00AE1893" w14:paraId="366BEC78"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272FFE9B" w14:textId="77777777">
        <w:trPr>
          <w:trHeight w:val="300"/>
        </w:trPr>
        <w:tc>
          <w:tcPr>
            <w:tcW w:w="6804" w:type="dxa"/>
            <w:tcBorders>
              <w:left w:val="nil"/>
              <w:right w:val="nil"/>
            </w:tcBorders>
            <w:noWrap/>
            <w:hideMark/>
          </w:tcPr>
          <w:p w:rsidRPr="001404DB" w:rsidR="00AE1893" w:rsidP="00BC3A1F" w:rsidRDefault="00AE1893" w14:paraId="043AA8C2" w14:textId="77777777">
            <w:pPr>
              <w:ind w:firstLine="200" w:firstLineChars="100"/>
              <w:rPr>
                <w:rFonts w:ascii="Arial" w:hAnsi="Arial" w:eastAsia="Times New Roman" w:cs="Arial"/>
                <w:sz w:val="20"/>
                <w:szCs w:val="20"/>
              </w:rPr>
            </w:pPr>
            <w:r w:rsidRPr="001404DB">
              <w:rPr>
                <w:rFonts w:ascii="Arial" w:hAnsi="Arial"/>
                <w:sz w:val="20"/>
              </w:rPr>
              <w:t xml:space="preserve">b. Media trimestrale del valore delle attività verso altri sistemi finanziari </w:t>
            </w:r>
          </w:p>
        </w:tc>
        <w:tc>
          <w:tcPr>
            <w:tcW w:w="2745" w:type="dxa"/>
            <w:tcBorders>
              <w:left w:val="nil"/>
              <w:right w:val="nil"/>
            </w:tcBorders>
            <w:noWrap/>
            <w:hideMark/>
          </w:tcPr>
          <w:p w:rsidRPr="001404DB" w:rsidR="00AE1893" w:rsidP="00BC3A1F" w:rsidRDefault="00AE1893" w14:paraId="5968DE96"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21BC62F8" w14:textId="77777777">
        <w:trPr>
          <w:trHeight w:val="300"/>
        </w:trPr>
        <w:tc>
          <w:tcPr>
            <w:tcW w:w="6804" w:type="dxa"/>
            <w:tcBorders>
              <w:left w:val="nil"/>
              <w:right w:val="nil"/>
            </w:tcBorders>
            <w:noWrap/>
            <w:hideMark/>
          </w:tcPr>
          <w:p w:rsidRPr="001404DB" w:rsidR="00AE1893" w:rsidP="00BC3A1F" w:rsidRDefault="00AE1893" w14:paraId="7747392D" w14:textId="77777777">
            <w:pPr>
              <w:ind w:firstLine="200" w:firstLineChars="100"/>
              <w:rPr>
                <w:rFonts w:ascii="Arial" w:hAnsi="Arial" w:eastAsia="Times New Roman" w:cs="Arial"/>
                <w:sz w:val="20"/>
                <w:szCs w:val="20"/>
              </w:rPr>
            </w:pPr>
            <w:r w:rsidRPr="001404DB">
              <w:rPr>
                <w:rFonts w:ascii="Arial" w:hAnsi="Arial"/>
                <w:sz w:val="20"/>
              </w:rPr>
              <w:t xml:space="preserve">c. Media mensile del valore delle attività verso altri sistemi finanziari </w:t>
            </w:r>
          </w:p>
        </w:tc>
        <w:tc>
          <w:tcPr>
            <w:tcW w:w="2745" w:type="dxa"/>
            <w:tcBorders>
              <w:left w:val="nil"/>
              <w:right w:val="nil"/>
            </w:tcBorders>
            <w:noWrap/>
            <w:hideMark/>
          </w:tcPr>
          <w:p w:rsidRPr="001404DB" w:rsidR="00AE1893" w:rsidP="00BC3A1F" w:rsidRDefault="00AE1893" w14:paraId="02696E62"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36BA6C0E" w14:textId="77777777">
        <w:trPr>
          <w:trHeight w:val="300"/>
        </w:trPr>
        <w:tc>
          <w:tcPr>
            <w:tcW w:w="6804" w:type="dxa"/>
            <w:tcBorders>
              <w:left w:val="nil"/>
              <w:right w:val="nil"/>
            </w:tcBorders>
            <w:noWrap/>
            <w:hideMark/>
          </w:tcPr>
          <w:p w:rsidRPr="001404DB" w:rsidR="00AE1893" w:rsidP="00BC3A1F" w:rsidRDefault="00AE1893" w14:paraId="532D94DE" w14:textId="77777777">
            <w:pPr>
              <w:ind w:firstLine="200" w:firstLineChars="100"/>
              <w:rPr>
                <w:rFonts w:ascii="Arial" w:hAnsi="Arial" w:eastAsia="Times New Roman" w:cs="Arial"/>
                <w:sz w:val="20"/>
                <w:szCs w:val="20"/>
              </w:rPr>
            </w:pPr>
            <w:r w:rsidRPr="001404DB">
              <w:rPr>
                <w:rFonts w:ascii="Arial" w:hAnsi="Arial"/>
                <w:sz w:val="20"/>
              </w:rPr>
              <w:t>d. Indicatore delle passività verso altri enti finanziari (indicatore vecchio)</w:t>
            </w:r>
          </w:p>
        </w:tc>
        <w:tc>
          <w:tcPr>
            <w:tcW w:w="2745" w:type="dxa"/>
            <w:tcBorders>
              <w:left w:val="nil"/>
              <w:right w:val="nil"/>
            </w:tcBorders>
            <w:noWrap/>
            <w:hideMark/>
          </w:tcPr>
          <w:p w:rsidRPr="001404DB" w:rsidR="00AE1893" w:rsidP="00BC3A1F" w:rsidRDefault="00AE1893" w14:paraId="16B4F226"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209155DF" w14:textId="77777777">
        <w:trPr>
          <w:trHeight w:val="300"/>
        </w:trPr>
        <w:tc>
          <w:tcPr>
            <w:tcW w:w="6804" w:type="dxa"/>
            <w:tcBorders>
              <w:left w:val="nil"/>
              <w:right w:val="nil"/>
            </w:tcBorders>
            <w:noWrap/>
            <w:hideMark/>
          </w:tcPr>
          <w:p w:rsidRPr="001404DB" w:rsidR="00AE1893" w:rsidP="00BC3A1F" w:rsidRDefault="00AE1893" w14:paraId="28D01D2B" w14:textId="77777777">
            <w:pPr>
              <w:ind w:firstLine="200" w:firstLineChars="100"/>
              <w:rPr>
                <w:rFonts w:ascii="Arial" w:hAnsi="Arial" w:eastAsia="Times New Roman" w:cs="Arial"/>
                <w:sz w:val="20"/>
                <w:szCs w:val="20"/>
              </w:rPr>
            </w:pPr>
            <w:r w:rsidRPr="001404DB">
              <w:rPr>
                <w:rFonts w:ascii="Arial" w:hAnsi="Arial"/>
                <w:sz w:val="20"/>
              </w:rPr>
              <w:t xml:space="preserve">e. Valore medio trimestrale delle passività verso altri enti finanziari </w:t>
            </w:r>
          </w:p>
        </w:tc>
        <w:tc>
          <w:tcPr>
            <w:tcW w:w="2745" w:type="dxa"/>
            <w:tcBorders>
              <w:left w:val="nil"/>
              <w:right w:val="nil"/>
            </w:tcBorders>
            <w:noWrap/>
            <w:hideMark/>
          </w:tcPr>
          <w:p w:rsidRPr="001404DB" w:rsidR="00AE1893" w:rsidP="00BC3A1F" w:rsidRDefault="00AE1893" w14:paraId="52FBCA6B"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13F78198" w14:textId="77777777">
        <w:trPr>
          <w:trHeight w:val="300"/>
        </w:trPr>
        <w:tc>
          <w:tcPr>
            <w:tcW w:w="6804" w:type="dxa"/>
            <w:tcBorders>
              <w:left w:val="nil"/>
              <w:right w:val="nil"/>
            </w:tcBorders>
            <w:noWrap/>
            <w:hideMark/>
          </w:tcPr>
          <w:p w:rsidRPr="001404DB" w:rsidR="00AE1893" w:rsidP="00BC3A1F" w:rsidRDefault="00AE1893" w14:paraId="02980E2D" w14:textId="77777777">
            <w:pPr>
              <w:ind w:firstLine="200" w:firstLineChars="100"/>
              <w:rPr>
                <w:rFonts w:ascii="Arial" w:hAnsi="Arial" w:eastAsia="Times New Roman" w:cs="Arial"/>
                <w:sz w:val="20"/>
                <w:szCs w:val="20"/>
              </w:rPr>
            </w:pPr>
            <w:r w:rsidRPr="001404DB">
              <w:rPr>
                <w:rFonts w:ascii="Arial" w:hAnsi="Arial"/>
                <w:sz w:val="20"/>
              </w:rPr>
              <w:t xml:space="preserve">f. Valore medio mensile delle passività verso altri enti finanziari </w:t>
            </w:r>
          </w:p>
        </w:tc>
        <w:tc>
          <w:tcPr>
            <w:tcW w:w="2745" w:type="dxa"/>
            <w:tcBorders>
              <w:left w:val="nil"/>
              <w:right w:val="nil"/>
            </w:tcBorders>
            <w:noWrap/>
            <w:hideMark/>
          </w:tcPr>
          <w:p w:rsidRPr="001404DB" w:rsidR="00AE1893" w:rsidP="00BC3A1F" w:rsidRDefault="00AE1893" w14:paraId="1E6496BD"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74657DD2" w14:textId="77777777">
        <w:trPr>
          <w:trHeight w:val="300"/>
        </w:trPr>
        <w:tc>
          <w:tcPr>
            <w:tcW w:w="6804" w:type="dxa"/>
            <w:tcBorders>
              <w:left w:val="nil"/>
              <w:right w:val="nil"/>
            </w:tcBorders>
            <w:noWrap/>
            <w:hideMark/>
          </w:tcPr>
          <w:p w:rsidRPr="001404DB" w:rsidR="00AE1893" w:rsidP="00BC3A1F" w:rsidRDefault="00AE1893" w14:paraId="19335FCA" w14:textId="77777777">
            <w:pPr>
              <w:ind w:firstLine="200" w:firstLineChars="100"/>
              <w:rPr>
                <w:rFonts w:ascii="Arial" w:hAnsi="Arial" w:eastAsia="Times New Roman" w:cs="Arial"/>
                <w:sz w:val="20"/>
                <w:szCs w:val="20"/>
              </w:rPr>
            </w:pPr>
            <w:r w:rsidRPr="001404DB">
              <w:rPr>
                <w:rFonts w:ascii="Arial" w:hAnsi="Arial"/>
                <w:sz w:val="20"/>
              </w:rPr>
              <w:t>g. Indicatore dei titoli in circolazione (indicatore precedente)</w:t>
            </w:r>
          </w:p>
        </w:tc>
        <w:tc>
          <w:tcPr>
            <w:tcW w:w="2745" w:type="dxa"/>
            <w:tcBorders>
              <w:left w:val="nil"/>
              <w:right w:val="nil"/>
            </w:tcBorders>
            <w:noWrap/>
            <w:hideMark/>
          </w:tcPr>
          <w:p w:rsidRPr="001404DB" w:rsidR="00AE1893" w:rsidP="00BC3A1F" w:rsidRDefault="00AE1893" w14:paraId="62EE8B5E"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3E6B16C4" w14:textId="77777777">
        <w:trPr>
          <w:trHeight w:val="300"/>
        </w:trPr>
        <w:tc>
          <w:tcPr>
            <w:tcW w:w="6804" w:type="dxa"/>
            <w:tcBorders>
              <w:left w:val="nil"/>
              <w:right w:val="nil"/>
            </w:tcBorders>
            <w:noWrap/>
            <w:hideMark/>
          </w:tcPr>
          <w:p w:rsidRPr="001404DB" w:rsidR="00AE1893" w:rsidP="00BC3A1F" w:rsidRDefault="00AE1893" w14:paraId="7498D7F9" w14:textId="77777777">
            <w:pPr>
              <w:ind w:firstLine="200" w:firstLineChars="100"/>
              <w:rPr>
                <w:rFonts w:ascii="Arial" w:hAnsi="Arial" w:eastAsia="Times New Roman" w:cs="Arial"/>
                <w:sz w:val="20"/>
                <w:szCs w:val="20"/>
              </w:rPr>
            </w:pPr>
            <w:r w:rsidRPr="001404DB">
              <w:rPr>
                <w:rFonts w:ascii="Arial" w:hAnsi="Arial"/>
                <w:sz w:val="20"/>
              </w:rPr>
              <w:t xml:space="preserve">h. Valore medio trimestrale dei titoli in circolazione </w:t>
            </w:r>
          </w:p>
        </w:tc>
        <w:tc>
          <w:tcPr>
            <w:tcW w:w="2745" w:type="dxa"/>
            <w:tcBorders>
              <w:left w:val="nil"/>
              <w:right w:val="nil"/>
            </w:tcBorders>
            <w:noWrap/>
            <w:hideMark/>
          </w:tcPr>
          <w:p w:rsidRPr="001404DB" w:rsidR="00AE1893" w:rsidP="00BC3A1F" w:rsidRDefault="00AE1893" w14:paraId="26A260DF"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6EB25DBC" w14:textId="77777777">
        <w:trPr>
          <w:trHeight w:val="300"/>
        </w:trPr>
        <w:tc>
          <w:tcPr>
            <w:tcW w:w="6804" w:type="dxa"/>
            <w:tcBorders>
              <w:left w:val="nil"/>
              <w:bottom w:val="single" w:color="auto" w:sz="4" w:space="0"/>
              <w:right w:val="nil"/>
            </w:tcBorders>
            <w:noWrap/>
            <w:hideMark/>
          </w:tcPr>
          <w:p w:rsidRPr="001404DB" w:rsidR="00AE1893" w:rsidP="00BC3A1F" w:rsidRDefault="00AE1893" w14:paraId="2D55292F" w14:textId="77777777">
            <w:pPr>
              <w:ind w:firstLine="200" w:firstLineChars="100"/>
              <w:rPr>
                <w:rFonts w:ascii="Arial" w:hAnsi="Arial" w:eastAsia="Times New Roman" w:cs="Arial"/>
                <w:sz w:val="20"/>
                <w:szCs w:val="20"/>
              </w:rPr>
            </w:pPr>
            <w:r w:rsidRPr="001404DB">
              <w:rPr>
                <w:rFonts w:ascii="Arial" w:hAnsi="Arial"/>
                <w:sz w:val="20"/>
              </w:rPr>
              <w:t xml:space="preserve">i. Valore medio mensile dei titoli in circolazione </w:t>
            </w:r>
          </w:p>
        </w:tc>
        <w:tc>
          <w:tcPr>
            <w:tcW w:w="2745" w:type="dxa"/>
            <w:tcBorders>
              <w:left w:val="nil"/>
              <w:bottom w:val="single" w:color="auto" w:sz="4" w:space="0"/>
              <w:right w:val="nil"/>
            </w:tcBorders>
            <w:noWrap/>
            <w:hideMark/>
          </w:tcPr>
          <w:p w:rsidRPr="001404DB" w:rsidR="00AE1893" w:rsidP="00BC3A1F" w:rsidRDefault="00AE1893" w14:paraId="3719AA98"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4C42845E" w14:textId="77777777">
        <w:trPr>
          <w:trHeight w:val="300"/>
        </w:trPr>
        <w:tc>
          <w:tcPr>
            <w:tcW w:w="6804" w:type="dxa"/>
            <w:tcBorders>
              <w:left w:val="nil"/>
              <w:bottom w:val="nil"/>
              <w:right w:val="nil"/>
            </w:tcBorders>
            <w:noWrap/>
          </w:tcPr>
          <w:p w:rsidRPr="001404DB" w:rsidR="00AE1893" w:rsidP="00BC3A1F" w:rsidRDefault="00AE1893" w14:paraId="4BC2F14E"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1404DB" w:rsidR="00AE1893" w:rsidP="00BC3A1F" w:rsidRDefault="00AE1893" w14:paraId="10B0087E" w14:textId="77777777">
            <w:pPr>
              <w:jc w:val="center"/>
              <w:rPr>
                <w:rFonts w:ascii="Arial" w:hAnsi="Arial" w:eastAsia="Times New Roman" w:cs="Arial"/>
                <w:b/>
                <w:bCs/>
                <w:sz w:val="20"/>
                <w:szCs w:val="20"/>
                <w:lang w:eastAsia="en-GB"/>
              </w:rPr>
            </w:pPr>
          </w:p>
        </w:tc>
      </w:tr>
      <w:tr w:rsidRPr="001404DB" w:rsidR="00AE1893" w:rsidTr="00BC3A1F" w14:paraId="3A65711D" w14:textId="77777777">
        <w:trPr>
          <w:trHeight w:val="300"/>
        </w:trPr>
        <w:tc>
          <w:tcPr>
            <w:tcW w:w="6804" w:type="dxa"/>
            <w:tcBorders>
              <w:top w:val="nil"/>
              <w:left w:val="nil"/>
              <w:bottom w:val="single" w:color="auto" w:sz="4" w:space="0"/>
              <w:right w:val="nil"/>
            </w:tcBorders>
            <w:noWrap/>
            <w:hideMark/>
          </w:tcPr>
          <w:p w:rsidRPr="001404DB" w:rsidR="00AE1893" w:rsidP="00BC3A1F" w:rsidRDefault="00AE1893" w14:paraId="2EDCE5A3" w14:textId="77777777">
            <w:pPr>
              <w:rPr>
                <w:rFonts w:ascii="Arial" w:hAnsi="Arial" w:eastAsia="Times New Roman" w:cs="Arial"/>
                <w:b/>
                <w:bCs/>
                <w:sz w:val="20"/>
                <w:szCs w:val="20"/>
              </w:rPr>
            </w:pPr>
            <w:r w:rsidRPr="001404DB">
              <w:rPr>
                <w:rFonts w:ascii="Arial" w:hAnsi="Arial"/>
                <w:b/>
                <w:sz w:val="20"/>
              </w:rPr>
              <w:t xml:space="preserve">Sezione 19 – </w:t>
            </w:r>
            <w:r>
              <w:rPr>
                <w:rFonts w:ascii="Arial" w:hAnsi="Arial"/>
                <w:b/>
                <w:sz w:val="20"/>
              </w:rPr>
              <w:t>Voci relative alla s</w:t>
            </w:r>
            <w:r w:rsidRPr="001404DB">
              <w:rPr>
                <w:rFonts w:ascii="Arial" w:hAnsi="Arial"/>
                <w:b/>
                <w:sz w:val="20"/>
              </w:rPr>
              <w:t>ostituibilità/infrastrutture finanziarie</w:t>
            </w:r>
          </w:p>
        </w:tc>
        <w:tc>
          <w:tcPr>
            <w:tcW w:w="2745" w:type="dxa"/>
            <w:tcBorders>
              <w:top w:val="nil"/>
              <w:left w:val="nil"/>
              <w:right w:val="nil"/>
            </w:tcBorders>
            <w:hideMark/>
          </w:tcPr>
          <w:p w:rsidRPr="001404DB" w:rsidR="00AE1893" w:rsidP="00BC3A1F" w:rsidRDefault="00AE1893" w14:paraId="6B626FBC" w14:textId="77777777">
            <w:pPr>
              <w:jc w:val="center"/>
              <w:rPr>
                <w:rFonts w:ascii="Arial" w:hAnsi="Arial" w:eastAsia="Times New Roman" w:cs="Arial"/>
                <w:b/>
                <w:bCs/>
                <w:sz w:val="20"/>
                <w:szCs w:val="20"/>
              </w:rPr>
            </w:pPr>
            <w:r w:rsidRPr="001404DB">
              <w:rPr>
                <w:rFonts w:ascii="Arial" w:hAnsi="Arial"/>
                <w:b/>
                <w:sz w:val="20"/>
              </w:rPr>
              <w:t>Importo</w:t>
            </w:r>
          </w:p>
        </w:tc>
      </w:tr>
      <w:tr w:rsidRPr="001404DB" w:rsidR="00AE1893" w:rsidTr="00BC3A1F" w14:paraId="514EFC0F" w14:textId="77777777">
        <w:trPr>
          <w:trHeight w:val="300"/>
        </w:trPr>
        <w:tc>
          <w:tcPr>
            <w:tcW w:w="6804" w:type="dxa"/>
            <w:tcBorders>
              <w:left w:val="nil"/>
              <w:right w:val="nil"/>
            </w:tcBorders>
            <w:noWrap/>
          </w:tcPr>
          <w:p w:rsidRPr="001404DB" w:rsidR="00AE1893" w:rsidP="00BC3A1F" w:rsidRDefault="00AE1893" w14:paraId="60B13C13" w14:textId="77777777">
            <w:pPr>
              <w:ind w:left="171" w:firstLine="28" w:firstLineChars="14"/>
              <w:rPr>
                <w:rFonts w:ascii="Arial" w:hAnsi="Arial" w:eastAsia="Times New Roman" w:cs="Arial"/>
                <w:sz w:val="20"/>
                <w:szCs w:val="20"/>
              </w:rPr>
            </w:pPr>
            <w:r w:rsidRPr="001404DB">
              <w:rPr>
                <w:rFonts w:ascii="Arial" w:hAnsi="Arial"/>
                <w:sz w:val="20"/>
              </w:rPr>
              <w:t>a. Volume di negoziazione di titoli emessi da organismi sovrani, escluse le operazioni infragruppo</w:t>
            </w:r>
          </w:p>
        </w:tc>
        <w:tc>
          <w:tcPr>
            <w:tcW w:w="2745" w:type="dxa"/>
            <w:tcBorders>
              <w:left w:val="nil"/>
              <w:right w:val="nil"/>
            </w:tcBorders>
            <w:noWrap/>
          </w:tcPr>
          <w:p w:rsidRPr="001404DB" w:rsidR="00AE1893" w:rsidP="00BC3A1F" w:rsidRDefault="00AE1893" w14:paraId="0A5A9D3E" w14:textId="77777777">
            <w:pPr>
              <w:jc w:val="right"/>
              <w:rPr>
                <w:rFonts w:ascii="Arial" w:hAnsi="Arial" w:eastAsia="Times New Roman" w:cs="Arial"/>
                <w:sz w:val="20"/>
                <w:szCs w:val="20"/>
                <w:lang w:eastAsia="en-GB"/>
              </w:rPr>
            </w:pPr>
          </w:p>
        </w:tc>
      </w:tr>
      <w:tr w:rsidRPr="001404DB" w:rsidR="00AE1893" w:rsidTr="00BC3A1F" w14:paraId="0DAAA100" w14:textId="77777777">
        <w:trPr>
          <w:trHeight w:val="300"/>
        </w:trPr>
        <w:tc>
          <w:tcPr>
            <w:tcW w:w="6804" w:type="dxa"/>
            <w:tcBorders>
              <w:left w:val="nil"/>
              <w:right w:val="nil"/>
            </w:tcBorders>
            <w:noWrap/>
          </w:tcPr>
          <w:p w:rsidRPr="001404DB" w:rsidR="00AE1893" w:rsidP="00BC3A1F" w:rsidRDefault="00AE1893" w14:paraId="5E28AF8D" w14:textId="77777777">
            <w:pPr>
              <w:ind w:left="171"/>
              <w:rPr>
                <w:rFonts w:ascii="Arial" w:hAnsi="Arial" w:eastAsia="Times New Roman" w:cs="Arial"/>
                <w:sz w:val="20"/>
                <w:szCs w:val="20"/>
              </w:rPr>
            </w:pPr>
            <w:r w:rsidRPr="001404DB">
              <w:rPr>
                <w:rFonts w:ascii="Arial" w:hAnsi="Arial"/>
                <w:sz w:val="20"/>
              </w:rPr>
              <w:t>b. Margine iniziale fornito a controparti centrali per conto di clienti</w:t>
            </w:r>
          </w:p>
        </w:tc>
        <w:tc>
          <w:tcPr>
            <w:tcW w:w="2745" w:type="dxa"/>
            <w:tcBorders>
              <w:left w:val="nil"/>
              <w:right w:val="nil"/>
            </w:tcBorders>
            <w:noWrap/>
          </w:tcPr>
          <w:p w:rsidRPr="001404DB" w:rsidR="00AE1893" w:rsidP="00BC3A1F" w:rsidRDefault="00AE1893" w14:paraId="59E3A7D6" w14:textId="77777777">
            <w:pPr>
              <w:jc w:val="right"/>
              <w:rPr>
                <w:rFonts w:ascii="Arial" w:hAnsi="Arial" w:eastAsia="Times New Roman" w:cs="Arial"/>
                <w:sz w:val="20"/>
                <w:szCs w:val="20"/>
                <w:lang w:eastAsia="en-GB"/>
              </w:rPr>
            </w:pPr>
          </w:p>
        </w:tc>
      </w:tr>
      <w:tr w:rsidRPr="001404DB" w:rsidR="00AE1893" w:rsidTr="00BC3A1F" w14:paraId="436520B2" w14:textId="77777777">
        <w:trPr>
          <w:trHeight w:val="300"/>
        </w:trPr>
        <w:tc>
          <w:tcPr>
            <w:tcW w:w="6804" w:type="dxa"/>
            <w:tcBorders>
              <w:left w:val="nil"/>
              <w:right w:val="nil"/>
            </w:tcBorders>
            <w:noWrap/>
          </w:tcPr>
          <w:p w:rsidRPr="001404DB" w:rsidR="00AE1893" w:rsidP="00BC3A1F" w:rsidRDefault="00AE1893" w14:paraId="65EF31D3" w14:textId="77777777">
            <w:pPr>
              <w:ind w:firstLine="200" w:firstLineChars="100"/>
              <w:rPr>
                <w:rFonts w:ascii="Arial" w:hAnsi="Arial" w:eastAsia="Times New Roman" w:cs="Arial"/>
                <w:sz w:val="20"/>
                <w:szCs w:val="20"/>
              </w:rPr>
            </w:pPr>
            <w:r w:rsidRPr="001404DB">
              <w:rPr>
                <w:rFonts w:ascii="Arial" w:hAnsi="Arial"/>
                <w:sz w:val="20"/>
              </w:rPr>
              <w:t>c. Margine iniziale fornito a controparti centrali per conto del gruppo segnalante</w:t>
            </w:r>
          </w:p>
        </w:tc>
        <w:tc>
          <w:tcPr>
            <w:tcW w:w="2745" w:type="dxa"/>
            <w:tcBorders>
              <w:left w:val="nil"/>
              <w:right w:val="nil"/>
            </w:tcBorders>
            <w:noWrap/>
          </w:tcPr>
          <w:p w:rsidRPr="001404DB" w:rsidR="00AE1893" w:rsidP="00BC3A1F" w:rsidRDefault="00AE1893" w14:paraId="245747AB" w14:textId="77777777">
            <w:pPr>
              <w:jc w:val="right"/>
              <w:rPr>
                <w:rFonts w:ascii="Arial" w:hAnsi="Arial" w:eastAsia="Times New Roman" w:cs="Arial"/>
                <w:sz w:val="20"/>
                <w:szCs w:val="20"/>
                <w:lang w:eastAsia="en-GB"/>
              </w:rPr>
            </w:pPr>
          </w:p>
        </w:tc>
      </w:tr>
      <w:tr w:rsidRPr="001404DB" w:rsidR="00AE1893" w:rsidTr="00BC3A1F" w14:paraId="67822244" w14:textId="77777777">
        <w:trPr>
          <w:trHeight w:val="300"/>
        </w:trPr>
        <w:tc>
          <w:tcPr>
            <w:tcW w:w="6804" w:type="dxa"/>
            <w:tcBorders>
              <w:left w:val="nil"/>
              <w:right w:val="nil"/>
            </w:tcBorders>
            <w:noWrap/>
            <w:hideMark/>
          </w:tcPr>
          <w:p w:rsidRPr="001404DB" w:rsidR="00AE1893" w:rsidP="00BC3A1F" w:rsidRDefault="00AE1893" w14:paraId="19A421A3" w14:textId="77777777">
            <w:pPr>
              <w:ind w:firstLine="200" w:firstLineChars="100"/>
              <w:rPr>
                <w:rFonts w:ascii="Arial" w:hAnsi="Arial" w:eastAsia="Times New Roman" w:cs="Arial"/>
                <w:sz w:val="20"/>
                <w:szCs w:val="20"/>
              </w:rPr>
            </w:pPr>
            <w:r w:rsidRPr="001404DB">
              <w:rPr>
                <w:rFonts w:ascii="Arial" w:hAnsi="Arial"/>
                <w:sz w:val="20"/>
              </w:rPr>
              <w:t>d. Contributi a fondi di garanzia versati a controparti centrali</w:t>
            </w:r>
          </w:p>
        </w:tc>
        <w:tc>
          <w:tcPr>
            <w:tcW w:w="2745" w:type="dxa"/>
            <w:tcBorders>
              <w:left w:val="nil"/>
              <w:right w:val="nil"/>
            </w:tcBorders>
            <w:noWrap/>
            <w:hideMark/>
          </w:tcPr>
          <w:p w:rsidRPr="001404DB" w:rsidR="00AE1893" w:rsidP="00BC3A1F" w:rsidRDefault="00AE1893" w14:paraId="48AB1CF1"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31515983" w14:textId="77777777">
        <w:trPr>
          <w:trHeight w:val="300"/>
        </w:trPr>
        <w:tc>
          <w:tcPr>
            <w:tcW w:w="6804" w:type="dxa"/>
            <w:tcBorders>
              <w:left w:val="nil"/>
              <w:right w:val="nil"/>
            </w:tcBorders>
            <w:noWrap/>
            <w:hideMark/>
          </w:tcPr>
          <w:p w:rsidRPr="001404DB" w:rsidR="00AE1893" w:rsidP="00BC3A1F" w:rsidRDefault="00AE1893" w14:paraId="066966F2" w14:textId="77777777">
            <w:pPr>
              <w:ind w:firstLine="200" w:firstLineChars="100"/>
              <w:rPr>
                <w:rFonts w:ascii="Arial" w:hAnsi="Arial" w:eastAsia="Times New Roman" w:cs="Arial"/>
                <w:sz w:val="20"/>
                <w:szCs w:val="20"/>
              </w:rPr>
            </w:pPr>
            <w:r w:rsidRPr="001404DB">
              <w:rPr>
                <w:rFonts w:ascii="Arial" w:hAnsi="Arial"/>
                <w:sz w:val="20"/>
              </w:rPr>
              <w:t>e. Altre risorse finanziarie fornite a controparti centrali</w:t>
            </w:r>
          </w:p>
        </w:tc>
        <w:tc>
          <w:tcPr>
            <w:tcW w:w="2745" w:type="dxa"/>
            <w:tcBorders>
              <w:left w:val="nil"/>
              <w:right w:val="nil"/>
            </w:tcBorders>
            <w:noWrap/>
            <w:hideMark/>
          </w:tcPr>
          <w:p w:rsidRPr="001404DB" w:rsidR="00AE1893" w:rsidP="00BC3A1F" w:rsidRDefault="00AE1893" w14:paraId="149EF608"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76CE3CFC" w14:textId="77777777">
        <w:trPr>
          <w:gridAfter w:val="1"/>
          <w:wAfter w:w="2745" w:type="dxa"/>
          <w:trHeight w:val="300"/>
        </w:trPr>
        <w:tc>
          <w:tcPr>
            <w:tcW w:w="6804" w:type="dxa"/>
            <w:tcBorders>
              <w:left w:val="nil"/>
              <w:right w:val="nil"/>
            </w:tcBorders>
            <w:noWrap/>
            <w:hideMark/>
          </w:tcPr>
          <w:p w:rsidRPr="001404DB" w:rsidR="00AE1893" w:rsidP="00BC3A1F" w:rsidRDefault="00AE1893" w14:paraId="18E3D0CE" w14:textId="77777777">
            <w:pPr>
              <w:ind w:left="171"/>
              <w:rPr>
                <w:rFonts w:ascii="Arial" w:hAnsi="Arial" w:eastAsia="Times New Roman" w:cs="Arial"/>
                <w:sz w:val="20"/>
                <w:szCs w:val="20"/>
              </w:rPr>
            </w:pPr>
            <w:r w:rsidRPr="001404DB">
              <w:rPr>
                <w:rFonts w:ascii="Arial" w:hAnsi="Arial"/>
                <w:sz w:val="20"/>
              </w:rPr>
              <w:t>f. Fornitura di servizi di regolamento in connessione con operazioni compensate a livello centrale</w:t>
            </w:r>
          </w:p>
        </w:tc>
      </w:tr>
      <w:tr w:rsidRPr="001404DB" w:rsidR="00AE1893" w:rsidTr="00BC3A1F" w14:paraId="5117AF17" w14:textId="77777777">
        <w:trPr>
          <w:trHeight w:val="300"/>
        </w:trPr>
        <w:tc>
          <w:tcPr>
            <w:tcW w:w="6804" w:type="dxa"/>
            <w:tcBorders>
              <w:left w:val="nil"/>
              <w:right w:val="nil"/>
            </w:tcBorders>
            <w:noWrap/>
            <w:hideMark/>
          </w:tcPr>
          <w:p w:rsidRPr="001404DB" w:rsidR="00AE1893" w:rsidP="00BC3A1F" w:rsidRDefault="00AE1893" w14:paraId="61067AB1" w14:textId="77777777">
            <w:pPr>
              <w:ind w:firstLine="200" w:firstLineChars="100"/>
              <w:rPr>
                <w:rFonts w:ascii="Arial" w:hAnsi="Arial" w:eastAsia="Times New Roman" w:cs="Arial"/>
                <w:sz w:val="20"/>
                <w:szCs w:val="20"/>
              </w:rPr>
            </w:pPr>
            <w:r w:rsidRPr="001404DB">
              <w:rPr>
                <w:rFonts w:ascii="Arial" w:hAnsi="Arial"/>
                <w:sz w:val="20"/>
              </w:rPr>
              <w:t xml:space="preserve">g. Media trimestrale del valore delle attività in custodia </w:t>
            </w:r>
          </w:p>
        </w:tc>
        <w:tc>
          <w:tcPr>
            <w:tcW w:w="2745" w:type="dxa"/>
            <w:tcBorders>
              <w:left w:val="nil"/>
              <w:right w:val="nil"/>
            </w:tcBorders>
            <w:noWrap/>
            <w:hideMark/>
          </w:tcPr>
          <w:p w:rsidRPr="001404DB" w:rsidR="00AE1893" w:rsidP="00BC3A1F" w:rsidRDefault="00AE1893" w14:paraId="509DCEE9"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0B8247C9" w14:textId="77777777">
        <w:trPr>
          <w:trHeight w:val="300"/>
        </w:trPr>
        <w:tc>
          <w:tcPr>
            <w:tcW w:w="6804" w:type="dxa"/>
            <w:tcBorders>
              <w:left w:val="nil"/>
              <w:bottom w:val="single" w:color="auto" w:sz="4" w:space="0"/>
              <w:right w:val="nil"/>
            </w:tcBorders>
            <w:noWrap/>
            <w:hideMark/>
          </w:tcPr>
          <w:p w:rsidRPr="001404DB" w:rsidR="00AE1893" w:rsidP="00BC3A1F" w:rsidRDefault="00AE1893" w14:paraId="14A4D528" w14:textId="77777777">
            <w:pPr>
              <w:ind w:firstLine="200" w:firstLineChars="100"/>
              <w:rPr>
                <w:rFonts w:ascii="Arial" w:hAnsi="Arial" w:eastAsia="Times New Roman" w:cs="Arial"/>
                <w:sz w:val="20"/>
                <w:szCs w:val="20"/>
              </w:rPr>
            </w:pPr>
            <w:r w:rsidRPr="001404DB">
              <w:rPr>
                <w:rFonts w:ascii="Arial" w:hAnsi="Arial"/>
                <w:sz w:val="20"/>
              </w:rPr>
              <w:t xml:space="preserve">h. Media mensile del valore delle attività in custodia </w:t>
            </w:r>
          </w:p>
        </w:tc>
        <w:tc>
          <w:tcPr>
            <w:tcW w:w="2745" w:type="dxa"/>
            <w:tcBorders>
              <w:left w:val="nil"/>
              <w:bottom w:val="single" w:color="auto" w:sz="4" w:space="0"/>
              <w:right w:val="nil"/>
            </w:tcBorders>
            <w:noWrap/>
            <w:hideMark/>
          </w:tcPr>
          <w:p w:rsidRPr="001404DB" w:rsidR="00AE1893" w:rsidP="00BC3A1F" w:rsidRDefault="00AE1893" w14:paraId="1292242B"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0E5C48D6" w14:textId="77777777">
        <w:trPr>
          <w:trHeight w:val="300"/>
        </w:trPr>
        <w:tc>
          <w:tcPr>
            <w:tcW w:w="6804" w:type="dxa"/>
            <w:tcBorders>
              <w:left w:val="nil"/>
              <w:bottom w:val="nil"/>
              <w:right w:val="nil"/>
            </w:tcBorders>
            <w:noWrap/>
          </w:tcPr>
          <w:p w:rsidRPr="001404DB" w:rsidR="00AE1893" w:rsidP="00BC3A1F" w:rsidRDefault="00AE1893" w14:paraId="2008AC69"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1404DB" w:rsidR="00AE1893" w:rsidP="00BC3A1F" w:rsidRDefault="00AE1893" w14:paraId="07CAE914" w14:textId="77777777">
            <w:pPr>
              <w:jc w:val="center"/>
              <w:rPr>
                <w:rFonts w:ascii="Arial" w:hAnsi="Arial" w:eastAsia="Times New Roman" w:cs="Arial"/>
                <w:b/>
                <w:bCs/>
                <w:sz w:val="20"/>
                <w:szCs w:val="20"/>
                <w:lang w:eastAsia="en-GB"/>
              </w:rPr>
            </w:pPr>
          </w:p>
        </w:tc>
      </w:tr>
      <w:tr w:rsidRPr="001404DB" w:rsidR="00AE1893" w:rsidTr="00BC3A1F" w14:paraId="6BCF09F5" w14:textId="77777777">
        <w:trPr>
          <w:trHeight w:val="300"/>
        </w:trPr>
        <w:tc>
          <w:tcPr>
            <w:tcW w:w="6804" w:type="dxa"/>
            <w:tcBorders>
              <w:top w:val="nil"/>
              <w:left w:val="nil"/>
              <w:right w:val="nil"/>
            </w:tcBorders>
            <w:noWrap/>
            <w:hideMark/>
          </w:tcPr>
          <w:p w:rsidRPr="001404DB" w:rsidR="00AE1893" w:rsidP="00BC3A1F" w:rsidRDefault="00AE1893" w14:paraId="0562DF6F" w14:textId="77777777">
            <w:pPr>
              <w:rPr>
                <w:rFonts w:ascii="Arial" w:hAnsi="Arial" w:eastAsia="Times New Roman" w:cs="Arial"/>
                <w:b/>
                <w:bCs/>
                <w:sz w:val="20"/>
                <w:szCs w:val="20"/>
              </w:rPr>
            </w:pPr>
            <w:r w:rsidRPr="001404DB">
              <w:rPr>
                <w:rFonts w:ascii="Arial" w:hAnsi="Arial"/>
                <w:b/>
                <w:sz w:val="20"/>
              </w:rPr>
              <w:t>Sezione 20 – Voci relative alla complessità</w:t>
            </w:r>
          </w:p>
        </w:tc>
        <w:tc>
          <w:tcPr>
            <w:tcW w:w="2745" w:type="dxa"/>
            <w:tcBorders>
              <w:top w:val="nil"/>
              <w:left w:val="nil"/>
              <w:right w:val="nil"/>
            </w:tcBorders>
            <w:hideMark/>
          </w:tcPr>
          <w:p w:rsidRPr="001404DB" w:rsidR="00AE1893" w:rsidP="00BC3A1F" w:rsidRDefault="00AE1893" w14:paraId="3D2266D0" w14:textId="77777777">
            <w:pPr>
              <w:jc w:val="center"/>
              <w:rPr>
                <w:rFonts w:ascii="Arial" w:hAnsi="Arial" w:eastAsia="Times New Roman" w:cs="Arial"/>
                <w:b/>
                <w:bCs/>
                <w:sz w:val="20"/>
                <w:szCs w:val="20"/>
              </w:rPr>
            </w:pPr>
            <w:r w:rsidRPr="001404DB">
              <w:rPr>
                <w:rFonts w:ascii="Arial" w:hAnsi="Arial"/>
                <w:b/>
                <w:sz w:val="20"/>
              </w:rPr>
              <w:t>Importo</w:t>
            </w:r>
          </w:p>
        </w:tc>
      </w:tr>
      <w:tr w:rsidRPr="001404DB" w:rsidR="00AE1893" w:rsidTr="00BC3A1F" w14:paraId="6AB69B10" w14:textId="77777777">
        <w:trPr>
          <w:trHeight w:val="300"/>
        </w:trPr>
        <w:tc>
          <w:tcPr>
            <w:tcW w:w="6804" w:type="dxa"/>
            <w:tcBorders>
              <w:left w:val="nil"/>
              <w:right w:val="nil"/>
            </w:tcBorders>
            <w:noWrap/>
            <w:hideMark/>
          </w:tcPr>
          <w:p w:rsidRPr="001404DB" w:rsidR="00AE1893" w:rsidP="00BC3A1F" w:rsidRDefault="00AE1893" w14:paraId="00BDF864" w14:textId="77777777">
            <w:pPr>
              <w:ind w:firstLine="200" w:firstLineChars="100"/>
              <w:rPr>
                <w:rFonts w:ascii="Arial" w:hAnsi="Arial" w:eastAsia="Times New Roman" w:cs="Arial"/>
                <w:sz w:val="20"/>
                <w:szCs w:val="20"/>
              </w:rPr>
            </w:pPr>
            <w:r w:rsidRPr="001404DB">
              <w:rPr>
                <w:rFonts w:ascii="Arial" w:hAnsi="Arial"/>
                <w:sz w:val="20"/>
              </w:rPr>
              <w:t>a. Indicatore dei derivati OTC (vecchio indicatore)</w:t>
            </w:r>
          </w:p>
        </w:tc>
        <w:tc>
          <w:tcPr>
            <w:tcW w:w="2745" w:type="dxa"/>
            <w:tcBorders>
              <w:left w:val="nil"/>
              <w:right w:val="nil"/>
            </w:tcBorders>
            <w:noWrap/>
            <w:hideMark/>
          </w:tcPr>
          <w:p w:rsidRPr="001404DB" w:rsidR="00AE1893" w:rsidP="00BC3A1F" w:rsidRDefault="00AE1893" w14:paraId="12EEB586" w14:textId="77777777">
            <w:pPr>
              <w:jc w:val="right"/>
              <w:rPr>
                <w:rFonts w:ascii="Arial" w:hAnsi="Arial" w:eastAsia="Times New Roman" w:cs="Arial"/>
                <w:sz w:val="20"/>
                <w:szCs w:val="20"/>
              </w:rPr>
            </w:pPr>
            <w:r w:rsidRPr="001404DB">
              <w:rPr>
                <w:rFonts w:ascii="Arial" w:hAnsi="Arial"/>
                <w:sz w:val="20"/>
              </w:rPr>
              <w:t> </w:t>
            </w:r>
          </w:p>
        </w:tc>
      </w:tr>
      <w:tr w:rsidRPr="001404DB" w:rsidR="00AE1893" w:rsidTr="00BC3A1F" w14:paraId="2655F7FF" w14:textId="77777777">
        <w:trPr>
          <w:trHeight w:val="300"/>
        </w:trPr>
        <w:tc>
          <w:tcPr>
            <w:tcW w:w="6804" w:type="dxa"/>
            <w:tcBorders>
              <w:left w:val="nil"/>
              <w:right w:val="nil"/>
            </w:tcBorders>
            <w:noWrap/>
          </w:tcPr>
          <w:p w:rsidRPr="001404DB" w:rsidR="00AE1893" w:rsidP="00BC3A1F" w:rsidRDefault="00AE1893" w14:paraId="7A67A1CB" w14:textId="77777777">
            <w:pPr>
              <w:ind w:left="171" w:firstLine="28" w:firstLineChars="14"/>
              <w:rPr>
                <w:rFonts w:ascii="Arial" w:hAnsi="Arial" w:eastAsia="Times New Roman" w:cs="Arial"/>
                <w:sz w:val="20"/>
                <w:szCs w:val="20"/>
              </w:rPr>
            </w:pPr>
            <w:r w:rsidRPr="001404DB">
              <w:rPr>
                <w:rFonts w:ascii="Arial" w:hAnsi="Arial"/>
                <w:sz w:val="20"/>
              </w:rPr>
              <w:t>b. Importo nozionale dei derivati OTC, incluse le compagnie assicurative controllate</w:t>
            </w:r>
          </w:p>
        </w:tc>
        <w:tc>
          <w:tcPr>
            <w:tcW w:w="2745" w:type="dxa"/>
            <w:tcBorders>
              <w:left w:val="nil"/>
              <w:right w:val="nil"/>
            </w:tcBorders>
            <w:noWrap/>
          </w:tcPr>
          <w:p w:rsidRPr="001404DB" w:rsidR="00AE1893" w:rsidP="00BC3A1F" w:rsidRDefault="00AE1893" w14:paraId="74B6DD55" w14:textId="77777777">
            <w:pPr>
              <w:jc w:val="right"/>
              <w:rPr>
                <w:rFonts w:ascii="Arial" w:hAnsi="Arial" w:eastAsia="Times New Roman" w:cs="Arial"/>
                <w:sz w:val="20"/>
                <w:szCs w:val="20"/>
                <w:lang w:eastAsia="en-GB"/>
              </w:rPr>
            </w:pPr>
          </w:p>
        </w:tc>
      </w:tr>
      <w:tr w:rsidRPr="001404DB" w:rsidR="00AE1893" w:rsidTr="00BC3A1F" w14:paraId="4C2645C8" w14:textId="77777777">
        <w:trPr>
          <w:trHeight w:val="300"/>
        </w:trPr>
        <w:tc>
          <w:tcPr>
            <w:tcW w:w="6804" w:type="dxa"/>
            <w:tcBorders>
              <w:left w:val="nil"/>
              <w:right w:val="nil"/>
            </w:tcBorders>
            <w:noWrap/>
          </w:tcPr>
          <w:p w:rsidRPr="001404DB" w:rsidR="00AE1893" w:rsidP="00BC3A1F" w:rsidRDefault="00AE1893" w14:paraId="4B17BDB0" w14:textId="77777777">
            <w:pPr>
              <w:ind w:left="313"/>
              <w:rPr>
                <w:rFonts w:ascii="Arial" w:hAnsi="Arial" w:eastAsia="Times New Roman" w:cs="Arial"/>
                <w:sz w:val="20"/>
                <w:szCs w:val="20"/>
              </w:rPr>
            </w:pPr>
            <w:r w:rsidRPr="001404DB">
              <w:rPr>
                <w:rFonts w:ascii="Arial" w:hAnsi="Arial"/>
                <w:sz w:val="20"/>
                <w:lang w:eastAsia="en-GB"/>
              </w:rPr>
              <w:t xml:space="preserve">(1) </w:t>
            </w:r>
            <w:r w:rsidRPr="001404DB">
              <w:rPr>
                <w:rFonts w:ascii="Arial" w:hAnsi="Arial"/>
                <w:sz w:val="20"/>
              </w:rPr>
              <w:t>Compensato tramite una controparte centrale in cui il gruppo (incluse le compagnie assicurative controllate) agisce in qualità di intermediario finanziario (componente controparte centrale)</w:t>
            </w:r>
          </w:p>
        </w:tc>
        <w:tc>
          <w:tcPr>
            <w:tcW w:w="2745" w:type="dxa"/>
            <w:tcBorders>
              <w:left w:val="nil"/>
              <w:right w:val="nil"/>
            </w:tcBorders>
            <w:noWrap/>
          </w:tcPr>
          <w:p w:rsidRPr="001404DB" w:rsidR="00AE1893" w:rsidP="00BC3A1F" w:rsidRDefault="00AE1893" w14:paraId="68D4F0C9" w14:textId="77777777">
            <w:pPr>
              <w:jc w:val="right"/>
              <w:rPr>
                <w:rFonts w:ascii="Arial" w:hAnsi="Arial" w:eastAsia="Times New Roman" w:cs="Arial"/>
                <w:sz w:val="20"/>
                <w:szCs w:val="20"/>
                <w:lang w:eastAsia="en-GB"/>
              </w:rPr>
            </w:pPr>
          </w:p>
        </w:tc>
      </w:tr>
      <w:tr w:rsidRPr="001404DB" w:rsidR="00AE1893" w:rsidTr="00BC3A1F" w14:paraId="193CD63E" w14:textId="77777777">
        <w:trPr>
          <w:trHeight w:val="300"/>
        </w:trPr>
        <w:tc>
          <w:tcPr>
            <w:tcW w:w="6804" w:type="dxa"/>
            <w:tcBorders>
              <w:left w:val="nil"/>
              <w:right w:val="nil"/>
            </w:tcBorders>
            <w:noWrap/>
          </w:tcPr>
          <w:p w:rsidRPr="001404DB" w:rsidR="00AE1893" w:rsidP="00BC3A1F" w:rsidRDefault="00AE1893" w14:paraId="734FDFAC" w14:textId="77777777">
            <w:pPr>
              <w:ind w:left="313" w:firstLine="58" w:firstLineChars="29"/>
              <w:rPr>
                <w:rFonts w:ascii="Arial" w:hAnsi="Arial" w:eastAsia="Times New Roman" w:cs="Arial"/>
                <w:sz w:val="20"/>
                <w:szCs w:val="20"/>
              </w:rPr>
            </w:pPr>
            <w:r w:rsidRPr="001404DB">
              <w:rPr>
                <w:rFonts w:ascii="Arial" w:hAnsi="Arial"/>
                <w:sz w:val="20"/>
                <w:lang w:eastAsia="en-GB"/>
              </w:rPr>
              <w:t xml:space="preserve">(2) </w:t>
            </w:r>
            <w:r w:rsidRPr="001404DB">
              <w:rPr>
                <w:rFonts w:ascii="Arial" w:hAnsi="Arial"/>
                <w:sz w:val="20"/>
              </w:rPr>
              <w:t xml:space="preserve">Compensato tramite una controparte centrale in cui il gruppo (incluse le compagnie assicurative controllate) agisce in qualità di intermediario finanziario (componente cliente) </w:t>
            </w:r>
          </w:p>
        </w:tc>
        <w:tc>
          <w:tcPr>
            <w:tcW w:w="2745" w:type="dxa"/>
            <w:tcBorders>
              <w:left w:val="nil"/>
              <w:right w:val="nil"/>
            </w:tcBorders>
            <w:noWrap/>
          </w:tcPr>
          <w:p w:rsidRPr="001404DB" w:rsidR="00AE1893" w:rsidP="00BC3A1F" w:rsidRDefault="00AE1893" w14:paraId="5A44B767" w14:textId="77777777">
            <w:pPr>
              <w:jc w:val="right"/>
              <w:rPr>
                <w:rFonts w:ascii="Arial" w:hAnsi="Arial" w:eastAsia="Times New Roman" w:cs="Arial"/>
                <w:sz w:val="20"/>
                <w:szCs w:val="20"/>
                <w:lang w:eastAsia="en-GB"/>
              </w:rPr>
            </w:pPr>
          </w:p>
        </w:tc>
      </w:tr>
      <w:tr w:rsidRPr="001404DB" w:rsidR="00AE1893" w:rsidTr="00BC3A1F" w14:paraId="3FA1D18E" w14:textId="77777777">
        <w:trPr>
          <w:trHeight w:val="300"/>
        </w:trPr>
        <w:tc>
          <w:tcPr>
            <w:tcW w:w="6804" w:type="dxa"/>
            <w:tcBorders>
              <w:left w:val="nil"/>
              <w:right w:val="nil"/>
            </w:tcBorders>
            <w:noWrap/>
          </w:tcPr>
          <w:p w:rsidRPr="001404DB" w:rsidR="00AE1893" w:rsidP="00BC3A1F" w:rsidRDefault="00AE1893" w14:paraId="4DF3CA9C" w14:textId="77777777">
            <w:pPr>
              <w:ind w:left="313"/>
              <w:rPr>
                <w:rFonts w:ascii="Arial" w:hAnsi="Arial" w:eastAsia="Times New Roman" w:cs="Arial"/>
                <w:sz w:val="20"/>
                <w:szCs w:val="20"/>
              </w:rPr>
            </w:pPr>
            <w:r w:rsidRPr="001404DB">
              <w:rPr>
                <w:rFonts w:ascii="Arial" w:hAnsi="Arial"/>
                <w:sz w:val="20"/>
                <w:lang w:eastAsia="en-GB"/>
              </w:rPr>
              <w:t xml:space="preserve">(3) </w:t>
            </w:r>
            <w:r w:rsidRPr="001404DB">
              <w:rPr>
                <w:rFonts w:ascii="Arial" w:hAnsi="Arial"/>
                <w:sz w:val="20"/>
              </w:rPr>
              <w:t xml:space="preserve">Compensato tramite una controparte centrale in cui il gruppo (incluse le compagnie assicurative controllate) agisce in qualità di rappresentante </w:t>
            </w:r>
          </w:p>
        </w:tc>
        <w:tc>
          <w:tcPr>
            <w:tcW w:w="2745" w:type="dxa"/>
            <w:tcBorders>
              <w:left w:val="nil"/>
              <w:right w:val="nil"/>
            </w:tcBorders>
            <w:noWrap/>
          </w:tcPr>
          <w:p w:rsidRPr="001404DB" w:rsidR="00AE1893" w:rsidP="00BC3A1F" w:rsidRDefault="00AE1893" w14:paraId="1CB0A475" w14:textId="77777777">
            <w:pPr>
              <w:jc w:val="right"/>
              <w:rPr>
                <w:rFonts w:ascii="Arial" w:hAnsi="Arial" w:eastAsia="Times New Roman" w:cs="Arial"/>
                <w:sz w:val="20"/>
                <w:szCs w:val="20"/>
                <w:lang w:eastAsia="en-GB"/>
              </w:rPr>
            </w:pPr>
          </w:p>
        </w:tc>
      </w:tr>
      <w:tr w:rsidRPr="001404DB" w:rsidR="00AE1893" w:rsidTr="00BC3A1F" w14:paraId="73F5F7C2" w14:textId="77777777">
        <w:trPr>
          <w:trHeight w:val="300"/>
        </w:trPr>
        <w:tc>
          <w:tcPr>
            <w:tcW w:w="6804" w:type="dxa"/>
            <w:tcBorders>
              <w:left w:val="nil"/>
              <w:right w:val="nil"/>
            </w:tcBorders>
            <w:noWrap/>
          </w:tcPr>
          <w:p w:rsidRPr="001404DB" w:rsidR="00AE1893" w:rsidP="00BC3A1F" w:rsidRDefault="00AE1893" w14:paraId="3DF0FF24" w14:textId="77777777">
            <w:pPr>
              <w:ind w:left="313" w:hanging="1"/>
              <w:rPr>
                <w:rFonts w:ascii="Arial" w:hAnsi="Arial" w:eastAsia="Times New Roman" w:cs="Arial"/>
                <w:sz w:val="20"/>
                <w:szCs w:val="20"/>
              </w:rPr>
            </w:pPr>
            <w:r w:rsidRPr="001404DB">
              <w:rPr>
                <w:rFonts w:ascii="Arial" w:hAnsi="Arial"/>
                <w:sz w:val="20"/>
                <w:lang w:eastAsia="en-GB"/>
              </w:rPr>
              <w:t xml:space="preserve">(4) </w:t>
            </w:r>
            <w:r w:rsidRPr="001404DB">
              <w:rPr>
                <w:rFonts w:ascii="Arial" w:hAnsi="Arial"/>
                <w:sz w:val="20"/>
              </w:rPr>
              <w:t>Compensato tramite una controparte centrale in cui il gruppo (incluse le compagnie assicurative controllate), negozia per proprio conto</w:t>
            </w:r>
          </w:p>
        </w:tc>
        <w:tc>
          <w:tcPr>
            <w:tcW w:w="2745" w:type="dxa"/>
            <w:tcBorders>
              <w:left w:val="nil"/>
              <w:right w:val="nil"/>
            </w:tcBorders>
            <w:noWrap/>
          </w:tcPr>
          <w:p w:rsidRPr="001404DB" w:rsidR="00AE1893" w:rsidP="00BC3A1F" w:rsidRDefault="00AE1893" w14:paraId="6178D7A6" w14:textId="77777777">
            <w:pPr>
              <w:jc w:val="right"/>
              <w:rPr>
                <w:rFonts w:ascii="Arial" w:hAnsi="Arial" w:eastAsia="Times New Roman" w:cs="Arial"/>
                <w:sz w:val="20"/>
                <w:szCs w:val="20"/>
                <w:lang w:eastAsia="en-GB"/>
              </w:rPr>
            </w:pPr>
          </w:p>
        </w:tc>
      </w:tr>
      <w:tr w:rsidRPr="001404DB" w:rsidR="00AE1893" w:rsidTr="00BC3A1F" w14:paraId="05B70B01" w14:textId="77777777">
        <w:trPr>
          <w:trHeight w:val="300"/>
        </w:trPr>
        <w:tc>
          <w:tcPr>
            <w:tcW w:w="6804" w:type="dxa"/>
            <w:tcBorders>
              <w:left w:val="nil"/>
              <w:right w:val="nil"/>
            </w:tcBorders>
            <w:noWrap/>
          </w:tcPr>
          <w:p w:rsidRPr="001404DB" w:rsidR="00AE1893" w:rsidP="00BC3A1F" w:rsidRDefault="00AE1893" w14:paraId="3E2EC25D" w14:textId="77777777">
            <w:pPr>
              <w:ind w:left="171" w:firstLine="28" w:firstLineChars="14"/>
              <w:rPr>
                <w:rFonts w:ascii="Arial" w:hAnsi="Arial" w:eastAsia="Times New Roman" w:cs="Arial"/>
                <w:sz w:val="20"/>
                <w:szCs w:val="20"/>
              </w:rPr>
            </w:pPr>
            <w:r w:rsidRPr="001404DB">
              <w:rPr>
                <w:rFonts w:ascii="Arial" w:hAnsi="Arial"/>
                <w:sz w:val="20"/>
              </w:rPr>
              <w:t>c. derivati OTC compensati mediante controparte centrale (esclusione di transizione LIBOR)</w:t>
            </w:r>
          </w:p>
        </w:tc>
        <w:tc>
          <w:tcPr>
            <w:tcW w:w="2745" w:type="dxa"/>
            <w:tcBorders>
              <w:left w:val="nil"/>
              <w:right w:val="nil"/>
            </w:tcBorders>
            <w:noWrap/>
          </w:tcPr>
          <w:p w:rsidRPr="001404DB" w:rsidR="00AE1893" w:rsidP="00BC3A1F" w:rsidRDefault="00AE1893" w14:paraId="22E3516A" w14:textId="77777777">
            <w:pPr>
              <w:jc w:val="right"/>
              <w:rPr>
                <w:rFonts w:ascii="Arial" w:hAnsi="Arial" w:eastAsia="Times New Roman" w:cs="Arial"/>
                <w:sz w:val="20"/>
                <w:szCs w:val="20"/>
                <w:lang w:eastAsia="en-GB"/>
              </w:rPr>
            </w:pPr>
          </w:p>
        </w:tc>
      </w:tr>
      <w:tr w:rsidRPr="001404DB" w:rsidR="00AE1893" w:rsidTr="00BC3A1F" w14:paraId="13AEB039" w14:textId="77777777">
        <w:trPr>
          <w:trHeight w:val="300"/>
        </w:trPr>
        <w:tc>
          <w:tcPr>
            <w:tcW w:w="6804" w:type="dxa"/>
            <w:tcBorders>
              <w:left w:val="nil"/>
              <w:right w:val="nil"/>
            </w:tcBorders>
            <w:noWrap/>
          </w:tcPr>
          <w:p w:rsidRPr="001404DB" w:rsidR="00AE1893" w:rsidP="00BC3A1F" w:rsidRDefault="00AE1893" w14:paraId="5A2DE161" w14:textId="77777777">
            <w:pPr>
              <w:ind w:left="171" w:firstLine="28" w:firstLineChars="14"/>
              <w:rPr>
                <w:rFonts w:ascii="Arial" w:hAnsi="Arial" w:eastAsia="Times New Roman" w:cs="Arial"/>
                <w:sz w:val="20"/>
                <w:szCs w:val="20"/>
              </w:rPr>
            </w:pPr>
            <w:r w:rsidRPr="001404DB">
              <w:rPr>
                <w:rFonts w:ascii="Arial" w:hAnsi="Arial"/>
                <w:sz w:val="20"/>
              </w:rPr>
              <w:t xml:space="preserve">d. Valore medio trimestrale dell’ammontare nozionale dei derivati over-the-counter (OTC) </w:t>
            </w:r>
          </w:p>
        </w:tc>
        <w:tc>
          <w:tcPr>
            <w:tcW w:w="2745" w:type="dxa"/>
            <w:tcBorders>
              <w:left w:val="nil"/>
              <w:right w:val="nil"/>
            </w:tcBorders>
            <w:noWrap/>
          </w:tcPr>
          <w:p w:rsidRPr="001404DB" w:rsidR="00AE1893" w:rsidP="00BC3A1F" w:rsidRDefault="00AE1893" w14:paraId="2D2C3309" w14:textId="77777777">
            <w:pPr>
              <w:jc w:val="right"/>
              <w:rPr>
                <w:rFonts w:ascii="Arial" w:hAnsi="Arial" w:eastAsia="Times New Roman" w:cs="Arial"/>
                <w:sz w:val="20"/>
                <w:szCs w:val="20"/>
                <w:lang w:eastAsia="en-GB"/>
              </w:rPr>
            </w:pPr>
          </w:p>
        </w:tc>
      </w:tr>
      <w:tr w:rsidRPr="001404DB" w:rsidR="00AE1893" w:rsidTr="00BC3A1F" w14:paraId="3BB76362" w14:textId="77777777">
        <w:trPr>
          <w:trHeight w:val="300"/>
        </w:trPr>
        <w:tc>
          <w:tcPr>
            <w:tcW w:w="6804" w:type="dxa"/>
            <w:tcBorders>
              <w:left w:val="nil"/>
              <w:right w:val="nil"/>
            </w:tcBorders>
            <w:noWrap/>
          </w:tcPr>
          <w:p w:rsidRPr="001404DB" w:rsidR="00AE1893" w:rsidP="00BC3A1F" w:rsidRDefault="00AE1893" w14:paraId="2FAB26EB" w14:textId="77777777">
            <w:pPr>
              <w:ind w:left="171" w:firstLine="28" w:firstLineChars="14"/>
              <w:rPr>
                <w:rFonts w:ascii="Arial" w:hAnsi="Arial" w:eastAsia="Times New Roman" w:cs="Arial"/>
                <w:sz w:val="20"/>
                <w:szCs w:val="20"/>
              </w:rPr>
            </w:pPr>
            <w:r w:rsidRPr="001404DB">
              <w:rPr>
                <w:rFonts w:ascii="Arial" w:hAnsi="Arial"/>
                <w:sz w:val="20"/>
              </w:rPr>
              <w:t xml:space="preserve">e. Valore medio mensile dell’ammontare nozionale dei derivati over-the-counter (OTC) </w:t>
            </w:r>
          </w:p>
        </w:tc>
        <w:tc>
          <w:tcPr>
            <w:tcW w:w="2745" w:type="dxa"/>
            <w:tcBorders>
              <w:left w:val="nil"/>
              <w:right w:val="nil"/>
            </w:tcBorders>
            <w:noWrap/>
          </w:tcPr>
          <w:p w:rsidRPr="001404DB" w:rsidR="00AE1893" w:rsidP="00BC3A1F" w:rsidRDefault="00AE1893" w14:paraId="5400BF4A" w14:textId="77777777">
            <w:pPr>
              <w:jc w:val="right"/>
              <w:rPr>
                <w:rFonts w:ascii="Arial" w:hAnsi="Arial" w:eastAsia="Times New Roman" w:cs="Arial"/>
                <w:sz w:val="20"/>
                <w:szCs w:val="20"/>
                <w:lang w:eastAsia="en-GB"/>
              </w:rPr>
            </w:pPr>
          </w:p>
        </w:tc>
      </w:tr>
      <w:tr w:rsidRPr="001404DB" w:rsidR="00AE1893" w:rsidTr="00BC3A1F" w14:paraId="18F2E098" w14:textId="77777777">
        <w:trPr>
          <w:trHeight w:val="300"/>
        </w:trPr>
        <w:tc>
          <w:tcPr>
            <w:tcW w:w="6804" w:type="dxa"/>
            <w:tcBorders>
              <w:left w:val="nil"/>
              <w:right w:val="nil"/>
            </w:tcBorders>
            <w:noWrap/>
          </w:tcPr>
          <w:p w:rsidRPr="001404DB" w:rsidR="00AE1893" w:rsidP="00BC3A1F" w:rsidRDefault="00AE1893" w14:paraId="056C76DB" w14:textId="77777777">
            <w:pPr>
              <w:ind w:firstLine="200" w:firstLineChars="100"/>
              <w:rPr>
                <w:rFonts w:ascii="Arial" w:hAnsi="Arial" w:eastAsia="Times New Roman" w:cs="Arial"/>
                <w:sz w:val="20"/>
                <w:szCs w:val="20"/>
              </w:rPr>
            </w:pPr>
            <w:r w:rsidRPr="001404DB">
              <w:rPr>
                <w:rFonts w:ascii="Arial" w:hAnsi="Arial"/>
                <w:sz w:val="20"/>
              </w:rPr>
              <w:lastRenderedPageBreak/>
              <w:t xml:space="preserve">f. Valore medio trimestrale dei titoli detenuti per la negoziazione e disponibili per la vendita </w:t>
            </w:r>
          </w:p>
        </w:tc>
        <w:tc>
          <w:tcPr>
            <w:tcW w:w="2745" w:type="dxa"/>
            <w:tcBorders>
              <w:left w:val="nil"/>
              <w:right w:val="nil"/>
            </w:tcBorders>
            <w:noWrap/>
          </w:tcPr>
          <w:p w:rsidRPr="001404DB" w:rsidR="00AE1893" w:rsidP="00BC3A1F" w:rsidRDefault="00AE1893" w14:paraId="2D185147" w14:textId="77777777">
            <w:pPr>
              <w:jc w:val="right"/>
              <w:rPr>
                <w:rFonts w:ascii="Arial" w:hAnsi="Arial" w:eastAsia="Times New Roman" w:cs="Arial"/>
                <w:sz w:val="20"/>
                <w:szCs w:val="20"/>
                <w:lang w:eastAsia="en-GB"/>
              </w:rPr>
            </w:pPr>
          </w:p>
        </w:tc>
      </w:tr>
      <w:tr w:rsidRPr="001404DB" w:rsidR="00AE1893" w:rsidTr="00BC3A1F" w14:paraId="5BCE6598" w14:textId="77777777">
        <w:trPr>
          <w:trHeight w:val="300"/>
        </w:trPr>
        <w:tc>
          <w:tcPr>
            <w:tcW w:w="6804" w:type="dxa"/>
            <w:tcBorders>
              <w:left w:val="nil"/>
              <w:right w:val="nil"/>
            </w:tcBorders>
            <w:noWrap/>
          </w:tcPr>
          <w:p w:rsidRPr="001404DB" w:rsidR="00AE1893" w:rsidP="00BC3A1F" w:rsidRDefault="00AE1893" w14:paraId="389EEBDB" w14:textId="77777777">
            <w:pPr>
              <w:ind w:firstLine="200" w:firstLineChars="100"/>
              <w:rPr>
                <w:rFonts w:ascii="Arial" w:hAnsi="Arial" w:eastAsia="Times New Roman" w:cs="Arial"/>
                <w:sz w:val="20"/>
                <w:szCs w:val="20"/>
              </w:rPr>
            </w:pPr>
            <w:r w:rsidRPr="001404DB">
              <w:rPr>
                <w:rFonts w:ascii="Arial" w:hAnsi="Arial"/>
                <w:sz w:val="20"/>
              </w:rPr>
              <w:t xml:space="preserve">g. Valore medio mensile dei titoli detenuti per la negoziazione e disponibili per la vendita </w:t>
            </w:r>
          </w:p>
        </w:tc>
        <w:tc>
          <w:tcPr>
            <w:tcW w:w="2745" w:type="dxa"/>
            <w:tcBorders>
              <w:left w:val="nil"/>
              <w:right w:val="nil"/>
            </w:tcBorders>
            <w:noWrap/>
          </w:tcPr>
          <w:p w:rsidRPr="001404DB" w:rsidR="00AE1893" w:rsidP="00BC3A1F" w:rsidRDefault="00AE1893" w14:paraId="43CAF2B8" w14:textId="77777777">
            <w:pPr>
              <w:jc w:val="right"/>
              <w:rPr>
                <w:rFonts w:ascii="Arial" w:hAnsi="Arial" w:eastAsia="Times New Roman" w:cs="Arial"/>
                <w:sz w:val="20"/>
                <w:szCs w:val="20"/>
                <w:lang w:eastAsia="en-GB"/>
              </w:rPr>
            </w:pPr>
          </w:p>
        </w:tc>
      </w:tr>
      <w:tr w:rsidRPr="001404DB" w:rsidR="00AE1893" w:rsidTr="00BC3A1F" w14:paraId="0B7CFD5F" w14:textId="77777777">
        <w:trPr>
          <w:trHeight w:val="300"/>
        </w:trPr>
        <w:tc>
          <w:tcPr>
            <w:tcW w:w="6804" w:type="dxa"/>
            <w:tcBorders>
              <w:left w:val="nil"/>
              <w:right w:val="nil"/>
            </w:tcBorders>
            <w:noWrap/>
          </w:tcPr>
          <w:p w:rsidRPr="001404DB" w:rsidR="00AE1893" w:rsidP="00BC3A1F" w:rsidRDefault="00AE1893" w14:paraId="181C4F83" w14:textId="77777777">
            <w:pPr>
              <w:ind w:firstLine="200" w:firstLineChars="100"/>
              <w:rPr>
                <w:rFonts w:ascii="Arial" w:hAnsi="Arial" w:eastAsia="Times New Roman" w:cs="Arial"/>
                <w:sz w:val="20"/>
                <w:szCs w:val="20"/>
              </w:rPr>
            </w:pPr>
            <w:r w:rsidRPr="001404DB">
              <w:rPr>
                <w:rFonts w:ascii="Arial" w:hAnsi="Arial"/>
                <w:sz w:val="20"/>
              </w:rPr>
              <w:t>h. indicatore delle attività di livello 3 (indicatore vecchio)</w:t>
            </w:r>
          </w:p>
        </w:tc>
        <w:tc>
          <w:tcPr>
            <w:tcW w:w="2745" w:type="dxa"/>
            <w:tcBorders>
              <w:left w:val="nil"/>
              <w:right w:val="nil"/>
            </w:tcBorders>
            <w:noWrap/>
          </w:tcPr>
          <w:p w:rsidRPr="001404DB" w:rsidR="00AE1893" w:rsidP="00BC3A1F" w:rsidRDefault="00AE1893" w14:paraId="11231F85" w14:textId="77777777">
            <w:pPr>
              <w:jc w:val="right"/>
              <w:rPr>
                <w:rFonts w:ascii="Arial" w:hAnsi="Arial" w:eastAsia="Times New Roman" w:cs="Arial"/>
                <w:sz w:val="20"/>
                <w:szCs w:val="20"/>
                <w:lang w:eastAsia="en-GB"/>
              </w:rPr>
            </w:pPr>
          </w:p>
        </w:tc>
      </w:tr>
      <w:tr w:rsidRPr="001404DB" w:rsidR="00AE1893" w:rsidTr="00BC3A1F" w14:paraId="73740E12" w14:textId="77777777">
        <w:trPr>
          <w:trHeight w:val="300"/>
        </w:trPr>
        <w:tc>
          <w:tcPr>
            <w:tcW w:w="6804" w:type="dxa"/>
            <w:tcBorders>
              <w:left w:val="nil"/>
              <w:right w:val="nil"/>
            </w:tcBorders>
            <w:noWrap/>
          </w:tcPr>
          <w:p w:rsidRPr="001404DB" w:rsidR="00AE1893" w:rsidP="00BC3A1F" w:rsidRDefault="00AE1893" w14:paraId="5510E700" w14:textId="77777777">
            <w:pPr>
              <w:ind w:firstLine="200" w:firstLineChars="100"/>
              <w:rPr>
                <w:rFonts w:ascii="Arial" w:hAnsi="Arial" w:eastAsia="Times New Roman" w:cs="Arial"/>
                <w:sz w:val="20"/>
                <w:szCs w:val="20"/>
              </w:rPr>
            </w:pPr>
            <w:r w:rsidRPr="001404DB">
              <w:rPr>
                <w:rFonts w:ascii="Arial" w:hAnsi="Arial"/>
                <w:sz w:val="20"/>
              </w:rPr>
              <w:t xml:space="preserve">I. Valore medio trimestrale delle attività di livello 3 </w:t>
            </w:r>
          </w:p>
        </w:tc>
        <w:tc>
          <w:tcPr>
            <w:tcW w:w="2745" w:type="dxa"/>
            <w:tcBorders>
              <w:left w:val="nil"/>
              <w:right w:val="nil"/>
            </w:tcBorders>
            <w:noWrap/>
          </w:tcPr>
          <w:p w:rsidRPr="001404DB" w:rsidR="00AE1893" w:rsidP="00BC3A1F" w:rsidRDefault="00AE1893" w14:paraId="047ABB67" w14:textId="77777777">
            <w:pPr>
              <w:jc w:val="right"/>
              <w:rPr>
                <w:rFonts w:ascii="Arial" w:hAnsi="Arial" w:eastAsia="Times New Roman" w:cs="Arial"/>
                <w:sz w:val="20"/>
                <w:szCs w:val="20"/>
                <w:lang w:eastAsia="en-GB"/>
              </w:rPr>
            </w:pPr>
          </w:p>
        </w:tc>
      </w:tr>
      <w:tr w:rsidRPr="001404DB" w:rsidR="00AE1893" w:rsidTr="00BC3A1F" w14:paraId="18FA629B" w14:textId="77777777">
        <w:trPr>
          <w:trHeight w:val="300"/>
        </w:trPr>
        <w:tc>
          <w:tcPr>
            <w:tcW w:w="6804" w:type="dxa"/>
            <w:tcBorders>
              <w:left w:val="nil"/>
              <w:right w:val="nil"/>
            </w:tcBorders>
            <w:noWrap/>
          </w:tcPr>
          <w:p w:rsidRPr="001404DB" w:rsidR="00AE1893" w:rsidP="00BC3A1F" w:rsidRDefault="00AE1893" w14:paraId="464CB675" w14:textId="77777777">
            <w:pPr>
              <w:ind w:firstLine="200" w:firstLineChars="100"/>
              <w:rPr>
                <w:rFonts w:ascii="Arial" w:hAnsi="Arial" w:eastAsia="Times New Roman" w:cs="Arial"/>
                <w:sz w:val="20"/>
                <w:szCs w:val="20"/>
              </w:rPr>
            </w:pPr>
            <w:r w:rsidRPr="001404DB">
              <w:rPr>
                <w:rFonts w:ascii="Arial" w:hAnsi="Arial"/>
                <w:sz w:val="20"/>
              </w:rPr>
              <w:t xml:space="preserve">j. Valore medio delle attività di livello 3  </w:t>
            </w:r>
          </w:p>
        </w:tc>
        <w:tc>
          <w:tcPr>
            <w:tcW w:w="2745" w:type="dxa"/>
            <w:tcBorders>
              <w:left w:val="nil"/>
              <w:right w:val="nil"/>
            </w:tcBorders>
            <w:noWrap/>
          </w:tcPr>
          <w:p w:rsidRPr="001404DB" w:rsidR="00AE1893" w:rsidP="00BC3A1F" w:rsidRDefault="00AE1893" w14:paraId="08009254" w14:textId="77777777">
            <w:pPr>
              <w:jc w:val="right"/>
              <w:rPr>
                <w:rFonts w:ascii="Arial" w:hAnsi="Arial" w:eastAsia="Times New Roman" w:cs="Arial"/>
                <w:sz w:val="20"/>
                <w:szCs w:val="20"/>
                <w:lang w:eastAsia="en-GB"/>
              </w:rPr>
            </w:pPr>
          </w:p>
        </w:tc>
      </w:tr>
      <w:tr w:rsidRPr="001404DB" w:rsidR="00AE1893" w:rsidTr="00BC3A1F" w14:paraId="0A2A671B" w14:textId="77777777">
        <w:trPr>
          <w:trHeight w:val="300"/>
        </w:trPr>
        <w:tc>
          <w:tcPr>
            <w:tcW w:w="6804" w:type="dxa"/>
            <w:tcBorders>
              <w:left w:val="nil"/>
              <w:right w:val="nil"/>
            </w:tcBorders>
            <w:noWrap/>
          </w:tcPr>
          <w:p w:rsidRPr="001404DB" w:rsidR="00AE1893" w:rsidP="00BC3A1F" w:rsidRDefault="00AE1893" w14:paraId="58A58FBA" w14:textId="77777777">
            <w:pPr>
              <w:ind w:firstLine="200" w:firstLineChars="100"/>
              <w:rPr>
                <w:rFonts w:ascii="Arial" w:hAnsi="Arial" w:eastAsia="Times New Roman" w:cs="Arial"/>
                <w:sz w:val="20"/>
                <w:szCs w:val="20"/>
              </w:rPr>
            </w:pPr>
            <w:r w:rsidRPr="001404DB">
              <w:rPr>
                <w:rFonts w:ascii="Arial" w:hAnsi="Arial"/>
                <w:sz w:val="20"/>
              </w:rPr>
              <w:t>k. Attività di livello 2, incluse le compagnie assicurative controllate</w:t>
            </w:r>
          </w:p>
        </w:tc>
        <w:tc>
          <w:tcPr>
            <w:tcW w:w="2745" w:type="dxa"/>
            <w:tcBorders>
              <w:left w:val="nil"/>
              <w:right w:val="nil"/>
            </w:tcBorders>
            <w:noWrap/>
          </w:tcPr>
          <w:p w:rsidRPr="001404DB" w:rsidR="00AE1893" w:rsidP="00BC3A1F" w:rsidRDefault="00AE1893" w14:paraId="6287ADFB" w14:textId="77777777">
            <w:pPr>
              <w:jc w:val="right"/>
              <w:rPr>
                <w:rFonts w:ascii="Arial" w:hAnsi="Arial" w:eastAsia="Times New Roman" w:cs="Arial"/>
                <w:sz w:val="20"/>
                <w:szCs w:val="20"/>
                <w:lang w:eastAsia="en-GB"/>
              </w:rPr>
            </w:pPr>
          </w:p>
        </w:tc>
      </w:tr>
      <w:tr w:rsidRPr="001404DB" w:rsidR="00AE1893" w:rsidTr="00BC3A1F" w14:paraId="4C47FA2B" w14:textId="77777777">
        <w:trPr>
          <w:trHeight w:val="300"/>
        </w:trPr>
        <w:tc>
          <w:tcPr>
            <w:tcW w:w="6804" w:type="dxa"/>
            <w:tcBorders>
              <w:left w:val="nil"/>
              <w:right w:val="nil"/>
            </w:tcBorders>
            <w:noWrap/>
          </w:tcPr>
          <w:p w:rsidRPr="001404DB" w:rsidR="00AE1893" w:rsidP="00BC3A1F" w:rsidRDefault="00AE1893" w14:paraId="17C22006" w14:textId="77777777">
            <w:pPr>
              <w:ind w:left="454" w:hanging="141"/>
              <w:rPr>
                <w:rFonts w:ascii="Arial" w:hAnsi="Arial" w:eastAsia="Times New Roman" w:cs="Arial"/>
                <w:sz w:val="20"/>
                <w:szCs w:val="20"/>
              </w:rPr>
            </w:pPr>
            <w:r w:rsidRPr="001404DB">
              <w:rPr>
                <w:rFonts w:ascii="Arial" w:hAnsi="Arial"/>
                <w:sz w:val="20"/>
                <w:lang w:eastAsia="en-GB"/>
              </w:rPr>
              <w:t xml:space="preserve">(1) </w:t>
            </w:r>
            <w:r w:rsidRPr="001404DB">
              <w:rPr>
                <w:rFonts w:ascii="Arial" w:hAnsi="Arial"/>
                <w:sz w:val="20"/>
              </w:rPr>
              <w:t>Attività di livello 2, incluse le compagnie assicurative controllate, compensate tramite una controparte centrale</w:t>
            </w:r>
          </w:p>
        </w:tc>
        <w:tc>
          <w:tcPr>
            <w:tcW w:w="2745" w:type="dxa"/>
            <w:tcBorders>
              <w:left w:val="nil"/>
              <w:right w:val="nil"/>
            </w:tcBorders>
            <w:noWrap/>
          </w:tcPr>
          <w:p w:rsidRPr="001404DB" w:rsidR="00AE1893" w:rsidP="00BC3A1F" w:rsidRDefault="00AE1893" w14:paraId="0D5335EA" w14:textId="77777777">
            <w:pPr>
              <w:jc w:val="right"/>
              <w:rPr>
                <w:rFonts w:ascii="Arial" w:hAnsi="Arial" w:eastAsia="Times New Roman" w:cs="Arial"/>
                <w:sz w:val="20"/>
                <w:szCs w:val="20"/>
                <w:lang w:eastAsia="en-GB"/>
              </w:rPr>
            </w:pPr>
          </w:p>
        </w:tc>
      </w:tr>
      <w:tr w:rsidRPr="001404DB" w:rsidR="00AE1893" w:rsidTr="00BC3A1F" w14:paraId="7B0EE867" w14:textId="77777777">
        <w:trPr>
          <w:trHeight w:val="300"/>
        </w:trPr>
        <w:tc>
          <w:tcPr>
            <w:tcW w:w="6804" w:type="dxa"/>
            <w:tcBorders>
              <w:left w:val="nil"/>
              <w:right w:val="nil"/>
            </w:tcBorders>
            <w:noWrap/>
          </w:tcPr>
          <w:p w:rsidRPr="001404DB" w:rsidR="00AE1893" w:rsidP="00BC3A1F" w:rsidRDefault="00AE1893" w14:paraId="00552B40" w14:textId="77777777">
            <w:pPr>
              <w:ind w:left="454" w:hanging="141"/>
              <w:rPr>
                <w:rFonts w:ascii="Arial" w:hAnsi="Arial" w:eastAsia="Times New Roman" w:cs="Arial"/>
                <w:sz w:val="20"/>
                <w:szCs w:val="20"/>
              </w:rPr>
            </w:pPr>
            <w:r w:rsidRPr="001404DB">
              <w:rPr>
                <w:rFonts w:ascii="Arial" w:hAnsi="Arial"/>
                <w:sz w:val="20"/>
                <w:lang w:eastAsia="en-GB"/>
              </w:rPr>
              <w:t xml:space="preserve">(2) </w:t>
            </w:r>
            <w:r w:rsidRPr="001404DB">
              <w:rPr>
                <w:rFonts w:ascii="Arial" w:hAnsi="Arial"/>
                <w:sz w:val="20"/>
              </w:rPr>
              <w:t>Attività di livello 2, incluse le compagnie assicurative controllate, regolate a livello bilaterale</w:t>
            </w:r>
          </w:p>
        </w:tc>
        <w:tc>
          <w:tcPr>
            <w:tcW w:w="2745" w:type="dxa"/>
            <w:tcBorders>
              <w:left w:val="nil"/>
              <w:right w:val="nil"/>
            </w:tcBorders>
            <w:noWrap/>
          </w:tcPr>
          <w:p w:rsidRPr="001404DB" w:rsidR="00AE1893" w:rsidP="00BC3A1F" w:rsidRDefault="00AE1893" w14:paraId="5E68F1BE" w14:textId="77777777">
            <w:pPr>
              <w:jc w:val="right"/>
              <w:rPr>
                <w:rFonts w:ascii="Arial" w:hAnsi="Arial" w:eastAsia="Times New Roman" w:cs="Arial"/>
                <w:sz w:val="20"/>
                <w:szCs w:val="20"/>
                <w:lang w:eastAsia="en-GB"/>
              </w:rPr>
            </w:pPr>
          </w:p>
        </w:tc>
      </w:tr>
      <w:tr w:rsidRPr="001404DB" w:rsidR="00AE1893" w:rsidTr="00BC3A1F" w14:paraId="684E6509" w14:textId="77777777">
        <w:trPr>
          <w:trHeight w:val="300"/>
        </w:trPr>
        <w:tc>
          <w:tcPr>
            <w:tcW w:w="6804" w:type="dxa"/>
            <w:tcBorders>
              <w:left w:val="nil"/>
              <w:right w:val="nil"/>
            </w:tcBorders>
            <w:noWrap/>
          </w:tcPr>
          <w:p w:rsidRPr="001404DB" w:rsidR="00AE1893" w:rsidP="00BC3A1F" w:rsidRDefault="00AE1893" w14:paraId="05F6B29B" w14:textId="77777777">
            <w:pPr>
              <w:ind w:firstLine="313"/>
              <w:rPr>
                <w:rFonts w:ascii="Arial" w:hAnsi="Arial" w:eastAsia="Times New Roman" w:cs="Arial"/>
                <w:sz w:val="20"/>
                <w:szCs w:val="20"/>
              </w:rPr>
            </w:pPr>
            <w:r w:rsidRPr="001404DB">
              <w:rPr>
                <w:rFonts w:ascii="Arial" w:hAnsi="Arial"/>
                <w:sz w:val="20"/>
                <w:lang w:eastAsia="en-GB"/>
              </w:rPr>
              <w:t xml:space="preserve">(3) </w:t>
            </w:r>
            <w:r w:rsidRPr="001404DB">
              <w:rPr>
                <w:rFonts w:ascii="Arial" w:hAnsi="Arial"/>
                <w:sz w:val="20"/>
              </w:rPr>
              <w:t>Altre attività di livello 2, incluse le compagnie assicurative controllate</w:t>
            </w:r>
          </w:p>
        </w:tc>
        <w:tc>
          <w:tcPr>
            <w:tcW w:w="2745" w:type="dxa"/>
            <w:tcBorders>
              <w:left w:val="nil"/>
              <w:right w:val="nil"/>
            </w:tcBorders>
            <w:noWrap/>
          </w:tcPr>
          <w:p w:rsidRPr="001404DB" w:rsidR="00AE1893" w:rsidP="00BC3A1F" w:rsidRDefault="00AE1893" w14:paraId="642E8919" w14:textId="77777777">
            <w:pPr>
              <w:jc w:val="right"/>
              <w:rPr>
                <w:rFonts w:ascii="Arial" w:hAnsi="Arial" w:eastAsia="Times New Roman" w:cs="Arial"/>
                <w:sz w:val="20"/>
                <w:szCs w:val="20"/>
                <w:lang w:eastAsia="en-GB"/>
              </w:rPr>
            </w:pPr>
          </w:p>
        </w:tc>
      </w:tr>
      <w:tr w:rsidRPr="001404DB" w:rsidR="00AE1893" w:rsidTr="00BC3A1F" w14:paraId="4BEB3479" w14:textId="77777777">
        <w:trPr>
          <w:trHeight w:val="300"/>
        </w:trPr>
        <w:tc>
          <w:tcPr>
            <w:tcW w:w="6804" w:type="dxa"/>
            <w:tcBorders>
              <w:left w:val="nil"/>
              <w:bottom w:val="single" w:color="auto" w:sz="4" w:space="0"/>
              <w:right w:val="nil"/>
            </w:tcBorders>
            <w:noWrap/>
          </w:tcPr>
          <w:p w:rsidRPr="001404DB" w:rsidR="00AE1893" w:rsidP="00BC3A1F" w:rsidRDefault="00AE1893" w14:paraId="22870C1F" w14:textId="77777777">
            <w:pPr>
              <w:ind w:firstLine="200" w:firstLineChars="100"/>
              <w:rPr>
                <w:rFonts w:ascii="Arial" w:hAnsi="Arial" w:eastAsia="Times New Roman" w:cs="Arial"/>
                <w:sz w:val="20"/>
                <w:szCs w:val="20"/>
              </w:rPr>
            </w:pPr>
            <w:r w:rsidRPr="001404DB">
              <w:rPr>
                <w:rFonts w:ascii="Arial" w:hAnsi="Arial"/>
                <w:sz w:val="20"/>
              </w:rPr>
              <w:t>l. Valore medio delle attività di livello 2, incluse le compagnie assicurative controllate</w:t>
            </w:r>
          </w:p>
        </w:tc>
        <w:tc>
          <w:tcPr>
            <w:tcW w:w="2745" w:type="dxa"/>
            <w:tcBorders>
              <w:left w:val="nil"/>
              <w:bottom w:val="single" w:color="auto" w:sz="4" w:space="0"/>
              <w:right w:val="nil"/>
            </w:tcBorders>
            <w:noWrap/>
          </w:tcPr>
          <w:p w:rsidRPr="001404DB" w:rsidR="00AE1893" w:rsidP="00BC3A1F" w:rsidRDefault="00AE1893" w14:paraId="31E8D2C9" w14:textId="77777777">
            <w:pPr>
              <w:jc w:val="right"/>
              <w:rPr>
                <w:rFonts w:ascii="Arial" w:hAnsi="Arial" w:eastAsia="Times New Roman" w:cs="Arial"/>
                <w:sz w:val="20"/>
                <w:szCs w:val="20"/>
                <w:lang w:eastAsia="en-GB"/>
              </w:rPr>
            </w:pPr>
          </w:p>
        </w:tc>
      </w:tr>
      <w:tr w:rsidRPr="001404DB" w:rsidR="00AE1893" w:rsidTr="00BC3A1F" w14:paraId="101942F8" w14:textId="77777777">
        <w:trPr>
          <w:trHeight w:val="300"/>
        </w:trPr>
        <w:tc>
          <w:tcPr>
            <w:tcW w:w="6804" w:type="dxa"/>
            <w:tcBorders>
              <w:left w:val="nil"/>
              <w:bottom w:val="nil"/>
              <w:right w:val="nil"/>
            </w:tcBorders>
            <w:noWrap/>
          </w:tcPr>
          <w:p w:rsidRPr="001404DB" w:rsidR="00AE1893" w:rsidP="00BC3A1F" w:rsidRDefault="00AE1893" w14:paraId="1948DC6D"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1404DB" w:rsidR="00AE1893" w:rsidP="00BC3A1F" w:rsidRDefault="00AE1893" w14:paraId="1B3D0C9A" w14:textId="77777777">
            <w:pPr>
              <w:jc w:val="center"/>
              <w:rPr>
                <w:rFonts w:ascii="Arial" w:hAnsi="Arial" w:eastAsia="Times New Roman" w:cs="Arial"/>
                <w:b/>
                <w:bCs/>
                <w:sz w:val="20"/>
                <w:szCs w:val="20"/>
                <w:lang w:eastAsia="en-GB"/>
              </w:rPr>
            </w:pPr>
          </w:p>
        </w:tc>
      </w:tr>
      <w:tr w:rsidRPr="001404DB" w:rsidR="00AE1893" w:rsidTr="00BC3A1F" w14:paraId="78DB3212" w14:textId="77777777">
        <w:trPr>
          <w:trHeight w:val="300"/>
        </w:trPr>
        <w:tc>
          <w:tcPr>
            <w:tcW w:w="6804" w:type="dxa"/>
            <w:tcBorders>
              <w:top w:val="nil"/>
              <w:left w:val="nil"/>
              <w:right w:val="nil"/>
            </w:tcBorders>
            <w:noWrap/>
          </w:tcPr>
          <w:p w:rsidRPr="001404DB" w:rsidR="00AE1893" w:rsidP="00BC3A1F" w:rsidRDefault="00AE1893" w14:paraId="342AE176" w14:textId="77777777">
            <w:pPr>
              <w:rPr>
                <w:rFonts w:ascii="Arial" w:hAnsi="Arial" w:eastAsia="Times New Roman" w:cs="Arial"/>
                <w:sz w:val="20"/>
                <w:szCs w:val="20"/>
              </w:rPr>
            </w:pPr>
            <w:r w:rsidRPr="001404DB">
              <w:rPr>
                <w:rFonts w:ascii="Arial" w:hAnsi="Arial"/>
                <w:b/>
                <w:sz w:val="20"/>
              </w:rPr>
              <w:t>Sezione 21 – Voci relative alle attività transgiurisdizionali</w:t>
            </w:r>
          </w:p>
        </w:tc>
        <w:tc>
          <w:tcPr>
            <w:tcW w:w="2745" w:type="dxa"/>
            <w:tcBorders>
              <w:top w:val="nil"/>
              <w:left w:val="nil"/>
              <w:right w:val="nil"/>
            </w:tcBorders>
            <w:noWrap/>
          </w:tcPr>
          <w:p w:rsidRPr="001404DB" w:rsidR="00AE1893" w:rsidP="00BC3A1F" w:rsidRDefault="00AE1893" w14:paraId="6C183CA3" w14:textId="77777777">
            <w:pPr>
              <w:jc w:val="center"/>
              <w:rPr>
                <w:rFonts w:ascii="Arial" w:hAnsi="Arial" w:eastAsia="Times New Roman" w:cs="Arial"/>
                <w:b/>
                <w:bCs/>
                <w:sz w:val="20"/>
                <w:szCs w:val="20"/>
              </w:rPr>
            </w:pPr>
            <w:r w:rsidRPr="001404DB">
              <w:rPr>
                <w:rFonts w:ascii="Arial" w:hAnsi="Arial"/>
                <w:b/>
                <w:sz w:val="20"/>
              </w:rPr>
              <w:t>Importo</w:t>
            </w:r>
          </w:p>
        </w:tc>
      </w:tr>
      <w:tr w:rsidRPr="001404DB" w:rsidR="00AE1893" w:rsidTr="00BC3A1F" w14:paraId="79948894" w14:textId="77777777">
        <w:trPr>
          <w:trHeight w:val="300"/>
        </w:trPr>
        <w:tc>
          <w:tcPr>
            <w:tcW w:w="6804" w:type="dxa"/>
            <w:tcBorders>
              <w:left w:val="nil"/>
              <w:right w:val="nil"/>
            </w:tcBorders>
            <w:noWrap/>
          </w:tcPr>
          <w:p w:rsidRPr="001404DB" w:rsidR="00AE1893" w:rsidP="00BC3A1F" w:rsidRDefault="00AE1893" w14:paraId="0C1CDC4C" w14:textId="77777777">
            <w:pPr>
              <w:rPr>
                <w:rFonts w:ascii="Arial" w:hAnsi="Arial" w:eastAsia="Times New Roman" w:cs="Arial"/>
                <w:sz w:val="20"/>
                <w:szCs w:val="20"/>
              </w:rPr>
            </w:pPr>
            <w:r w:rsidRPr="001404DB">
              <w:rPr>
                <w:rFonts w:ascii="Arial" w:hAnsi="Arial"/>
                <w:sz w:val="20"/>
              </w:rPr>
              <w:t>a. Indicatore delle passività transgiurisdizionali (vecchio indicatore)</w:t>
            </w:r>
          </w:p>
        </w:tc>
        <w:tc>
          <w:tcPr>
            <w:tcW w:w="2745" w:type="dxa"/>
            <w:tcBorders>
              <w:left w:val="nil"/>
              <w:right w:val="nil"/>
            </w:tcBorders>
            <w:noWrap/>
          </w:tcPr>
          <w:p w:rsidRPr="001404DB" w:rsidR="00AE1893" w:rsidP="00BC3A1F" w:rsidRDefault="00AE1893" w14:paraId="4A3BF78C" w14:textId="77777777">
            <w:pPr>
              <w:jc w:val="right"/>
              <w:rPr>
                <w:rFonts w:ascii="Arial" w:hAnsi="Arial" w:eastAsia="Times New Roman" w:cs="Arial"/>
                <w:sz w:val="20"/>
                <w:szCs w:val="20"/>
                <w:lang w:eastAsia="en-GB"/>
              </w:rPr>
            </w:pPr>
          </w:p>
        </w:tc>
      </w:tr>
      <w:tr w:rsidRPr="001404DB" w:rsidR="00AE1893" w:rsidTr="00BC3A1F" w14:paraId="6191FEB4" w14:textId="77777777">
        <w:trPr>
          <w:trHeight w:val="300"/>
        </w:trPr>
        <w:tc>
          <w:tcPr>
            <w:tcW w:w="6804" w:type="dxa"/>
            <w:tcBorders>
              <w:left w:val="nil"/>
              <w:right w:val="nil"/>
            </w:tcBorders>
            <w:noWrap/>
          </w:tcPr>
          <w:p w:rsidRPr="001404DB" w:rsidR="00AE1893" w:rsidP="00BC3A1F" w:rsidRDefault="00AE1893" w14:paraId="524883FC" w14:textId="77777777">
            <w:pPr>
              <w:ind w:left="313"/>
              <w:rPr>
                <w:rFonts w:ascii="Arial" w:hAnsi="Arial" w:eastAsia="Times New Roman" w:cs="Arial"/>
                <w:sz w:val="20"/>
                <w:szCs w:val="20"/>
              </w:rPr>
            </w:pPr>
            <w:r w:rsidRPr="001404DB">
              <w:rPr>
                <w:rFonts w:ascii="Arial" w:hAnsi="Arial"/>
                <w:sz w:val="20"/>
                <w:lang w:eastAsia="en-GB"/>
              </w:rPr>
              <w:t xml:space="preserve">(1) </w:t>
            </w:r>
            <w:r w:rsidRPr="001404DB">
              <w:rPr>
                <w:rFonts w:ascii="Arial" w:hAnsi="Arial"/>
                <w:sz w:val="20"/>
              </w:rPr>
              <w:t>Passività estere (esclusi i derivati e le passività locali in valuta locale)</w:t>
            </w:r>
          </w:p>
        </w:tc>
        <w:tc>
          <w:tcPr>
            <w:tcW w:w="2745" w:type="dxa"/>
            <w:tcBorders>
              <w:left w:val="nil"/>
              <w:right w:val="nil"/>
            </w:tcBorders>
            <w:noWrap/>
          </w:tcPr>
          <w:p w:rsidRPr="001404DB" w:rsidR="00AE1893" w:rsidP="00BC3A1F" w:rsidRDefault="00AE1893" w14:paraId="42FC3BE1" w14:textId="77777777">
            <w:pPr>
              <w:jc w:val="right"/>
              <w:rPr>
                <w:rFonts w:ascii="Arial" w:hAnsi="Arial" w:eastAsia="Times New Roman" w:cs="Arial"/>
                <w:sz w:val="20"/>
                <w:szCs w:val="20"/>
                <w:lang w:eastAsia="en-GB"/>
              </w:rPr>
            </w:pPr>
          </w:p>
        </w:tc>
      </w:tr>
      <w:tr w:rsidRPr="001404DB" w:rsidR="00AE1893" w:rsidTr="00BC3A1F" w14:paraId="6603096B" w14:textId="77777777">
        <w:trPr>
          <w:trHeight w:val="300"/>
        </w:trPr>
        <w:tc>
          <w:tcPr>
            <w:tcW w:w="6804" w:type="dxa"/>
            <w:tcBorders>
              <w:left w:val="nil"/>
              <w:right w:val="nil"/>
            </w:tcBorders>
            <w:noWrap/>
          </w:tcPr>
          <w:p w:rsidRPr="001404DB" w:rsidR="00AE1893" w:rsidP="00BC3A1F" w:rsidRDefault="00AE1893" w14:paraId="38E522AC" w14:textId="77777777">
            <w:pPr>
              <w:ind w:left="-2" w:leftChars="-1" w:firstLine="312" w:firstLineChars="156"/>
              <w:rPr>
                <w:rFonts w:ascii="Arial" w:hAnsi="Arial" w:eastAsia="Times New Roman" w:cs="Arial"/>
                <w:sz w:val="20"/>
                <w:szCs w:val="20"/>
              </w:rPr>
            </w:pPr>
            <w:r w:rsidRPr="001404DB">
              <w:rPr>
                <w:rFonts w:ascii="Arial" w:hAnsi="Arial"/>
                <w:sz w:val="20"/>
                <w:lang w:eastAsia="en-GB"/>
              </w:rPr>
              <w:t xml:space="preserve">(2) </w:t>
            </w:r>
            <w:r w:rsidRPr="001404DB">
              <w:rPr>
                <w:rFonts w:ascii="Arial" w:hAnsi="Arial"/>
                <w:sz w:val="20"/>
              </w:rPr>
              <w:t>Tutte le passività estere verso uffici collegati incluse nella voce 21.a.(1)</w:t>
            </w:r>
          </w:p>
        </w:tc>
        <w:tc>
          <w:tcPr>
            <w:tcW w:w="2745" w:type="dxa"/>
            <w:tcBorders>
              <w:left w:val="nil"/>
              <w:right w:val="nil"/>
            </w:tcBorders>
            <w:noWrap/>
          </w:tcPr>
          <w:p w:rsidRPr="001404DB" w:rsidR="00AE1893" w:rsidP="00BC3A1F" w:rsidRDefault="00AE1893" w14:paraId="496FEDCF" w14:textId="77777777">
            <w:pPr>
              <w:jc w:val="right"/>
              <w:rPr>
                <w:rFonts w:ascii="Arial" w:hAnsi="Arial" w:eastAsia="Times New Roman" w:cs="Arial"/>
                <w:sz w:val="20"/>
                <w:szCs w:val="20"/>
                <w:lang w:eastAsia="en-GB"/>
              </w:rPr>
            </w:pPr>
          </w:p>
        </w:tc>
      </w:tr>
      <w:tr w:rsidRPr="001404DB" w:rsidR="00AE1893" w:rsidTr="00BC3A1F" w14:paraId="0B6A92D7" w14:textId="77777777">
        <w:trPr>
          <w:trHeight w:val="300"/>
        </w:trPr>
        <w:tc>
          <w:tcPr>
            <w:tcW w:w="6804" w:type="dxa"/>
            <w:tcBorders>
              <w:left w:val="nil"/>
              <w:right w:val="nil"/>
            </w:tcBorders>
            <w:noWrap/>
          </w:tcPr>
          <w:p w:rsidRPr="001404DB" w:rsidR="00AE1893" w:rsidP="00BC3A1F" w:rsidRDefault="00AE1893" w14:paraId="1D8D4B4E" w14:textId="77777777">
            <w:pPr>
              <w:ind w:left="-2" w:leftChars="-1" w:firstLine="312" w:firstLineChars="156"/>
              <w:rPr>
                <w:rFonts w:ascii="Arial" w:hAnsi="Arial" w:eastAsia="Times New Roman" w:cs="Arial"/>
                <w:sz w:val="20"/>
                <w:szCs w:val="20"/>
              </w:rPr>
            </w:pPr>
            <w:r w:rsidRPr="001404DB">
              <w:rPr>
                <w:rFonts w:ascii="Arial" w:hAnsi="Arial"/>
                <w:sz w:val="20"/>
                <w:lang w:eastAsia="en-GB"/>
              </w:rPr>
              <w:t xml:space="preserve">(3) </w:t>
            </w:r>
            <w:r w:rsidRPr="001404DB">
              <w:rPr>
                <w:rFonts w:ascii="Arial" w:hAnsi="Arial"/>
                <w:sz w:val="20"/>
              </w:rPr>
              <w:t>Passività locali in valuta locale (esclusa l’attività in derivati)</w:t>
            </w:r>
          </w:p>
        </w:tc>
        <w:tc>
          <w:tcPr>
            <w:tcW w:w="2745" w:type="dxa"/>
            <w:tcBorders>
              <w:left w:val="nil"/>
              <w:right w:val="nil"/>
            </w:tcBorders>
            <w:noWrap/>
          </w:tcPr>
          <w:p w:rsidRPr="001404DB" w:rsidR="00AE1893" w:rsidP="00BC3A1F" w:rsidRDefault="00AE1893" w14:paraId="508EA55C" w14:textId="77777777">
            <w:pPr>
              <w:jc w:val="right"/>
              <w:rPr>
                <w:rFonts w:ascii="Arial" w:hAnsi="Arial" w:eastAsia="Times New Roman" w:cs="Arial"/>
                <w:sz w:val="20"/>
                <w:szCs w:val="20"/>
                <w:lang w:eastAsia="en-GB"/>
              </w:rPr>
            </w:pPr>
          </w:p>
        </w:tc>
      </w:tr>
      <w:tr w:rsidRPr="001404DB" w:rsidR="00AE1893" w:rsidTr="00BC3A1F" w14:paraId="6BA5850E" w14:textId="77777777">
        <w:trPr>
          <w:trHeight w:val="300"/>
        </w:trPr>
        <w:tc>
          <w:tcPr>
            <w:tcW w:w="6804" w:type="dxa"/>
            <w:tcBorders>
              <w:left w:val="nil"/>
              <w:right w:val="nil"/>
            </w:tcBorders>
            <w:noWrap/>
          </w:tcPr>
          <w:p w:rsidRPr="001404DB" w:rsidR="00AE1893" w:rsidP="00BC3A1F" w:rsidRDefault="00AE1893" w14:paraId="12900279" w14:textId="77777777">
            <w:pPr>
              <w:ind w:firstLine="200" w:firstLineChars="100"/>
              <w:rPr>
                <w:rFonts w:ascii="Arial" w:hAnsi="Arial" w:eastAsia="Times New Roman" w:cs="Arial"/>
                <w:sz w:val="20"/>
                <w:szCs w:val="20"/>
              </w:rPr>
            </w:pPr>
            <w:r w:rsidRPr="001404DB">
              <w:rPr>
                <w:rFonts w:ascii="Arial" w:hAnsi="Arial"/>
                <w:sz w:val="20"/>
              </w:rPr>
              <w:t>b. Passività locali in valuta locale (inclusa l’attività in derivati)</w:t>
            </w:r>
          </w:p>
        </w:tc>
        <w:tc>
          <w:tcPr>
            <w:tcW w:w="2745" w:type="dxa"/>
            <w:tcBorders>
              <w:left w:val="nil"/>
              <w:right w:val="nil"/>
            </w:tcBorders>
            <w:noWrap/>
          </w:tcPr>
          <w:p w:rsidRPr="001404DB" w:rsidR="00AE1893" w:rsidP="00BC3A1F" w:rsidRDefault="00AE1893" w14:paraId="39BB908F" w14:textId="77777777">
            <w:pPr>
              <w:jc w:val="right"/>
              <w:rPr>
                <w:rFonts w:ascii="Arial" w:hAnsi="Arial" w:eastAsia="Times New Roman" w:cs="Arial"/>
                <w:sz w:val="20"/>
                <w:szCs w:val="20"/>
                <w:lang w:eastAsia="en-GB"/>
              </w:rPr>
            </w:pPr>
          </w:p>
        </w:tc>
      </w:tr>
      <w:tr w:rsidRPr="001404DB" w:rsidR="00AE1893" w:rsidTr="00BC3A1F" w14:paraId="29F6AFDB" w14:textId="77777777">
        <w:trPr>
          <w:trHeight w:val="300"/>
        </w:trPr>
        <w:tc>
          <w:tcPr>
            <w:tcW w:w="6804" w:type="dxa"/>
            <w:tcBorders>
              <w:left w:val="nil"/>
              <w:right w:val="nil"/>
            </w:tcBorders>
            <w:noWrap/>
          </w:tcPr>
          <w:p w:rsidRPr="001404DB" w:rsidR="00AE1893" w:rsidP="00BC3A1F" w:rsidRDefault="00AE1893" w14:paraId="47EE5263" w14:textId="77777777">
            <w:pPr>
              <w:ind w:left="171" w:firstLine="28" w:firstLineChars="14"/>
              <w:rPr>
                <w:rFonts w:ascii="Arial" w:hAnsi="Arial" w:eastAsia="Times New Roman" w:cs="Arial"/>
                <w:sz w:val="20"/>
                <w:szCs w:val="20"/>
              </w:rPr>
            </w:pPr>
            <w:r w:rsidRPr="001404DB">
              <w:rPr>
                <w:rFonts w:ascii="Arial" w:hAnsi="Arial"/>
                <w:sz w:val="20"/>
              </w:rPr>
              <w:t>c. Attività transgiurisdizionali locali in valuta locale (esclusa l’attività in derivati)</w:t>
            </w:r>
          </w:p>
        </w:tc>
        <w:tc>
          <w:tcPr>
            <w:tcW w:w="2745" w:type="dxa"/>
            <w:tcBorders>
              <w:left w:val="nil"/>
              <w:right w:val="nil"/>
            </w:tcBorders>
            <w:noWrap/>
          </w:tcPr>
          <w:p w:rsidRPr="001404DB" w:rsidR="00AE1893" w:rsidP="00BC3A1F" w:rsidRDefault="00AE1893" w14:paraId="1CDB73D0" w14:textId="77777777">
            <w:pPr>
              <w:jc w:val="right"/>
              <w:rPr>
                <w:rFonts w:ascii="Arial" w:hAnsi="Arial" w:eastAsia="Times New Roman" w:cs="Arial"/>
                <w:sz w:val="20"/>
                <w:szCs w:val="20"/>
                <w:lang w:eastAsia="en-GB"/>
              </w:rPr>
            </w:pPr>
          </w:p>
        </w:tc>
      </w:tr>
      <w:tr w:rsidRPr="001404DB" w:rsidR="00AE1893" w:rsidTr="00BC3A1F" w14:paraId="5C01545B" w14:textId="77777777">
        <w:trPr>
          <w:trHeight w:val="300"/>
        </w:trPr>
        <w:tc>
          <w:tcPr>
            <w:tcW w:w="6804" w:type="dxa"/>
            <w:tcBorders>
              <w:left w:val="nil"/>
              <w:right w:val="nil"/>
            </w:tcBorders>
            <w:noWrap/>
          </w:tcPr>
          <w:p w:rsidRPr="001404DB" w:rsidR="00AE1893" w:rsidP="00BC3A1F" w:rsidRDefault="00AE1893" w14:paraId="77C52E5C" w14:textId="77777777">
            <w:pPr>
              <w:ind w:left="171" w:firstLine="28" w:firstLineChars="14"/>
              <w:rPr>
                <w:rFonts w:ascii="Arial" w:hAnsi="Arial" w:eastAsia="Times New Roman" w:cs="Arial"/>
                <w:sz w:val="20"/>
                <w:szCs w:val="20"/>
              </w:rPr>
            </w:pPr>
            <w:r w:rsidRPr="001404DB">
              <w:rPr>
                <w:rFonts w:ascii="Arial" w:hAnsi="Arial"/>
                <w:sz w:val="20"/>
              </w:rPr>
              <w:t>d. Attività transgiurisdizionali locali in valuta locale (inclusa l’attività in derivati)</w:t>
            </w:r>
          </w:p>
        </w:tc>
        <w:tc>
          <w:tcPr>
            <w:tcW w:w="2745" w:type="dxa"/>
            <w:tcBorders>
              <w:left w:val="nil"/>
              <w:right w:val="nil"/>
            </w:tcBorders>
            <w:noWrap/>
          </w:tcPr>
          <w:p w:rsidRPr="001404DB" w:rsidR="00AE1893" w:rsidP="00BC3A1F" w:rsidRDefault="00AE1893" w14:paraId="62907C67" w14:textId="77777777">
            <w:pPr>
              <w:jc w:val="right"/>
              <w:rPr>
                <w:rFonts w:ascii="Arial" w:hAnsi="Arial" w:eastAsia="Times New Roman" w:cs="Arial"/>
                <w:sz w:val="20"/>
                <w:szCs w:val="20"/>
                <w:lang w:eastAsia="en-GB"/>
              </w:rPr>
            </w:pPr>
          </w:p>
        </w:tc>
      </w:tr>
      <w:tr w:rsidRPr="001404DB" w:rsidR="00AE1893" w:rsidTr="00BC3A1F" w14:paraId="62A1B374" w14:textId="77777777">
        <w:trPr>
          <w:trHeight w:val="300"/>
        </w:trPr>
        <w:tc>
          <w:tcPr>
            <w:tcW w:w="6804" w:type="dxa"/>
            <w:tcBorders>
              <w:left w:val="nil"/>
              <w:right w:val="nil"/>
            </w:tcBorders>
            <w:noWrap/>
          </w:tcPr>
          <w:p w:rsidRPr="001404DB" w:rsidR="00AE1893" w:rsidP="00BC3A1F" w:rsidRDefault="00AE1893" w14:paraId="3A0E1833" w14:textId="77777777">
            <w:pPr>
              <w:ind w:left="171" w:firstLine="28" w:firstLineChars="14"/>
              <w:rPr>
                <w:rFonts w:ascii="Arial" w:hAnsi="Arial" w:eastAsia="Times New Roman" w:cs="Arial"/>
                <w:sz w:val="20"/>
                <w:szCs w:val="20"/>
              </w:rPr>
            </w:pPr>
            <w:r w:rsidRPr="001404DB">
              <w:rPr>
                <w:rFonts w:ascii="Arial" w:hAnsi="Arial"/>
                <w:sz w:val="20"/>
              </w:rPr>
              <w:t>e. Attività estere su derivati su base «rischio finale» (considerando l’area dell’euro un’unica giurisdizione)</w:t>
            </w:r>
          </w:p>
        </w:tc>
        <w:tc>
          <w:tcPr>
            <w:tcW w:w="2745" w:type="dxa"/>
            <w:tcBorders>
              <w:left w:val="nil"/>
              <w:right w:val="nil"/>
            </w:tcBorders>
            <w:noWrap/>
          </w:tcPr>
          <w:p w:rsidRPr="001404DB" w:rsidR="00AE1893" w:rsidP="00BC3A1F" w:rsidRDefault="00AE1893" w14:paraId="49C34102" w14:textId="77777777">
            <w:pPr>
              <w:jc w:val="right"/>
              <w:rPr>
                <w:rFonts w:ascii="Arial" w:hAnsi="Arial" w:eastAsia="Times New Roman" w:cs="Arial"/>
                <w:sz w:val="20"/>
                <w:szCs w:val="20"/>
                <w:lang w:eastAsia="en-GB"/>
              </w:rPr>
            </w:pPr>
          </w:p>
        </w:tc>
      </w:tr>
      <w:tr w:rsidRPr="001404DB" w:rsidR="00AE1893" w:rsidTr="00BC3A1F" w14:paraId="5B8AF9FC" w14:textId="77777777">
        <w:trPr>
          <w:trHeight w:val="300"/>
        </w:trPr>
        <w:tc>
          <w:tcPr>
            <w:tcW w:w="6804" w:type="dxa"/>
            <w:tcBorders>
              <w:left w:val="nil"/>
              <w:right w:val="nil"/>
            </w:tcBorders>
            <w:noWrap/>
          </w:tcPr>
          <w:p w:rsidRPr="001404DB" w:rsidR="00AE1893" w:rsidP="00BC3A1F" w:rsidRDefault="00AE1893" w14:paraId="706E5F26" w14:textId="77777777">
            <w:pPr>
              <w:ind w:left="171" w:firstLine="28" w:firstLineChars="14"/>
              <w:rPr>
                <w:rFonts w:ascii="Arial" w:hAnsi="Arial" w:eastAsia="Times New Roman" w:cs="Arial"/>
                <w:sz w:val="20"/>
                <w:szCs w:val="20"/>
              </w:rPr>
            </w:pPr>
            <w:r w:rsidRPr="001404DB">
              <w:rPr>
                <w:rFonts w:ascii="Arial" w:hAnsi="Arial"/>
                <w:sz w:val="20"/>
              </w:rPr>
              <w:t>f. Attività estere su derivati su base «rischio finale» (considerando l’area dell’euro un’unica giurisdizione)</w:t>
            </w:r>
          </w:p>
        </w:tc>
        <w:tc>
          <w:tcPr>
            <w:tcW w:w="2745" w:type="dxa"/>
            <w:tcBorders>
              <w:left w:val="nil"/>
              <w:right w:val="nil"/>
            </w:tcBorders>
            <w:noWrap/>
          </w:tcPr>
          <w:p w:rsidRPr="001404DB" w:rsidR="00AE1893" w:rsidP="00BC3A1F" w:rsidRDefault="00AE1893" w14:paraId="5545383A" w14:textId="77777777">
            <w:pPr>
              <w:jc w:val="right"/>
              <w:rPr>
                <w:rFonts w:ascii="Arial" w:hAnsi="Arial" w:eastAsia="Times New Roman" w:cs="Arial"/>
                <w:sz w:val="20"/>
                <w:szCs w:val="20"/>
                <w:lang w:eastAsia="en-GB"/>
              </w:rPr>
            </w:pPr>
          </w:p>
        </w:tc>
      </w:tr>
      <w:tr w:rsidRPr="001404DB" w:rsidR="00AE1893" w:rsidTr="00BC3A1F" w14:paraId="0B0530AE" w14:textId="77777777">
        <w:trPr>
          <w:trHeight w:val="300"/>
        </w:trPr>
        <w:tc>
          <w:tcPr>
            <w:tcW w:w="6804" w:type="dxa"/>
            <w:tcBorders>
              <w:left w:val="nil"/>
              <w:right w:val="nil"/>
            </w:tcBorders>
            <w:noWrap/>
          </w:tcPr>
          <w:p w:rsidRPr="001404DB" w:rsidR="00AE1893" w:rsidP="00BC3A1F" w:rsidRDefault="00AE1893" w14:paraId="7DA52E7B" w14:textId="77777777">
            <w:pPr>
              <w:ind w:left="171" w:firstLine="28" w:firstLineChars="14"/>
              <w:rPr>
                <w:rFonts w:ascii="Arial" w:hAnsi="Arial" w:eastAsia="Times New Roman" w:cs="Arial"/>
                <w:sz w:val="20"/>
                <w:szCs w:val="20"/>
              </w:rPr>
            </w:pPr>
            <w:r w:rsidRPr="001404DB">
              <w:rPr>
                <w:rFonts w:ascii="Arial" w:hAnsi="Arial"/>
                <w:sz w:val="20"/>
              </w:rPr>
              <w:t>g. Passività estere su base «rischio immediato», compresi derivati (considerando l’area dell’euro un’unica giurisdizione)</w:t>
            </w:r>
          </w:p>
        </w:tc>
        <w:tc>
          <w:tcPr>
            <w:tcW w:w="2745" w:type="dxa"/>
            <w:tcBorders>
              <w:left w:val="nil"/>
              <w:right w:val="nil"/>
            </w:tcBorders>
            <w:noWrap/>
          </w:tcPr>
          <w:p w:rsidRPr="001404DB" w:rsidR="00AE1893" w:rsidP="00BC3A1F" w:rsidRDefault="00AE1893" w14:paraId="44F52124" w14:textId="77777777">
            <w:pPr>
              <w:jc w:val="right"/>
              <w:rPr>
                <w:rFonts w:ascii="Arial" w:hAnsi="Arial" w:eastAsia="Times New Roman" w:cs="Arial"/>
                <w:sz w:val="20"/>
                <w:szCs w:val="20"/>
                <w:lang w:eastAsia="en-GB"/>
              </w:rPr>
            </w:pPr>
          </w:p>
        </w:tc>
      </w:tr>
      <w:tr w:rsidRPr="001404DB" w:rsidR="00AE1893" w:rsidTr="00BC3A1F" w14:paraId="1C1100C7" w14:textId="77777777">
        <w:trPr>
          <w:trHeight w:val="300"/>
        </w:trPr>
        <w:tc>
          <w:tcPr>
            <w:tcW w:w="6804" w:type="dxa"/>
            <w:tcBorders>
              <w:left w:val="nil"/>
              <w:right w:val="nil"/>
            </w:tcBorders>
            <w:noWrap/>
          </w:tcPr>
          <w:p w:rsidRPr="001404DB" w:rsidR="00AE1893" w:rsidP="00BC3A1F" w:rsidRDefault="00AE1893" w14:paraId="61294B71" w14:textId="77777777">
            <w:pPr>
              <w:ind w:left="171" w:firstLine="28" w:firstLineChars="14"/>
              <w:rPr>
                <w:rFonts w:ascii="Arial" w:hAnsi="Arial" w:eastAsia="Times New Roman" w:cs="Arial"/>
                <w:sz w:val="20"/>
                <w:szCs w:val="20"/>
              </w:rPr>
            </w:pPr>
            <w:r w:rsidRPr="001404DB">
              <w:rPr>
                <w:rFonts w:ascii="Arial" w:hAnsi="Arial"/>
                <w:sz w:val="20"/>
                <w:lang w:eastAsia="en-GB"/>
              </w:rPr>
              <w:t xml:space="preserve">(1) </w:t>
            </w:r>
            <w:r w:rsidRPr="001404DB">
              <w:rPr>
                <w:rFonts w:ascii="Arial" w:hAnsi="Arial"/>
                <w:sz w:val="20"/>
              </w:rPr>
              <w:t>Passività estere su derivati su base «rischio immediato» (considerando l’area dell’euro un’unica giurisdizione)</w:t>
            </w:r>
          </w:p>
        </w:tc>
        <w:tc>
          <w:tcPr>
            <w:tcW w:w="2745" w:type="dxa"/>
            <w:tcBorders>
              <w:left w:val="nil"/>
              <w:right w:val="nil"/>
            </w:tcBorders>
            <w:noWrap/>
          </w:tcPr>
          <w:p w:rsidRPr="001404DB" w:rsidR="00AE1893" w:rsidP="00BC3A1F" w:rsidRDefault="00AE1893" w14:paraId="08400BCA" w14:textId="77777777">
            <w:pPr>
              <w:jc w:val="right"/>
              <w:rPr>
                <w:rFonts w:ascii="Arial" w:hAnsi="Arial" w:eastAsia="Times New Roman" w:cs="Arial"/>
                <w:sz w:val="20"/>
                <w:szCs w:val="20"/>
                <w:lang w:eastAsia="en-GB"/>
              </w:rPr>
            </w:pPr>
          </w:p>
        </w:tc>
      </w:tr>
      <w:tr w:rsidRPr="001404DB" w:rsidR="00AE1893" w:rsidTr="00BC3A1F" w14:paraId="46F33B07" w14:textId="77777777">
        <w:trPr>
          <w:trHeight w:val="300"/>
        </w:trPr>
        <w:tc>
          <w:tcPr>
            <w:tcW w:w="6804" w:type="dxa"/>
            <w:tcBorders>
              <w:left w:val="nil"/>
              <w:right w:val="nil"/>
            </w:tcBorders>
            <w:noWrap/>
          </w:tcPr>
          <w:p w:rsidRPr="001404DB" w:rsidR="00AE1893" w:rsidP="00BC3A1F" w:rsidRDefault="00AE1893" w14:paraId="53579534" w14:textId="77777777">
            <w:pPr>
              <w:ind w:firstLine="200" w:firstLineChars="100"/>
              <w:rPr>
                <w:rFonts w:ascii="Arial" w:hAnsi="Arial" w:eastAsia="Times New Roman" w:cs="Arial"/>
                <w:sz w:val="20"/>
                <w:szCs w:val="20"/>
              </w:rPr>
            </w:pPr>
            <w:r w:rsidRPr="001404DB">
              <w:rPr>
                <w:rFonts w:ascii="Arial" w:hAnsi="Arial"/>
                <w:sz w:val="20"/>
              </w:rPr>
              <w:t>h. Attività transgiurisdizionali locali in valuta locale, esclusa l’attività in derivati (considerando l’area dell’euro un’unica giurisdizione)</w:t>
            </w:r>
          </w:p>
        </w:tc>
        <w:tc>
          <w:tcPr>
            <w:tcW w:w="2745" w:type="dxa"/>
            <w:tcBorders>
              <w:left w:val="nil"/>
              <w:right w:val="nil"/>
            </w:tcBorders>
            <w:noWrap/>
          </w:tcPr>
          <w:p w:rsidRPr="001404DB" w:rsidR="00AE1893" w:rsidP="00BC3A1F" w:rsidRDefault="00AE1893" w14:paraId="6203CD98" w14:textId="77777777">
            <w:pPr>
              <w:jc w:val="right"/>
              <w:rPr>
                <w:rFonts w:ascii="Arial" w:hAnsi="Arial" w:eastAsia="Times New Roman" w:cs="Arial"/>
                <w:sz w:val="20"/>
                <w:szCs w:val="20"/>
                <w:lang w:eastAsia="en-GB"/>
              </w:rPr>
            </w:pPr>
          </w:p>
        </w:tc>
      </w:tr>
      <w:tr w:rsidRPr="001404DB" w:rsidR="00AE1893" w:rsidTr="00BC3A1F" w14:paraId="7ECF4F2F" w14:textId="77777777">
        <w:trPr>
          <w:trHeight w:val="300"/>
        </w:trPr>
        <w:tc>
          <w:tcPr>
            <w:tcW w:w="6804" w:type="dxa"/>
            <w:tcBorders>
              <w:left w:val="nil"/>
              <w:right w:val="nil"/>
            </w:tcBorders>
            <w:noWrap/>
          </w:tcPr>
          <w:p w:rsidRPr="001404DB" w:rsidR="00AE1893" w:rsidP="00BC3A1F" w:rsidRDefault="00AE1893" w14:paraId="7C2C4A37" w14:textId="77777777">
            <w:pPr>
              <w:ind w:left="171" w:firstLine="28" w:firstLineChars="14"/>
              <w:rPr>
                <w:rFonts w:ascii="Arial" w:hAnsi="Arial" w:eastAsia="Times New Roman" w:cs="Arial"/>
                <w:sz w:val="20"/>
                <w:szCs w:val="20"/>
              </w:rPr>
            </w:pPr>
            <w:r w:rsidRPr="001404DB">
              <w:rPr>
                <w:rFonts w:ascii="Arial" w:hAnsi="Arial"/>
                <w:sz w:val="20"/>
              </w:rPr>
              <w:t>i. Attività transgiurisdizionali locali in valuta locale, inclusa l’attività in derivati (considerando l’area dell’euro un’unica giurisdizione)</w:t>
            </w:r>
          </w:p>
        </w:tc>
        <w:tc>
          <w:tcPr>
            <w:tcW w:w="2745" w:type="dxa"/>
            <w:tcBorders>
              <w:left w:val="nil"/>
              <w:right w:val="nil"/>
            </w:tcBorders>
            <w:noWrap/>
          </w:tcPr>
          <w:p w:rsidRPr="001404DB" w:rsidR="00AE1893" w:rsidP="00BC3A1F" w:rsidRDefault="00AE1893" w14:paraId="4A28158B" w14:textId="77777777">
            <w:pPr>
              <w:jc w:val="right"/>
              <w:rPr>
                <w:rFonts w:ascii="Arial" w:hAnsi="Arial" w:eastAsia="Times New Roman" w:cs="Arial"/>
                <w:sz w:val="20"/>
                <w:szCs w:val="20"/>
                <w:lang w:eastAsia="en-GB"/>
              </w:rPr>
            </w:pPr>
          </w:p>
        </w:tc>
      </w:tr>
      <w:tr w:rsidRPr="001404DB" w:rsidR="00AE1893" w:rsidTr="00BC3A1F" w14:paraId="2B7E57F3" w14:textId="77777777">
        <w:trPr>
          <w:trHeight w:val="300"/>
        </w:trPr>
        <w:tc>
          <w:tcPr>
            <w:tcW w:w="6804" w:type="dxa"/>
            <w:tcBorders>
              <w:left w:val="nil"/>
              <w:right w:val="nil"/>
            </w:tcBorders>
            <w:noWrap/>
          </w:tcPr>
          <w:p w:rsidRPr="001404DB" w:rsidR="00AE1893" w:rsidP="00BC3A1F" w:rsidRDefault="00AE1893" w14:paraId="721DA82C" w14:textId="77777777">
            <w:pPr>
              <w:ind w:left="171" w:firstLine="28" w:firstLineChars="14"/>
              <w:rPr>
                <w:rFonts w:ascii="Arial" w:hAnsi="Arial" w:eastAsia="Times New Roman" w:cs="Arial"/>
                <w:sz w:val="20"/>
                <w:szCs w:val="20"/>
              </w:rPr>
            </w:pPr>
            <w:r w:rsidRPr="001404DB">
              <w:rPr>
                <w:rFonts w:ascii="Arial" w:hAnsi="Arial"/>
                <w:sz w:val="20"/>
              </w:rPr>
              <w:t>j. Passività estere, esclusi derivati e passività locali in valuta locale (</w:t>
            </w:r>
            <w:r w:rsidRPr="005718E7">
              <w:rPr>
                <w:rFonts w:ascii="Arial" w:hAnsi="Arial"/>
                <w:sz w:val="20"/>
              </w:rPr>
              <w:t>considerando l’area dell’euro un’unica giurisdizione</w:t>
            </w:r>
            <w:r w:rsidRPr="001404DB">
              <w:rPr>
                <w:rFonts w:ascii="Arial" w:hAnsi="Arial"/>
                <w:sz w:val="20"/>
              </w:rPr>
              <w:t>)</w:t>
            </w:r>
          </w:p>
        </w:tc>
        <w:tc>
          <w:tcPr>
            <w:tcW w:w="2745" w:type="dxa"/>
            <w:tcBorders>
              <w:left w:val="nil"/>
              <w:right w:val="nil"/>
            </w:tcBorders>
            <w:noWrap/>
          </w:tcPr>
          <w:p w:rsidRPr="001404DB" w:rsidR="00AE1893" w:rsidP="00BC3A1F" w:rsidRDefault="00AE1893" w14:paraId="76C9819D" w14:textId="77777777">
            <w:pPr>
              <w:jc w:val="right"/>
              <w:rPr>
                <w:rFonts w:ascii="Arial" w:hAnsi="Arial" w:eastAsia="Times New Roman" w:cs="Arial"/>
                <w:sz w:val="20"/>
                <w:szCs w:val="20"/>
                <w:lang w:eastAsia="en-GB"/>
              </w:rPr>
            </w:pPr>
          </w:p>
        </w:tc>
      </w:tr>
      <w:tr w:rsidRPr="001404DB" w:rsidR="00AE1893" w:rsidTr="00BC3A1F" w14:paraId="399EE16E" w14:textId="77777777">
        <w:trPr>
          <w:trHeight w:val="300"/>
        </w:trPr>
        <w:tc>
          <w:tcPr>
            <w:tcW w:w="6804" w:type="dxa"/>
            <w:tcBorders>
              <w:left w:val="nil"/>
              <w:right w:val="nil"/>
            </w:tcBorders>
            <w:noWrap/>
          </w:tcPr>
          <w:p w:rsidRPr="001404DB" w:rsidR="00AE1893" w:rsidP="00BC3A1F" w:rsidRDefault="00AE1893" w14:paraId="2900DF1E" w14:textId="77777777">
            <w:pPr>
              <w:ind w:left="171" w:firstLine="28" w:firstLineChars="14"/>
              <w:rPr>
                <w:rFonts w:ascii="Arial" w:hAnsi="Arial" w:eastAsia="Times New Roman" w:cs="Arial"/>
                <w:sz w:val="20"/>
                <w:szCs w:val="20"/>
              </w:rPr>
            </w:pPr>
            <w:r w:rsidRPr="001404DB">
              <w:rPr>
                <w:rFonts w:ascii="Arial" w:hAnsi="Arial"/>
                <w:sz w:val="20"/>
                <w:lang w:eastAsia="en-GB"/>
              </w:rPr>
              <w:t xml:space="preserve">(1) </w:t>
            </w:r>
            <w:r w:rsidRPr="001404DB">
              <w:rPr>
                <w:rFonts w:ascii="Arial" w:hAnsi="Arial"/>
                <w:sz w:val="20"/>
              </w:rPr>
              <w:t>Tutte le passività estere verso uffici collegati incluse nella voce 20.j. (</w:t>
            </w:r>
            <w:r w:rsidRPr="00E55382">
              <w:rPr>
                <w:rFonts w:ascii="Arial" w:hAnsi="Arial"/>
                <w:sz w:val="20"/>
              </w:rPr>
              <w:t>considerando l’area dell’euro un’unica giurisdizione</w:t>
            </w:r>
            <w:r w:rsidRPr="001404DB">
              <w:rPr>
                <w:rFonts w:ascii="Arial" w:hAnsi="Arial"/>
                <w:sz w:val="20"/>
              </w:rPr>
              <w:t>)</w:t>
            </w:r>
          </w:p>
        </w:tc>
        <w:tc>
          <w:tcPr>
            <w:tcW w:w="2745" w:type="dxa"/>
            <w:tcBorders>
              <w:left w:val="nil"/>
              <w:right w:val="nil"/>
            </w:tcBorders>
            <w:noWrap/>
          </w:tcPr>
          <w:p w:rsidRPr="001404DB" w:rsidR="00AE1893" w:rsidP="00BC3A1F" w:rsidRDefault="00AE1893" w14:paraId="217C5393" w14:textId="77777777">
            <w:pPr>
              <w:jc w:val="right"/>
              <w:rPr>
                <w:rFonts w:ascii="Arial" w:hAnsi="Arial" w:eastAsia="Times New Roman" w:cs="Arial"/>
                <w:sz w:val="20"/>
                <w:szCs w:val="20"/>
                <w:lang w:eastAsia="en-GB"/>
              </w:rPr>
            </w:pPr>
          </w:p>
        </w:tc>
      </w:tr>
      <w:tr w:rsidRPr="001404DB" w:rsidR="00AE1893" w:rsidTr="00BC3A1F" w14:paraId="3B688BC7" w14:textId="77777777">
        <w:trPr>
          <w:trHeight w:val="300"/>
        </w:trPr>
        <w:tc>
          <w:tcPr>
            <w:tcW w:w="6804" w:type="dxa"/>
            <w:tcBorders>
              <w:left w:val="nil"/>
              <w:right w:val="nil"/>
            </w:tcBorders>
            <w:noWrap/>
          </w:tcPr>
          <w:p w:rsidRPr="001404DB" w:rsidR="00AE1893" w:rsidP="00BC3A1F" w:rsidRDefault="00AE1893" w14:paraId="1F3B0730" w14:textId="77777777">
            <w:pPr>
              <w:ind w:left="171" w:firstLine="28" w:firstLineChars="14"/>
              <w:rPr>
                <w:rFonts w:ascii="Arial" w:hAnsi="Arial" w:eastAsia="Times New Roman" w:cs="Arial"/>
                <w:sz w:val="20"/>
                <w:szCs w:val="20"/>
              </w:rPr>
            </w:pPr>
            <w:r w:rsidRPr="001404DB">
              <w:rPr>
                <w:rFonts w:ascii="Arial" w:hAnsi="Arial"/>
                <w:sz w:val="20"/>
              </w:rPr>
              <w:t>k. Passività locali in valuta locale, esclusi derivati (</w:t>
            </w:r>
            <w:r w:rsidRPr="00E55382">
              <w:rPr>
                <w:rFonts w:ascii="Arial" w:hAnsi="Arial"/>
                <w:sz w:val="20"/>
              </w:rPr>
              <w:t>considerando l’area dell’euro un’unica giurisdizione</w:t>
            </w:r>
            <w:r w:rsidRPr="001404DB">
              <w:rPr>
                <w:rFonts w:ascii="Arial" w:hAnsi="Arial"/>
                <w:sz w:val="20"/>
              </w:rPr>
              <w:t>)</w:t>
            </w:r>
          </w:p>
        </w:tc>
        <w:tc>
          <w:tcPr>
            <w:tcW w:w="2745" w:type="dxa"/>
            <w:tcBorders>
              <w:left w:val="nil"/>
              <w:right w:val="nil"/>
            </w:tcBorders>
            <w:noWrap/>
          </w:tcPr>
          <w:p w:rsidRPr="001404DB" w:rsidR="00AE1893" w:rsidP="00BC3A1F" w:rsidRDefault="00AE1893" w14:paraId="368F8831" w14:textId="77777777">
            <w:pPr>
              <w:jc w:val="right"/>
              <w:rPr>
                <w:rFonts w:ascii="Arial" w:hAnsi="Arial" w:eastAsia="Times New Roman" w:cs="Arial"/>
                <w:sz w:val="20"/>
                <w:szCs w:val="20"/>
                <w:lang w:eastAsia="en-GB"/>
              </w:rPr>
            </w:pPr>
          </w:p>
        </w:tc>
      </w:tr>
      <w:tr w:rsidRPr="001404DB" w:rsidR="00AE1893" w:rsidTr="00BC3A1F" w14:paraId="2746664B" w14:textId="77777777">
        <w:trPr>
          <w:trHeight w:val="300"/>
        </w:trPr>
        <w:tc>
          <w:tcPr>
            <w:tcW w:w="6804" w:type="dxa"/>
            <w:tcBorders>
              <w:left w:val="nil"/>
              <w:right w:val="nil"/>
            </w:tcBorders>
            <w:noWrap/>
          </w:tcPr>
          <w:p w:rsidRPr="001404DB" w:rsidR="00AE1893" w:rsidP="00BC3A1F" w:rsidRDefault="00AE1893" w14:paraId="34C7322D" w14:textId="77777777">
            <w:pPr>
              <w:ind w:left="171" w:firstLine="28" w:firstLineChars="14"/>
              <w:rPr>
                <w:rFonts w:ascii="Arial" w:hAnsi="Arial" w:eastAsia="Times New Roman" w:cs="Arial"/>
                <w:sz w:val="20"/>
                <w:szCs w:val="20"/>
              </w:rPr>
            </w:pPr>
            <w:r w:rsidRPr="001404DB">
              <w:rPr>
                <w:rFonts w:ascii="Arial" w:hAnsi="Arial"/>
                <w:sz w:val="20"/>
              </w:rPr>
              <w:t>l. Passività locali in valuta locale, inclusi derivati (</w:t>
            </w:r>
            <w:r w:rsidRPr="00E55382">
              <w:rPr>
                <w:rFonts w:ascii="Arial" w:hAnsi="Arial"/>
                <w:sz w:val="20"/>
              </w:rPr>
              <w:t>considerando l’area dell’euro un’unica giurisdizione</w:t>
            </w:r>
            <w:r w:rsidRPr="001404DB">
              <w:rPr>
                <w:rFonts w:ascii="Arial" w:hAnsi="Arial"/>
                <w:sz w:val="20"/>
              </w:rPr>
              <w:t>)</w:t>
            </w:r>
          </w:p>
        </w:tc>
        <w:tc>
          <w:tcPr>
            <w:tcW w:w="2745" w:type="dxa"/>
            <w:tcBorders>
              <w:left w:val="nil"/>
              <w:right w:val="nil"/>
            </w:tcBorders>
            <w:noWrap/>
          </w:tcPr>
          <w:p w:rsidRPr="001404DB" w:rsidR="00AE1893" w:rsidP="00BC3A1F" w:rsidRDefault="00AE1893" w14:paraId="58DCBCDE" w14:textId="77777777">
            <w:pPr>
              <w:jc w:val="right"/>
              <w:rPr>
                <w:rFonts w:ascii="Arial" w:hAnsi="Arial" w:eastAsia="Times New Roman" w:cs="Arial"/>
                <w:sz w:val="20"/>
                <w:szCs w:val="20"/>
                <w:lang w:eastAsia="en-GB"/>
              </w:rPr>
            </w:pPr>
          </w:p>
        </w:tc>
      </w:tr>
      <w:tr w:rsidRPr="001404DB" w:rsidR="00AE1893" w:rsidTr="00BC3A1F" w14:paraId="06146CB1" w14:textId="77777777">
        <w:trPr>
          <w:trHeight w:val="300"/>
        </w:trPr>
        <w:tc>
          <w:tcPr>
            <w:tcW w:w="6804" w:type="dxa"/>
            <w:tcBorders>
              <w:left w:val="nil"/>
              <w:right w:val="nil"/>
            </w:tcBorders>
            <w:noWrap/>
          </w:tcPr>
          <w:p w:rsidRPr="001404DB" w:rsidR="00AE1893" w:rsidP="00BC3A1F" w:rsidRDefault="00AE1893" w14:paraId="52CF1653" w14:textId="77777777">
            <w:pPr>
              <w:ind w:left="171" w:firstLine="28" w:firstLineChars="14"/>
              <w:rPr>
                <w:rFonts w:ascii="Arial" w:hAnsi="Arial" w:eastAsia="Times New Roman" w:cs="Arial"/>
                <w:sz w:val="20"/>
                <w:szCs w:val="20"/>
              </w:rPr>
            </w:pPr>
            <w:r w:rsidRPr="001404DB">
              <w:rPr>
                <w:rFonts w:ascii="Arial" w:hAnsi="Arial"/>
                <w:sz w:val="20"/>
              </w:rPr>
              <w:t>m. Totale posizioni locali nette in valuta locale, inclusi derivati, se nette positive</w:t>
            </w:r>
          </w:p>
        </w:tc>
        <w:tc>
          <w:tcPr>
            <w:tcW w:w="2745" w:type="dxa"/>
            <w:tcBorders>
              <w:left w:val="nil"/>
              <w:right w:val="nil"/>
            </w:tcBorders>
            <w:noWrap/>
          </w:tcPr>
          <w:p w:rsidRPr="001404DB" w:rsidR="00AE1893" w:rsidP="00BC3A1F" w:rsidRDefault="00AE1893" w14:paraId="6D984824" w14:textId="77777777">
            <w:pPr>
              <w:jc w:val="right"/>
              <w:rPr>
                <w:rFonts w:ascii="Arial" w:hAnsi="Arial" w:eastAsia="Times New Roman" w:cs="Arial"/>
                <w:sz w:val="20"/>
                <w:szCs w:val="20"/>
                <w:lang w:eastAsia="en-GB"/>
              </w:rPr>
            </w:pPr>
          </w:p>
        </w:tc>
      </w:tr>
      <w:tr w:rsidRPr="001404DB" w:rsidR="00AE1893" w:rsidTr="00BC3A1F" w14:paraId="3A9FF5CE" w14:textId="77777777">
        <w:trPr>
          <w:trHeight w:val="300"/>
        </w:trPr>
        <w:tc>
          <w:tcPr>
            <w:tcW w:w="6804" w:type="dxa"/>
            <w:tcBorders>
              <w:left w:val="nil"/>
              <w:right w:val="nil"/>
            </w:tcBorders>
            <w:noWrap/>
          </w:tcPr>
          <w:p w:rsidRPr="001404DB" w:rsidR="00AE1893" w:rsidP="00BC3A1F" w:rsidRDefault="00AE1893" w14:paraId="589A6D15" w14:textId="77777777">
            <w:pPr>
              <w:ind w:left="171" w:firstLine="28" w:firstLineChars="14"/>
              <w:rPr>
                <w:rFonts w:ascii="Arial" w:hAnsi="Arial" w:eastAsia="Times New Roman" w:cs="Arial"/>
                <w:sz w:val="20"/>
                <w:szCs w:val="20"/>
              </w:rPr>
            </w:pPr>
            <w:r w:rsidRPr="001404DB">
              <w:rPr>
                <w:rFonts w:ascii="Arial" w:hAnsi="Arial"/>
                <w:sz w:val="20"/>
              </w:rPr>
              <w:t>n. Totale posizioni locali nette in valuta locale, inclusi derivati, se nette negative</w:t>
            </w:r>
          </w:p>
        </w:tc>
        <w:tc>
          <w:tcPr>
            <w:tcW w:w="2745" w:type="dxa"/>
            <w:tcBorders>
              <w:left w:val="nil"/>
              <w:right w:val="nil"/>
            </w:tcBorders>
            <w:noWrap/>
          </w:tcPr>
          <w:p w:rsidRPr="001404DB" w:rsidR="00AE1893" w:rsidP="00BC3A1F" w:rsidRDefault="00AE1893" w14:paraId="3757B3F8" w14:textId="77777777">
            <w:pPr>
              <w:jc w:val="right"/>
              <w:rPr>
                <w:rFonts w:ascii="Arial" w:hAnsi="Arial" w:eastAsia="Times New Roman" w:cs="Arial"/>
                <w:sz w:val="20"/>
                <w:szCs w:val="20"/>
                <w:lang w:eastAsia="en-GB"/>
              </w:rPr>
            </w:pPr>
          </w:p>
        </w:tc>
      </w:tr>
      <w:tr w:rsidRPr="001404DB" w:rsidR="00AE1893" w:rsidTr="00BC3A1F" w14:paraId="18C4D117" w14:textId="77777777">
        <w:trPr>
          <w:trHeight w:val="300"/>
        </w:trPr>
        <w:tc>
          <w:tcPr>
            <w:tcW w:w="6804" w:type="dxa"/>
            <w:tcBorders>
              <w:left w:val="nil"/>
              <w:right w:val="nil"/>
            </w:tcBorders>
            <w:noWrap/>
          </w:tcPr>
          <w:p w:rsidRPr="001404DB" w:rsidR="00AE1893" w:rsidP="00BC3A1F" w:rsidRDefault="00AE1893" w14:paraId="25A5A8F8" w14:textId="77777777">
            <w:pPr>
              <w:ind w:left="171" w:firstLine="28" w:firstLineChars="14"/>
              <w:rPr>
                <w:rFonts w:ascii="Arial" w:hAnsi="Arial" w:eastAsia="Times New Roman" w:cs="Arial"/>
                <w:sz w:val="20"/>
                <w:szCs w:val="20"/>
              </w:rPr>
            </w:pPr>
            <w:r w:rsidRPr="001404DB">
              <w:rPr>
                <w:rFonts w:ascii="Arial" w:hAnsi="Arial"/>
                <w:sz w:val="20"/>
              </w:rPr>
              <w:lastRenderedPageBreak/>
              <w:t>o. Totale posizioni locali nette in valuta locale in paesi non SRM, inclusi derivati, se nette positive (</w:t>
            </w:r>
            <w:r w:rsidRPr="00E55382">
              <w:rPr>
                <w:rFonts w:ascii="Arial" w:hAnsi="Arial"/>
                <w:sz w:val="20"/>
              </w:rPr>
              <w:t>considerando l’area dell’euro un’unica giurisdizione</w:t>
            </w:r>
            <w:r w:rsidRPr="001404DB">
              <w:rPr>
                <w:rFonts w:ascii="Arial" w:hAnsi="Arial"/>
                <w:sz w:val="20"/>
              </w:rPr>
              <w:t>)</w:t>
            </w:r>
          </w:p>
        </w:tc>
        <w:tc>
          <w:tcPr>
            <w:tcW w:w="2745" w:type="dxa"/>
            <w:tcBorders>
              <w:left w:val="nil"/>
              <w:right w:val="nil"/>
            </w:tcBorders>
            <w:noWrap/>
          </w:tcPr>
          <w:p w:rsidRPr="001404DB" w:rsidR="00AE1893" w:rsidP="00BC3A1F" w:rsidRDefault="00AE1893" w14:paraId="5F4FF05C" w14:textId="77777777">
            <w:pPr>
              <w:jc w:val="right"/>
              <w:rPr>
                <w:rFonts w:ascii="Arial" w:hAnsi="Arial" w:eastAsia="Times New Roman" w:cs="Arial"/>
                <w:sz w:val="20"/>
                <w:szCs w:val="20"/>
                <w:lang w:eastAsia="en-GB"/>
              </w:rPr>
            </w:pPr>
          </w:p>
        </w:tc>
      </w:tr>
      <w:tr w:rsidRPr="001404DB" w:rsidR="00AE1893" w:rsidTr="00BC3A1F" w14:paraId="7BA59E06" w14:textId="77777777">
        <w:trPr>
          <w:trHeight w:val="300"/>
        </w:trPr>
        <w:tc>
          <w:tcPr>
            <w:tcW w:w="6804" w:type="dxa"/>
            <w:tcBorders>
              <w:left w:val="nil"/>
              <w:right w:val="nil"/>
            </w:tcBorders>
            <w:noWrap/>
          </w:tcPr>
          <w:p w:rsidRPr="001404DB" w:rsidR="00AE1893" w:rsidP="00BC3A1F" w:rsidRDefault="00AE1893" w14:paraId="519626C3" w14:textId="77777777">
            <w:pPr>
              <w:ind w:left="171" w:firstLine="28" w:firstLineChars="14"/>
              <w:rPr>
                <w:rFonts w:ascii="Arial" w:hAnsi="Arial" w:eastAsia="Times New Roman" w:cs="Arial"/>
                <w:sz w:val="20"/>
                <w:szCs w:val="20"/>
              </w:rPr>
            </w:pPr>
            <w:r w:rsidRPr="001404DB">
              <w:rPr>
                <w:rFonts w:ascii="Arial" w:hAnsi="Arial"/>
                <w:sz w:val="20"/>
              </w:rPr>
              <w:t>p. Totale posizioni locali nette in valuta locale in paesi non SRM, inclusi derivati, se nette negative (</w:t>
            </w:r>
            <w:r w:rsidRPr="00E55382">
              <w:rPr>
                <w:rFonts w:ascii="Arial" w:hAnsi="Arial"/>
                <w:sz w:val="20"/>
              </w:rPr>
              <w:t>considerando l’area dell’euro un’unica giurisdizione</w:t>
            </w:r>
            <w:r w:rsidRPr="001404DB">
              <w:rPr>
                <w:rFonts w:ascii="Arial" w:hAnsi="Arial"/>
                <w:sz w:val="20"/>
              </w:rPr>
              <w:t>)</w:t>
            </w:r>
          </w:p>
        </w:tc>
        <w:tc>
          <w:tcPr>
            <w:tcW w:w="2745" w:type="dxa"/>
            <w:tcBorders>
              <w:left w:val="nil"/>
              <w:right w:val="nil"/>
            </w:tcBorders>
            <w:noWrap/>
          </w:tcPr>
          <w:p w:rsidRPr="001404DB" w:rsidR="00AE1893" w:rsidP="00BC3A1F" w:rsidRDefault="00AE1893" w14:paraId="0859E4A7" w14:textId="77777777">
            <w:pPr>
              <w:jc w:val="right"/>
              <w:rPr>
                <w:rFonts w:ascii="Arial" w:hAnsi="Arial" w:eastAsia="Times New Roman" w:cs="Arial"/>
                <w:sz w:val="20"/>
                <w:szCs w:val="20"/>
                <w:lang w:eastAsia="en-GB"/>
              </w:rPr>
            </w:pPr>
          </w:p>
        </w:tc>
      </w:tr>
      <w:tr w:rsidRPr="001404DB" w:rsidR="00AE1893" w:rsidTr="00BC3A1F" w14:paraId="372D150D" w14:textId="77777777">
        <w:trPr>
          <w:trHeight w:val="300"/>
        </w:trPr>
        <w:tc>
          <w:tcPr>
            <w:tcW w:w="6804" w:type="dxa"/>
            <w:tcBorders>
              <w:left w:val="nil"/>
              <w:right w:val="nil"/>
            </w:tcBorders>
            <w:noWrap/>
          </w:tcPr>
          <w:p w:rsidRPr="001404DB" w:rsidR="00AE1893" w:rsidP="00BC3A1F" w:rsidRDefault="00AE1893" w14:paraId="1BAC57B3" w14:textId="77777777">
            <w:pPr>
              <w:ind w:left="171" w:firstLine="28" w:firstLineChars="14"/>
              <w:rPr>
                <w:rFonts w:ascii="Arial" w:hAnsi="Arial" w:eastAsia="Times New Roman" w:cs="Arial"/>
                <w:sz w:val="20"/>
                <w:szCs w:val="20"/>
              </w:rPr>
            </w:pPr>
            <w:r w:rsidRPr="001404DB">
              <w:rPr>
                <w:rFonts w:ascii="Arial" w:hAnsi="Arial"/>
                <w:sz w:val="20"/>
              </w:rPr>
              <w:t>q. Totale posizioni locali nette in valuta locale nei paesi SRM, inclusi derivati (</w:t>
            </w:r>
            <w:r w:rsidRPr="00E55382">
              <w:rPr>
                <w:rFonts w:ascii="Arial" w:hAnsi="Arial"/>
                <w:sz w:val="20"/>
              </w:rPr>
              <w:t>considerando l’area dell’euro un’unica giurisdizione</w:t>
            </w:r>
            <w:r w:rsidRPr="001404DB">
              <w:rPr>
                <w:rFonts w:ascii="Arial" w:hAnsi="Arial"/>
                <w:sz w:val="20"/>
              </w:rPr>
              <w:t>)</w:t>
            </w:r>
          </w:p>
        </w:tc>
        <w:tc>
          <w:tcPr>
            <w:tcW w:w="2745" w:type="dxa"/>
            <w:tcBorders>
              <w:left w:val="nil"/>
              <w:right w:val="nil"/>
            </w:tcBorders>
            <w:noWrap/>
          </w:tcPr>
          <w:p w:rsidRPr="001404DB" w:rsidR="00AE1893" w:rsidP="00BC3A1F" w:rsidRDefault="00AE1893" w14:paraId="3DAD29E5" w14:textId="77777777">
            <w:pPr>
              <w:jc w:val="right"/>
              <w:rPr>
                <w:rFonts w:ascii="Arial" w:hAnsi="Arial" w:eastAsia="Times New Roman" w:cs="Arial"/>
                <w:sz w:val="20"/>
                <w:szCs w:val="20"/>
                <w:lang w:eastAsia="en-GB"/>
              </w:rPr>
            </w:pPr>
          </w:p>
        </w:tc>
      </w:tr>
      <w:tr w:rsidRPr="001404DB" w:rsidR="00AE1893" w:rsidTr="00BC3A1F" w14:paraId="1225C958" w14:textId="77777777">
        <w:trPr>
          <w:trHeight w:val="300"/>
        </w:trPr>
        <w:tc>
          <w:tcPr>
            <w:tcW w:w="6804" w:type="dxa"/>
            <w:tcBorders>
              <w:left w:val="nil"/>
              <w:right w:val="nil"/>
            </w:tcBorders>
            <w:noWrap/>
          </w:tcPr>
          <w:p w:rsidRPr="001404DB" w:rsidR="00AE1893" w:rsidP="00BC3A1F" w:rsidRDefault="00AE1893" w14:paraId="578D6BEA" w14:textId="77777777">
            <w:pPr>
              <w:ind w:firstLine="200" w:firstLineChars="100"/>
              <w:rPr>
                <w:rFonts w:ascii="Arial" w:hAnsi="Arial" w:eastAsia="Times New Roman" w:cs="Arial"/>
                <w:sz w:val="20"/>
                <w:szCs w:val="20"/>
              </w:rPr>
            </w:pPr>
            <w:r w:rsidRPr="001404DB">
              <w:rPr>
                <w:rFonts w:ascii="Arial" w:hAnsi="Arial"/>
                <w:sz w:val="20"/>
              </w:rPr>
              <w:t xml:space="preserve">r. Attività interne contabilizzate da filiazioni estere </w:t>
            </w:r>
          </w:p>
        </w:tc>
        <w:tc>
          <w:tcPr>
            <w:tcW w:w="2745" w:type="dxa"/>
            <w:tcBorders>
              <w:left w:val="nil"/>
              <w:right w:val="nil"/>
            </w:tcBorders>
            <w:noWrap/>
          </w:tcPr>
          <w:p w:rsidRPr="001404DB" w:rsidR="00AE1893" w:rsidP="00BC3A1F" w:rsidRDefault="00AE1893" w14:paraId="6771C1D4" w14:textId="77777777">
            <w:pPr>
              <w:jc w:val="right"/>
              <w:rPr>
                <w:rFonts w:ascii="Arial" w:hAnsi="Arial" w:eastAsia="Times New Roman" w:cs="Arial"/>
                <w:sz w:val="20"/>
                <w:szCs w:val="20"/>
                <w:lang w:eastAsia="en-GB"/>
              </w:rPr>
            </w:pPr>
          </w:p>
        </w:tc>
      </w:tr>
      <w:tr w:rsidRPr="001404DB" w:rsidR="00AE1893" w:rsidTr="00BC3A1F" w14:paraId="16D66361" w14:textId="77777777">
        <w:trPr>
          <w:trHeight w:val="300"/>
        </w:trPr>
        <w:tc>
          <w:tcPr>
            <w:tcW w:w="6804" w:type="dxa"/>
            <w:tcBorders>
              <w:left w:val="nil"/>
              <w:right w:val="nil"/>
            </w:tcBorders>
            <w:noWrap/>
          </w:tcPr>
          <w:p w:rsidRPr="001404DB" w:rsidR="00AE1893" w:rsidP="00BC3A1F" w:rsidRDefault="00AE1893" w14:paraId="4EA9FAF4" w14:textId="77777777">
            <w:pPr>
              <w:ind w:firstLine="200" w:firstLineChars="100"/>
              <w:rPr>
                <w:rFonts w:ascii="Arial" w:hAnsi="Arial" w:eastAsia="Times New Roman" w:cs="Arial"/>
                <w:sz w:val="20"/>
                <w:szCs w:val="20"/>
              </w:rPr>
            </w:pPr>
            <w:r w:rsidRPr="001404DB">
              <w:rPr>
                <w:rFonts w:ascii="Arial" w:hAnsi="Arial"/>
                <w:sz w:val="20"/>
              </w:rPr>
              <w:t xml:space="preserve">s. Attività interne contabilizzate da succursali estere </w:t>
            </w:r>
          </w:p>
        </w:tc>
        <w:tc>
          <w:tcPr>
            <w:tcW w:w="2745" w:type="dxa"/>
            <w:tcBorders>
              <w:left w:val="nil"/>
              <w:right w:val="nil"/>
            </w:tcBorders>
            <w:noWrap/>
          </w:tcPr>
          <w:p w:rsidRPr="001404DB" w:rsidR="00AE1893" w:rsidP="00BC3A1F" w:rsidRDefault="00AE1893" w14:paraId="6A0D2F24" w14:textId="77777777">
            <w:pPr>
              <w:jc w:val="right"/>
              <w:rPr>
                <w:rFonts w:ascii="Arial" w:hAnsi="Arial" w:eastAsia="Times New Roman" w:cs="Arial"/>
                <w:sz w:val="20"/>
                <w:szCs w:val="20"/>
                <w:lang w:eastAsia="en-GB"/>
              </w:rPr>
            </w:pPr>
          </w:p>
        </w:tc>
      </w:tr>
      <w:tr w:rsidRPr="001404DB" w:rsidR="00AE1893" w:rsidTr="00BC3A1F" w14:paraId="41826C6F" w14:textId="77777777">
        <w:trPr>
          <w:trHeight w:val="300"/>
        </w:trPr>
        <w:tc>
          <w:tcPr>
            <w:tcW w:w="6804" w:type="dxa"/>
            <w:tcBorders>
              <w:left w:val="nil"/>
              <w:right w:val="nil"/>
            </w:tcBorders>
            <w:noWrap/>
          </w:tcPr>
          <w:p w:rsidRPr="001404DB" w:rsidR="00AE1893" w:rsidP="00BC3A1F" w:rsidRDefault="00AE1893" w14:paraId="39AF37E9" w14:textId="77777777">
            <w:pPr>
              <w:ind w:firstLine="200" w:firstLineChars="100"/>
              <w:rPr>
                <w:rFonts w:ascii="Arial" w:hAnsi="Arial" w:eastAsia="Times New Roman" w:cs="Arial"/>
                <w:sz w:val="20"/>
                <w:szCs w:val="20"/>
              </w:rPr>
            </w:pPr>
            <w:r w:rsidRPr="001404DB">
              <w:rPr>
                <w:rFonts w:ascii="Arial" w:hAnsi="Arial"/>
                <w:sz w:val="20"/>
              </w:rPr>
              <w:t>t. Passività interne contabilizzate da filiazioni estere</w:t>
            </w:r>
          </w:p>
        </w:tc>
        <w:tc>
          <w:tcPr>
            <w:tcW w:w="2745" w:type="dxa"/>
            <w:tcBorders>
              <w:left w:val="nil"/>
              <w:right w:val="nil"/>
            </w:tcBorders>
            <w:noWrap/>
          </w:tcPr>
          <w:p w:rsidRPr="001404DB" w:rsidR="00AE1893" w:rsidP="00BC3A1F" w:rsidRDefault="00AE1893" w14:paraId="1200BDEA" w14:textId="77777777">
            <w:pPr>
              <w:jc w:val="right"/>
              <w:rPr>
                <w:rFonts w:ascii="Arial" w:hAnsi="Arial" w:eastAsia="Times New Roman" w:cs="Arial"/>
                <w:sz w:val="20"/>
                <w:szCs w:val="20"/>
                <w:lang w:eastAsia="en-GB"/>
              </w:rPr>
            </w:pPr>
          </w:p>
        </w:tc>
      </w:tr>
      <w:tr w:rsidRPr="001404DB" w:rsidR="00AE1893" w:rsidTr="00BC3A1F" w14:paraId="6249DC2E" w14:textId="77777777">
        <w:trPr>
          <w:trHeight w:val="300"/>
        </w:trPr>
        <w:tc>
          <w:tcPr>
            <w:tcW w:w="6804" w:type="dxa"/>
            <w:tcBorders>
              <w:left w:val="nil"/>
              <w:right w:val="nil"/>
            </w:tcBorders>
            <w:noWrap/>
          </w:tcPr>
          <w:p w:rsidRPr="001404DB" w:rsidR="00AE1893" w:rsidP="00BC3A1F" w:rsidRDefault="00AE1893" w14:paraId="4386C188" w14:textId="77777777">
            <w:pPr>
              <w:ind w:firstLine="200" w:firstLineChars="100"/>
              <w:rPr>
                <w:rFonts w:ascii="Arial" w:hAnsi="Arial" w:eastAsia="Times New Roman" w:cs="Arial"/>
                <w:sz w:val="20"/>
                <w:szCs w:val="20"/>
              </w:rPr>
            </w:pPr>
            <w:r w:rsidRPr="001404DB">
              <w:rPr>
                <w:rFonts w:ascii="Arial" w:hAnsi="Arial"/>
                <w:sz w:val="20"/>
              </w:rPr>
              <w:t xml:space="preserve">u. Passività interne contabilizzate da succursali estere </w:t>
            </w:r>
          </w:p>
        </w:tc>
        <w:tc>
          <w:tcPr>
            <w:tcW w:w="2745" w:type="dxa"/>
            <w:tcBorders>
              <w:left w:val="nil"/>
              <w:right w:val="nil"/>
            </w:tcBorders>
            <w:noWrap/>
          </w:tcPr>
          <w:p w:rsidRPr="001404DB" w:rsidR="00AE1893" w:rsidP="00BC3A1F" w:rsidRDefault="00AE1893" w14:paraId="23BB44C4" w14:textId="77777777">
            <w:pPr>
              <w:jc w:val="right"/>
              <w:rPr>
                <w:rFonts w:ascii="Arial" w:hAnsi="Arial" w:eastAsia="Times New Roman" w:cs="Arial"/>
                <w:sz w:val="20"/>
                <w:szCs w:val="20"/>
                <w:lang w:eastAsia="en-GB"/>
              </w:rPr>
            </w:pPr>
          </w:p>
        </w:tc>
      </w:tr>
      <w:tr w:rsidRPr="001404DB" w:rsidR="00AE1893" w:rsidTr="00BC3A1F" w14:paraId="00CDF732" w14:textId="77777777">
        <w:trPr>
          <w:trHeight w:val="300"/>
        </w:trPr>
        <w:tc>
          <w:tcPr>
            <w:tcW w:w="6804" w:type="dxa"/>
            <w:tcBorders>
              <w:left w:val="nil"/>
              <w:right w:val="nil"/>
            </w:tcBorders>
            <w:noWrap/>
          </w:tcPr>
          <w:p w:rsidRPr="001404DB" w:rsidR="00AE1893" w:rsidP="00BC3A1F" w:rsidRDefault="00AE1893" w14:paraId="4690CDC4" w14:textId="77777777">
            <w:pPr>
              <w:ind w:firstLine="200" w:firstLineChars="100"/>
              <w:rPr>
                <w:rFonts w:ascii="Arial" w:hAnsi="Arial" w:eastAsia="Times New Roman" w:cs="Arial"/>
                <w:sz w:val="20"/>
                <w:szCs w:val="20"/>
              </w:rPr>
            </w:pPr>
            <w:r w:rsidRPr="001404DB">
              <w:rPr>
                <w:rFonts w:ascii="Arial" w:hAnsi="Arial"/>
                <w:sz w:val="20"/>
              </w:rPr>
              <w:t xml:space="preserve">v. Valore medio trimestrale dei crediti intergiurisdizionali </w:t>
            </w:r>
          </w:p>
        </w:tc>
        <w:tc>
          <w:tcPr>
            <w:tcW w:w="2745" w:type="dxa"/>
            <w:tcBorders>
              <w:left w:val="nil"/>
              <w:right w:val="nil"/>
            </w:tcBorders>
            <w:noWrap/>
          </w:tcPr>
          <w:p w:rsidRPr="001404DB" w:rsidR="00AE1893" w:rsidP="00BC3A1F" w:rsidRDefault="00AE1893" w14:paraId="3C32B81D" w14:textId="77777777">
            <w:pPr>
              <w:jc w:val="right"/>
              <w:rPr>
                <w:rFonts w:ascii="Arial" w:hAnsi="Arial" w:eastAsia="Times New Roman" w:cs="Arial"/>
                <w:sz w:val="20"/>
                <w:szCs w:val="20"/>
                <w:lang w:eastAsia="en-GB"/>
              </w:rPr>
            </w:pPr>
          </w:p>
        </w:tc>
      </w:tr>
      <w:tr w:rsidRPr="001404DB" w:rsidR="00AE1893" w:rsidTr="00BC3A1F" w14:paraId="131E472F" w14:textId="77777777">
        <w:trPr>
          <w:trHeight w:val="300"/>
        </w:trPr>
        <w:tc>
          <w:tcPr>
            <w:tcW w:w="6804" w:type="dxa"/>
            <w:tcBorders>
              <w:left w:val="nil"/>
              <w:right w:val="nil"/>
            </w:tcBorders>
            <w:noWrap/>
          </w:tcPr>
          <w:p w:rsidRPr="001404DB" w:rsidR="00AE1893" w:rsidP="00BC3A1F" w:rsidRDefault="00AE1893" w14:paraId="7890F7A7" w14:textId="77777777">
            <w:pPr>
              <w:ind w:firstLine="200" w:firstLineChars="100"/>
              <w:rPr>
                <w:rFonts w:ascii="Arial" w:hAnsi="Arial" w:eastAsia="Times New Roman" w:cs="Arial"/>
                <w:sz w:val="20"/>
                <w:szCs w:val="20"/>
              </w:rPr>
            </w:pPr>
            <w:r w:rsidRPr="001404DB">
              <w:rPr>
                <w:rFonts w:ascii="Arial" w:hAnsi="Arial"/>
                <w:sz w:val="20"/>
              </w:rPr>
              <w:t xml:space="preserve">w. Valore medio mensile dei crediti intergiurisdizionali </w:t>
            </w:r>
          </w:p>
        </w:tc>
        <w:tc>
          <w:tcPr>
            <w:tcW w:w="2745" w:type="dxa"/>
            <w:tcBorders>
              <w:left w:val="nil"/>
              <w:right w:val="nil"/>
            </w:tcBorders>
            <w:noWrap/>
          </w:tcPr>
          <w:p w:rsidRPr="001404DB" w:rsidR="00AE1893" w:rsidP="00BC3A1F" w:rsidRDefault="00AE1893" w14:paraId="6C79AE3D" w14:textId="77777777">
            <w:pPr>
              <w:jc w:val="right"/>
              <w:rPr>
                <w:rFonts w:ascii="Arial" w:hAnsi="Arial" w:eastAsia="Times New Roman" w:cs="Arial"/>
                <w:sz w:val="20"/>
                <w:szCs w:val="20"/>
                <w:lang w:eastAsia="en-GB"/>
              </w:rPr>
            </w:pPr>
          </w:p>
        </w:tc>
      </w:tr>
      <w:tr w:rsidRPr="001404DB" w:rsidR="00AE1893" w:rsidTr="00BC3A1F" w14:paraId="64FADD66" w14:textId="77777777">
        <w:trPr>
          <w:trHeight w:val="300"/>
        </w:trPr>
        <w:tc>
          <w:tcPr>
            <w:tcW w:w="6804" w:type="dxa"/>
            <w:tcBorders>
              <w:left w:val="nil"/>
              <w:right w:val="nil"/>
            </w:tcBorders>
            <w:noWrap/>
          </w:tcPr>
          <w:p w:rsidRPr="001404DB" w:rsidR="00AE1893" w:rsidP="00BC3A1F" w:rsidRDefault="00AE1893" w14:paraId="0B9D94A5" w14:textId="77777777">
            <w:pPr>
              <w:ind w:firstLine="200" w:firstLineChars="100"/>
              <w:rPr>
                <w:rFonts w:ascii="Arial" w:hAnsi="Arial" w:eastAsia="Times New Roman" w:cs="Arial"/>
                <w:sz w:val="20"/>
                <w:szCs w:val="20"/>
              </w:rPr>
            </w:pPr>
            <w:r w:rsidRPr="001404DB">
              <w:rPr>
                <w:rFonts w:ascii="Arial" w:hAnsi="Arial"/>
                <w:sz w:val="20"/>
              </w:rPr>
              <w:t xml:space="preserve">x. Valore medio trimestrale delle passività transgiurisdizionali </w:t>
            </w:r>
          </w:p>
        </w:tc>
        <w:tc>
          <w:tcPr>
            <w:tcW w:w="2745" w:type="dxa"/>
            <w:tcBorders>
              <w:left w:val="nil"/>
              <w:right w:val="nil"/>
            </w:tcBorders>
            <w:noWrap/>
          </w:tcPr>
          <w:p w:rsidRPr="001404DB" w:rsidR="00AE1893" w:rsidP="00BC3A1F" w:rsidRDefault="00AE1893" w14:paraId="375C24C1" w14:textId="77777777">
            <w:pPr>
              <w:jc w:val="right"/>
              <w:rPr>
                <w:rFonts w:ascii="Arial" w:hAnsi="Arial" w:eastAsia="Times New Roman" w:cs="Arial"/>
                <w:sz w:val="20"/>
                <w:szCs w:val="20"/>
                <w:lang w:eastAsia="en-GB"/>
              </w:rPr>
            </w:pPr>
          </w:p>
        </w:tc>
      </w:tr>
      <w:tr w:rsidRPr="001404DB" w:rsidR="00AE1893" w:rsidTr="00BC3A1F" w14:paraId="752C86B1" w14:textId="77777777">
        <w:trPr>
          <w:trHeight w:val="300"/>
        </w:trPr>
        <w:tc>
          <w:tcPr>
            <w:tcW w:w="6804" w:type="dxa"/>
            <w:tcBorders>
              <w:left w:val="nil"/>
              <w:bottom w:val="single" w:color="auto" w:sz="4" w:space="0"/>
              <w:right w:val="nil"/>
            </w:tcBorders>
            <w:noWrap/>
          </w:tcPr>
          <w:p w:rsidRPr="001404DB" w:rsidR="00AE1893" w:rsidP="00BC3A1F" w:rsidRDefault="00AE1893" w14:paraId="070C715E" w14:textId="77777777">
            <w:pPr>
              <w:ind w:firstLine="200" w:firstLineChars="100"/>
              <w:rPr>
                <w:rFonts w:ascii="Arial" w:hAnsi="Arial" w:eastAsia="Times New Roman" w:cs="Arial"/>
                <w:sz w:val="20"/>
                <w:szCs w:val="20"/>
              </w:rPr>
            </w:pPr>
            <w:r w:rsidRPr="001404DB">
              <w:rPr>
                <w:rFonts w:ascii="Arial" w:hAnsi="Arial"/>
                <w:sz w:val="20"/>
              </w:rPr>
              <w:t xml:space="preserve">y. Valore medio mensile delle passività transgiurisdizionali </w:t>
            </w:r>
          </w:p>
        </w:tc>
        <w:tc>
          <w:tcPr>
            <w:tcW w:w="2745" w:type="dxa"/>
            <w:tcBorders>
              <w:left w:val="nil"/>
              <w:bottom w:val="single" w:color="auto" w:sz="4" w:space="0"/>
              <w:right w:val="nil"/>
            </w:tcBorders>
            <w:noWrap/>
          </w:tcPr>
          <w:p w:rsidRPr="001404DB" w:rsidR="00AE1893" w:rsidP="00BC3A1F" w:rsidRDefault="00AE1893" w14:paraId="0365D86D" w14:textId="77777777">
            <w:pPr>
              <w:jc w:val="right"/>
              <w:rPr>
                <w:rFonts w:ascii="Arial" w:hAnsi="Arial" w:eastAsia="Times New Roman" w:cs="Arial"/>
                <w:sz w:val="20"/>
                <w:szCs w:val="20"/>
                <w:lang w:eastAsia="en-GB"/>
              </w:rPr>
            </w:pPr>
          </w:p>
        </w:tc>
      </w:tr>
      <w:tr w:rsidRPr="001404DB" w:rsidR="00AE1893" w:rsidTr="00BC3A1F" w14:paraId="22E9F80D" w14:textId="77777777">
        <w:trPr>
          <w:trHeight w:val="300"/>
        </w:trPr>
        <w:tc>
          <w:tcPr>
            <w:tcW w:w="6804" w:type="dxa"/>
            <w:tcBorders>
              <w:left w:val="nil"/>
              <w:bottom w:val="nil"/>
              <w:right w:val="nil"/>
            </w:tcBorders>
            <w:noWrap/>
          </w:tcPr>
          <w:p w:rsidRPr="001404DB" w:rsidR="00AE1893" w:rsidP="00BC3A1F" w:rsidRDefault="00AE1893" w14:paraId="48381DE0"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1404DB" w:rsidR="00AE1893" w:rsidP="00BC3A1F" w:rsidRDefault="00AE1893" w14:paraId="2BDEF1AB" w14:textId="77777777">
            <w:pPr>
              <w:jc w:val="right"/>
              <w:rPr>
                <w:rFonts w:ascii="Arial" w:hAnsi="Arial" w:eastAsia="Times New Roman" w:cs="Arial"/>
                <w:sz w:val="20"/>
                <w:szCs w:val="20"/>
                <w:lang w:eastAsia="en-GB"/>
              </w:rPr>
            </w:pPr>
          </w:p>
        </w:tc>
      </w:tr>
      <w:tr w:rsidRPr="001404DB" w:rsidR="00AE1893" w:rsidTr="00BC3A1F" w14:paraId="0E9F360F" w14:textId="77777777">
        <w:trPr>
          <w:trHeight w:val="300"/>
        </w:trPr>
        <w:tc>
          <w:tcPr>
            <w:tcW w:w="6804" w:type="dxa"/>
            <w:tcBorders>
              <w:top w:val="nil"/>
              <w:left w:val="nil"/>
              <w:right w:val="nil"/>
            </w:tcBorders>
            <w:noWrap/>
          </w:tcPr>
          <w:p w:rsidRPr="001404DB" w:rsidR="00AE1893" w:rsidP="00BC3A1F" w:rsidRDefault="00AE1893" w14:paraId="04DDD6C7" w14:textId="77777777">
            <w:pPr>
              <w:rPr>
                <w:rFonts w:ascii="Arial" w:hAnsi="Arial" w:eastAsia="Times New Roman" w:cs="Arial"/>
                <w:sz w:val="20"/>
                <w:szCs w:val="20"/>
              </w:rPr>
            </w:pPr>
            <w:r w:rsidRPr="001404DB">
              <w:rPr>
                <w:rFonts w:ascii="Arial" w:hAnsi="Arial"/>
                <w:b/>
                <w:sz w:val="20"/>
              </w:rPr>
              <w:t>Sezione 22 – Indicatori accessori</w:t>
            </w:r>
          </w:p>
        </w:tc>
        <w:tc>
          <w:tcPr>
            <w:tcW w:w="2745" w:type="dxa"/>
            <w:tcBorders>
              <w:top w:val="nil"/>
              <w:left w:val="nil"/>
              <w:right w:val="nil"/>
            </w:tcBorders>
            <w:noWrap/>
          </w:tcPr>
          <w:p w:rsidRPr="001404DB" w:rsidR="00AE1893" w:rsidP="00BC3A1F" w:rsidRDefault="00AE1893" w14:paraId="4D8551C8" w14:textId="77777777">
            <w:pPr>
              <w:jc w:val="right"/>
              <w:rPr>
                <w:rFonts w:ascii="Arial" w:hAnsi="Arial" w:eastAsia="Times New Roman" w:cs="Arial"/>
                <w:sz w:val="20"/>
                <w:szCs w:val="20"/>
                <w:lang w:eastAsia="en-GB"/>
              </w:rPr>
            </w:pPr>
          </w:p>
        </w:tc>
      </w:tr>
      <w:tr w:rsidRPr="001404DB" w:rsidR="00AE1893" w:rsidTr="00BC3A1F" w14:paraId="33023788" w14:textId="77777777">
        <w:trPr>
          <w:trHeight w:val="300"/>
        </w:trPr>
        <w:tc>
          <w:tcPr>
            <w:tcW w:w="6804" w:type="dxa"/>
            <w:tcBorders>
              <w:left w:val="nil"/>
              <w:right w:val="nil"/>
            </w:tcBorders>
            <w:noWrap/>
          </w:tcPr>
          <w:p w:rsidRPr="001404DB" w:rsidR="00AE1893" w:rsidP="00BC3A1F" w:rsidRDefault="00AE1893" w14:paraId="0CE98D1B" w14:textId="77777777">
            <w:pPr>
              <w:ind w:firstLine="200" w:firstLineChars="100"/>
              <w:rPr>
                <w:rFonts w:ascii="Arial" w:hAnsi="Arial" w:eastAsia="Times New Roman" w:cs="Arial"/>
                <w:sz w:val="20"/>
                <w:szCs w:val="20"/>
              </w:rPr>
            </w:pPr>
            <w:r w:rsidRPr="001404DB">
              <w:rPr>
                <w:rFonts w:ascii="Arial" w:hAnsi="Arial"/>
                <w:sz w:val="20"/>
              </w:rPr>
              <w:t>a. Ricavi esteri netti (</w:t>
            </w:r>
            <w:r w:rsidRPr="00E55382">
              <w:rPr>
                <w:rFonts w:ascii="Arial" w:hAnsi="Arial"/>
                <w:sz w:val="20"/>
              </w:rPr>
              <w:t>considerando l’area dell’euro un’unica giurisdizione</w:t>
            </w:r>
            <w:r w:rsidRPr="001404DB">
              <w:rPr>
                <w:rFonts w:ascii="Arial" w:hAnsi="Arial"/>
                <w:sz w:val="20"/>
              </w:rPr>
              <w:t>)</w:t>
            </w:r>
          </w:p>
        </w:tc>
        <w:tc>
          <w:tcPr>
            <w:tcW w:w="2745" w:type="dxa"/>
            <w:tcBorders>
              <w:left w:val="nil"/>
              <w:right w:val="nil"/>
            </w:tcBorders>
            <w:noWrap/>
          </w:tcPr>
          <w:p w:rsidRPr="001404DB" w:rsidR="00AE1893" w:rsidP="00BC3A1F" w:rsidRDefault="00AE1893" w14:paraId="76D70C5D" w14:textId="77777777">
            <w:pPr>
              <w:jc w:val="right"/>
              <w:rPr>
                <w:rFonts w:ascii="Arial" w:hAnsi="Arial" w:eastAsia="Times New Roman" w:cs="Arial"/>
                <w:sz w:val="20"/>
                <w:szCs w:val="20"/>
                <w:lang w:eastAsia="en-GB"/>
              </w:rPr>
            </w:pPr>
          </w:p>
        </w:tc>
      </w:tr>
      <w:tr w:rsidRPr="001404DB" w:rsidR="00AE1893" w:rsidTr="00BC3A1F" w14:paraId="7648AC1D" w14:textId="77777777">
        <w:trPr>
          <w:trHeight w:val="300"/>
        </w:trPr>
        <w:tc>
          <w:tcPr>
            <w:tcW w:w="6804" w:type="dxa"/>
            <w:tcBorders>
              <w:left w:val="nil"/>
              <w:bottom w:val="single" w:color="auto" w:sz="4" w:space="0"/>
              <w:right w:val="nil"/>
            </w:tcBorders>
            <w:noWrap/>
          </w:tcPr>
          <w:p w:rsidRPr="001404DB" w:rsidR="00AE1893" w:rsidP="00BC3A1F" w:rsidRDefault="00AE1893" w14:paraId="77193E09" w14:textId="77777777">
            <w:pPr>
              <w:ind w:firstLine="200" w:firstLineChars="100"/>
              <w:rPr>
                <w:rFonts w:ascii="Arial" w:hAnsi="Arial" w:eastAsia="Times New Roman" w:cs="Arial"/>
                <w:sz w:val="20"/>
                <w:szCs w:val="20"/>
              </w:rPr>
            </w:pPr>
            <w:r w:rsidRPr="001404DB">
              <w:rPr>
                <w:rFonts w:ascii="Arial" w:hAnsi="Arial"/>
                <w:sz w:val="20"/>
              </w:rPr>
              <w:t>b. Numero di giurisdizioni (</w:t>
            </w:r>
            <w:r w:rsidRPr="00E55382">
              <w:rPr>
                <w:rFonts w:ascii="Arial" w:hAnsi="Arial"/>
                <w:sz w:val="20"/>
              </w:rPr>
              <w:t>considerando l’area dell’euro un’unica giurisdizione</w:t>
            </w:r>
            <w:r w:rsidRPr="001404DB">
              <w:rPr>
                <w:rFonts w:ascii="Arial" w:hAnsi="Arial"/>
                <w:sz w:val="20"/>
              </w:rPr>
              <w:t>)</w:t>
            </w:r>
          </w:p>
        </w:tc>
        <w:tc>
          <w:tcPr>
            <w:tcW w:w="2745" w:type="dxa"/>
            <w:tcBorders>
              <w:left w:val="nil"/>
              <w:right w:val="nil"/>
            </w:tcBorders>
            <w:noWrap/>
          </w:tcPr>
          <w:p w:rsidRPr="001404DB" w:rsidR="00AE1893" w:rsidP="00BC3A1F" w:rsidRDefault="00AE1893" w14:paraId="1E6DD31C" w14:textId="77777777">
            <w:pPr>
              <w:jc w:val="right"/>
              <w:rPr>
                <w:rFonts w:ascii="Arial" w:hAnsi="Arial" w:eastAsia="Times New Roman" w:cs="Arial"/>
                <w:sz w:val="20"/>
                <w:szCs w:val="20"/>
                <w:lang w:eastAsia="en-GB"/>
              </w:rPr>
            </w:pPr>
          </w:p>
        </w:tc>
      </w:tr>
      <w:tr w:rsidRPr="001404DB" w:rsidR="00AE1893" w:rsidTr="00BC3A1F" w14:paraId="7184FFBE" w14:textId="77777777">
        <w:trPr>
          <w:trHeight w:val="300"/>
        </w:trPr>
        <w:tc>
          <w:tcPr>
            <w:tcW w:w="6804" w:type="dxa"/>
            <w:tcBorders>
              <w:left w:val="nil"/>
              <w:bottom w:val="nil"/>
              <w:right w:val="nil"/>
            </w:tcBorders>
            <w:noWrap/>
          </w:tcPr>
          <w:p w:rsidRPr="001404DB" w:rsidR="00AE1893" w:rsidP="00BC3A1F" w:rsidRDefault="00AE1893" w14:paraId="5CFFD7A9"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1404DB" w:rsidR="00AE1893" w:rsidP="00BC3A1F" w:rsidRDefault="00AE1893" w14:paraId="5E014370" w14:textId="77777777">
            <w:pPr>
              <w:jc w:val="right"/>
              <w:rPr>
                <w:rFonts w:ascii="Arial" w:hAnsi="Arial" w:eastAsia="Times New Roman" w:cs="Arial"/>
                <w:sz w:val="20"/>
                <w:szCs w:val="20"/>
                <w:lang w:eastAsia="en-GB"/>
              </w:rPr>
            </w:pPr>
          </w:p>
        </w:tc>
      </w:tr>
      <w:tr w:rsidRPr="001404DB" w:rsidR="00AE1893" w:rsidTr="00BC3A1F" w14:paraId="00BD73F1" w14:textId="77777777">
        <w:trPr>
          <w:trHeight w:val="300"/>
        </w:trPr>
        <w:tc>
          <w:tcPr>
            <w:tcW w:w="6804" w:type="dxa"/>
            <w:tcBorders>
              <w:top w:val="nil"/>
              <w:left w:val="nil"/>
              <w:bottom w:val="nil"/>
              <w:right w:val="nil"/>
            </w:tcBorders>
            <w:noWrap/>
          </w:tcPr>
          <w:p w:rsidRPr="001404DB" w:rsidR="00AE1893" w:rsidP="00BC3A1F" w:rsidRDefault="00AE1893" w14:paraId="165416FC" w14:textId="77777777">
            <w:pPr>
              <w:ind w:firstLine="221" w:firstLineChars="100"/>
              <w:rPr>
                <w:rFonts w:ascii="Arial" w:hAnsi="Arial" w:eastAsia="Times New Roman" w:cs="Arial"/>
                <w:sz w:val="20"/>
                <w:szCs w:val="20"/>
              </w:rPr>
            </w:pPr>
            <w:r w:rsidRPr="001404DB">
              <w:rPr>
                <w:rFonts w:asciiTheme="majorHAnsi" w:hAnsiTheme="majorHAnsi"/>
                <w:b/>
                <w:i/>
                <w:caps/>
              </w:rPr>
              <w:t>Sintesi di controllo</w:t>
            </w:r>
          </w:p>
        </w:tc>
        <w:tc>
          <w:tcPr>
            <w:tcW w:w="2745" w:type="dxa"/>
            <w:tcBorders>
              <w:top w:val="nil"/>
              <w:left w:val="nil"/>
              <w:bottom w:val="nil"/>
              <w:right w:val="nil"/>
            </w:tcBorders>
            <w:noWrap/>
          </w:tcPr>
          <w:p w:rsidRPr="001404DB" w:rsidR="00AE1893" w:rsidP="00BC3A1F" w:rsidRDefault="00AE1893" w14:paraId="330277DF" w14:textId="77777777">
            <w:pPr>
              <w:jc w:val="right"/>
              <w:rPr>
                <w:rFonts w:ascii="Arial" w:hAnsi="Arial" w:eastAsia="Times New Roman" w:cs="Arial"/>
                <w:sz w:val="20"/>
                <w:szCs w:val="20"/>
                <w:lang w:eastAsia="en-GB"/>
              </w:rPr>
            </w:pPr>
          </w:p>
        </w:tc>
      </w:tr>
      <w:tr w:rsidRPr="001404DB" w:rsidR="00AE1893" w:rsidTr="00BC3A1F" w14:paraId="720B4628" w14:textId="77777777">
        <w:trPr>
          <w:trHeight w:val="300"/>
        </w:trPr>
        <w:tc>
          <w:tcPr>
            <w:tcW w:w="6804" w:type="dxa"/>
            <w:tcBorders>
              <w:top w:val="nil"/>
              <w:left w:val="nil"/>
              <w:bottom w:val="single" w:color="auto" w:sz="4" w:space="0"/>
              <w:right w:val="nil"/>
            </w:tcBorders>
            <w:noWrap/>
          </w:tcPr>
          <w:p w:rsidRPr="001404DB" w:rsidR="00AE1893" w:rsidP="00BC3A1F" w:rsidRDefault="00AE1893" w14:paraId="7F15946D" w14:textId="77777777">
            <w:pPr>
              <w:ind w:firstLine="200" w:firstLineChars="100"/>
              <w:rPr>
                <w:rFonts w:ascii="Arial" w:hAnsi="Arial" w:eastAsia="Times New Roman" w:cs="Arial"/>
                <w:sz w:val="20"/>
                <w:szCs w:val="20"/>
                <w:lang w:eastAsia="en-GB"/>
              </w:rPr>
            </w:pPr>
          </w:p>
        </w:tc>
        <w:tc>
          <w:tcPr>
            <w:tcW w:w="2745" w:type="dxa"/>
            <w:tcBorders>
              <w:top w:val="nil"/>
              <w:left w:val="nil"/>
              <w:right w:val="nil"/>
            </w:tcBorders>
            <w:noWrap/>
          </w:tcPr>
          <w:p w:rsidRPr="001404DB" w:rsidR="00AE1893" w:rsidP="00BC3A1F" w:rsidRDefault="00AE1893" w14:paraId="79EC1C6C" w14:textId="77777777">
            <w:pPr>
              <w:jc w:val="right"/>
              <w:rPr>
                <w:rFonts w:ascii="Arial" w:hAnsi="Arial" w:eastAsia="Times New Roman" w:cs="Arial"/>
                <w:sz w:val="20"/>
                <w:szCs w:val="20"/>
                <w:lang w:eastAsia="en-GB"/>
              </w:rPr>
            </w:pPr>
          </w:p>
        </w:tc>
      </w:tr>
      <w:tr w:rsidRPr="001404DB" w:rsidR="00AE1893" w:rsidTr="00BC3A1F" w14:paraId="52C5D4F6" w14:textId="77777777">
        <w:trPr>
          <w:trHeight w:val="300"/>
        </w:trPr>
        <w:tc>
          <w:tcPr>
            <w:tcW w:w="6804" w:type="dxa"/>
            <w:tcBorders>
              <w:left w:val="nil"/>
              <w:bottom w:val="single" w:color="auto" w:sz="4" w:space="0"/>
              <w:right w:val="nil"/>
            </w:tcBorders>
            <w:noWrap/>
          </w:tcPr>
          <w:p w:rsidRPr="001404DB" w:rsidR="00AE1893" w:rsidP="00BC3A1F" w:rsidRDefault="00AE1893" w14:paraId="358F4E2A" w14:textId="77777777">
            <w:pPr>
              <w:rPr>
                <w:rFonts w:ascii="Arial" w:hAnsi="Arial" w:eastAsia="Times New Roman" w:cs="Arial"/>
                <w:sz w:val="20"/>
                <w:szCs w:val="20"/>
              </w:rPr>
            </w:pPr>
            <w:r w:rsidRPr="001404DB">
              <w:rPr>
                <w:b/>
              </w:rPr>
              <w:t>Sezione 23 – Valori degli indicatori (metodologia rivista)</w:t>
            </w:r>
          </w:p>
        </w:tc>
        <w:tc>
          <w:tcPr>
            <w:tcW w:w="2745" w:type="dxa"/>
            <w:tcBorders>
              <w:left w:val="nil"/>
              <w:right w:val="nil"/>
            </w:tcBorders>
            <w:noWrap/>
          </w:tcPr>
          <w:p w:rsidRPr="001404DB" w:rsidR="00AE1893" w:rsidP="00BC3A1F" w:rsidRDefault="00AE1893" w14:paraId="55B66ECF" w14:textId="77777777">
            <w:pPr>
              <w:jc w:val="center"/>
              <w:rPr>
                <w:rFonts w:ascii="Arial" w:hAnsi="Arial" w:eastAsia="Times New Roman" w:cs="Arial"/>
                <w:sz w:val="20"/>
                <w:szCs w:val="20"/>
              </w:rPr>
            </w:pPr>
            <w:r w:rsidRPr="001404DB">
              <w:rPr>
                <w:b/>
              </w:rPr>
              <w:t>Valore dell’indicatore nella valuta di segnalazione</w:t>
            </w:r>
          </w:p>
        </w:tc>
      </w:tr>
      <w:tr w:rsidRPr="001404DB" w:rsidR="00AE1893" w:rsidTr="00BC3A1F" w14:paraId="0E6BE499" w14:textId="77777777">
        <w:trPr>
          <w:trHeight w:val="300"/>
        </w:trPr>
        <w:tc>
          <w:tcPr>
            <w:tcW w:w="6804" w:type="dxa"/>
            <w:tcBorders>
              <w:left w:val="nil"/>
              <w:bottom w:val="single" w:color="auto" w:sz="4" w:space="0"/>
              <w:right w:val="nil"/>
            </w:tcBorders>
            <w:noWrap/>
          </w:tcPr>
          <w:p w:rsidRPr="001404DB" w:rsidR="00AE1893" w:rsidP="00BC3A1F" w:rsidRDefault="00AE1893" w14:paraId="0A87D270" w14:textId="77777777">
            <w:pPr>
              <w:ind w:left="171" w:firstLine="48" w:firstLineChars="22"/>
              <w:rPr>
                <w:rFonts w:ascii="Arial" w:hAnsi="Arial" w:eastAsia="Times New Roman" w:cs="Arial"/>
                <w:sz w:val="20"/>
                <w:szCs w:val="20"/>
              </w:rPr>
            </w:pPr>
            <w:r w:rsidRPr="001404DB">
              <w:t>a. Sezione 2 – Indicatore delle esposizioni totali, incluse le compagnie assicurative controllate</w:t>
            </w:r>
          </w:p>
        </w:tc>
        <w:tc>
          <w:tcPr>
            <w:tcW w:w="2745" w:type="dxa"/>
            <w:tcBorders>
              <w:left w:val="nil"/>
              <w:right w:val="nil"/>
            </w:tcBorders>
            <w:noWrap/>
          </w:tcPr>
          <w:p w:rsidRPr="001404DB" w:rsidR="00AE1893" w:rsidP="00BC3A1F" w:rsidRDefault="00AE1893" w14:paraId="17A0C9D6" w14:textId="77777777">
            <w:pPr>
              <w:jc w:val="right"/>
              <w:rPr>
                <w:rFonts w:ascii="Arial" w:hAnsi="Arial" w:eastAsia="Times New Roman" w:cs="Arial"/>
                <w:sz w:val="20"/>
                <w:szCs w:val="20"/>
                <w:lang w:eastAsia="en-GB"/>
              </w:rPr>
            </w:pPr>
          </w:p>
        </w:tc>
      </w:tr>
      <w:tr w:rsidRPr="001404DB" w:rsidR="00AE1893" w:rsidTr="00BC3A1F" w14:paraId="295A3612" w14:textId="77777777">
        <w:trPr>
          <w:trHeight w:val="300"/>
        </w:trPr>
        <w:tc>
          <w:tcPr>
            <w:tcW w:w="6804" w:type="dxa"/>
            <w:tcBorders>
              <w:left w:val="nil"/>
              <w:bottom w:val="single" w:color="auto" w:sz="4" w:space="0"/>
              <w:right w:val="nil"/>
            </w:tcBorders>
            <w:noWrap/>
          </w:tcPr>
          <w:p w:rsidRPr="001404DB" w:rsidR="00AE1893" w:rsidP="00BC3A1F" w:rsidRDefault="00AE1893" w14:paraId="5C2D6A7E" w14:textId="77777777">
            <w:pPr>
              <w:ind w:left="171" w:firstLine="48" w:firstLineChars="22"/>
              <w:rPr>
                <w:rFonts w:ascii="Arial" w:hAnsi="Arial" w:eastAsia="Times New Roman" w:cs="Arial"/>
                <w:sz w:val="20"/>
                <w:szCs w:val="20"/>
              </w:rPr>
            </w:pPr>
            <w:r w:rsidRPr="001404DB">
              <w:t>b. Sezione 3 – Indicatore delle attività verso altri sistemi finanziari, incluse le compagnie assicurative controllate</w:t>
            </w:r>
          </w:p>
        </w:tc>
        <w:tc>
          <w:tcPr>
            <w:tcW w:w="2745" w:type="dxa"/>
            <w:tcBorders>
              <w:left w:val="nil"/>
              <w:right w:val="nil"/>
            </w:tcBorders>
            <w:noWrap/>
          </w:tcPr>
          <w:p w:rsidRPr="001404DB" w:rsidR="00AE1893" w:rsidP="00BC3A1F" w:rsidRDefault="00AE1893" w14:paraId="555B445B" w14:textId="77777777">
            <w:pPr>
              <w:jc w:val="right"/>
              <w:rPr>
                <w:rFonts w:ascii="Arial" w:hAnsi="Arial" w:eastAsia="Times New Roman" w:cs="Arial"/>
                <w:sz w:val="20"/>
                <w:szCs w:val="20"/>
                <w:lang w:eastAsia="en-GB"/>
              </w:rPr>
            </w:pPr>
          </w:p>
        </w:tc>
      </w:tr>
      <w:tr w:rsidRPr="001404DB" w:rsidR="00AE1893" w:rsidTr="00BC3A1F" w14:paraId="14477E16" w14:textId="77777777">
        <w:trPr>
          <w:trHeight w:val="300"/>
        </w:trPr>
        <w:tc>
          <w:tcPr>
            <w:tcW w:w="6804" w:type="dxa"/>
            <w:tcBorders>
              <w:left w:val="nil"/>
              <w:bottom w:val="single" w:color="auto" w:sz="4" w:space="0"/>
              <w:right w:val="nil"/>
            </w:tcBorders>
            <w:noWrap/>
          </w:tcPr>
          <w:p w:rsidRPr="001404DB" w:rsidR="00AE1893" w:rsidP="00BC3A1F" w:rsidRDefault="00AE1893" w14:paraId="04D9104F" w14:textId="77777777">
            <w:pPr>
              <w:ind w:left="171" w:firstLine="48" w:firstLineChars="22"/>
              <w:rPr>
                <w:rFonts w:ascii="Arial" w:hAnsi="Arial" w:eastAsia="Times New Roman" w:cs="Arial"/>
                <w:sz w:val="20"/>
                <w:szCs w:val="20"/>
              </w:rPr>
            </w:pPr>
            <w:r w:rsidRPr="001404DB">
              <w:t>c. Sezione 4 – Indicatore delle passività verso altri enti finanziari, incluse le compagnie assicurative controllate</w:t>
            </w:r>
          </w:p>
        </w:tc>
        <w:tc>
          <w:tcPr>
            <w:tcW w:w="2745" w:type="dxa"/>
            <w:tcBorders>
              <w:left w:val="nil"/>
              <w:right w:val="nil"/>
            </w:tcBorders>
            <w:noWrap/>
          </w:tcPr>
          <w:p w:rsidRPr="001404DB" w:rsidR="00AE1893" w:rsidP="00BC3A1F" w:rsidRDefault="00AE1893" w14:paraId="165349EB" w14:textId="77777777">
            <w:pPr>
              <w:jc w:val="right"/>
              <w:rPr>
                <w:rFonts w:ascii="Arial" w:hAnsi="Arial" w:eastAsia="Times New Roman" w:cs="Arial"/>
                <w:sz w:val="20"/>
                <w:szCs w:val="20"/>
                <w:lang w:eastAsia="en-GB"/>
              </w:rPr>
            </w:pPr>
          </w:p>
        </w:tc>
      </w:tr>
      <w:tr w:rsidRPr="001404DB" w:rsidR="00AE1893" w:rsidTr="00BC3A1F" w14:paraId="5972795D" w14:textId="77777777">
        <w:trPr>
          <w:trHeight w:val="300"/>
        </w:trPr>
        <w:tc>
          <w:tcPr>
            <w:tcW w:w="6804" w:type="dxa"/>
            <w:tcBorders>
              <w:left w:val="nil"/>
              <w:bottom w:val="single" w:color="auto" w:sz="4" w:space="0"/>
              <w:right w:val="nil"/>
            </w:tcBorders>
            <w:noWrap/>
          </w:tcPr>
          <w:p w:rsidRPr="001404DB" w:rsidR="00AE1893" w:rsidP="00BC3A1F" w:rsidRDefault="00AE1893" w14:paraId="15BCD0EF" w14:textId="77777777">
            <w:pPr>
              <w:ind w:left="171" w:firstLine="48" w:firstLineChars="22"/>
              <w:rPr>
                <w:rFonts w:ascii="Arial" w:hAnsi="Arial" w:eastAsia="Times New Roman" w:cs="Arial"/>
                <w:sz w:val="20"/>
                <w:szCs w:val="20"/>
              </w:rPr>
            </w:pPr>
            <w:r w:rsidRPr="001404DB">
              <w:t>d. Sezione 5 – Indicatore dei titoli in circolazione, incluse le compagnie assicurative controllate</w:t>
            </w:r>
          </w:p>
        </w:tc>
        <w:tc>
          <w:tcPr>
            <w:tcW w:w="2745" w:type="dxa"/>
            <w:tcBorders>
              <w:left w:val="nil"/>
              <w:right w:val="nil"/>
            </w:tcBorders>
            <w:noWrap/>
          </w:tcPr>
          <w:p w:rsidRPr="001404DB" w:rsidR="00AE1893" w:rsidP="00BC3A1F" w:rsidRDefault="00AE1893" w14:paraId="07A82A7C" w14:textId="77777777">
            <w:pPr>
              <w:jc w:val="right"/>
              <w:rPr>
                <w:rFonts w:ascii="Arial" w:hAnsi="Arial" w:eastAsia="Times New Roman" w:cs="Arial"/>
                <w:sz w:val="20"/>
                <w:szCs w:val="20"/>
                <w:lang w:eastAsia="en-GB"/>
              </w:rPr>
            </w:pPr>
          </w:p>
        </w:tc>
      </w:tr>
      <w:tr w:rsidRPr="001404DB" w:rsidR="00AE1893" w:rsidTr="00BC3A1F" w14:paraId="12D0E1C9" w14:textId="77777777">
        <w:trPr>
          <w:trHeight w:val="300"/>
        </w:trPr>
        <w:tc>
          <w:tcPr>
            <w:tcW w:w="6804" w:type="dxa"/>
            <w:tcBorders>
              <w:left w:val="nil"/>
              <w:bottom w:val="single" w:color="auto" w:sz="4" w:space="0"/>
              <w:right w:val="nil"/>
            </w:tcBorders>
            <w:noWrap/>
          </w:tcPr>
          <w:p w:rsidRPr="001404DB" w:rsidR="00AE1893" w:rsidP="00BC3A1F" w:rsidRDefault="00AE1893" w14:paraId="17A6C5F8" w14:textId="77777777">
            <w:pPr>
              <w:ind w:firstLine="220" w:firstLineChars="100"/>
              <w:rPr>
                <w:rFonts w:ascii="Arial" w:hAnsi="Arial" w:eastAsia="Times New Roman" w:cs="Arial"/>
                <w:sz w:val="20"/>
                <w:szCs w:val="20"/>
              </w:rPr>
            </w:pPr>
            <w:r w:rsidRPr="001404DB">
              <w:t>e. Sezione 6 – Indicatore delle attività di pagamento</w:t>
            </w:r>
          </w:p>
        </w:tc>
        <w:tc>
          <w:tcPr>
            <w:tcW w:w="2745" w:type="dxa"/>
            <w:tcBorders>
              <w:left w:val="nil"/>
              <w:right w:val="nil"/>
            </w:tcBorders>
            <w:noWrap/>
          </w:tcPr>
          <w:p w:rsidRPr="001404DB" w:rsidR="00AE1893" w:rsidP="00BC3A1F" w:rsidRDefault="00AE1893" w14:paraId="7405851F" w14:textId="77777777">
            <w:pPr>
              <w:jc w:val="right"/>
              <w:rPr>
                <w:rFonts w:ascii="Arial" w:hAnsi="Arial" w:eastAsia="Times New Roman" w:cs="Arial"/>
                <w:sz w:val="20"/>
                <w:szCs w:val="20"/>
                <w:lang w:eastAsia="en-GB"/>
              </w:rPr>
            </w:pPr>
          </w:p>
        </w:tc>
      </w:tr>
      <w:tr w:rsidRPr="001404DB" w:rsidR="00AE1893" w:rsidTr="00BC3A1F" w14:paraId="0CE3F601" w14:textId="77777777">
        <w:trPr>
          <w:trHeight w:val="300"/>
        </w:trPr>
        <w:tc>
          <w:tcPr>
            <w:tcW w:w="6804" w:type="dxa"/>
            <w:tcBorders>
              <w:left w:val="nil"/>
              <w:bottom w:val="single" w:color="auto" w:sz="4" w:space="0"/>
              <w:right w:val="nil"/>
            </w:tcBorders>
            <w:noWrap/>
          </w:tcPr>
          <w:p w:rsidRPr="001404DB" w:rsidR="00AE1893" w:rsidP="00BC3A1F" w:rsidRDefault="00AE1893" w14:paraId="7272A8AB" w14:textId="77777777">
            <w:pPr>
              <w:ind w:firstLine="220" w:firstLineChars="100"/>
              <w:rPr>
                <w:rFonts w:ascii="Arial" w:hAnsi="Arial" w:eastAsia="Times New Roman" w:cs="Arial"/>
                <w:sz w:val="20"/>
                <w:szCs w:val="20"/>
              </w:rPr>
            </w:pPr>
            <w:r w:rsidRPr="001404DB">
              <w:t>f. Sezione 7 – Indicatore delle attività in custodia</w:t>
            </w:r>
          </w:p>
        </w:tc>
        <w:tc>
          <w:tcPr>
            <w:tcW w:w="2745" w:type="dxa"/>
            <w:tcBorders>
              <w:left w:val="nil"/>
              <w:right w:val="nil"/>
            </w:tcBorders>
            <w:noWrap/>
          </w:tcPr>
          <w:p w:rsidRPr="001404DB" w:rsidR="00AE1893" w:rsidP="00BC3A1F" w:rsidRDefault="00AE1893" w14:paraId="33BDA15B" w14:textId="77777777">
            <w:pPr>
              <w:jc w:val="right"/>
              <w:rPr>
                <w:rFonts w:ascii="Arial" w:hAnsi="Arial" w:eastAsia="Times New Roman" w:cs="Arial"/>
                <w:sz w:val="20"/>
                <w:szCs w:val="20"/>
                <w:lang w:eastAsia="en-GB"/>
              </w:rPr>
            </w:pPr>
          </w:p>
        </w:tc>
      </w:tr>
      <w:tr w:rsidRPr="001404DB" w:rsidR="00AE1893" w:rsidTr="00BC3A1F" w14:paraId="46EE828C" w14:textId="77777777">
        <w:trPr>
          <w:trHeight w:val="300"/>
        </w:trPr>
        <w:tc>
          <w:tcPr>
            <w:tcW w:w="6804" w:type="dxa"/>
            <w:tcBorders>
              <w:left w:val="nil"/>
              <w:bottom w:val="single" w:color="auto" w:sz="4" w:space="0"/>
              <w:right w:val="nil"/>
            </w:tcBorders>
            <w:noWrap/>
          </w:tcPr>
          <w:p w:rsidRPr="001404DB" w:rsidR="00AE1893" w:rsidP="00BC3A1F" w:rsidRDefault="00AE1893" w14:paraId="206144F4" w14:textId="77777777">
            <w:pPr>
              <w:ind w:firstLine="220" w:firstLineChars="100"/>
              <w:rPr>
                <w:rFonts w:ascii="Arial" w:hAnsi="Arial" w:eastAsia="Times New Roman" w:cs="Arial"/>
                <w:sz w:val="20"/>
                <w:szCs w:val="20"/>
              </w:rPr>
            </w:pPr>
            <w:r w:rsidRPr="001404DB">
              <w:t>g. Sezione 8 – Indicatore dell’attività di sottoscrizione</w:t>
            </w:r>
          </w:p>
        </w:tc>
        <w:tc>
          <w:tcPr>
            <w:tcW w:w="2745" w:type="dxa"/>
            <w:tcBorders>
              <w:left w:val="nil"/>
              <w:right w:val="nil"/>
            </w:tcBorders>
            <w:noWrap/>
          </w:tcPr>
          <w:p w:rsidRPr="001404DB" w:rsidR="00AE1893" w:rsidP="00BC3A1F" w:rsidRDefault="00AE1893" w14:paraId="4E9F0E25" w14:textId="77777777">
            <w:pPr>
              <w:jc w:val="right"/>
              <w:rPr>
                <w:rFonts w:ascii="Arial" w:hAnsi="Arial" w:eastAsia="Times New Roman" w:cs="Arial"/>
                <w:sz w:val="20"/>
                <w:szCs w:val="20"/>
                <w:lang w:eastAsia="en-GB"/>
              </w:rPr>
            </w:pPr>
          </w:p>
        </w:tc>
      </w:tr>
      <w:tr w:rsidRPr="001404DB" w:rsidR="00AE1893" w:rsidTr="00BC3A1F" w14:paraId="456847AD" w14:textId="77777777">
        <w:trPr>
          <w:trHeight w:val="300"/>
        </w:trPr>
        <w:tc>
          <w:tcPr>
            <w:tcW w:w="6804" w:type="dxa"/>
            <w:tcBorders>
              <w:left w:val="nil"/>
              <w:bottom w:val="single" w:color="auto" w:sz="4" w:space="0"/>
              <w:right w:val="nil"/>
            </w:tcBorders>
            <w:noWrap/>
          </w:tcPr>
          <w:p w:rsidRPr="001404DB" w:rsidR="00AE1893" w:rsidP="00BC3A1F" w:rsidRDefault="00AE1893" w14:paraId="47131E49" w14:textId="77777777">
            <w:pPr>
              <w:ind w:firstLine="220" w:firstLineChars="100"/>
              <w:rPr>
                <w:rFonts w:ascii="Arial" w:hAnsi="Arial" w:eastAsia="Times New Roman" w:cs="Arial"/>
                <w:sz w:val="20"/>
                <w:szCs w:val="20"/>
              </w:rPr>
            </w:pPr>
            <w:r w:rsidRPr="001404DB">
              <w:t>h. Sezione 9.c – Sotto-indicatore del volume di negoziazione del reddito fisso</w:t>
            </w:r>
          </w:p>
        </w:tc>
        <w:tc>
          <w:tcPr>
            <w:tcW w:w="2745" w:type="dxa"/>
            <w:tcBorders>
              <w:left w:val="nil"/>
              <w:right w:val="nil"/>
            </w:tcBorders>
            <w:noWrap/>
          </w:tcPr>
          <w:p w:rsidRPr="001404DB" w:rsidR="00AE1893" w:rsidP="00BC3A1F" w:rsidRDefault="00AE1893" w14:paraId="437D9FCD" w14:textId="77777777">
            <w:pPr>
              <w:jc w:val="right"/>
              <w:rPr>
                <w:rFonts w:ascii="Arial" w:hAnsi="Arial" w:eastAsia="Times New Roman" w:cs="Arial"/>
                <w:sz w:val="20"/>
                <w:szCs w:val="20"/>
                <w:lang w:eastAsia="en-GB"/>
              </w:rPr>
            </w:pPr>
          </w:p>
        </w:tc>
      </w:tr>
      <w:tr w:rsidRPr="001404DB" w:rsidR="00AE1893" w:rsidTr="00BC3A1F" w14:paraId="6C8C6142" w14:textId="77777777">
        <w:trPr>
          <w:trHeight w:val="300"/>
        </w:trPr>
        <w:tc>
          <w:tcPr>
            <w:tcW w:w="6804" w:type="dxa"/>
            <w:tcBorders>
              <w:left w:val="nil"/>
              <w:bottom w:val="single" w:color="auto" w:sz="4" w:space="0"/>
              <w:right w:val="nil"/>
            </w:tcBorders>
            <w:noWrap/>
          </w:tcPr>
          <w:p w:rsidRPr="001404DB" w:rsidR="00AE1893" w:rsidP="00BC3A1F" w:rsidRDefault="00AE1893" w14:paraId="4C928745" w14:textId="77777777">
            <w:pPr>
              <w:ind w:left="171" w:firstLine="77" w:firstLineChars="35"/>
              <w:rPr>
                <w:rFonts w:ascii="Arial" w:hAnsi="Arial" w:eastAsia="Times New Roman" w:cs="Arial"/>
                <w:sz w:val="20"/>
                <w:szCs w:val="20"/>
              </w:rPr>
            </w:pPr>
            <w:r w:rsidRPr="001404DB">
              <w:t>i. Sezione 9.f – Sotto-indicatore del volume di negoziazione dei titoli azionari e di altri titoli</w:t>
            </w:r>
          </w:p>
        </w:tc>
        <w:tc>
          <w:tcPr>
            <w:tcW w:w="2745" w:type="dxa"/>
            <w:tcBorders>
              <w:left w:val="nil"/>
              <w:right w:val="nil"/>
            </w:tcBorders>
            <w:noWrap/>
          </w:tcPr>
          <w:p w:rsidRPr="001404DB" w:rsidR="00AE1893" w:rsidP="00BC3A1F" w:rsidRDefault="00AE1893" w14:paraId="2C5C5096" w14:textId="77777777">
            <w:pPr>
              <w:jc w:val="right"/>
              <w:rPr>
                <w:rFonts w:ascii="Arial" w:hAnsi="Arial" w:eastAsia="Times New Roman" w:cs="Arial"/>
                <w:sz w:val="20"/>
                <w:szCs w:val="20"/>
                <w:lang w:eastAsia="en-GB"/>
              </w:rPr>
            </w:pPr>
          </w:p>
        </w:tc>
      </w:tr>
      <w:tr w:rsidRPr="001404DB" w:rsidR="00AE1893" w:rsidTr="00BC3A1F" w14:paraId="4A26A0D1" w14:textId="77777777">
        <w:trPr>
          <w:trHeight w:val="300"/>
        </w:trPr>
        <w:tc>
          <w:tcPr>
            <w:tcW w:w="6804" w:type="dxa"/>
            <w:tcBorders>
              <w:left w:val="nil"/>
              <w:bottom w:val="single" w:color="auto" w:sz="4" w:space="0"/>
              <w:right w:val="nil"/>
            </w:tcBorders>
            <w:noWrap/>
          </w:tcPr>
          <w:p w:rsidRPr="001404DB" w:rsidR="00AE1893" w:rsidP="00BC3A1F" w:rsidRDefault="00AE1893" w14:paraId="607C07DA" w14:textId="77777777">
            <w:pPr>
              <w:ind w:left="171" w:firstLine="77" w:firstLineChars="35"/>
              <w:rPr>
                <w:rFonts w:ascii="Arial" w:hAnsi="Arial" w:eastAsia="Times New Roman" w:cs="Arial"/>
                <w:sz w:val="20"/>
                <w:szCs w:val="20"/>
              </w:rPr>
            </w:pPr>
            <w:r w:rsidRPr="001404DB">
              <w:t>j. Sezione 10 – Indicatore dei derivati OTC, incluse le compagnie assicurative controllate</w:t>
            </w:r>
          </w:p>
        </w:tc>
        <w:tc>
          <w:tcPr>
            <w:tcW w:w="2745" w:type="dxa"/>
            <w:tcBorders>
              <w:left w:val="nil"/>
              <w:right w:val="nil"/>
            </w:tcBorders>
            <w:noWrap/>
          </w:tcPr>
          <w:p w:rsidRPr="001404DB" w:rsidR="00AE1893" w:rsidP="00BC3A1F" w:rsidRDefault="00AE1893" w14:paraId="11461F2C" w14:textId="77777777">
            <w:pPr>
              <w:jc w:val="right"/>
              <w:rPr>
                <w:rFonts w:ascii="Arial" w:hAnsi="Arial" w:eastAsia="Times New Roman" w:cs="Arial"/>
                <w:sz w:val="20"/>
                <w:szCs w:val="20"/>
                <w:lang w:eastAsia="en-GB"/>
              </w:rPr>
            </w:pPr>
          </w:p>
        </w:tc>
      </w:tr>
      <w:tr w:rsidRPr="001404DB" w:rsidR="00AE1893" w:rsidTr="00BC3A1F" w14:paraId="0384F596" w14:textId="77777777">
        <w:trPr>
          <w:trHeight w:val="300"/>
        </w:trPr>
        <w:tc>
          <w:tcPr>
            <w:tcW w:w="6804" w:type="dxa"/>
            <w:tcBorders>
              <w:left w:val="nil"/>
              <w:bottom w:val="single" w:color="auto" w:sz="4" w:space="0"/>
              <w:right w:val="nil"/>
            </w:tcBorders>
            <w:noWrap/>
          </w:tcPr>
          <w:p w:rsidRPr="001404DB" w:rsidR="00AE1893" w:rsidP="00BC3A1F" w:rsidRDefault="00AE1893" w14:paraId="46F456DB" w14:textId="77777777">
            <w:pPr>
              <w:ind w:firstLine="220" w:firstLineChars="100"/>
              <w:rPr>
                <w:rFonts w:ascii="Arial" w:hAnsi="Arial" w:eastAsia="Times New Roman" w:cs="Arial"/>
                <w:sz w:val="20"/>
                <w:szCs w:val="20"/>
              </w:rPr>
            </w:pPr>
            <w:r w:rsidRPr="001404DB">
              <w:t>k. Sezione 11 – Indicatore dei titoli detenuti per la negoziazione e disponibili per la vendita</w:t>
            </w:r>
          </w:p>
        </w:tc>
        <w:tc>
          <w:tcPr>
            <w:tcW w:w="2745" w:type="dxa"/>
            <w:tcBorders>
              <w:left w:val="nil"/>
              <w:right w:val="nil"/>
            </w:tcBorders>
            <w:noWrap/>
          </w:tcPr>
          <w:p w:rsidRPr="001404DB" w:rsidR="00AE1893" w:rsidP="00BC3A1F" w:rsidRDefault="00AE1893" w14:paraId="26B4DCBD" w14:textId="77777777">
            <w:pPr>
              <w:jc w:val="right"/>
              <w:rPr>
                <w:rFonts w:ascii="Arial" w:hAnsi="Arial" w:eastAsia="Times New Roman" w:cs="Arial"/>
                <w:sz w:val="20"/>
                <w:szCs w:val="20"/>
                <w:lang w:eastAsia="en-GB"/>
              </w:rPr>
            </w:pPr>
          </w:p>
        </w:tc>
      </w:tr>
      <w:tr w:rsidRPr="001404DB" w:rsidR="00AE1893" w:rsidTr="00BC3A1F" w14:paraId="1380B79D" w14:textId="77777777">
        <w:trPr>
          <w:trHeight w:val="300"/>
        </w:trPr>
        <w:tc>
          <w:tcPr>
            <w:tcW w:w="6804" w:type="dxa"/>
            <w:tcBorders>
              <w:left w:val="nil"/>
              <w:bottom w:val="single" w:color="auto" w:sz="4" w:space="0"/>
              <w:right w:val="nil"/>
            </w:tcBorders>
            <w:noWrap/>
          </w:tcPr>
          <w:p w:rsidRPr="001404DB" w:rsidR="00AE1893" w:rsidP="00BC3A1F" w:rsidRDefault="00AE1893" w14:paraId="1ECE3471" w14:textId="77777777">
            <w:pPr>
              <w:ind w:firstLine="220" w:firstLineChars="100"/>
              <w:rPr>
                <w:rFonts w:ascii="Arial" w:hAnsi="Arial" w:eastAsia="Times New Roman" w:cs="Arial"/>
                <w:sz w:val="20"/>
                <w:szCs w:val="20"/>
              </w:rPr>
            </w:pPr>
            <w:r w:rsidRPr="001404DB">
              <w:t>l. Sezione 12 – Indicatore delle attività di livello 3, incluse le compagnie assicurative controllate</w:t>
            </w:r>
          </w:p>
        </w:tc>
        <w:tc>
          <w:tcPr>
            <w:tcW w:w="2745" w:type="dxa"/>
            <w:tcBorders>
              <w:left w:val="nil"/>
              <w:right w:val="nil"/>
            </w:tcBorders>
            <w:noWrap/>
          </w:tcPr>
          <w:p w:rsidRPr="001404DB" w:rsidR="00AE1893" w:rsidP="00BC3A1F" w:rsidRDefault="00AE1893" w14:paraId="67BE8853" w14:textId="77777777">
            <w:pPr>
              <w:jc w:val="right"/>
              <w:rPr>
                <w:rFonts w:ascii="Arial" w:hAnsi="Arial" w:eastAsia="Times New Roman" w:cs="Arial"/>
                <w:sz w:val="20"/>
                <w:szCs w:val="20"/>
                <w:lang w:eastAsia="en-GB"/>
              </w:rPr>
            </w:pPr>
          </w:p>
        </w:tc>
      </w:tr>
      <w:tr w:rsidRPr="001404DB" w:rsidR="00AE1893" w:rsidTr="00BC3A1F" w14:paraId="5674A4C4" w14:textId="77777777">
        <w:trPr>
          <w:trHeight w:val="300"/>
        </w:trPr>
        <w:tc>
          <w:tcPr>
            <w:tcW w:w="6804" w:type="dxa"/>
            <w:tcBorders>
              <w:left w:val="nil"/>
              <w:bottom w:val="single" w:color="auto" w:sz="4" w:space="0"/>
              <w:right w:val="nil"/>
            </w:tcBorders>
            <w:noWrap/>
          </w:tcPr>
          <w:p w:rsidRPr="001404DB" w:rsidR="00AE1893" w:rsidP="00BC3A1F" w:rsidRDefault="00AE1893" w14:paraId="4C10C53F" w14:textId="77777777">
            <w:pPr>
              <w:ind w:firstLine="220" w:firstLineChars="100"/>
              <w:rPr>
                <w:rFonts w:ascii="Arial" w:hAnsi="Arial" w:eastAsia="Times New Roman" w:cs="Arial"/>
                <w:sz w:val="20"/>
                <w:szCs w:val="20"/>
              </w:rPr>
            </w:pPr>
            <w:r w:rsidRPr="001404DB">
              <w:lastRenderedPageBreak/>
              <w:t>m. Sezione 1</w:t>
            </w:r>
            <w:r>
              <w:t>3</w:t>
            </w:r>
            <w:r w:rsidRPr="001404DB">
              <w:t xml:space="preserve"> – Indicatore delle attività transgiurisdizionali</w:t>
            </w:r>
          </w:p>
        </w:tc>
        <w:tc>
          <w:tcPr>
            <w:tcW w:w="2745" w:type="dxa"/>
            <w:tcBorders>
              <w:left w:val="nil"/>
              <w:right w:val="nil"/>
            </w:tcBorders>
            <w:noWrap/>
          </w:tcPr>
          <w:p w:rsidRPr="001404DB" w:rsidR="00AE1893" w:rsidP="00BC3A1F" w:rsidRDefault="00AE1893" w14:paraId="3A6BD91B" w14:textId="77777777">
            <w:pPr>
              <w:jc w:val="right"/>
              <w:rPr>
                <w:rFonts w:ascii="Arial" w:hAnsi="Arial" w:eastAsia="Times New Roman" w:cs="Arial"/>
                <w:sz w:val="20"/>
                <w:szCs w:val="20"/>
                <w:lang w:eastAsia="en-GB"/>
              </w:rPr>
            </w:pPr>
          </w:p>
        </w:tc>
      </w:tr>
      <w:tr w:rsidRPr="001404DB" w:rsidR="00AE1893" w:rsidTr="00BC3A1F" w14:paraId="140D15A3" w14:textId="77777777">
        <w:trPr>
          <w:trHeight w:val="300"/>
        </w:trPr>
        <w:tc>
          <w:tcPr>
            <w:tcW w:w="6804" w:type="dxa"/>
            <w:tcBorders>
              <w:left w:val="nil"/>
              <w:bottom w:val="single" w:color="auto" w:sz="4" w:space="0"/>
              <w:right w:val="nil"/>
            </w:tcBorders>
            <w:noWrap/>
          </w:tcPr>
          <w:p w:rsidRPr="001404DB" w:rsidR="00AE1893" w:rsidP="00BC3A1F" w:rsidRDefault="00AE1893" w14:paraId="53E1E9BD" w14:textId="77777777">
            <w:pPr>
              <w:ind w:firstLine="220" w:firstLineChars="100"/>
              <w:rPr>
                <w:rFonts w:ascii="Arial" w:hAnsi="Arial" w:eastAsia="Times New Roman" w:cs="Arial"/>
                <w:sz w:val="20"/>
                <w:szCs w:val="20"/>
              </w:rPr>
            </w:pPr>
            <w:r w:rsidRPr="001404DB">
              <w:t>n. Sezione 1</w:t>
            </w:r>
            <w:r>
              <w:t>4</w:t>
            </w:r>
            <w:r w:rsidRPr="001404DB">
              <w:t xml:space="preserve"> – Indicatore delle passività transgiurisdizionali</w:t>
            </w:r>
          </w:p>
        </w:tc>
        <w:tc>
          <w:tcPr>
            <w:tcW w:w="2745" w:type="dxa"/>
            <w:tcBorders>
              <w:left w:val="nil"/>
              <w:right w:val="nil"/>
            </w:tcBorders>
            <w:noWrap/>
          </w:tcPr>
          <w:p w:rsidRPr="001404DB" w:rsidR="00AE1893" w:rsidP="00BC3A1F" w:rsidRDefault="00AE1893" w14:paraId="1CD0DF23" w14:textId="77777777">
            <w:pPr>
              <w:jc w:val="right"/>
              <w:rPr>
                <w:rFonts w:ascii="Arial" w:hAnsi="Arial" w:eastAsia="Times New Roman" w:cs="Arial"/>
                <w:sz w:val="20"/>
                <w:szCs w:val="20"/>
                <w:lang w:eastAsia="en-GB"/>
              </w:rPr>
            </w:pPr>
          </w:p>
        </w:tc>
      </w:tr>
      <w:tr w:rsidRPr="001404DB" w:rsidR="00AE1893" w:rsidTr="00BC3A1F" w14:paraId="5172F55B" w14:textId="77777777">
        <w:trPr>
          <w:trHeight w:val="300"/>
        </w:trPr>
        <w:tc>
          <w:tcPr>
            <w:tcW w:w="6804" w:type="dxa"/>
            <w:tcBorders>
              <w:left w:val="nil"/>
              <w:bottom w:val="single" w:color="auto" w:sz="4" w:space="0"/>
              <w:right w:val="nil"/>
            </w:tcBorders>
            <w:noWrap/>
          </w:tcPr>
          <w:p w:rsidRPr="001404DB" w:rsidR="00AE1893" w:rsidP="00BC3A1F" w:rsidRDefault="00AE1893" w14:paraId="5503D279" w14:textId="77777777">
            <w:pPr>
              <w:ind w:firstLine="220" w:firstLineChars="100"/>
              <w:rPr>
                <w:rFonts w:ascii="Arial" w:hAnsi="Arial" w:eastAsia="Times New Roman" w:cs="Arial"/>
                <w:sz w:val="20"/>
                <w:szCs w:val="20"/>
              </w:rPr>
            </w:pPr>
            <w:r w:rsidRPr="001404DB">
              <w:t>o. Altre sezioni</w:t>
            </w:r>
          </w:p>
        </w:tc>
        <w:tc>
          <w:tcPr>
            <w:tcW w:w="2745" w:type="dxa"/>
            <w:tcBorders>
              <w:left w:val="nil"/>
              <w:right w:val="nil"/>
            </w:tcBorders>
            <w:noWrap/>
          </w:tcPr>
          <w:p w:rsidRPr="001404DB" w:rsidR="00AE1893" w:rsidP="00BC3A1F" w:rsidRDefault="00AE1893" w14:paraId="0EAE5802" w14:textId="77777777">
            <w:pPr>
              <w:jc w:val="right"/>
              <w:rPr>
                <w:rFonts w:ascii="Arial" w:hAnsi="Arial" w:eastAsia="Times New Roman" w:cs="Arial"/>
                <w:sz w:val="20"/>
                <w:szCs w:val="20"/>
                <w:lang w:eastAsia="en-GB"/>
              </w:rPr>
            </w:pPr>
          </w:p>
        </w:tc>
      </w:tr>
      <w:tr w:rsidRPr="001404DB" w:rsidR="00AE1893" w:rsidTr="00BC3A1F" w14:paraId="44DCCCE9" w14:textId="77777777">
        <w:trPr>
          <w:trHeight w:val="300"/>
        </w:trPr>
        <w:tc>
          <w:tcPr>
            <w:tcW w:w="6804" w:type="dxa"/>
            <w:tcBorders>
              <w:left w:val="nil"/>
              <w:bottom w:val="single" w:color="auto" w:sz="4" w:space="0"/>
              <w:right w:val="nil"/>
            </w:tcBorders>
            <w:noWrap/>
          </w:tcPr>
          <w:p w:rsidRPr="001404DB" w:rsidR="00AE1893" w:rsidP="00BC3A1F" w:rsidRDefault="00AE1893" w14:paraId="423B797A" w14:textId="77777777">
            <w:pPr>
              <w:ind w:firstLine="220" w:firstLineChars="100"/>
              <w:rPr>
                <w:rFonts w:ascii="Arial" w:hAnsi="Arial" w:eastAsia="Times New Roman" w:cs="Arial"/>
                <w:sz w:val="20"/>
                <w:szCs w:val="20"/>
              </w:rPr>
            </w:pPr>
            <w:r w:rsidRPr="001404DB">
              <w:t>(1) Voce 1.a. – Informazioni generali fornite dall’autorità di vigilanza</w:t>
            </w:r>
          </w:p>
        </w:tc>
        <w:tc>
          <w:tcPr>
            <w:tcW w:w="2745" w:type="dxa"/>
            <w:tcBorders>
              <w:left w:val="nil"/>
              <w:right w:val="nil"/>
            </w:tcBorders>
            <w:noWrap/>
          </w:tcPr>
          <w:p w:rsidRPr="001404DB" w:rsidR="00AE1893" w:rsidP="00BC3A1F" w:rsidRDefault="00AE1893" w14:paraId="7EB019DA" w14:textId="77777777">
            <w:pPr>
              <w:jc w:val="right"/>
              <w:rPr>
                <w:rFonts w:ascii="Arial" w:hAnsi="Arial" w:eastAsia="Times New Roman" w:cs="Arial"/>
                <w:sz w:val="20"/>
                <w:szCs w:val="20"/>
                <w:lang w:eastAsia="en-GB"/>
              </w:rPr>
            </w:pPr>
          </w:p>
        </w:tc>
      </w:tr>
      <w:tr w:rsidRPr="001404DB" w:rsidR="00AE1893" w:rsidTr="00BC3A1F" w14:paraId="0433D33D" w14:textId="77777777">
        <w:trPr>
          <w:trHeight w:val="300"/>
        </w:trPr>
        <w:tc>
          <w:tcPr>
            <w:tcW w:w="6804" w:type="dxa"/>
            <w:tcBorders>
              <w:left w:val="nil"/>
              <w:bottom w:val="single" w:color="auto" w:sz="4" w:space="0"/>
              <w:right w:val="nil"/>
            </w:tcBorders>
            <w:noWrap/>
          </w:tcPr>
          <w:p w:rsidRPr="001404DB" w:rsidR="00AE1893" w:rsidP="00BC3A1F" w:rsidRDefault="00AE1893" w14:paraId="65ADE547" w14:textId="77777777">
            <w:pPr>
              <w:ind w:firstLine="220" w:firstLineChars="100"/>
              <w:rPr>
                <w:rFonts w:ascii="Arial" w:hAnsi="Arial" w:eastAsia="Times New Roman" w:cs="Arial"/>
                <w:sz w:val="20"/>
                <w:szCs w:val="20"/>
              </w:rPr>
            </w:pPr>
            <w:r w:rsidRPr="001404DB">
              <w:t>(2) Voce 1.b. – Informazioni generali fornite dall’ente segnalante</w:t>
            </w:r>
          </w:p>
        </w:tc>
        <w:tc>
          <w:tcPr>
            <w:tcW w:w="2745" w:type="dxa"/>
            <w:tcBorders>
              <w:left w:val="nil"/>
              <w:right w:val="nil"/>
            </w:tcBorders>
            <w:noWrap/>
          </w:tcPr>
          <w:p w:rsidRPr="001404DB" w:rsidR="00AE1893" w:rsidP="00BC3A1F" w:rsidRDefault="00AE1893" w14:paraId="5B41BE71" w14:textId="77777777">
            <w:pPr>
              <w:jc w:val="right"/>
              <w:rPr>
                <w:rFonts w:ascii="Arial" w:hAnsi="Arial" w:eastAsia="Times New Roman" w:cs="Arial"/>
                <w:sz w:val="20"/>
                <w:szCs w:val="20"/>
                <w:lang w:eastAsia="en-GB"/>
              </w:rPr>
            </w:pPr>
          </w:p>
        </w:tc>
      </w:tr>
      <w:tr w:rsidRPr="001404DB" w:rsidR="00AE1893" w:rsidTr="00BC3A1F" w14:paraId="5A0891D0" w14:textId="77777777">
        <w:trPr>
          <w:trHeight w:val="300"/>
        </w:trPr>
        <w:tc>
          <w:tcPr>
            <w:tcW w:w="6804" w:type="dxa"/>
            <w:tcBorders>
              <w:left w:val="nil"/>
              <w:bottom w:val="single" w:color="auto" w:sz="4" w:space="0"/>
              <w:right w:val="nil"/>
            </w:tcBorders>
            <w:noWrap/>
          </w:tcPr>
          <w:p w:rsidRPr="001404DB" w:rsidR="00AE1893" w:rsidP="00BC3A1F" w:rsidRDefault="00AE1893" w14:paraId="533B8B00" w14:textId="77777777">
            <w:pPr>
              <w:ind w:firstLine="220" w:firstLineChars="100"/>
              <w:rPr>
                <w:rFonts w:ascii="Arial" w:hAnsi="Arial" w:eastAsia="Times New Roman" w:cs="Arial"/>
                <w:sz w:val="20"/>
                <w:szCs w:val="20"/>
              </w:rPr>
            </w:pPr>
            <w:r w:rsidRPr="001404DB">
              <w:t>(3) Sezione 15 – Indicatori accessori</w:t>
            </w:r>
          </w:p>
        </w:tc>
        <w:tc>
          <w:tcPr>
            <w:tcW w:w="2745" w:type="dxa"/>
            <w:tcBorders>
              <w:left w:val="nil"/>
              <w:right w:val="nil"/>
            </w:tcBorders>
            <w:noWrap/>
          </w:tcPr>
          <w:p w:rsidRPr="001404DB" w:rsidR="00AE1893" w:rsidP="00BC3A1F" w:rsidRDefault="00AE1893" w14:paraId="2E504F8D" w14:textId="77777777">
            <w:pPr>
              <w:jc w:val="right"/>
              <w:rPr>
                <w:rFonts w:ascii="Arial" w:hAnsi="Arial" w:eastAsia="Times New Roman" w:cs="Arial"/>
                <w:sz w:val="20"/>
                <w:szCs w:val="20"/>
                <w:lang w:eastAsia="en-GB"/>
              </w:rPr>
            </w:pPr>
          </w:p>
        </w:tc>
      </w:tr>
      <w:tr w:rsidRPr="001404DB" w:rsidR="00AE1893" w:rsidTr="00BC3A1F" w14:paraId="3C230578" w14:textId="77777777">
        <w:trPr>
          <w:trHeight w:val="300"/>
        </w:trPr>
        <w:tc>
          <w:tcPr>
            <w:tcW w:w="6804" w:type="dxa"/>
            <w:tcBorders>
              <w:left w:val="nil"/>
              <w:bottom w:val="single" w:color="auto" w:sz="4" w:space="0"/>
              <w:right w:val="nil"/>
            </w:tcBorders>
            <w:noWrap/>
          </w:tcPr>
          <w:p w:rsidRPr="001404DB" w:rsidR="00AE1893" w:rsidP="00BC3A1F" w:rsidRDefault="00AE1893" w14:paraId="15CEBE3E" w14:textId="77777777">
            <w:pPr>
              <w:ind w:firstLine="220" w:firstLineChars="100"/>
              <w:rPr>
                <w:rFonts w:ascii="Arial" w:hAnsi="Arial" w:eastAsia="Times New Roman" w:cs="Arial"/>
                <w:sz w:val="20"/>
                <w:szCs w:val="20"/>
              </w:rPr>
            </w:pPr>
            <w:r w:rsidRPr="001404DB">
              <w:t>(4) Sezione 16 – Voci accessorie</w:t>
            </w:r>
          </w:p>
        </w:tc>
        <w:tc>
          <w:tcPr>
            <w:tcW w:w="2745" w:type="dxa"/>
            <w:tcBorders>
              <w:left w:val="nil"/>
              <w:right w:val="nil"/>
            </w:tcBorders>
            <w:noWrap/>
          </w:tcPr>
          <w:p w:rsidRPr="001404DB" w:rsidR="00AE1893" w:rsidP="00BC3A1F" w:rsidRDefault="00AE1893" w14:paraId="376516A8" w14:textId="77777777">
            <w:pPr>
              <w:jc w:val="right"/>
              <w:rPr>
                <w:rFonts w:ascii="Arial" w:hAnsi="Arial" w:eastAsia="Times New Roman" w:cs="Arial"/>
                <w:sz w:val="20"/>
                <w:szCs w:val="20"/>
                <w:lang w:eastAsia="en-GB"/>
              </w:rPr>
            </w:pPr>
          </w:p>
        </w:tc>
      </w:tr>
      <w:tr w:rsidRPr="001404DB" w:rsidR="00AE1893" w:rsidTr="00BC3A1F" w14:paraId="70DA0D93" w14:textId="77777777">
        <w:trPr>
          <w:trHeight w:val="300"/>
        </w:trPr>
        <w:tc>
          <w:tcPr>
            <w:tcW w:w="6804" w:type="dxa"/>
            <w:tcBorders>
              <w:left w:val="nil"/>
              <w:bottom w:val="single" w:color="auto" w:sz="4" w:space="0"/>
              <w:right w:val="nil"/>
            </w:tcBorders>
            <w:noWrap/>
          </w:tcPr>
          <w:p w:rsidRPr="001404DB" w:rsidR="00AE1893" w:rsidP="00BC3A1F" w:rsidRDefault="00AE1893" w14:paraId="2695AFA7" w14:textId="77777777">
            <w:pPr>
              <w:ind w:firstLine="220" w:firstLineChars="100"/>
              <w:rPr>
                <w:rFonts w:ascii="Arial" w:hAnsi="Arial" w:eastAsia="Times New Roman" w:cs="Arial"/>
                <w:sz w:val="20"/>
                <w:szCs w:val="20"/>
              </w:rPr>
            </w:pPr>
            <w:r w:rsidRPr="001404DB">
              <w:t>(5) Sezione 17 – Voci relative alla dimensione</w:t>
            </w:r>
          </w:p>
        </w:tc>
        <w:tc>
          <w:tcPr>
            <w:tcW w:w="2745" w:type="dxa"/>
            <w:tcBorders>
              <w:left w:val="nil"/>
              <w:right w:val="nil"/>
            </w:tcBorders>
            <w:noWrap/>
          </w:tcPr>
          <w:p w:rsidRPr="001404DB" w:rsidR="00AE1893" w:rsidP="00BC3A1F" w:rsidRDefault="00AE1893" w14:paraId="57805216" w14:textId="77777777">
            <w:pPr>
              <w:jc w:val="right"/>
              <w:rPr>
                <w:rFonts w:ascii="Arial" w:hAnsi="Arial" w:eastAsia="Times New Roman" w:cs="Arial"/>
                <w:sz w:val="20"/>
                <w:szCs w:val="20"/>
                <w:lang w:eastAsia="en-GB"/>
              </w:rPr>
            </w:pPr>
          </w:p>
        </w:tc>
      </w:tr>
      <w:tr w:rsidRPr="001404DB" w:rsidR="00AE1893" w:rsidTr="00BC3A1F" w14:paraId="13B79335" w14:textId="77777777">
        <w:trPr>
          <w:trHeight w:val="300"/>
        </w:trPr>
        <w:tc>
          <w:tcPr>
            <w:tcW w:w="6804" w:type="dxa"/>
            <w:tcBorders>
              <w:left w:val="nil"/>
              <w:bottom w:val="single" w:color="auto" w:sz="4" w:space="0"/>
              <w:right w:val="nil"/>
            </w:tcBorders>
            <w:noWrap/>
          </w:tcPr>
          <w:p w:rsidRPr="001404DB" w:rsidR="00AE1893" w:rsidP="00BC3A1F" w:rsidRDefault="00AE1893" w14:paraId="7847BCB5" w14:textId="77777777">
            <w:pPr>
              <w:ind w:firstLine="220" w:firstLineChars="100"/>
              <w:rPr>
                <w:rFonts w:ascii="Arial" w:hAnsi="Arial" w:eastAsia="Times New Roman" w:cs="Arial"/>
                <w:sz w:val="20"/>
                <w:szCs w:val="20"/>
              </w:rPr>
            </w:pPr>
            <w:r w:rsidRPr="001404DB">
              <w:t>(6) Sezione 18 – Voci relative all’interconnessione</w:t>
            </w:r>
          </w:p>
        </w:tc>
        <w:tc>
          <w:tcPr>
            <w:tcW w:w="2745" w:type="dxa"/>
            <w:tcBorders>
              <w:left w:val="nil"/>
              <w:right w:val="nil"/>
            </w:tcBorders>
            <w:noWrap/>
          </w:tcPr>
          <w:p w:rsidRPr="001404DB" w:rsidR="00AE1893" w:rsidP="00BC3A1F" w:rsidRDefault="00AE1893" w14:paraId="731F52C7" w14:textId="77777777">
            <w:pPr>
              <w:jc w:val="right"/>
              <w:rPr>
                <w:rFonts w:ascii="Arial" w:hAnsi="Arial" w:eastAsia="Times New Roman" w:cs="Arial"/>
                <w:sz w:val="20"/>
                <w:szCs w:val="20"/>
                <w:lang w:eastAsia="en-GB"/>
              </w:rPr>
            </w:pPr>
          </w:p>
        </w:tc>
      </w:tr>
      <w:tr w:rsidRPr="001404DB" w:rsidR="00AE1893" w:rsidTr="00BC3A1F" w14:paraId="710312D3" w14:textId="77777777">
        <w:trPr>
          <w:trHeight w:val="300"/>
        </w:trPr>
        <w:tc>
          <w:tcPr>
            <w:tcW w:w="6804" w:type="dxa"/>
            <w:tcBorders>
              <w:left w:val="nil"/>
              <w:bottom w:val="single" w:color="auto" w:sz="4" w:space="0"/>
              <w:right w:val="nil"/>
            </w:tcBorders>
            <w:noWrap/>
          </w:tcPr>
          <w:p w:rsidRPr="001404DB" w:rsidR="00AE1893" w:rsidP="00BC3A1F" w:rsidRDefault="00AE1893" w14:paraId="049715ED" w14:textId="77777777">
            <w:pPr>
              <w:ind w:firstLine="220" w:firstLineChars="100"/>
              <w:rPr>
                <w:rFonts w:ascii="Arial" w:hAnsi="Arial" w:eastAsia="Times New Roman" w:cs="Arial"/>
                <w:sz w:val="20"/>
                <w:szCs w:val="20"/>
              </w:rPr>
            </w:pPr>
            <w:r w:rsidRPr="001404DB">
              <w:t xml:space="preserve">(7) Sezione 19 – </w:t>
            </w:r>
            <w:r>
              <w:t>Voci relative alla s</w:t>
            </w:r>
            <w:r w:rsidRPr="001404DB">
              <w:t>ostituibilità/infrastrutture finanziarie</w:t>
            </w:r>
          </w:p>
        </w:tc>
        <w:tc>
          <w:tcPr>
            <w:tcW w:w="2745" w:type="dxa"/>
            <w:tcBorders>
              <w:left w:val="nil"/>
              <w:right w:val="nil"/>
            </w:tcBorders>
            <w:noWrap/>
          </w:tcPr>
          <w:p w:rsidRPr="001404DB" w:rsidR="00AE1893" w:rsidP="00BC3A1F" w:rsidRDefault="00AE1893" w14:paraId="3330C505" w14:textId="77777777">
            <w:pPr>
              <w:jc w:val="right"/>
              <w:rPr>
                <w:rFonts w:ascii="Arial" w:hAnsi="Arial" w:eastAsia="Times New Roman" w:cs="Arial"/>
                <w:sz w:val="20"/>
                <w:szCs w:val="20"/>
                <w:lang w:eastAsia="en-GB"/>
              </w:rPr>
            </w:pPr>
          </w:p>
        </w:tc>
      </w:tr>
      <w:tr w:rsidRPr="001404DB" w:rsidR="00AE1893" w:rsidTr="00BC3A1F" w14:paraId="743CB066" w14:textId="77777777">
        <w:trPr>
          <w:trHeight w:val="300"/>
        </w:trPr>
        <w:tc>
          <w:tcPr>
            <w:tcW w:w="6804" w:type="dxa"/>
            <w:tcBorders>
              <w:left w:val="nil"/>
              <w:bottom w:val="single" w:color="auto" w:sz="4" w:space="0"/>
              <w:right w:val="nil"/>
            </w:tcBorders>
            <w:noWrap/>
          </w:tcPr>
          <w:p w:rsidRPr="001404DB" w:rsidR="00AE1893" w:rsidP="00BC3A1F" w:rsidRDefault="00AE1893" w14:paraId="1DF629D5" w14:textId="77777777">
            <w:pPr>
              <w:ind w:firstLine="220" w:firstLineChars="100"/>
              <w:rPr>
                <w:rFonts w:ascii="Arial" w:hAnsi="Arial" w:eastAsia="Times New Roman" w:cs="Arial"/>
                <w:sz w:val="20"/>
                <w:szCs w:val="20"/>
              </w:rPr>
            </w:pPr>
            <w:r w:rsidRPr="001404DB">
              <w:t>(8) Sezione 20 – Voci relative alla complessità</w:t>
            </w:r>
          </w:p>
        </w:tc>
        <w:tc>
          <w:tcPr>
            <w:tcW w:w="2745" w:type="dxa"/>
            <w:tcBorders>
              <w:left w:val="nil"/>
              <w:right w:val="nil"/>
            </w:tcBorders>
            <w:noWrap/>
          </w:tcPr>
          <w:p w:rsidRPr="001404DB" w:rsidR="00AE1893" w:rsidP="00BC3A1F" w:rsidRDefault="00AE1893" w14:paraId="07AF898E" w14:textId="77777777">
            <w:pPr>
              <w:jc w:val="right"/>
              <w:rPr>
                <w:rFonts w:ascii="Arial" w:hAnsi="Arial" w:eastAsia="Times New Roman" w:cs="Arial"/>
                <w:sz w:val="20"/>
                <w:szCs w:val="20"/>
                <w:lang w:eastAsia="en-GB"/>
              </w:rPr>
            </w:pPr>
          </w:p>
        </w:tc>
      </w:tr>
      <w:tr w:rsidRPr="001404DB" w:rsidR="00AE1893" w:rsidTr="00BC3A1F" w14:paraId="6D4EE167" w14:textId="77777777">
        <w:trPr>
          <w:trHeight w:val="300"/>
        </w:trPr>
        <w:tc>
          <w:tcPr>
            <w:tcW w:w="6804" w:type="dxa"/>
            <w:tcBorders>
              <w:left w:val="nil"/>
              <w:bottom w:val="single" w:color="auto" w:sz="4" w:space="0"/>
              <w:right w:val="nil"/>
            </w:tcBorders>
            <w:noWrap/>
          </w:tcPr>
          <w:p w:rsidRPr="001404DB" w:rsidR="00AE1893" w:rsidP="00BC3A1F" w:rsidRDefault="00AE1893" w14:paraId="57483283" w14:textId="77777777">
            <w:pPr>
              <w:ind w:firstLine="220" w:firstLineChars="100"/>
              <w:rPr>
                <w:rFonts w:ascii="Arial" w:hAnsi="Arial" w:eastAsia="Times New Roman" w:cs="Arial"/>
                <w:sz w:val="20"/>
                <w:szCs w:val="20"/>
              </w:rPr>
            </w:pPr>
            <w:r w:rsidRPr="001404DB">
              <w:t>(9) Sezione 21 – Voci relative alle attività transgiurisdizionali</w:t>
            </w:r>
          </w:p>
        </w:tc>
        <w:tc>
          <w:tcPr>
            <w:tcW w:w="2745" w:type="dxa"/>
            <w:tcBorders>
              <w:left w:val="nil"/>
              <w:right w:val="nil"/>
            </w:tcBorders>
            <w:noWrap/>
          </w:tcPr>
          <w:p w:rsidRPr="001404DB" w:rsidR="00AE1893" w:rsidP="00BC3A1F" w:rsidRDefault="00AE1893" w14:paraId="07C6B65E" w14:textId="77777777">
            <w:pPr>
              <w:jc w:val="right"/>
              <w:rPr>
                <w:rFonts w:ascii="Arial" w:hAnsi="Arial" w:eastAsia="Times New Roman" w:cs="Arial"/>
                <w:sz w:val="20"/>
                <w:szCs w:val="20"/>
                <w:lang w:eastAsia="en-GB"/>
              </w:rPr>
            </w:pPr>
          </w:p>
        </w:tc>
      </w:tr>
      <w:tr w:rsidRPr="001404DB" w:rsidR="00AE1893" w:rsidTr="00BC3A1F" w14:paraId="74D1A0C3" w14:textId="77777777">
        <w:trPr>
          <w:trHeight w:val="300"/>
        </w:trPr>
        <w:tc>
          <w:tcPr>
            <w:tcW w:w="6804" w:type="dxa"/>
            <w:tcBorders>
              <w:left w:val="nil"/>
              <w:bottom w:val="single" w:color="auto" w:sz="4" w:space="0"/>
              <w:right w:val="nil"/>
            </w:tcBorders>
            <w:noWrap/>
          </w:tcPr>
          <w:p w:rsidRPr="001404DB" w:rsidR="00AE1893" w:rsidP="00BC3A1F" w:rsidRDefault="00AE1893" w14:paraId="062A2189" w14:textId="77777777">
            <w:pPr>
              <w:ind w:firstLine="220" w:firstLineChars="100"/>
              <w:rPr>
                <w:rFonts w:ascii="Arial" w:hAnsi="Arial" w:eastAsia="Times New Roman" w:cs="Arial"/>
                <w:sz w:val="20"/>
                <w:szCs w:val="20"/>
              </w:rPr>
            </w:pPr>
            <w:r w:rsidRPr="001404DB">
              <w:t>(10) Sezione 22 – Indicatori accessori</w:t>
            </w:r>
          </w:p>
        </w:tc>
        <w:tc>
          <w:tcPr>
            <w:tcW w:w="2745" w:type="dxa"/>
            <w:tcBorders>
              <w:left w:val="nil"/>
              <w:right w:val="nil"/>
            </w:tcBorders>
            <w:noWrap/>
          </w:tcPr>
          <w:p w:rsidRPr="001404DB" w:rsidR="00AE1893" w:rsidP="00BC3A1F" w:rsidRDefault="00AE1893" w14:paraId="195534A7" w14:textId="77777777">
            <w:pPr>
              <w:jc w:val="right"/>
              <w:rPr>
                <w:rFonts w:ascii="Arial" w:hAnsi="Arial" w:eastAsia="Times New Roman" w:cs="Arial"/>
                <w:sz w:val="20"/>
                <w:szCs w:val="20"/>
                <w:lang w:eastAsia="en-GB"/>
              </w:rPr>
            </w:pPr>
          </w:p>
        </w:tc>
      </w:tr>
      <w:tr w:rsidRPr="001404DB" w:rsidR="00AE1893" w:rsidTr="00BC3A1F" w14:paraId="69C3114A" w14:textId="77777777">
        <w:trPr>
          <w:trHeight w:val="300"/>
        </w:trPr>
        <w:tc>
          <w:tcPr>
            <w:tcW w:w="6804" w:type="dxa"/>
            <w:tcBorders>
              <w:left w:val="nil"/>
              <w:bottom w:val="single" w:color="auto" w:sz="4" w:space="0"/>
              <w:right w:val="nil"/>
            </w:tcBorders>
            <w:noWrap/>
          </w:tcPr>
          <w:p w:rsidRPr="001404DB" w:rsidR="00AE1893" w:rsidP="00BC3A1F" w:rsidRDefault="00AE1893" w14:paraId="29115E97" w14:textId="77777777">
            <w:pPr>
              <w:rPr>
                <w:b/>
                <w:bCs/>
              </w:rPr>
            </w:pPr>
          </w:p>
        </w:tc>
        <w:tc>
          <w:tcPr>
            <w:tcW w:w="2745" w:type="dxa"/>
            <w:tcBorders>
              <w:left w:val="nil"/>
              <w:right w:val="nil"/>
            </w:tcBorders>
            <w:noWrap/>
          </w:tcPr>
          <w:p w:rsidRPr="001404DB" w:rsidR="00AE1893" w:rsidP="00BC3A1F" w:rsidRDefault="00AE1893" w14:paraId="1A66832D" w14:textId="77777777">
            <w:pPr>
              <w:jc w:val="center"/>
              <w:rPr>
                <w:b/>
                <w:bCs/>
              </w:rPr>
            </w:pPr>
          </w:p>
        </w:tc>
      </w:tr>
      <w:tr w:rsidRPr="001404DB" w:rsidR="00AE1893" w:rsidTr="00BC3A1F" w14:paraId="6479A6C8" w14:textId="77777777">
        <w:trPr>
          <w:trHeight w:val="300"/>
        </w:trPr>
        <w:tc>
          <w:tcPr>
            <w:tcW w:w="6804" w:type="dxa"/>
            <w:tcBorders>
              <w:left w:val="nil"/>
              <w:bottom w:val="single" w:color="auto" w:sz="4" w:space="0"/>
              <w:right w:val="nil"/>
            </w:tcBorders>
            <w:noWrap/>
          </w:tcPr>
          <w:p w:rsidRPr="001404DB" w:rsidR="00AE1893" w:rsidP="00BC3A1F" w:rsidRDefault="00AE1893" w14:paraId="7B7B29B5" w14:textId="77777777">
            <w:pPr>
              <w:rPr>
                <w:rFonts w:ascii="Arial" w:hAnsi="Arial" w:eastAsia="Times New Roman" w:cs="Arial"/>
                <w:sz w:val="20"/>
                <w:szCs w:val="20"/>
              </w:rPr>
            </w:pPr>
            <w:r w:rsidRPr="001404DB">
              <w:rPr>
                <w:b/>
              </w:rPr>
              <w:t>Sezione 24 – Valori degli indicatori (vecchia metodologia)</w:t>
            </w:r>
          </w:p>
        </w:tc>
        <w:tc>
          <w:tcPr>
            <w:tcW w:w="2745" w:type="dxa"/>
            <w:tcBorders>
              <w:left w:val="nil"/>
              <w:right w:val="nil"/>
            </w:tcBorders>
            <w:noWrap/>
          </w:tcPr>
          <w:p w:rsidRPr="001404DB" w:rsidR="00AE1893" w:rsidP="00BC3A1F" w:rsidRDefault="00AE1893" w14:paraId="3EFBFF30" w14:textId="77777777">
            <w:pPr>
              <w:jc w:val="center"/>
              <w:rPr>
                <w:rFonts w:ascii="Arial" w:hAnsi="Arial" w:eastAsia="Times New Roman" w:cs="Arial"/>
                <w:sz w:val="20"/>
                <w:szCs w:val="20"/>
              </w:rPr>
            </w:pPr>
            <w:r w:rsidRPr="001404DB">
              <w:rPr>
                <w:b/>
              </w:rPr>
              <w:t>Valore dell’indicatore nella valuta di segnalazione</w:t>
            </w:r>
          </w:p>
        </w:tc>
      </w:tr>
      <w:tr w:rsidRPr="001404DB" w:rsidR="00AE1893" w:rsidTr="00BC3A1F" w14:paraId="0B6AC6B7" w14:textId="77777777">
        <w:trPr>
          <w:trHeight w:val="300"/>
        </w:trPr>
        <w:tc>
          <w:tcPr>
            <w:tcW w:w="6804" w:type="dxa"/>
            <w:tcBorders>
              <w:left w:val="nil"/>
              <w:bottom w:val="single" w:color="auto" w:sz="4" w:space="0"/>
              <w:right w:val="nil"/>
            </w:tcBorders>
            <w:noWrap/>
          </w:tcPr>
          <w:p w:rsidRPr="001404DB" w:rsidR="00AE1893" w:rsidP="00BC3A1F" w:rsidRDefault="00AE1893" w14:paraId="2A003866" w14:textId="77777777">
            <w:pPr>
              <w:ind w:firstLine="220" w:firstLineChars="100"/>
              <w:rPr>
                <w:rFonts w:ascii="Arial" w:hAnsi="Arial" w:eastAsia="Times New Roman" w:cs="Arial"/>
                <w:sz w:val="20"/>
                <w:szCs w:val="20"/>
              </w:rPr>
            </w:pPr>
            <w:r w:rsidRPr="001404DB">
              <w:t>a. Sezione 2 – Indicatore delle esposizioni totali</w:t>
            </w:r>
          </w:p>
        </w:tc>
        <w:tc>
          <w:tcPr>
            <w:tcW w:w="2745" w:type="dxa"/>
            <w:tcBorders>
              <w:left w:val="nil"/>
              <w:right w:val="nil"/>
            </w:tcBorders>
            <w:noWrap/>
          </w:tcPr>
          <w:p w:rsidRPr="001404DB" w:rsidR="00AE1893" w:rsidP="00BC3A1F" w:rsidRDefault="00AE1893" w14:paraId="6580708D" w14:textId="77777777">
            <w:pPr>
              <w:jc w:val="right"/>
              <w:rPr>
                <w:rFonts w:ascii="Arial" w:hAnsi="Arial" w:eastAsia="Times New Roman" w:cs="Arial"/>
                <w:sz w:val="20"/>
                <w:szCs w:val="20"/>
                <w:lang w:eastAsia="en-GB"/>
              </w:rPr>
            </w:pPr>
          </w:p>
        </w:tc>
      </w:tr>
      <w:tr w:rsidRPr="001404DB" w:rsidR="00AE1893" w:rsidTr="00BC3A1F" w14:paraId="6416ADBB" w14:textId="77777777">
        <w:trPr>
          <w:trHeight w:val="300"/>
        </w:trPr>
        <w:tc>
          <w:tcPr>
            <w:tcW w:w="6804" w:type="dxa"/>
            <w:tcBorders>
              <w:left w:val="nil"/>
              <w:bottom w:val="single" w:color="auto" w:sz="4" w:space="0"/>
              <w:right w:val="nil"/>
            </w:tcBorders>
            <w:noWrap/>
          </w:tcPr>
          <w:p w:rsidRPr="001404DB" w:rsidR="00AE1893" w:rsidP="00BC3A1F" w:rsidRDefault="00AE1893" w14:paraId="1A5606C4" w14:textId="77777777">
            <w:pPr>
              <w:ind w:firstLine="220" w:firstLineChars="100"/>
              <w:rPr>
                <w:rFonts w:ascii="Arial" w:hAnsi="Arial" w:eastAsia="Times New Roman" w:cs="Arial"/>
                <w:sz w:val="20"/>
                <w:szCs w:val="20"/>
              </w:rPr>
            </w:pPr>
            <w:r w:rsidRPr="001404DB">
              <w:t>b. Sezione 18 – Indicatore delle attività verso altri enti finanziari</w:t>
            </w:r>
          </w:p>
        </w:tc>
        <w:tc>
          <w:tcPr>
            <w:tcW w:w="2745" w:type="dxa"/>
            <w:tcBorders>
              <w:left w:val="nil"/>
              <w:right w:val="nil"/>
            </w:tcBorders>
            <w:noWrap/>
          </w:tcPr>
          <w:p w:rsidRPr="001404DB" w:rsidR="00AE1893" w:rsidP="00BC3A1F" w:rsidRDefault="00AE1893" w14:paraId="714E4E17" w14:textId="77777777">
            <w:pPr>
              <w:jc w:val="right"/>
              <w:rPr>
                <w:rFonts w:ascii="Arial" w:hAnsi="Arial" w:eastAsia="Times New Roman" w:cs="Arial"/>
                <w:sz w:val="20"/>
                <w:szCs w:val="20"/>
                <w:lang w:eastAsia="en-GB"/>
              </w:rPr>
            </w:pPr>
          </w:p>
        </w:tc>
      </w:tr>
      <w:tr w:rsidRPr="001404DB" w:rsidR="00AE1893" w:rsidTr="00BC3A1F" w14:paraId="6ABA1FB1" w14:textId="77777777">
        <w:trPr>
          <w:trHeight w:val="300"/>
        </w:trPr>
        <w:tc>
          <w:tcPr>
            <w:tcW w:w="6804" w:type="dxa"/>
            <w:tcBorders>
              <w:left w:val="nil"/>
              <w:bottom w:val="single" w:color="auto" w:sz="4" w:space="0"/>
              <w:right w:val="nil"/>
            </w:tcBorders>
            <w:noWrap/>
          </w:tcPr>
          <w:p w:rsidRPr="001404DB" w:rsidR="00AE1893" w:rsidP="00BC3A1F" w:rsidRDefault="00AE1893" w14:paraId="5513D5FE" w14:textId="77777777">
            <w:pPr>
              <w:ind w:firstLine="220" w:firstLineChars="100"/>
              <w:rPr>
                <w:rFonts w:ascii="Arial" w:hAnsi="Arial" w:eastAsia="Times New Roman" w:cs="Arial"/>
                <w:sz w:val="20"/>
                <w:szCs w:val="20"/>
              </w:rPr>
            </w:pPr>
            <w:r w:rsidRPr="001404DB">
              <w:t>c. Sezione 18 – Indicatore delle passività verso altri enti finanziari</w:t>
            </w:r>
          </w:p>
        </w:tc>
        <w:tc>
          <w:tcPr>
            <w:tcW w:w="2745" w:type="dxa"/>
            <w:tcBorders>
              <w:left w:val="nil"/>
              <w:right w:val="nil"/>
            </w:tcBorders>
            <w:noWrap/>
          </w:tcPr>
          <w:p w:rsidRPr="001404DB" w:rsidR="00AE1893" w:rsidP="00BC3A1F" w:rsidRDefault="00AE1893" w14:paraId="75056329" w14:textId="77777777">
            <w:pPr>
              <w:jc w:val="right"/>
              <w:rPr>
                <w:rFonts w:ascii="Arial" w:hAnsi="Arial" w:eastAsia="Times New Roman" w:cs="Arial"/>
                <w:sz w:val="20"/>
                <w:szCs w:val="20"/>
                <w:lang w:eastAsia="en-GB"/>
              </w:rPr>
            </w:pPr>
          </w:p>
        </w:tc>
      </w:tr>
      <w:tr w:rsidRPr="001404DB" w:rsidR="00AE1893" w:rsidTr="00BC3A1F" w14:paraId="32F3C3B7" w14:textId="77777777">
        <w:trPr>
          <w:trHeight w:val="300"/>
        </w:trPr>
        <w:tc>
          <w:tcPr>
            <w:tcW w:w="6804" w:type="dxa"/>
            <w:tcBorders>
              <w:left w:val="nil"/>
              <w:bottom w:val="single" w:color="auto" w:sz="4" w:space="0"/>
              <w:right w:val="nil"/>
            </w:tcBorders>
            <w:noWrap/>
          </w:tcPr>
          <w:p w:rsidRPr="001404DB" w:rsidR="00AE1893" w:rsidP="00BC3A1F" w:rsidRDefault="00AE1893" w14:paraId="015EB6A0" w14:textId="77777777">
            <w:pPr>
              <w:ind w:firstLine="220" w:firstLineChars="100"/>
              <w:rPr>
                <w:rFonts w:ascii="Arial" w:hAnsi="Arial" w:eastAsia="Times New Roman" w:cs="Arial"/>
                <w:sz w:val="20"/>
                <w:szCs w:val="20"/>
              </w:rPr>
            </w:pPr>
            <w:r w:rsidRPr="001404DB">
              <w:t>d. Sezione 18 – Indicatore dei titoli in circolazione</w:t>
            </w:r>
          </w:p>
        </w:tc>
        <w:tc>
          <w:tcPr>
            <w:tcW w:w="2745" w:type="dxa"/>
            <w:tcBorders>
              <w:left w:val="nil"/>
              <w:right w:val="nil"/>
            </w:tcBorders>
            <w:noWrap/>
          </w:tcPr>
          <w:p w:rsidRPr="001404DB" w:rsidR="00AE1893" w:rsidP="00BC3A1F" w:rsidRDefault="00AE1893" w14:paraId="2990CC20" w14:textId="77777777">
            <w:pPr>
              <w:jc w:val="right"/>
              <w:rPr>
                <w:rFonts w:ascii="Arial" w:hAnsi="Arial" w:eastAsia="Times New Roman" w:cs="Arial"/>
                <w:sz w:val="20"/>
                <w:szCs w:val="20"/>
                <w:lang w:eastAsia="en-GB"/>
              </w:rPr>
            </w:pPr>
          </w:p>
        </w:tc>
      </w:tr>
      <w:tr w:rsidRPr="001404DB" w:rsidR="00AE1893" w:rsidTr="00BC3A1F" w14:paraId="4F53DF43" w14:textId="77777777">
        <w:trPr>
          <w:trHeight w:val="300"/>
        </w:trPr>
        <w:tc>
          <w:tcPr>
            <w:tcW w:w="6804" w:type="dxa"/>
            <w:tcBorders>
              <w:left w:val="nil"/>
              <w:bottom w:val="single" w:color="auto" w:sz="4" w:space="0"/>
              <w:right w:val="nil"/>
            </w:tcBorders>
            <w:noWrap/>
          </w:tcPr>
          <w:p w:rsidRPr="001404DB" w:rsidR="00AE1893" w:rsidP="00BC3A1F" w:rsidRDefault="00AE1893" w14:paraId="4CA80B86" w14:textId="77777777">
            <w:pPr>
              <w:ind w:firstLine="220" w:firstLineChars="100"/>
              <w:rPr>
                <w:rFonts w:ascii="Arial" w:hAnsi="Arial" w:eastAsia="Times New Roman" w:cs="Arial"/>
                <w:sz w:val="20"/>
                <w:szCs w:val="20"/>
              </w:rPr>
            </w:pPr>
            <w:r w:rsidRPr="001404DB">
              <w:t>e. Sezione 6 – Indicatore delle attività di pagamento</w:t>
            </w:r>
          </w:p>
        </w:tc>
        <w:tc>
          <w:tcPr>
            <w:tcW w:w="2745" w:type="dxa"/>
            <w:tcBorders>
              <w:left w:val="nil"/>
              <w:right w:val="nil"/>
            </w:tcBorders>
            <w:noWrap/>
          </w:tcPr>
          <w:p w:rsidRPr="001404DB" w:rsidR="00AE1893" w:rsidP="00BC3A1F" w:rsidRDefault="00AE1893" w14:paraId="65CEF32C" w14:textId="77777777">
            <w:pPr>
              <w:jc w:val="right"/>
              <w:rPr>
                <w:rFonts w:ascii="Arial" w:hAnsi="Arial" w:eastAsia="Times New Roman" w:cs="Arial"/>
                <w:sz w:val="20"/>
                <w:szCs w:val="20"/>
                <w:lang w:eastAsia="en-GB"/>
              </w:rPr>
            </w:pPr>
          </w:p>
        </w:tc>
      </w:tr>
      <w:tr w:rsidRPr="001404DB" w:rsidR="00AE1893" w:rsidTr="00BC3A1F" w14:paraId="210A67BE" w14:textId="77777777">
        <w:trPr>
          <w:trHeight w:val="300"/>
        </w:trPr>
        <w:tc>
          <w:tcPr>
            <w:tcW w:w="6804" w:type="dxa"/>
            <w:tcBorders>
              <w:left w:val="nil"/>
              <w:bottom w:val="single" w:color="auto" w:sz="4" w:space="0"/>
              <w:right w:val="nil"/>
            </w:tcBorders>
            <w:noWrap/>
          </w:tcPr>
          <w:p w:rsidRPr="001404DB" w:rsidR="00AE1893" w:rsidP="00BC3A1F" w:rsidRDefault="00AE1893" w14:paraId="5FA8E5FA" w14:textId="77777777">
            <w:pPr>
              <w:ind w:firstLine="220" w:firstLineChars="100"/>
              <w:rPr>
                <w:rFonts w:ascii="Arial" w:hAnsi="Arial" w:eastAsia="Times New Roman" w:cs="Arial"/>
                <w:sz w:val="20"/>
                <w:szCs w:val="20"/>
              </w:rPr>
            </w:pPr>
            <w:r w:rsidRPr="001404DB">
              <w:t>f. Sezione 7 – Indicatore delle attività in custodia</w:t>
            </w:r>
          </w:p>
        </w:tc>
        <w:tc>
          <w:tcPr>
            <w:tcW w:w="2745" w:type="dxa"/>
            <w:tcBorders>
              <w:left w:val="nil"/>
              <w:right w:val="nil"/>
            </w:tcBorders>
            <w:noWrap/>
          </w:tcPr>
          <w:p w:rsidRPr="001404DB" w:rsidR="00AE1893" w:rsidP="00BC3A1F" w:rsidRDefault="00AE1893" w14:paraId="6D8BA373" w14:textId="77777777">
            <w:pPr>
              <w:jc w:val="right"/>
              <w:rPr>
                <w:rFonts w:ascii="Arial" w:hAnsi="Arial" w:eastAsia="Times New Roman" w:cs="Arial"/>
                <w:sz w:val="20"/>
                <w:szCs w:val="20"/>
                <w:lang w:eastAsia="en-GB"/>
              </w:rPr>
            </w:pPr>
          </w:p>
        </w:tc>
      </w:tr>
      <w:tr w:rsidRPr="001404DB" w:rsidR="00AE1893" w:rsidTr="00BC3A1F" w14:paraId="2DA5FDFB" w14:textId="77777777">
        <w:trPr>
          <w:trHeight w:val="300"/>
        </w:trPr>
        <w:tc>
          <w:tcPr>
            <w:tcW w:w="6804" w:type="dxa"/>
            <w:tcBorders>
              <w:left w:val="nil"/>
              <w:bottom w:val="single" w:color="auto" w:sz="4" w:space="0"/>
              <w:right w:val="nil"/>
            </w:tcBorders>
            <w:noWrap/>
          </w:tcPr>
          <w:p w:rsidRPr="001404DB" w:rsidR="00AE1893" w:rsidP="00BC3A1F" w:rsidRDefault="00AE1893" w14:paraId="273AAC55" w14:textId="77777777">
            <w:pPr>
              <w:ind w:firstLine="220" w:firstLineChars="100"/>
              <w:rPr>
                <w:rFonts w:ascii="Arial" w:hAnsi="Arial" w:eastAsia="Times New Roman" w:cs="Arial"/>
                <w:sz w:val="20"/>
                <w:szCs w:val="20"/>
              </w:rPr>
            </w:pPr>
            <w:r w:rsidRPr="001404DB">
              <w:t>g. Sezione 8 – Indicatore dell’attività di sottoscrizione</w:t>
            </w:r>
          </w:p>
        </w:tc>
        <w:tc>
          <w:tcPr>
            <w:tcW w:w="2745" w:type="dxa"/>
            <w:tcBorders>
              <w:left w:val="nil"/>
              <w:right w:val="nil"/>
            </w:tcBorders>
            <w:noWrap/>
          </w:tcPr>
          <w:p w:rsidRPr="001404DB" w:rsidR="00AE1893" w:rsidP="00BC3A1F" w:rsidRDefault="00AE1893" w14:paraId="10F1F739" w14:textId="77777777">
            <w:pPr>
              <w:jc w:val="right"/>
              <w:rPr>
                <w:rFonts w:ascii="Arial" w:hAnsi="Arial" w:eastAsia="Times New Roman" w:cs="Arial"/>
                <w:sz w:val="20"/>
                <w:szCs w:val="20"/>
                <w:lang w:eastAsia="en-GB"/>
              </w:rPr>
            </w:pPr>
          </w:p>
        </w:tc>
      </w:tr>
      <w:tr w:rsidRPr="001404DB" w:rsidR="00AE1893" w:rsidTr="00BC3A1F" w14:paraId="4DE8DE7F" w14:textId="77777777">
        <w:trPr>
          <w:trHeight w:val="300"/>
        </w:trPr>
        <w:tc>
          <w:tcPr>
            <w:tcW w:w="6804" w:type="dxa"/>
            <w:tcBorders>
              <w:left w:val="nil"/>
              <w:bottom w:val="single" w:color="auto" w:sz="4" w:space="0"/>
              <w:right w:val="nil"/>
            </w:tcBorders>
            <w:noWrap/>
          </w:tcPr>
          <w:p w:rsidRPr="001404DB" w:rsidR="00AE1893" w:rsidP="00BC3A1F" w:rsidRDefault="00AE1893" w14:paraId="540D4978" w14:textId="77777777">
            <w:pPr>
              <w:ind w:firstLine="220" w:firstLineChars="100"/>
              <w:rPr>
                <w:rFonts w:ascii="Arial" w:hAnsi="Arial" w:eastAsia="Times New Roman" w:cs="Arial"/>
                <w:sz w:val="20"/>
                <w:szCs w:val="20"/>
              </w:rPr>
            </w:pPr>
            <w:r w:rsidRPr="001404DB">
              <w:t>h. Sezione 20 – Indicatore dei derivati OTC</w:t>
            </w:r>
          </w:p>
        </w:tc>
        <w:tc>
          <w:tcPr>
            <w:tcW w:w="2745" w:type="dxa"/>
            <w:tcBorders>
              <w:left w:val="nil"/>
              <w:right w:val="nil"/>
            </w:tcBorders>
            <w:noWrap/>
          </w:tcPr>
          <w:p w:rsidRPr="001404DB" w:rsidR="00AE1893" w:rsidP="00BC3A1F" w:rsidRDefault="00AE1893" w14:paraId="1CC85EC8" w14:textId="77777777">
            <w:pPr>
              <w:jc w:val="right"/>
              <w:rPr>
                <w:rFonts w:ascii="Arial" w:hAnsi="Arial" w:eastAsia="Times New Roman" w:cs="Arial"/>
                <w:sz w:val="20"/>
                <w:szCs w:val="20"/>
                <w:lang w:eastAsia="en-GB"/>
              </w:rPr>
            </w:pPr>
          </w:p>
        </w:tc>
      </w:tr>
      <w:tr w:rsidRPr="001404DB" w:rsidR="00AE1893" w:rsidTr="00BC3A1F" w14:paraId="2A1997DF" w14:textId="77777777">
        <w:trPr>
          <w:trHeight w:val="300"/>
        </w:trPr>
        <w:tc>
          <w:tcPr>
            <w:tcW w:w="6804" w:type="dxa"/>
            <w:tcBorders>
              <w:left w:val="nil"/>
              <w:bottom w:val="single" w:color="auto" w:sz="4" w:space="0"/>
              <w:right w:val="nil"/>
            </w:tcBorders>
            <w:noWrap/>
          </w:tcPr>
          <w:p w:rsidRPr="001404DB" w:rsidR="00AE1893" w:rsidP="00BC3A1F" w:rsidRDefault="00AE1893" w14:paraId="79AC7EAE" w14:textId="77777777">
            <w:pPr>
              <w:ind w:firstLine="220" w:firstLineChars="100"/>
              <w:rPr>
                <w:rFonts w:ascii="Arial" w:hAnsi="Arial" w:eastAsia="Times New Roman" w:cs="Arial"/>
                <w:sz w:val="20"/>
                <w:szCs w:val="20"/>
              </w:rPr>
            </w:pPr>
            <w:r w:rsidRPr="001404DB">
              <w:t>i. Sezione 11 – Indicatore dei titoli detenuti per la negoziazione e disponibili per la vendita</w:t>
            </w:r>
          </w:p>
        </w:tc>
        <w:tc>
          <w:tcPr>
            <w:tcW w:w="2745" w:type="dxa"/>
            <w:tcBorders>
              <w:left w:val="nil"/>
              <w:right w:val="nil"/>
            </w:tcBorders>
            <w:noWrap/>
          </w:tcPr>
          <w:p w:rsidRPr="001404DB" w:rsidR="00AE1893" w:rsidP="00BC3A1F" w:rsidRDefault="00AE1893" w14:paraId="6984E387" w14:textId="77777777">
            <w:pPr>
              <w:jc w:val="right"/>
              <w:rPr>
                <w:rFonts w:ascii="Arial" w:hAnsi="Arial" w:eastAsia="Times New Roman" w:cs="Arial"/>
                <w:sz w:val="20"/>
                <w:szCs w:val="20"/>
                <w:lang w:eastAsia="en-GB"/>
              </w:rPr>
            </w:pPr>
          </w:p>
        </w:tc>
      </w:tr>
      <w:tr w:rsidRPr="001404DB" w:rsidR="00AE1893" w:rsidTr="00BC3A1F" w14:paraId="10EDA776" w14:textId="77777777">
        <w:trPr>
          <w:trHeight w:val="300"/>
        </w:trPr>
        <w:tc>
          <w:tcPr>
            <w:tcW w:w="6804" w:type="dxa"/>
            <w:tcBorders>
              <w:left w:val="nil"/>
              <w:bottom w:val="single" w:color="auto" w:sz="4" w:space="0"/>
              <w:right w:val="nil"/>
            </w:tcBorders>
            <w:noWrap/>
          </w:tcPr>
          <w:p w:rsidRPr="001404DB" w:rsidR="00AE1893" w:rsidP="00BC3A1F" w:rsidRDefault="00AE1893" w14:paraId="32E41A15" w14:textId="77777777">
            <w:pPr>
              <w:ind w:firstLine="220" w:firstLineChars="100"/>
              <w:rPr>
                <w:rFonts w:ascii="Arial" w:hAnsi="Arial" w:eastAsia="Times New Roman" w:cs="Arial"/>
                <w:sz w:val="20"/>
                <w:szCs w:val="20"/>
              </w:rPr>
            </w:pPr>
            <w:r w:rsidRPr="001404DB">
              <w:t>j. Sezione 20 – Indicatore delle attività di livello 3</w:t>
            </w:r>
          </w:p>
        </w:tc>
        <w:tc>
          <w:tcPr>
            <w:tcW w:w="2745" w:type="dxa"/>
            <w:tcBorders>
              <w:left w:val="nil"/>
              <w:right w:val="nil"/>
            </w:tcBorders>
            <w:noWrap/>
          </w:tcPr>
          <w:p w:rsidRPr="001404DB" w:rsidR="00AE1893" w:rsidP="00BC3A1F" w:rsidRDefault="00AE1893" w14:paraId="73C969D3" w14:textId="77777777">
            <w:pPr>
              <w:jc w:val="right"/>
              <w:rPr>
                <w:rFonts w:ascii="Arial" w:hAnsi="Arial" w:eastAsia="Times New Roman" w:cs="Arial"/>
                <w:sz w:val="20"/>
                <w:szCs w:val="20"/>
                <w:lang w:eastAsia="en-GB"/>
              </w:rPr>
            </w:pPr>
          </w:p>
        </w:tc>
      </w:tr>
      <w:tr w:rsidRPr="001404DB" w:rsidR="00AE1893" w:rsidTr="00BC3A1F" w14:paraId="3B5B6A08" w14:textId="77777777">
        <w:trPr>
          <w:trHeight w:val="300"/>
        </w:trPr>
        <w:tc>
          <w:tcPr>
            <w:tcW w:w="6804" w:type="dxa"/>
            <w:tcBorders>
              <w:left w:val="nil"/>
              <w:bottom w:val="single" w:color="auto" w:sz="4" w:space="0"/>
              <w:right w:val="nil"/>
            </w:tcBorders>
            <w:noWrap/>
          </w:tcPr>
          <w:p w:rsidRPr="001404DB" w:rsidR="00AE1893" w:rsidP="00BC3A1F" w:rsidRDefault="00AE1893" w14:paraId="083E0B40" w14:textId="77777777">
            <w:pPr>
              <w:ind w:firstLine="220" w:firstLineChars="100"/>
              <w:rPr>
                <w:rFonts w:ascii="Arial" w:hAnsi="Arial" w:eastAsia="Times New Roman" w:cs="Arial"/>
                <w:sz w:val="20"/>
                <w:szCs w:val="20"/>
              </w:rPr>
            </w:pPr>
            <w:r w:rsidRPr="001404DB">
              <w:t xml:space="preserve">k. Sezione 13 – Indicatore delle </w:t>
            </w:r>
            <w:r>
              <w:t>attività</w:t>
            </w:r>
            <w:r w:rsidRPr="001404DB">
              <w:t xml:space="preserve"> transgiurisdizionali</w:t>
            </w:r>
          </w:p>
        </w:tc>
        <w:tc>
          <w:tcPr>
            <w:tcW w:w="2745" w:type="dxa"/>
            <w:tcBorders>
              <w:left w:val="nil"/>
              <w:right w:val="nil"/>
            </w:tcBorders>
            <w:noWrap/>
          </w:tcPr>
          <w:p w:rsidRPr="001404DB" w:rsidR="00AE1893" w:rsidP="00BC3A1F" w:rsidRDefault="00AE1893" w14:paraId="4F423E43" w14:textId="77777777">
            <w:pPr>
              <w:jc w:val="right"/>
              <w:rPr>
                <w:rFonts w:ascii="Arial" w:hAnsi="Arial" w:eastAsia="Times New Roman" w:cs="Arial"/>
                <w:sz w:val="20"/>
                <w:szCs w:val="20"/>
                <w:lang w:eastAsia="en-GB"/>
              </w:rPr>
            </w:pPr>
          </w:p>
        </w:tc>
      </w:tr>
      <w:tr w:rsidRPr="001404DB" w:rsidR="00AE1893" w:rsidTr="00BC3A1F" w14:paraId="0F3B9E19" w14:textId="77777777">
        <w:trPr>
          <w:trHeight w:val="300"/>
        </w:trPr>
        <w:tc>
          <w:tcPr>
            <w:tcW w:w="6804" w:type="dxa"/>
            <w:tcBorders>
              <w:left w:val="nil"/>
              <w:bottom w:val="single" w:color="auto" w:sz="4" w:space="0"/>
              <w:right w:val="nil"/>
            </w:tcBorders>
            <w:noWrap/>
          </w:tcPr>
          <w:p w:rsidRPr="001404DB" w:rsidR="00AE1893" w:rsidP="00BC3A1F" w:rsidRDefault="00AE1893" w14:paraId="3CFF78A4" w14:textId="77777777">
            <w:pPr>
              <w:ind w:firstLine="220" w:firstLineChars="100"/>
              <w:rPr>
                <w:rFonts w:ascii="Arial" w:hAnsi="Arial" w:eastAsia="Times New Roman" w:cs="Arial"/>
                <w:sz w:val="20"/>
                <w:szCs w:val="20"/>
              </w:rPr>
            </w:pPr>
            <w:r w:rsidRPr="001404DB">
              <w:t>l. Sezione 21 – Indicatore delle passività transgiurisdizionali</w:t>
            </w:r>
          </w:p>
        </w:tc>
        <w:tc>
          <w:tcPr>
            <w:tcW w:w="2745" w:type="dxa"/>
            <w:tcBorders>
              <w:left w:val="nil"/>
              <w:right w:val="nil"/>
            </w:tcBorders>
            <w:noWrap/>
          </w:tcPr>
          <w:p w:rsidRPr="001404DB" w:rsidR="00AE1893" w:rsidP="00BC3A1F" w:rsidRDefault="00AE1893" w14:paraId="2FC40D36" w14:textId="77777777">
            <w:pPr>
              <w:jc w:val="right"/>
              <w:rPr>
                <w:rFonts w:ascii="Arial" w:hAnsi="Arial" w:eastAsia="Times New Roman" w:cs="Arial"/>
                <w:sz w:val="20"/>
                <w:szCs w:val="20"/>
                <w:lang w:eastAsia="en-GB"/>
              </w:rPr>
            </w:pPr>
          </w:p>
        </w:tc>
      </w:tr>
    </w:tbl>
    <w:p w:rsidRPr="008F2BD8" w:rsidR="00B43E07" w:rsidP="00F9329F" w:rsidRDefault="00B43E07" w14:paraId="609D9107" w14:textId="34CF2015">
      <w:pPr>
        <w:pStyle w:val="TableParagraph"/>
        <w:spacing w:before="11"/>
      </w:pPr>
    </w:p>
    <w:sectPr w:rsidRPr="008F2BD8" w:rsidR="00B43E07" w:rsidSect="000F33D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37A7" w14:textId="77777777" w:rsidR="00984295" w:rsidRDefault="00984295" w:rsidP="00A00E34">
      <w:r>
        <w:separator/>
      </w:r>
    </w:p>
    <w:p w14:paraId="3C82EFE3" w14:textId="77777777" w:rsidR="00984295" w:rsidRDefault="00984295"/>
  </w:endnote>
  <w:endnote w:type="continuationSeparator" w:id="0">
    <w:p w14:paraId="6F706234" w14:textId="77777777" w:rsidR="00984295" w:rsidRDefault="00984295" w:rsidP="00A00E34">
      <w:r>
        <w:continuationSeparator/>
      </w:r>
    </w:p>
    <w:p w14:paraId="45744C4B" w14:textId="77777777" w:rsidR="00984295" w:rsidRDefault="00984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438" w:rsidP="0017667F" w:rsidRDefault="00B90438" w14:paraId="142C28E2" w14:textId="77777777">
    <w:pPr>
      <w:pStyle w:val="Footer"/>
      <w:rPr>
        <w:rStyle w:val="PageNumber"/>
        <w:noProof/>
      </w:rPr>
    </w:pPr>
    <w:r>
      <w:rPr>
        <w:rStyle w:val="PageNumber"/>
      </w:rPr>
      <w:fldChar w:fldCharType="begin"/>
    </w:r>
    <w:r>
      <w:rPr>
        <w:rStyle w:val="PageNumber"/>
      </w:rPr>
      <w:instrText xml:space="preserve">PAGE  </w:instrText>
    </w:r>
    <w:r>
      <w:rPr>
        <w:rStyle w:val="PageNumber"/>
      </w:rPr>
      <w:fldChar w:fldCharType="end"/>
    </w:r>
  </w:p>
  <w:p w:rsidR="00B90438" w:rsidP="00610305" w:rsidRDefault="00B90438" w14:paraId="7D2916CD" w14:textId="77777777">
    <w:pPr>
      <w:pStyle w:val="Footer"/>
      <w:ind w:right="360"/>
      <w:rPr>
        <w:noProof/>
      </w:rPr>
    </w:pPr>
  </w:p>
</w:ftr>
</file>

<file path=word/footer2.xml><?xml version="1.0" encoding="utf-8"?>
<w:ftr xmlns:a="http://schemas.openxmlformats.org/drawingml/2006/main"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438" w:rsidP="0017667F" w:rsidRDefault="00B90438" w14:paraId="7C3A9832" w14:textId="33E37131">
    <w:pPr>
      <w:pStyle w:val="Footer"/>
      <w:rPr>
        <w:rStyle w:val="PageNumber"/>
        <w:noProof/>
      </w:rPr>
    </w:pPr>
    <w:r>
      <w:rPr>
        <w:rStyle w:val="PageNumber"/>
      </w:rPr>
      <w:fldChar w:fldCharType="begin"/>
    </w:r>
    <w:r>
      <w:rPr>
        <w:rStyle w:val="PageNumber"/>
      </w:rPr>
      <w:instrText xml:space="preserve">PAGE  </w:instrText>
    </w:r>
    <w:r>
      <w:rPr>
        <w:rStyle w:val="PageNumber"/>
      </w:rPr>
      <w:fldChar w:fldCharType="separate"/>
    </w:r>
    <w:r w:rsidR="00087F94">
      <w:rPr>
        <w:rStyle w:val="PageNumber"/>
        <w:noProof/>
      </w:rPr>
      <w:t>16</w:t>
    </w:r>
    <w:r>
      <w:rPr>
        <w:rStyle w:val="PageNumber"/>
      </w:rPr>
      <w:fldChar w:fldCharType="end"/>
    </w:r>
  </w:p>
  <w:p w:rsidR="00B90438" w:rsidP="00610305" w:rsidRDefault="00B90438" w14:paraId="6EEDA3DB" w14:textId="77777777">
    <w:pPr>
      <w:pStyle w:val="Footer"/>
      <w:ind w:right="360"/>
      <w:rPr>
        <w:noProof/>
      </w:rPr>
    </w:pPr>
    <w:r>
      <w:rPr>
        <w:noProof/>
        <w:lang w:val="en-GB" w:eastAsia="en-GB"/>
      </w:rPr>
      <mc:AlternateContent>
        <mc:Choice Requires="wps">
          <w:drawing>
            <wp:anchor distT="4294967295" distB="4294967295" distL="114300" distR="114300" simplePos="0" relativeHeight="251657728" behindDoc="1" locked="1" layoutInCell="1" allowOverlap="1" wp14:editId="03F879D1" wp14:anchorId="127A96D1">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w:pict>
            <v:line id="Straight Connector 10"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spid="_x0000_s1026" strokecolor="#2f5773 [32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from="-5.6pt,785.3pt" to="445.1pt,785.3pt" w14:anchorId="24AB5C30">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4C7C" w14:textId="77777777" w:rsidR="00984295" w:rsidRPr="00DB5E8F" w:rsidRDefault="00984295">
      <w:pPr>
        <w:rPr>
          <w:sz w:val="12"/>
          <w:szCs w:val="12"/>
        </w:rPr>
      </w:pPr>
      <w:r w:rsidRPr="00DB5E8F">
        <w:rPr>
          <w:sz w:val="12"/>
          <w:szCs w:val="12"/>
        </w:rPr>
        <w:separator/>
      </w:r>
    </w:p>
  </w:footnote>
  <w:footnote w:type="continuationSeparator" w:id="0">
    <w:p w14:paraId="7CEC3ADE" w14:textId="77777777" w:rsidR="00984295" w:rsidRDefault="00984295" w:rsidP="00A00E34">
      <w:r>
        <w:continuationSeparator/>
      </w:r>
    </w:p>
    <w:p w14:paraId="0D9B40AD" w14:textId="77777777" w:rsidR="00984295" w:rsidRDefault="00984295"/>
  </w:footnote>
  <w:footnote w:type="continuationNotice" w:id="1">
    <w:p w14:paraId="41292046" w14:textId="77777777" w:rsidR="00984295" w:rsidRDefault="00984295"/>
  </w:footnote>
  <w:footnote w:id="2">
    <w:p w14:paraId="2B9C6101" w14:textId="2B4968B2" w:rsidR="00B90438" w:rsidRPr="008F2BD8" w:rsidRDefault="00B90438" w:rsidP="00C92B4B">
      <w:pPr>
        <w:pStyle w:val="FootnoteText"/>
        <w:rPr>
          <w:rFonts w:ascii="Calibri" w:hAnsi="Calibri" w:cs="Calibri"/>
        </w:rPr>
      </w:pPr>
      <w:r w:rsidRPr="008F2BD8">
        <w:t>(</w:t>
      </w:r>
      <w:r w:rsidRPr="008F2BD8">
        <w:rPr>
          <w:rStyle w:val="FootnoteReference"/>
          <w:rFonts w:ascii="Calibri" w:hAnsi="Calibri" w:cs="Calibri"/>
          <w:sz w:val="18"/>
        </w:rPr>
        <w:footnoteRef/>
      </w:r>
      <w:r w:rsidRPr="008F2BD8">
        <w:t>)</w:t>
      </w:r>
      <w:r w:rsidRPr="008F2BD8">
        <w:rPr>
          <w:rFonts w:ascii="Calibri" w:hAnsi="Calibri"/>
        </w:rPr>
        <w:t> Regolamento (UE) n. 1093/2010 del Parlamento europeo e del Consiglio, del 24 novembre 2010, che istituisce l’Autorità europea di vigilanza (Autorità bancaria europea), modifica la decisione n. 716/2009/CE e abroga la decisione 2009/78/CE della Commissione (GU L 331 del 15.12.2010, pag. 12).</w:t>
      </w:r>
    </w:p>
  </w:footnote>
  <w:footnote w:id="3">
    <w:p w14:paraId="1F3CC82E" w14:textId="77777777" w:rsidR="009510B6" w:rsidRPr="001404DB" w:rsidRDefault="009510B6" w:rsidP="009510B6">
      <w:pPr>
        <w:pStyle w:val="FootnoteText"/>
      </w:pPr>
      <w:r w:rsidRPr="001404DB">
        <w:t>(</w:t>
      </w:r>
      <w:r w:rsidRPr="001404DB">
        <w:rPr>
          <w:rStyle w:val="FootnoteReference"/>
          <w:lang w:val="en-GB"/>
        </w:rPr>
        <w:footnoteRef/>
      </w:r>
      <w:r w:rsidRPr="001404DB">
        <w:t>) https://www.eba.europa.eu/risk-analysis-and-data/global-systemically-important-institutions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438" w:rsidRDefault="00B90438" w14:paraId="41B1516F" w14:textId="12C57839">
    <w:pPr>
      <w:rPr>
        <w:noProof/>
      </w:rPr>
    </w:pPr>
    <w:r>
      <w:ptab w:alignment="center" w:relativeTo="margin" w:leader="none"/>
    </w:r>
    <w:r>
      <w:ptab w:alignment="right" w:relativeTo="margin" w:leader="none"/>
    </w:r>
  </w:p>
  <w:p w:rsidR="00B90438" w:rsidRDefault="00B90438" w14:paraId="4A8DE438" w14:textId="77777777">
    <w:pPr>
      <w:rPr>
        <w:noProof/>
      </w:rPr>
    </w:pPr>
  </w:p>
</w:hdr>
</file>

<file path=word/header2.xml><?xml version="1.0" encoding="utf-8"?>
<w:hdr xmlns:a="http://schemas.openxmlformats.org/drawingml/2006/main" xmlns:pic="http://schemas.openxmlformats.org/drawingml/2006/picture" xmlns:a14="http://schemas.microsoft.com/office/drawing/2010/main" xmlns:ma14="http://schemas.microsoft.com/office/mac/drawingml/2011/main" xmlns:mv="urn:schemas-microsoft-com:mac:vml" xmlns:mo="http://schemas.microsoft.com/office/mac/office/2008/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438" w:rsidP="002215B5" w:rsidRDefault="00B90438" w14:paraId="233A6472" w14:textId="42F4713B">
    <w:pPr>
      <w:pStyle w:val="Runningtitle"/>
      <w:rPr>
        <w:noProof/>
      </w:rPr>
    </w:pPr>
    <w:r>
      <w:rPr>
        <w:noProof/>
        <w:lang w:val="en-GB" w:eastAsia="en-GB"/>
      </w:rPr>
      <w:drawing>
        <wp:anchor distT="0" distB="0" distL="114300" distR="114300" simplePos="0" relativeHeight="251671040" behindDoc="0" locked="0" layoutInCell="1" allowOverlap="1" wp14:editId="234C082C" wp14:anchorId="427C9B91">
          <wp:simplePos x="0" y="0"/>
          <wp:positionH relativeFrom="column">
            <wp:posOffset>4739392</wp:posOffset>
          </wp:positionH>
          <wp:positionV relativeFrom="page">
            <wp:posOffset>450215</wp:posOffset>
          </wp:positionV>
          <wp:extent cx="1207770" cy="447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a:ext>
                  </a:extLst>
                </pic:spPr>
              </pic:pic>
            </a:graphicData>
          </a:graphic>
        </wp:anchor>
      </w:drawing>
    </w:r>
    <w:r>
      <w:t>Relazione FINALE sugli orientamenti ABE in materia di precisazione degli indicatori</w:t>
    </w:r>
  </w:p>
  <w:p w:rsidRPr="00F9452C" w:rsidR="00B90438" w:rsidP="002215B5" w:rsidRDefault="00B90438" w14:paraId="122C2463" w14:textId="77777777">
    <w:pPr>
      <w:pStyle w:val="Runningtitle"/>
      <w:rPr>
        <w:noProof/>
      </w:rPr>
    </w:pPr>
    <w:r>
      <w:t>a rilevanza sistemica e relativa informativa</w:t>
    </w:r>
  </w:p>
  <w:p w:rsidRPr="002215B5" w:rsidR="00B90438" w:rsidP="002215B5" w:rsidRDefault="00B90438" w14:paraId="750CEC09" w14:textId="5D2D20C5">
    <w:pPr>
      <w:pStyle w:val="Header"/>
      <w:rPr>
        <w:noProof/>
      </w:rPr>
    </w:pPr>
  </w:p>
</w:hdr>
</file>

<file path=word/header3.xml><?xml version="1.0" encoding="utf-8"?>
<w:hdr xmlns:a="http://schemas.openxmlformats.org/drawingml/2006/main" xmlns:pic="http://schemas.openxmlformats.org/drawingml/2006/picture" xmlns:a14="http://schemas.microsoft.com/office/drawing/2010/main" xmlns:mo="http://schemas.microsoft.com/office/mac/office/2008/main" xmlns:mv="urn:schemas-microsoft-com:mac:vml"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438" w:rsidP="00E677EF" w:rsidRDefault="00B90438" w14:paraId="6E4DF7C2" w14:textId="77777777">
    <w:pPr>
      <w:pStyle w:val="Runningtitle"/>
      <w:rPr>
        <w:noProof/>
      </w:rPr>
    </w:pPr>
    <w:r>
      <w:t>inserire qui il titolo corrente nello stile dei titoli correnti</w:t>
    </w:r>
    <w:r>
      <w:rPr>
        <w:noProof/>
        <w:lang w:val="en-GB" w:eastAsia="en-GB"/>
      </w:rPr>
      <w:drawing>
        <wp:anchor distT="0" distB="0" distL="114300" distR="114300" simplePos="0" relativeHeight="251653632" behindDoc="1" locked="1" layoutInCell="1" allowOverlap="0" wp14:editId="569AD1BD" wp14:anchorId="6E65E8A4">
          <wp:simplePos x="0" y="0"/>
          <wp:positionH relativeFrom="page">
            <wp:posOffset>4702175</wp:posOffset>
          </wp:positionH>
          <wp:positionV relativeFrom="page">
            <wp:posOffset>450215</wp:posOffset>
          </wp:positionV>
          <wp:extent cx="1941830" cy="71945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a14="http://schemas.microsoft.com/office/drawing/2010/main"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27C"/>
    <w:multiLevelType w:val="hybridMultilevel"/>
    <w:tmpl w:val="DF6CBFC0"/>
    <w:lvl w:ilvl="0" w:tplc="41467154">
      <w:start w:val="10"/>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228F008E"/>
    <w:multiLevelType w:val="hybridMultilevel"/>
    <w:tmpl w:val="0CEAE5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6"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7"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35DEC"/>
    <w:multiLevelType w:val="hybridMultilevel"/>
    <w:tmpl w:val="BC245978"/>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684A36"/>
    <w:multiLevelType w:val="hybridMultilevel"/>
    <w:tmpl w:val="95C2B722"/>
    <w:lvl w:ilvl="0" w:tplc="770A29D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CD57BB"/>
    <w:multiLevelType w:val="multilevel"/>
    <w:tmpl w:val="201419E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2"/>
  </w:num>
  <w:num w:numId="3">
    <w:abstractNumId w:val="6"/>
  </w:num>
  <w:num w:numId="4">
    <w:abstractNumId w:val="7"/>
  </w:num>
  <w:num w:numId="5">
    <w:abstractNumId w:val="13"/>
  </w:num>
  <w:num w:numId="6">
    <w:abstractNumId w:val="1"/>
  </w:num>
  <w:num w:numId="7">
    <w:abstractNumId w:val="12"/>
  </w:num>
  <w:num w:numId="8">
    <w:abstractNumId w:val="11"/>
  </w:num>
  <w:num w:numId="9">
    <w:abstractNumId w:val="0"/>
  </w:num>
  <w:num w:numId="10">
    <w:abstractNumId w:val="14"/>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9"/>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873"/>
    <w:rsid w:val="00002BCF"/>
    <w:rsid w:val="00003F50"/>
    <w:rsid w:val="0001213D"/>
    <w:rsid w:val="00013281"/>
    <w:rsid w:val="00021E10"/>
    <w:rsid w:val="000231B7"/>
    <w:rsid w:val="00027CA0"/>
    <w:rsid w:val="00030D65"/>
    <w:rsid w:val="00040129"/>
    <w:rsid w:val="00051823"/>
    <w:rsid w:val="00060F40"/>
    <w:rsid w:val="00062830"/>
    <w:rsid w:val="0007574B"/>
    <w:rsid w:val="000774B3"/>
    <w:rsid w:val="000843CD"/>
    <w:rsid w:val="00087EEC"/>
    <w:rsid w:val="00087F94"/>
    <w:rsid w:val="000A1C81"/>
    <w:rsid w:val="000A3851"/>
    <w:rsid w:val="000A5345"/>
    <w:rsid w:val="000B1645"/>
    <w:rsid w:val="000B2614"/>
    <w:rsid w:val="000C2B79"/>
    <w:rsid w:val="000C5A8A"/>
    <w:rsid w:val="000C7FD8"/>
    <w:rsid w:val="000D7A44"/>
    <w:rsid w:val="000E0C27"/>
    <w:rsid w:val="000E6D15"/>
    <w:rsid w:val="000F33D3"/>
    <w:rsid w:val="000F3C24"/>
    <w:rsid w:val="000F607B"/>
    <w:rsid w:val="000F6495"/>
    <w:rsid w:val="000F6FD8"/>
    <w:rsid w:val="00105F13"/>
    <w:rsid w:val="001061FA"/>
    <w:rsid w:val="00112BF2"/>
    <w:rsid w:val="0011517F"/>
    <w:rsid w:val="00117062"/>
    <w:rsid w:val="00120BAA"/>
    <w:rsid w:val="0012173D"/>
    <w:rsid w:val="00121BB0"/>
    <w:rsid w:val="0012686C"/>
    <w:rsid w:val="0013090C"/>
    <w:rsid w:val="00131C5D"/>
    <w:rsid w:val="00132059"/>
    <w:rsid w:val="00132F74"/>
    <w:rsid w:val="0014310A"/>
    <w:rsid w:val="00143427"/>
    <w:rsid w:val="00145D24"/>
    <w:rsid w:val="00145E0A"/>
    <w:rsid w:val="00152832"/>
    <w:rsid w:val="001600FC"/>
    <w:rsid w:val="00160815"/>
    <w:rsid w:val="00172007"/>
    <w:rsid w:val="0017446F"/>
    <w:rsid w:val="0017667F"/>
    <w:rsid w:val="00177CB9"/>
    <w:rsid w:val="001834D4"/>
    <w:rsid w:val="00192287"/>
    <w:rsid w:val="00197E14"/>
    <w:rsid w:val="001A016C"/>
    <w:rsid w:val="001A2A81"/>
    <w:rsid w:val="001A32D5"/>
    <w:rsid w:val="001A47D0"/>
    <w:rsid w:val="001A5BD4"/>
    <w:rsid w:val="001A70A8"/>
    <w:rsid w:val="001B2C0D"/>
    <w:rsid w:val="001B3341"/>
    <w:rsid w:val="001B6017"/>
    <w:rsid w:val="001B7A0B"/>
    <w:rsid w:val="001B7EB3"/>
    <w:rsid w:val="001C1FD9"/>
    <w:rsid w:val="001C5BC2"/>
    <w:rsid w:val="001D0179"/>
    <w:rsid w:val="001E058D"/>
    <w:rsid w:val="001E0B2E"/>
    <w:rsid w:val="001E1188"/>
    <w:rsid w:val="001E3599"/>
    <w:rsid w:val="001F1CB9"/>
    <w:rsid w:val="001F7501"/>
    <w:rsid w:val="00205878"/>
    <w:rsid w:val="00213D7B"/>
    <w:rsid w:val="00214DEC"/>
    <w:rsid w:val="00215B80"/>
    <w:rsid w:val="002215B5"/>
    <w:rsid w:val="00224761"/>
    <w:rsid w:val="00224A3F"/>
    <w:rsid w:val="00224D96"/>
    <w:rsid w:val="002306C7"/>
    <w:rsid w:val="00231819"/>
    <w:rsid w:val="002351E9"/>
    <w:rsid w:val="00236329"/>
    <w:rsid w:val="00241BD8"/>
    <w:rsid w:val="002422FB"/>
    <w:rsid w:val="002434B0"/>
    <w:rsid w:val="00254CA9"/>
    <w:rsid w:val="0026681D"/>
    <w:rsid w:val="00267452"/>
    <w:rsid w:val="00273421"/>
    <w:rsid w:val="0027418E"/>
    <w:rsid w:val="00290DA3"/>
    <w:rsid w:val="002A3A19"/>
    <w:rsid w:val="002A6F7C"/>
    <w:rsid w:val="002B19D7"/>
    <w:rsid w:val="002C06C1"/>
    <w:rsid w:val="002C0DCF"/>
    <w:rsid w:val="002C1673"/>
    <w:rsid w:val="002C2703"/>
    <w:rsid w:val="002D1867"/>
    <w:rsid w:val="002F2009"/>
    <w:rsid w:val="002F2269"/>
    <w:rsid w:val="00300924"/>
    <w:rsid w:val="003025A8"/>
    <w:rsid w:val="003129B6"/>
    <w:rsid w:val="00314D6E"/>
    <w:rsid w:val="00315AB3"/>
    <w:rsid w:val="00320E57"/>
    <w:rsid w:val="003221EF"/>
    <w:rsid w:val="00322C23"/>
    <w:rsid w:val="003248A2"/>
    <w:rsid w:val="00352A51"/>
    <w:rsid w:val="0035477B"/>
    <w:rsid w:val="00355E53"/>
    <w:rsid w:val="003604AA"/>
    <w:rsid w:val="00362309"/>
    <w:rsid w:val="00363390"/>
    <w:rsid w:val="0036783B"/>
    <w:rsid w:val="00370D44"/>
    <w:rsid w:val="00372BEC"/>
    <w:rsid w:val="00392385"/>
    <w:rsid w:val="003953B5"/>
    <w:rsid w:val="003A2221"/>
    <w:rsid w:val="003B626F"/>
    <w:rsid w:val="003C34A3"/>
    <w:rsid w:val="003C3DE8"/>
    <w:rsid w:val="003C7EC2"/>
    <w:rsid w:val="003D7A72"/>
    <w:rsid w:val="003E318D"/>
    <w:rsid w:val="003F3AA3"/>
    <w:rsid w:val="003F5416"/>
    <w:rsid w:val="00412567"/>
    <w:rsid w:val="004172D1"/>
    <w:rsid w:val="00424530"/>
    <w:rsid w:val="0043577F"/>
    <w:rsid w:val="0043675A"/>
    <w:rsid w:val="00441F85"/>
    <w:rsid w:val="00446D76"/>
    <w:rsid w:val="00452CF3"/>
    <w:rsid w:val="0045301B"/>
    <w:rsid w:val="00454B24"/>
    <w:rsid w:val="00455E0E"/>
    <w:rsid w:val="004637D3"/>
    <w:rsid w:val="004719B4"/>
    <w:rsid w:val="00471CA1"/>
    <w:rsid w:val="00471CCE"/>
    <w:rsid w:val="00481AC4"/>
    <w:rsid w:val="00482FB6"/>
    <w:rsid w:val="00490251"/>
    <w:rsid w:val="004955E7"/>
    <w:rsid w:val="004A5D8B"/>
    <w:rsid w:val="004A76C6"/>
    <w:rsid w:val="004B2FC0"/>
    <w:rsid w:val="004B7784"/>
    <w:rsid w:val="004C1B19"/>
    <w:rsid w:val="004C6392"/>
    <w:rsid w:val="004D3523"/>
    <w:rsid w:val="004D7668"/>
    <w:rsid w:val="004E405B"/>
    <w:rsid w:val="004E737B"/>
    <w:rsid w:val="004F0AB6"/>
    <w:rsid w:val="004F63DB"/>
    <w:rsid w:val="005037F2"/>
    <w:rsid w:val="00505C64"/>
    <w:rsid w:val="005105EF"/>
    <w:rsid w:val="0051571A"/>
    <w:rsid w:val="00522627"/>
    <w:rsid w:val="00523895"/>
    <w:rsid w:val="00526B39"/>
    <w:rsid w:val="00532EBE"/>
    <w:rsid w:val="00536618"/>
    <w:rsid w:val="005410AB"/>
    <w:rsid w:val="00543A44"/>
    <w:rsid w:val="005574DA"/>
    <w:rsid w:val="00565691"/>
    <w:rsid w:val="00567C5E"/>
    <w:rsid w:val="005706A6"/>
    <w:rsid w:val="00571BB6"/>
    <w:rsid w:val="00574B26"/>
    <w:rsid w:val="00575BA7"/>
    <w:rsid w:val="00582AA7"/>
    <w:rsid w:val="0058477C"/>
    <w:rsid w:val="0058568F"/>
    <w:rsid w:val="005A11A7"/>
    <w:rsid w:val="005A6911"/>
    <w:rsid w:val="005B3658"/>
    <w:rsid w:val="005B5C09"/>
    <w:rsid w:val="005C3DFF"/>
    <w:rsid w:val="005C498B"/>
    <w:rsid w:val="005D033E"/>
    <w:rsid w:val="005D4005"/>
    <w:rsid w:val="005D40D1"/>
    <w:rsid w:val="005D6612"/>
    <w:rsid w:val="005E167D"/>
    <w:rsid w:val="00600024"/>
    <w:rsid w:val="00600065"/>
    <w:rsid w:val="006017FA"/>
    <w:rsid w:val="006059B2"/>
    <w:rsid w:val="00610305"/>
    <w:rsid w:val="00610419"/>
    <w:rsid w:val="00611DDB"/>
    <w:rsid w:val="00612C7B"/>
    <w:rsid w:val="006209BD"/>
    <w:rsid w:val="006224C1"/>
    <w:rsid w:val="006241B4"/>
    <w:rsid w:val="006269B7"/>
    <w:rsid w:val="00627A11"/>
    <w:rsid w:val="006307A5"/>
    <w:rsid w:val="006336C8"/>
    <w:rsid w:val="00633DC7"/>
    <w:rsid w:val="00636E1D"/>
    <w:rsid w:val="00641A7A"/>
    <w:rsid w:val="00645495"/>
    <w:rsid w:val="00655112"/>
    <w:rsid w:val="00663B0A"/>
    <w:rsid w:val="006641F8"/>
    <w:rsid w:val="0066422C"/>
    <w:rsid w:val="00670254"/>
    <w:rsid w:val="00675E42"/>
    <w:rsid w:val="00683BFB"/>
    <w:rsid w:val="006915A4"/>
    <w:rsid w:val="00692AB7"/>
    <w:rsid w:val="00692AD8"/>
    <w:rsid w:val="006973AC"/>
    <w:rsid w:val="006B4260"/>
    <w:rsid w:val="006C186D"/>
    <w:rsid w:val="006C6D8E"/>
    <w:rsid w:val="006D4C7C"/>
    <w:rsid w:val="006D7393"/>
    <w:rsid w:val="006E0D7A"/>
    <w:rsid w:val="006E3CE5"/>
    <w:rsid w:val="006E55E1"/>
    <w:rsid w:val="006F1327"/>
    <w:rsid w:val="006F2E13"/>
    <w:rsid w:val="006F445D"/>
    <w:rsid w:val="006F72C6"/>
    <w:rsid w:val="006F7529"/>
    <w:rsid w:val="00703E4E"/>
    <w:rsid w:val="007071C6"/>
    <w:rsid w:val="00711E1C"/>
    <w:rsid w:val="00721D07"/>
    <w:rsid w:val="00721FBA"/>
    <w:rsid w:val="00723921"/>
    <w:rsid w:val="00730352"/>
    <w:rsid w:val="00731463"/>
    <w:rsid w:val="0073336B"/>
    <w:rsid w:val="00734CF5"/>
    <w:rsid w:val="007373D2"/>
    <w:rsid w:val="00740F65"/>
    <w:rsid w:val="00742839"/>
    <w:rsid w:val="00755505"/>
    <w:rsid w:val="0076316D"/>
    <w:rsid w:val="00771BCE"/>
    <w:rsid w:val="00772993"/>
    <w:rsid w:val="007815FB"/>
    <w:rsid w:val="00781A37"/>
    <w:rsid w:val="00781D80"/>
    <w:rsid w:val="007850AB"/>
    <w:rsid w:val="00791EAE"/>
    <w:rsid w:val="007A0054"/>
    <w:rsid w:val="007A44A6"/>
    <w:rsid w:val="007A5353"/>
    <w:rsid w:val="007B3D63"/>
    <w:rsid w:val="007B6077"/>
    <w:rsid w:val="007B69D6"/>
    <w:rsid w:val="007B793D"/>
    <w:rsid w:val="007C08B0"/>
    <w:rsid w:val="007C3A00"/>
    <w:rsid w:val="007C55D0"/>
    <w:rsid w:val="007D2626"/>
    <w:rsid w:val="007F5092"/>
    <w:rsid w:val="007F6B00"/>
    <w:rsid w:val="007F7895"/>
    <w:rsid w:val="00802447"/>
    <w:rsid w:val="00804A88"/>
    <w:rsid w:val="00813BAC"/>
    <w:rsid w:val="00813CD4"/>
    <w:rsid w:val="00817C42"/>
    <w:rsid w:val="00821B9D"/>
    <w:rsid w:val="0084468C"/>
    <w:rsid w:val="008552A0"/>
    <w:rsid w:val="008651AA"/>
    <w:rsid w:val="00865492"/>
    <w:rsid w:val="00865A3C"/>
    <w:rsid w:val="00867CB4"/>
    <w:rsid w:val="008708AB"/>
    <w:rsid w:val="00870A33"/>
    <w:rsid w:val="00871962"/>
    <w:rsid w:val="008725EC"/>
    <w:rsid w:val="00874ED5"/>
    <w:rsid w:val="008A4100"/>
    <w:rsid w:val="008A7288"/>
    <w:rsid w:val="008B6155"/>
    <w:rsid w:val="008C1A94"/>
    <w:rsid w:val="008C4BE0"/>
    <w:rsid w:val="008C567C"/>
    <w:rsid w:val="008C5B82"/>
    <w:rsid w:val="008E297F"/>
    <w:rsid w:val="008F2BD8"/>
    <w:rsid w:val="008F3908"/>
    <w:rsid w:val="009014B6"/>
    <w:rsid w:val="009041D9"/>
    <w:rsid w:val="00907439"/>
    <w:rsid w:val="00907D57"/>
    <w:rsid w:val="00911860"/>
    <w:rsid w:val="0091231C"/>
    <w:rsid w:val="00912882"/>
    <w:rsid w:val="00912895"/>
    <w:rsid w:val="00913422"/>
    <w:rsid w:val="009210DE"/>
    <w:rsid w:val="009257BE"/>
    <w:rsid w:val="00943B87"/>
    <w:rsid w:val="00944AD8"/>
    <w:rsid w:val="00945968"/>
    <w:rsid w:val="009510B6"/>
    <w:rsid w:val="009549FF"/>
    <w:rsid w:val="00954FC6"/>
    <w:rsid w:val="0096160F"/>
    <w:rsid w:val="009642A9"/>
    <w:rsid w:val="00965B80"/>
    <w:rsid w:val="009730FB"/>
    <w:rsid w:val="00976A15"/>
    <w:rsid w:val="00980519"/>
    <w:rsid w:val="00984295"/>
    <w:rsid w:val="009846C5"/>
    <w:rsid w:val="0099008B"/>
    <w:rsid w:val="00993B1E"/>
    <w:rsid w:val="00993BAA"/>
    <w:rsid w:val="00994F87"/>
    <w:rsid w:val="009A1966"/>
    <w:rsid w:val="009A294D"/>
    <w:rsid w:val="009A5AF6"/>
    <w:rsid w:val="009B7C11"/>
    <w:rsid w:val="009C12C9"/>
    <w:rsid w:val="009C1CE7"/>
    <w:rsid w:val="009C5B63"/>
    <w:rsid w:val="009D55F7"/>
    <w:rsid w:val="009E300F"/>
    <w:rsid w:val="009E38A2"/>
    <w:rsid w:val="009E697F"/>
    <w:rsid w:val="009E76BE"/>
    <w:rsid w:val="009E79BF"/>
    <w:rsid w:val="009F12DA"/>
    <w:rsid w:val="009F3FE6"/>
    <w:rsid w:val="009F53AF"/>
    <w:rsid w:val="00A00E34"/>
    <w:rsid w:val="00A02BBA"/>
    <w:rsid w:val="00A062C7"/>
    <w:rsid w:val="00A10257"/>
    <w:rsid w:val="00A13558"/>
    <w:rsid w:val="00A14332"/>
    <w:rsid w:val="00A2290D"/>
    <w:rsid w:val="00A23608"/>
    <w:rsid w:val="00A23D22"/>
    <w:rsid w:val="00A25403"/>
    <w:rsid w:val="00A27B9D"/>
    <w:rsid w:val="00A27D88"/>
    <w:rsid w:val="00A304D0"/>
    <w:rsid w:val="00A41338"/>
    <w:rsid w:val="00A4361D"/>
    <w:rsid w:val="00A44695"/>
    <w:rsid w:val="00A4607D"/>
    <w:rsid w:val="00A53EC9"/>
    <w:rsid w:val="00A64764"/>
    <w:rsid w:val="00A725D6"/>
    <w:rsid w:val="00A72C7D"/>
    <w:rsid w:val="00A7437C"/>
    <w:rsid w:val="00A81586"/>
    <w:rsid w:val="00A92440"/>
    <w:rsid w:val="00AA435E"/>
    <w:rsid w:val="00AA796D"/>
    <w:rsid w:val="00AB104D"/>
    <w:rsid w:val="00AB21B0"/>
    <w:rsid w:val="00AB2476"/>
    <w:rsid w:val="00AB4B80"/>
    <w:rsid w:val="00AC2312"/>
    <w:rsid w:val="00AD0C73"/>
    <w:rsid w:val="00AD3179"/>
    <w:rsid w:val="00AE1893"/>
    <w:rsid w:val="00AE1A2D"/>
    <w:rsid w:val="00AE5347"/>
    <w:rsid w:val="00AE55F6"/>
    <w:rsid w:val="00AE56DB"/>
    <w:rsid w:val="00AF0781"/>
    <w:rsid w:val="00AF21F6"/>
    <w:rsid w:val="00AF2BCB"/>
    <w:rsid w:val="00AF4C86"/>
    <w:rsid w:val="00B025DB"/>
    <w:rsid w:val="00B13C87"/>
    <w:rsid w:val="00B1710D"/>
    <w:rsid w:val="00B24B97"/>
    <w:rsid w:val="00B2771A"/>
    <w:rsid w:val="00B32510"/>
    <w:rsid w:val="00B33222"/>
    <w:rsid w:val="00B3595C"/>
    <w:rsid w:val="00B36D5E"/>
    <w:rsid w:val="00B43E07"/>
    <w:rsid w:val="00B45FD6"/>
    <w:rsid w:val="00B51926"/>
    <w:rsid w:val="00B51BB3"/>
    <w:rsid w:val="00B526A8"/>
    <w:rsid w:val="00B55FAB"/>
    <w:rsid w:val="00B56F17"/>
    <w:rsid w:val="00B6734E"/>
    <w:rsid w:val="00B76198"/>
    <w:rsid w:val="00B77DC8"/>
    <w:rsid w:val="00B77F65"/>
    <w:rsid w:val="00B82515"/>
    <w:rsid w:val="00B83D9D"/>
    <w:rsid w:val="00B84529"/>
    <w:rsid w:val="00B90438"/>
    <w:rsid w:val="00B954E5"/>
    <w:rsid w:val="00B96F7F"/>
    <w:rsid w:val="00BB2111"/>
    <w:rsid w:val="00BC1D4B"/>
    <w:rsid w:val="00BC3450"/>
    <w:rsid w:val="00BC694B"/>
    <w:rsid w:val="00BC7FD2"/>
    <w:rsid w:val="00BD1538"/>
    <w:rsid w:val="00BD1DD9"/>
    <w:rsid w:val="00BE1121"/>
    <w:rsid w:val="00BE2989"/>
    <w:rsid w:val="00BF4906"/>
    <w:rsid w:val="00BF4EC0"/>
    <w:rsid w:val="00BF78EE"/>
    <w:rsid w:val="00C03AE7"/>
    <w:rsid w:val="00C05D9D"/>
    <w:rsid w:val="00C11C5C"/>
    <w:rsid w:val="00C12FA8"/>
    <w:rsid w:val="00C15BDB"/>
    <w:rsid w:val="00C35592"/>
    <w:rsid w:val="00C356AF"/>
    <w:rsid w:val="00C41927"/>
    <w:rsid w:val="00C439D6"/>
    <w:rsid w:val="00C43FD9"/>
    <w:rsid w:val="00C44EB2"/>
    <w:rsid w:val="00C47E8F"/>
    <w:rsid w:val="00C57BC4"/>
    <w:rsid w:val="00C60915"/>
    <w:rsid w:val="00C60EEB"/>
    <w:rsid w:val="00C64E27"/>
    <w:rsid w:val="00C84497"/>
    <w:rsid w:val="00C91A9F"/>
    <w:rsid w:val="00C92B4B"/>
    <w:rsid w:val="00C95F54"/>
    <w:rsid w:val="00C964B8"/>
    <w:rsid w:val="00CA1DF9"/>
    <w:rsid w:val="00CB6121"/>
    <w:rsid w:val="00CB6EBB"/>
    <w:rsid w:val="00CD4994"/>
    <w:rsid w:val="00CD4AF7"/>
    <w:rsid w:val="00CE3517"/>
    <w:rsid w:val="00CE3F04"/>
    <w:rsid w:val="00CF15C6"/>
    <w:rsid w:val="00D01670"/>
    <w:rsid w:val="00D0474C"/>
    <w:rsid w:val="00D05C26"/>
    <w:rsid w:val="00D062AC"/>
    <w:rsid w:val="00D152E7"/>
    <w:rsid w:val="00D21F91"/>
    <w:rsid w:val="00D251D0"/>
    <w:rsid w:val="00D36FC3"/>
    <w:rsid w:val="00D3796C"/>
    <w:rsid w:val="00D43C43"/>
    <w:rsid w:val="00D44360"/>
    <w:rsid w:val="00D53948"/>
    <w:rsid w:val="00D549B9"/>
    <w:rsid w:val="00D557EE"/>
    <w:rsid w:val="00D56058"/>
    <w:rsid w:val="00D57F4B"/>
    <w:rsid w:val="00D656AD"/>
    <w:rsid w:val="00D6692C"/>
    <w:rsid w:val="00D76E91"/>
    <w:rsid w:val="00D823B5"/>
    <w:rsid w:val="00D849AA"/>
    <w:rsid w:val="00D872D1"/>
    <w:rsid w:val="00D873F3"/>
    <w:rsid w:val="00D90F63"/>
    <w:rsid w:val="00DA6122"/>
    <w:rsid w:val="00DB2434"/>
    <w:rsid w:val="00DB4809"/>
    <w:rsid w:val="00DB5E8F"/>
    <w:rsid w:val="00DC3E99"/>
    <w:rsid w:val="00DC5214"/>
    <w:rsid w:val="00DC7C3E"/>
    <w:rsid w:val="00DD247B"/>
    <w:rsid w:val="00DE0FE1"/>
    <w:rsid w:val="00DE30E0"/>
    <w:rsid w:val="00DE46D0"/>
    <w:rsid w:val="00E075D6"/>
    <w:rsid w:val="00E21FC7"/>
    <w:rsid w:val="00E22BCE"/>
    <w:rsid w:val="00E255BF"/>
    <w:rsid w:val="00E2590B"/>
    <w:rsid w:val="00E26355"/>
    <w:rsid w:val="00E326FF"/>
    <w:rsid w:val="00E337DC"/>
    <w:rsid w:val="00E35F55"/>
    <w:rsid w:val="00E361B0"/>
    <w:rsid w:val="00E410F0"/>
    <w:rsid w:val="00E5738D"/>
    <w:rsid w:val="00E5771C"/>
    <w:rsid w:val="00E62DB8"/>
    <w:rsid w:val="00E677EF"/>
    <w:rsid w:val="00E859DF"/>
    <w:rsid w:val="00E87041"/>
    <w:rsid w:val="00E90EDD"/>
    <w:rsid w:val="00E94506"/>
    <w:rsid w:val="00E95201"/>
    <w:rsid w:val="00EA13B4"/>
    <w:rsid w:val="00EA16F3"/>
    <w:rsid w:val="00EA1807"/>
    <w:rsid w:val="00EA4947"/>
    <w:rsid w:val="00EC0C41"/>
    <w:rsid w:val="00EC11F0"/>
    <w:rsid w:val="00EC1594"/>
    <w:rsid w:val="00ED2521"/>
    <w:rsid w:val="00ED2FB9"/>
    <w:rsid w:val="00ED41FD"/>
    <w:rsid w:val="00ED4A40"/>
    <w:rsid w:val="00ED675F"/>
    <w:rsid w:val="00EE456B"/>
    <w:rsid w:val="00EF35BF"/>
    <w:rsid w:val="00F00C37"/>
    <w:rsid w:val="00F00C8E"/>
    <w:rsid w:val="00F01EA6"/>
    <w:rsid w:val="00F02D51"/>
    <w:rsid w:val="00F033B6"/>
    <w:rsid w:val="00F034AC"/>
    <w:rsid w:val="00F160D2"/>
    <w:rsid w:val="00F221AB"/>
    <w:rsid w:val="00F23DC0"/>
    <w:rsid w:val="00F311CD"/>
    <w:rsid w:val="00F3669D"/>
    <w:rsid w:val="00F42F3F"/>
    <w:rsid w:val="00F4748D"/>
    <w:rsid w:val="00F56DC4"/>
    <w:rsid w:val="00F612B3"/>
    <w:rsid w:val="00F647A3"/>
    <w:rsid w:val="00F653FF"/>
    <w:rsid w:val="00F7064A"/>
    <w:rsid w:val="00F720FF"/>
    <w:rsid w:val="00F747AD"/>
    <w:rsid w:val="00F764A1"/>
    <w:rsid w:val="00F84FF3"/>
    <w:rsid w:val="00F86AD4"/>
    <w:rsid w:val="00F87FF5"/>
    <w:rsid w:val="00F9329F"/>
    <w:rsid w:val="00F942CA"/>
    <w:rsid w:val="00F9452C"/>
    <w:rsid w:val="00FA459D"/>
    <w:rsid w:val="00FB28E1"/>
    <w:rsid w:val="00FB43F9"/>
    <w:rsid w:val="00FB7206"/>
    <w:rsid w:val="00FC1255"/>
    <w:rsid w:val="00FC1D72"/>
    <w:rsid w:val="00FE0C92"/>
    <w:rsid w:val="00FE0E60"/>
    <w:rsid w:val="00FE438F"/>
    <w:rsid w:val="00FE5577"/>
    <w:rsid w:val="00FF0C19"/>
    <w:rsid w:val="00FF34C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6184604"/>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fr-LU"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215B80"/>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qFormat/>
    <w:rsid w:val="00C92B4B"/>
    <w:pPr>
      <w:spacing w:before="80" w:after="0" w:line="200" w:lineRule="exact"/>
    </w:pPr>
    <w:rPr>
      <w:rFonts w:ascii="Times New Roman" w:hAnsi="Times New Roman" w:cs="Times New Roman"/>
      <w:sz w:val="18"/>
      <w:szCs w:val="18"/>
    </w:rPr>
  </w:style>
  <w:style w:type="character" w:customStyle="1" w:styleId="FootnoteTextChar">
    <w:name w:val="Footnote Text Char"/>
    <w:basedOn w:val="DefaultParagraphFont"/>
    <w:link w:val="FootnoteText"/>
    <w:rsid w:val="00C92B4B"/>
    <w:rPr>
      <w:rFonts w:ascii="Times New Roman" w:hAnsi="Times New Roman" w:cs="Times New Roman"/>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it-IT"/>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basedOn w:val="Normal"/>
    <w:uiPriority w:val="1"/>
    <w:qFormat/>
    <w:rsid w:val="009F12DA"/>
    <w:pPr>
      <w:ind w:left="720"/>
    </w:pPr>
    <w:rPr>
      <w:rFonts w:ascii="Calibri" w:eastAsia="Calibri" w:hAnsi="Calibri" w:cs="Times New Roman"/>
      <w:szCs w:val="22"/>
    </w:rPr>
  </w:style>
  <w:style w:type="character" w:styleId="CommentReference">
    <w:name w:val="annotation reference"/>
    <w:basedOn w:val="DefaultParagraphFont"/>
    <w:uiPriority w:val="99"/>
    <w:semiHidden/>
    <w:unhideWhenUsed/>
    <w:rsid w:val="006336C8"/>
    <w:rPr>
      <w:sz w:val="16"/>
      <w:szCs w:val="16"/>
    </w:rPr>
  </w:style>
  <w:style w:type="paragraph" w:styleId="CommentText">
    <w:name w:val="annotation text"/>
    <w:basedOn w:val="Normal"/>
    <w:link w:val="CommentTextChar"/>
    <w:uiPriority w:val="99"/>
    <w:unhideWhenUsed/>
    <w:rsid w:val="006336C8"/>
    <w:rPr>
      <w:sz w:val="20"/>
      <w:szCs w:val="20"/>
    </w:rPr>
  </w:style>
  <w:style w:type="character" w:customStyle="1" w:styleId="CommentTextChar">
    <w:name w:val="Comment Text Char"/>
    <w:basedOn w:val="DefaultParagraphFont"/>
    <w:link w:val="CommentText"/>
    <w:uiPriority w:val="99"/>
    <w:rsid w:val="006336C8"/>
    <w:rPr>
      <w:sz w:val="20"/>
      <w:szCs w:val="20"/>
      <w:lang w:val="it-IT"/>
    </w:rPr>
  </w:style>
  <w:style w:type="paragraph" w:styleId="CommentSubject">
    <w:name w:val="annotation subject"/>
    <w:basedOn w:val="CommentText"/>
    <w:next w:val="CommentText"/>
    <w:link w:val="CommentSubjectChar"/>
    <w:uiPriority w:val="99"/>
    <w:semiHidden/>
    <w:unhideWhenUsed/>
    <w:rsid w:val="00944AD8"/>
    <w:rPr>
      <w:b/>
      <w:bCs/>
    </w:rPr>
  </w:style>
  <w:style w:type="character" w:customStyle="1" w:styleId="CommentSubjectChar">
    <w:name w:val="Comment Subject Char"/>
    <w:basedOn w:val="CommentTextChar"/>
    <w:link w:val="CommentSubject"/>
    <w:uiPriority w:val="99"/>
    <w:semiHidden/>
    <w:rsid w:val="00944AD8"/>
    <w:rPr>
      <w:b/>
      <w:bCs/>
      <w:sz w:val="20"/>
      <w:szCs w:val="20"/>
      <w:lang w:val="it-IT"/>
    </w:rPr>
  </w:style>
  <w:style w:type="paragraph" w:styleId="Revision">
    <w:name w:val="Revision"/>
    <w:hidden/>
    <w:uiPriority w:val="99"/>
    <w:semiHidden/>
    <w:rsid w:val="00944AD8"/>
    <w:rPr>
      <w:sz w:val="22"/>
    </w:rPr>
  </w:style>
  <w:style w:type="paragraph" w:customStyle="1" w:styleId="Text1">
    <w:name w:val="Text 1"/>
    <w:basedOn w:val="Normal"/>
    <w:rsid w:val="00454B24"/>
    <w:pPr>
      <w:spacing w:before="120" w:after="120"/>
      <w:ind w:left="850"/>
      <w:jc w:val="both"/>
    </w:pPr>
    <w:rPr>
      <w:rFonts w:ascii="Times New Roman" w:eastAsia="Calibri" w:hAnsi="Times New Roman" w:cs="Times New Roman"/>
      <w:sz w:val="24"/>
      <w:szCs w:val="20"/>
      <w:lang w:eastAsia="en-GB"/>
    </w:rPr>
  </w:style>
  <w:style w:type="paragraph" w:customStyle="1" w:styleId="TableParagraph">
    <w:name w:val="Table Paragraph"/>
    <w:basedOn w:val="Normal"/>
    <w:uiPriority w:val="1"/>
    <w:qFormat/>
    <w:rsid w:val="00723921"/>
    <w:pPr>
      <w:widowControl w:val="0"/>
      <w:autoSpaceDE w:val="0"/>
      <w:autoSpaceDN w:val="0"/>
    </w:pPr>
    <w:rPr>
      <w:rFonts w:ascii="Calibri" w:eastAsia="Calibri" w:hAnsi="Calibri" w:cs="Calibri"/>
      <w:szCs w:val="22"/>
      <w:lang w:eastAsia="en-GB" w:bidi="en-GB"/>
    </w:rPr>
  </w:style>
  <w:style w:type="paragraph" w:styleId="BodyText">
    <w:name w:val="Body Text"/>
    <w:basedOn w:val="Normal"/>
    <w:link w:val="BodyTextChar"/>
    <w:uiPriority w:val="1"/>
    <w:rsid w:val="00D36FC3"/>
    <w:pPr>
      <w:widowControl w:val="0"/>
      <w:autoSpaceDE w:val="0"/>
      <w:spacing w:after="160" w:line="259" w:lineRule="auto"/>
    </w:pPr>
    <w:rPr>
      <w:rFonts w:eastAsia="Calibri" w:cs="Calibri"/>
      <w:szCs w:val="22"/>
    </w:rPr>
  </w:style>
  <w:style w:type="character" w:customStyle="1" w:styleId="BodyTextChar">
    <w:name w:val="Body Text Char"/>
    <w:basedOn w:val="DefaultParagraphFont"/>
    <w:link w:val="BodyText"/>
    <w:uiPriority w:val="1"/>
    <w:rsid w:val="00D36FC3"/>
    <w:rPr>
      <w:rFonts w:eastAsia="Calibri" w:cs="Calibri"/>
      <w:sz w:val="22"/>
      <w:szCs w:val="22"/>
    </w:rPr>
  </w:style>
  <w:style w:type="table" w:customStyle="1" w:styleId="TableGrid1">
    <w:name w:val="Table Grid1"/>
    <w:basedOn w:val="TableNormal"/>
    <w:next w:val="TableGrid"/>
    <w:uiPriority w:val="39"/>
    <w:rsid w:val="00D36FC3"/>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49382086">
      <w:bodyDiv w:val="1"/>
      <w:marLeft w:val="0"/>
      <w:marRight w:val="0"/>
      <w:marTop w:val="0"/>
      <w:marBottom w:val="0"/>
      <w:divBdr>
        <w:top w:val="none" w:sz="0" w:space="0" w:color="auto"/>
        <w:left w:val="none" w:sz="0" w:space="0" w:color="auto"/>
        <w:bottom w:val="none" w:sz="0" w:space="0" w:color="auto"/>
        <w:right w:val="none" w:sz="0" w:space="0" w:color="auto"/>
      </w:divBdr>
    </w:div>
    <w:div w:id="898782459">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967658543">
      <w:bodyDiv w:val="1"/>
      <w:marLeft w:val="0"/>
      <w:marRight w:val="0"/>
      <w:marTop w:val="0"/>
      <w:marBottom w:val="0"/>
      <w:divBdr>
        <w:top w:val="none" w:sz="0" w:space="0" w:color="auto"/>
        <w:left w:val="none" w:sz="0" w:space="0" w:color="auto"/>
        <w:bottom w:val="none" w:sz="0" w:space="0" w:color="auto"/>
        <w:right w:val="none" w:sz="0" w:space="0" w:color="auto"/>
      </w:divBdr>
    </w:div>
    <w:div w:id="2018773254">
      <w:bodyDiv w:val="1"/>
      <w:marLeft w:val="0"/>
      <w:marRight w:val="0"/>
      <w:marTop w:val="0"/>
      <w:marBottom w:val="0"/>
      <w:divBdr>
        <w:top w:val="none" w:sz="0" w:space="0" w:color="auto"/>
        <w:left w:val="none" w:sz="0" w:space="0" w:color="auto"/>
        <w:bottom w:val="none" w:sz="0" w:space="0" w:color="auto"/>
        <w:right w:val="none" w:sz="0" w:space="0" w:color="auto"/>
      </w:divBdr>
    </w:div>
    <w:div w:id="203792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D393BAC4D691141A46AC04477B100CB" ma:contentTypeVersion="0" ma:contentTypeDescription="Creare un nuovo documento." ma:contentTypeScope="" ma:versionID="1d9f7f7075b7d5a0f644b6ac48ce512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83C9-87F7-44B3-A3B8-E2BB499408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333BE3-0076-48B7-8D40-17DAB6063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EC8D0B-F028-4A8B-A594-1591A29308F5}">
  <ds:schemaRefs>
    <ds:schemaRef ds:uri="http://schemas.microsoft.com/sharepoint/v3/contenttype/forms"/>
  </ds:schemaRefs>
</ds:datastoreItem>
</file>

<file path=customXml/itemProps4.xml><?xml version="1.0" encoding="utf-8"?>
<ds:datastoreItem xmlns:ds="http://schemas.openxmlformats.org/officeDocument/2006/customXml" ds:itemID="{627286F7-9CCA-4A85-85F3-24657E7D986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14</ap:TotalTime>
  <ap:Pages>16</ap:Pages>
  <ap:Words>3723</ap:Words>
  <ap:Characters>23655</ap:Characters>
  <ap:Application>Microsoft Office Word</ap:Application>
  <ap:DocSecurity>0</ap:DocSecurity>
  <ap:Lines>197</ap:Lines>
  <ap:Paragraphs>54</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27324</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10</revision>
  <lastPrinted>2020-11-04T10:23:00.0000000Z</lastPrinted>
  <dcterms:created xsi:type="dcterms:W3CDTF">2020-12-07T10:24:00.0000000Z</dcterms:created>
  <dcterms:modified xsi:type="dcterms:W3CDTF">2024-04-22T07:30:00.0000000Z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0x010100AD393BAC4D691141A46AC04477B100CB</vt:lpwstr>
  </property>
  <property fmtid="{D5CDD505-2E9C-101B-9397-08002B2CF9AE}" pid="3" name="JobId">
    <vt:lpwstr>e60d7ee3-3090-406a-a4aa-ac6900effe05</vt:lpwstr>
  </property>
</Properties>
</file>