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98787969" w:displacedByCustomXml="next" w:id="0"/>
    <w:bookmarkStart w:name="_Toc298788158" w:displacedByCustomXml="next" w:id="1"/>
    <w:bookmarkStart w:name="_Toc298788641" w:displacedByCustomXml="next" w:id="2"/>
    <w:bookmarkStart w:name="_Toc305686691" w:displacedByCustomXml="next" w:id="3"/>
    <w:bookmarkStart w:name="_Toc306350093" w:displacedByCustomXml="next" w:id="4"/>
    <w:bookmarkStart w:name="_Toc306350113" w:displacedByCustomXml="next" w:id="5"/>
    <w:bookmarkStart w:name="_Toc331517265" w:displacedByCustomXml="next" w:id="6"/>
    <w:bookmarkStart w:name="_Toc245891774" w:displacedByCustomXml="next" w:id="7"/>
    <w:bookmarkStart w:name="_Toc238803087" w:displacedByCustomXml="next" w:id="8"/>
    <w:bookmarkStart w:name="_Toc238803888" w:displacedByCustomXml="next" w:id="9"/>
    <w:sdt>
      <w:sdtPr>
        <w:id w:val="1024973533"/>
        <w:docPartObj>
          <w:docPartGallery w:val="Cover Pages"/>
          <w:docPartUnique/>
        </w:docPartObj>
      </w:sdtPr>
      <w:sdtEndPr/>
      <w:sdtContent>
        <w:p w:rsidRPr="00AE7BA8" w:rsidR="00B43E07" w:rsidP="00B43E07" w:rsidRDefault="00B43E07" w14:paraId="05640F5D" w14:textId="77777777">
          <w:pPr>
            <w:rPr>
              <w:lang w:val="en-GB"/>
            </w:rPr>
          </w:pPr>
        </w:p>
        <w:tbl>
          <w:tblPr>
            <w:tblW w:w="0" w:type="auto"/>
            <w:tblCellMar>
              <w:top w:w="85" w:type="dxa"/>
              <w:bottom w:w="85" w:type="dxa"/>
            </w:tblCellMar>
            <w:tblLook w:val="04A0" w:firstRow="1" w:lastRow="0" w:firstColumn="1" w:lastColumn="0" w:noHBand="0" w:noVBand="1"/>
          </w:tblPr>
          <w:tblGrid>
            <w:gridCol w:w="3969"/>
          </w:tblGrid>
          <w:tr w:rsidRPr="00AE7BA8" w:rsidR="005B3658" w:rsidTr="00123603" w14:paraId="3170F2D8" w14:textId="77777777">
            <w:tc>
              <w:tcPr>
                <w:tcW w:w="3969" w:type="dxa"/>
                <w:tcBorders>
                  <w:bottom w:val="single" w:color="A6A6A6" w:themeColor="background1" w:themeShade="A6" w:sz="4" w:space="0"/>
                </w:tcBorders>
                <w:shd w:val="clear" w:color="auto" w:fill="auto"/>
              </w:tcPr>
              <w:p w:rsidRPr="00AE7BA8" w:rsidR="005B3658" w:rsidP="005B3658" w:rsidRDefault="005B3658" w14:paraId="6AAE07DF" w14:textId="427A8EC7">
                <w:r w:rsidRPr="00AE7BA8">
                  <w:t>EBA/GL/2020/14</w:t>
                </w:r>
                <w:r w:rsidRPr="00A34A43" w:rsidR="00A34A43">
                  <w:t xml:space="preserve"> (pročišćena verzija)</w:t>
                </w:r>
              </w:p>
            </w:tc>
          </w:tr>
          <w:tr w:rsidRPr="00AE7BA8" w:rsidR="005B3658" w:rsidTr="00123603" w14:paraId="70F4DBFA" w14:textId="77777777">
            <w:tc>
              <w:tcPr>
                <w:tcW w:w="3969" w:type="dxa"/>
                <w:tcBorders>
                  <w:top w:val="single" w:color="A6A6A6" w:themeColor="background1" w:themeShade="A6" w:sz="4" w:space="0"/>
                  <w:bottom w:val="single" w:color="A6A6A6" w:themeColor="background1" w:themeShade="A6" w:sz="4" w:space="0"/>
                </w:tcBorders>
                <w:shd w:val="clear" w:color="auto" w:fill="auto"/>
              </w:tcPr>
              <w:p w:rsidRPr="00AE7BA8" w:rsidR="005B3658" w:rsidP="005B3658" w:rsidRDefault="005B3658" w14:paraId="55211379" w14:textId="73FFF2EB">
                <w:r w:rsidRPr="00AE7BA8">
                  <w:rPr>
                    <w:color w:val="000000"/>
                  </w:rPr>
                  <w:t>4. studenoga 2020.</w:t>
                </w:r>
              </w:p>
            </w:tc>
          </w:tr>
        </w:tbl>
        <w:p w:rsidRPr="00AE7BA8" w:rsidR="00B43E07" w:rsidP="00B43E07" w:rsidRDefault="00B43E07" w14:paraId="2E2B6714" w14:textId="77777777">
          <w:pPr>
            <w:rPr>
              <w:lang w:val="en-G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AE7BA8" w:rsidR="00B43E07" w:rsidTr="00993B1E" w14:paraId="598BC7A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0D0380" w:rsidP="000D0380" w:rsidRDefault="000D0380" w14:paraId="2FB01B09"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AE7BA8" w:rsidR="00B43E07" w:rsidP="00721D07" w:rsidRDefault="00A81586" w14:paraId="6E80AD78" w14:textId="1CA22651">
                <w:pPr>
                  <w:pStyle w:val="Contenttitle"/>
                </w:pPr>
                <w:r w:rsidRPr="00AE7BA8">
                  <w:t xml:space="preserve">Smjernice </w:t>
                </w:r>
              </w:p>
            </w:tc>
          </w:tr>
          <w:tr w:rsidRPr="00AE7BA8" w:rsidR="00B43E07" w:rsidTr="00993B1E" w14:paraId="15A7E3AC" w14:textId="77777777">
            <w:tc>
              <w:tcPr>
                <w:tcW w:w="8781" w:type="dxa"/>
                <w:tcMar>
                  <w:left w:w="0" w:type="dxa"/>
                  <w:right w:w="0" w:type="dxa"/>
                </w:tcMar>
                <w:vAlign w:val="top"/>
              </w:tcPr>
              <w:p w:rsidRPr="00DB2A82" w:rsidR="00B43E07" w:rsidP="00E410F0" w:rsidRDefault="00B43E07" w14:paraId="0720F01B" w14:textId="502EF582">
                <w:pPr>
                  <w:pStyle w:val="Titlelevel4"/>
                  <w:rPr>
                    <w:lang w:val="hr-HR"/>
                  </w:rPr>
                </w:pPr>
                <w:r w:rsidRPr="00DB2A82">
                  <w:rPr>
                    <w:rFonts w:asciiTheme="majorHAnsi" w:hAnsiTheme="majorHAnsi"/>
                    <w:bCs/>
                    <w:color w:val="2F5773" w:themeColor="text2"/>
                    <w:sz w:val="52"/>
                    <w:szCs w:val="52"/>
                    <w:lang w:val="hr-HR"/>
                  </w:rPr>
                  <w:t>o pobližem određivanju i objavi pokazatelja sistemske važnosti</w:t>
                </w:r>
              </w:p>
            </w:tc>
          </w:tr>
        </w:tbl>
        <w:p w:rsidRPr="00A34A43" w:rsidR="00B43E07" w:rsidP="00A34A43" w:rsidRDefault="00B43E07" w14:paraId="41F2A21B" w14:textId="2C09ADB4">
          <w:pPr>
            <w:rPr>
              <w:sz w:val="52"/>
              <w:szCs w:val="52"/>
            </w:rPr>
          </w:pPr>
        </w:p>
        <w:p w:rsidRPr="00A34A43" w:rsidR="00846F9E" w:rsidP="00A34A43" w:rsidRDefault="00846F9E" w14:paraId="0A59972E" w14:textId="2A096973">
          <w:pPr>
            <w:rPr>
              <w:sz w:val="52"/>
              <w:szCs w:val="52"/>
            </w:rPr>
          </w:pPr>
        </w:p>
        <w:p w:rsidRPr="00A34A43" w:rsidR="00846F9E" w:rsidP="00A34A43" w:rsidRDefault="00846F9E" w14:paraId="461F1AEC" w14:textId="72C4323F">
          <w:pPr>
            <w:rPr>
              <w:sz w:val="52"/>
              <w:szCs w:val="52"/>
            </w:rPr>
          </w:pPr>
        </w:p>
        <w:p w:rsidRPr="00A34A43" w:rsidR="00A34A43" w:rsidP="00A34A43" w:rsidRDefault="00A34A43" w14:paraId="6BC87F70" w14:textId="77777777">
          <w:pPr>
            <w:rPr>
              <w:sz w:val="52"/>
              <w:szCs w:val="52"/>
            </w:rPr>
          </w:pPr>
        </w:p>
        <w:p w:rsidRPr="00FA7670" w:rsidR="00846F9E" w:rsidP="00A34A43" w:rsidRDefault="00846F9E" w14:paraId="5FB64AEA" w14:textId="77777777">
          <w:pPr>
            <w:spacing w:line="276" w:lineRule="auto"/>
            <w:jc w:val="both"/>
            <w:rPr>
              <w:rFonts w:eastAsia="MS PGothic" w:cs="Times New Roman"/>
            </w:rPr>
          </w:pPr>
        </w:p>
        <w:tbl>
          <w:tblPr>
            <w:tblStyle w:val="EBAtable"/>
            <w:tblW w:w="9125" w:type="dxa"/>
            <w:tblLook w:val="04A0" w:firstRow="1" w:lastRow="0" w:firstColumn="1" w:lastColumn="0" w:noHBand="0" w:noVBand="1"/>
          </w:tblPr>
          <w:tblGrid>
            <w:gridCol w:w="824"/>
            <w:gridCol w:w="2190"/>
            <w:gridCol w:w="6111"/>
          </w:tblGrid>
          <w:tr w:rsidRPr="00D13DB3" w:rsidR="00846F9E" w:rsidTr="006F6C94" w14:paraId="53B2E3C4" w14:textId="77777777">
            <w:trPr>
              <w:cnfStyle w:val="100000000000" w:firstRow="1" w:lastRow="0" w:firstColumn="0" w:lastColumn="0" w:oddVBand="0" w:evenVBand="0" w:oddHBand="0" w:evenHBand="0" w:firstRowFirstColumn="0" w:firstRowLastColumn="0" w:lastRowFirstColumn="0" w:lastRowLastColumn="0"/>
              <w:trHeight w:val="300"/>
            </w:trPr>
            <w:tc>
              <w:tcPr>
                <w:tcW w:w="3014" w:type="dxa"/>
                <w:gridSpan w:val="2"/>
                <w:tcBorders>
                  <w:top w:val="single" w:color="auto" w:sz="12" w:space="0"/>
                  <w:left w:val="single" w:color="auto" w:sz="12" w:space="0"/>
                </w:tcBorders>
              </w:tcPr>
              <w:p w:rsidRPr="00D13DB3" w:rsidR="00846F9E" w:rsidP="006F6C94" w:rsidRDefault="00846F9E" w14:paraId="6F64DE9A" w14:textId="77777777">
                <w:pPr>
                  <w:spacing w:before="240" w:after="120" w:line="276" w:lineRule="auto"/>
                  <w:jc w:val="both"/>
                  <w:rPr>
                    <w:rFonts w:eastAsia="MS PGothic" w:cs="Times New Roman"/>
                    <w:lang w:eastAsia="en-GB"/>
                  </w:rPr>
                </w:pPr>
              </w:p>
              <w:p w:rsidRPr="00FA7670" w:rsidR="00846F9E" w:rsidP="006F6C94" w:rsidRDefault="00846F9E" w14:paraId="0BBCB3DB" w14:textId="77777777">
                <w:pPr>
                  <w:rPr>
                    <w:rFonts w:eastAsia="MS PGothic" w:cs="Times New Roman"/>
                    <w:lang w:eastAsia="en-GB"/>
                  </w:rPr>
                </w:pPr>
              </w:p>
            </w:tc>
            <w:tc>
              <w:tcPr>
                <w:tcW w:w="6111" w:type="dxa"/>
                <w:tcBorders>
                  <w:top w:val="single" w:color="auto" w:sz="12" w:space="0"/>
                  <w:right w:val="single" w:color="auto" w:sz="12" w:space="0"/>
                </w:tcBorders>
              </w:tcPr>
              <w:p w:rsidRPr="00D13DB3" w:rsidR="00846F9E" w:rsidP="006F6C94" w:rsidRDefault="00846F9E" w14:paraId="614CA06A" w14:textId="5DA8374D">
                <w:pPr>
                  <w:rPr>
                    <w:rFonts w:eastAsia="MS PGothic" w:cs="Times New Roman"/>
                    <w:lang w:val="en-GB" w:eastAsia="en-GB"/>
                  </w:rPr>
                </w:pPr>
                <w:r>
                  <w:rPr>
                    <w:rFonts w:eastAsia="MS PGothic" w:cs="Times New Roman"/>
                    <w:lang w:val="en-GB" w:eastAsia="en-GB"/>
                  </w:rPr>
                  <w:t>Datum početka primjene</w:t>
                </w:r>
              </w:p>
            </w:tc>
          </w:tr>
          <w:tr w:rsidRPr="00D13DB3" w:rsidR="00A34A43" w:rsidTr="006F6C94" w14:paraId="44AF156A" w14:textId="77777777">
            <w:trPr>
              <w:trHeight w:val="300"/>
            </w:trPr>
            <w:tc>
              <w:tcPr>
                <w:tcW w:w="3014" w:type="dxa"/>
                <w:gridSpan w:val="2"/>
                <w:tcBorders>
                  <w:left w:val="single" w:color="auto" w:sz="12" w:space="0"/>
                </w:tcBorders>
              </w:tcPr>
              <w:p w:rsidRPr="00D13DB3" w:rsidR="00A34A43" w:rsidP="00A34A43" w:rsidRDefault="00A34A43" w14:paraId="10D8A734" w14:textId="2C908FC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6111" w:type="dxa"/>
                <w:tcBorders>
                  <w:right w:val="single" w:color="auto" w:sz="12" w:space="0"/>
                </w:tcBorders>
              </w:tcPr>
              <w:p w:rsidRPr="00D13DB3" w:rsidR="00A34A43" w:rsidP="00A34A43" w:rsidRDefault="00A34A43" w14:paraId="629336ED" w14:textId="36C631AE">
                <w:pPr>
                  <w:rPr>
                    <w:rFonts w:eastAsia="MS PGothic" w:cs="Times New Roman"/>
                    <w:lang w:val="en-GB" w:eastAsia="en-GB"/>
                  </w:rPr>
                </w:pPr>
                <w:r>
                  <w:rPr>
                    <w:rFonts w:eastAsia="MS PGothic" w:cs="Times New Roman"/>
                    <w:lang w:val="en-GB" w:eastAsia="en-GB"/>
                  </w:rPr>
                  <w:t>04</w:t>
                </w:r>
                <w:r w:rsidRPr="00D13DB3">
                  <w:rPr>
                    <w:rFonts w:eastAsia="MS PGothic" w:cs="Times New Roman"/>
                    <w:lang w:val="en-GB" w:eastAsia="en-GB"/>
                  </w:rPr>
                  <w:t>.</w:t>
                </w:r>
                <w:r>
                  <w:rPr>
                    <w:rFonts w:eastAsia="MS PGothic" w:cs="Times New Roman"/>
                    <w:lang w:val="en-GB" w:eastAsia="en-GB"/>
                  </w:rPr>
                  <w:t>11</w:t>
                </w:r>
                <w:r w:rsidRPr="00D13DB3">
                  <w:rPr>
                    <w:rFonts w:eastAsia="MS PGothic" w:cs="Times New Roman"/>
                    <w:lang w:val="en-GB" w:eastAsia="en-GB"/>
                  </w:rPr>
                  <w:t>.</w:t>
                </w:r>
                <w:r>
                  <w:rPr>
                    <w:rFonts w:eastAsia="MS PGothic" w:cs="Times New Roman"/>
                    <w:lang w:val="en-GB" w:eastAsia="en-GB"/>
                  </w:rPr>
                  <w:t>2020</w:t>
                </w:r>
              </w:p>
            </w:tc>
          </w:tr>
          <w:tr w:rsidRPr="00D13DB3" w:rsidR="00846F9E" w:rsidTr="006F6C94" w14:paraId="2A962C3B" w14:textId="77777777">
            <w:trPr>
              <w:trHeight w:val="300"/>
            </w:trPr>
            <w:tc>
              <w:tcPr>
                <w:tcW w:w="3014" w:type="dxa"/>
                <w:gridSpan w:val="2"/>
                <w:tcBorders>
                  <w:left w:val="single" w:color="auto" w:sz="12" w:space="0"/>
                </w:tcBorders>
              </w:tcPr>
              <w:p w:rsidRPr="00D13DB3" w:rsidR="00846F9E" w:rsidP="006F6C94" w:rsidRDefault="00A34A43" w14:paraId="0BD54BE4" w14:textId="52E9C89C">
                <w:pPr>
                  <w:rPr>
                    <w:rFonts w:eastAsia="MS PGothic" w:cs="Times New Roman"/>
                    <w:lang w:val="en-GB" w:eastAsia="en-GB"/>
                  </w:rPr>
                </w:pPr>
                <w:r w:rsidRPr="00A34A43">
                  <w:rPr>
                    <w:rFonts w:eastAsia="MS PGothic" w:cs="Times New Roman"/>
                  </w:rPr>
                  <w:t>Izmijenio/izmijenila:</w:t>
                </w:r>
              </w:p>
            </w:tc>
            <w:tc>
              <w:tcPr>
                <w:tcW w:w="6111" w:type="dxa"/>
                <w:tcBorders>
                  <w:right w:val="single" w:color="auto" w:sz="12" w:space="0"/>
                </w:tcBorders>
              </w:tcPr>
              <w:p w:rsidRPr="00D13DB3" w:rsidR="00846F9E" w:rsidP="006F6C94" w:rsidRDefault="00846F9E" w14:paraId="10CD2F24" w14:textId="77777777">
                <w:pPr>
                  <w:rPr>
                    <w:rFonts w:eastAsia="MS PGothic" w:cs="Times New Roman"/>
                    <w:lang w:val="en-GB" w:eastAsia="en-GB"/>
                  </w:rPr>
                </w:pPr>
              </w:p>
            </w:tc>
          </w:tr>
          <w:tr w:rsidRPr="00D13DB3" w:rsidR="00A34A43" w:rsidTr="006F6C94" w14:paraId="14DB91F4" w14:textId="77777777">
            <w:trPr>
              <w:trHeight w:val="58"/>
            </w:trPr>
            <w:tc>
              <w:tcPr>
                <w:tcW w:w="824" w:type="dxa"/>
                <w:tcBorders>
                  <w:left w:val="single" w:color="auto" w:sz="12" w:space="0"/>
                  <w:bottom w:val="single" w:color="auto" w:sz="12" w:space="0"/>
                </w:tcBorders>
              </w:tcPr>
              <w:p w:rsidRPr="00D13DB3" w:rsidR="00A34A43" w:rsidP="00A34A43" w:rsidRDefault="00A34A43" w14:paraId="5E2B9718" w14:textId="49AFFC83">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2190" w:type="dxa"/>
                <w:tcBorders>
                  <w:bottom w:val="single" w:color="auto" w:sz="12" w:space="0"/>
                </w:tcBorders>
              </w:tcPr>
              <w:p w:rsidRPr="00D13DB3" w:rsidR="00A34A43" w:rsidP="00A34A43" w:rsidRDefault="00A34A43" w14:paraId="49504E62" w14:textId="3FF681DD">
                <w:pPr>
                  <w:rPr>
                    <w:rFonts w:eastAsia="MS PGothic" w:cs="Times New Roman"/>
                  </w:rPr>
                </w:pPr>
                <w:r w:rsidRPr="00D13DB3">
                  <w:rPr>
                    <w:rFonts w:eastAsia="MS PGothic" w:cs="Times New Roman"/>
                  </w:rPr>
                  <w:t>EBA/GL</w:t>
                </w:r>
                <w:r w:rsidRPr="005261FC">
                  <w:t>/2023/10</w:t>
                </w:r>
              </w:p>
            </w:tc>
            <w:tc>
              <w:tcPr>
                <w:tcW w:w="6111" w:type="dxa"/>
                <w:tcBorders>
                  <w:bottom w:val="single" w:color="auto" w:sz="12" w:space="0"/>
                  <w:right w:val="single" w:color="auto" w:sz="12" w:space="0"/>
                </w:tcBorders>
              </w:tcPr>
              <w:p w:rsidRPr="00D13DB3" w:rsidR="00A34A43" w:rsidP="00A34A43" w:rsidRDefault="00A34A43" w14:paraId="28DBD733" w14:textId="6EE0D905">
                <w:pPr>
                  <w:rPr>
                    <w:rFonts w:eastAsia="MS PGothic" w:cs="Times New Roman"/>
                    <w:lang w:val="en-GB" w:eastAsia="en-GB"/>
                  </w:rPr>
                </w:pPr>
              </w:p>
            </w:tc>
          </w:tr>
        </w:tbl>
        <w:p w:rsidRPr="00AE7BA8" w:rsidR="00846F9E" w:rsidP="00B43E07" w:rsidRDefault="00846F9E" w14:paraId="0E29412E" w14:textId="77777777"/>
        <w:p w:rsidRPr="00AE7BA8" w:rsidR="00B43E07" w:rsidP="00B43E07" w:rsidRDefault="00B43E07" w14:paraId="1441AC18" w14:textId="77777777"/>
        <w:p w:rsidRPr="00AE7BA8" w:rsidR="00B43E07" w:rsidP="00B43E07" w:rsidRDefault="00B43E07" w14:paraId="3673D6BB" w14:textId="77777777">
          <w:r w:rsidRPr="00AE7BA8">
            <w:br w:type="page"/>
          </w:r>
        </w:p>
      </w:sdtContent>
    </w:sdt>
    <w:p w:rsidRPr="00AE7BA8" w:rsidR="00B43E07" w:rsidP="00CE3517" w:rsidRDefault="00B43E07" w14:paraId="72D6F5BF" w14:textId="77777777">
      <w:pPr>
        <w:pStyle w:val="Numberedtilelevel1"/>
        <w:numPr>
          <w:ilvl w:val="0"/>
          <w:numId w:val="34"/>
        </w:numPr>
      </w:pPr>
      <w:r w:rsidRPr="00AE7BA8">
        <w:lastRenderedPageBreak/>
        <w:t>Obveze usklađenosti i izvješćivanja</w:t>
      </w:r>
    </w:p>
    <w:p w:rsidRPr="00AE7BA8" w:rsidR="00B43E07" w:rsidP="00B43E07" w:rsidRDefault="00B43E07" w14:paraId="3B9E826E" w14:textId="5EE3EC56">
      <w:pPr>
        <w:pStyle w:val="Titlelevel2"/>
      </w:pPr>
      <w:r w:rsidRPr="00AE7BA8">
        <w:t>Status ovih smjernica</w:t>
      </w:r>
    </w:p>
    <w:p w:rsidRPr="00AE7BA8" w:rsidR="00B43E07" w:rsidP="00B43E07" w:rsidRDefault="00B43E07" w14:paraId="4AFE96B1" w14:textId="439CBF53">
      <w:pPr>
        <w:pStyle w:val="body"/>
        <w:numPr>
          <w:ilvl w:val="0"/>
          <w:numId w:val="28"/>
        </w:numPr>
      </w:pPr>
      <w:r w:rsidRPr="00AE7BA8">
        <w:t>Ovaj dokument sadržava smjernice izdane u skladu s člankom 16. Uredbe (EU) br. 1093/2010</w:t>
      </w:r>
      <w:r w:rsidRPr="00AE7BA8">
        <w:rPr>
          <w:rStyle w:val="FootnoteReference"/>
          <w:lang w:val="en-GB"/>
        </w:rPr>
        <w:footnoteReference w:id="2"/>
      </w:r>
      <w:r w:rsidRPr="00AE7BA8">
        <w:t>. U skladu s člankom 16. stavkom 3. Uredbe (EU) br. 1093/2010 nadležna tijela i financijske institucije moraju ul</w:t>
      </w:r>
      <w:r w:rsidR="00B67C43">
        <w:t>oži</w:t>
      </w:r>
      <w:r w:rsidRPr="00AE7BA8">
        <w:t>ti napor da se usklade sa smjernicama.</w:t>
      </w:r>
    </w:p>
    <w:p w:rsidRPr="00AE7BA8" w:rsidR="00B43E07" w:rsidP="00B43E07" w:rsidRDefault="00B43E07" w14:paraId="23E7F140" w14:textId="0BBEBEC5">
      <w:pPr>
        <w:pStyle w:val="body"/>
        <w:numPr>
          <w:ilvl w:val="0"/>
          <w:numId w:val="28"/>
        </w:numPr>
      </w:pPr>
      <w:r w:rsidRPr="00AE7BA8">
        <w:t xml:space="preserve">U smjernicama se iznosi EBA-ino stajalište o </w:t>
      </w:r>
      <w:r w:rsidR="00B67C43">
        <w:t>prikladnim</w:t>
      </w:r>
      <w:r w:rsidRPr="00AE7BA8" w:rsidR="00B67C43">
        <w:t xml:space="preserve"> </w:t>
      </w:r>
      <w:r w:rsidRPr="00AE7BA8">
        <w:t xml:space="preserve">nadzornim praksama unutar Europskog sustava financijskog nadzora ili o tome kako bi se pravo Unije trebalo primjenjivati u određenom području. Nadležna tijela određena člankom 4. stavkom 2. Uredbe (EU) br. 1093/2010 na koja se smjernice primjenjuju trebala bi se s njima uskladiti tako da ih na odgovarajući način uključe u svoje prakse (npr. izmjenama svojeg pravnog okvira ili nadzornih postupaka), uključujući </w:t>
      </w:r>
      <w:r w:rsidR="00B65F59">
        <w:t>slučajeve</w:t>
      </w:r>
      <w:r w:rsidRPr="00AE7BA8">
        <w:t xml:space="preserve"> kada su smjernice prvenstveno upućene institucijama.</w:t>
      </w:r>
    </w:p>
    <w:p w:rsidRPr="00AE7BA8" w:rsidR="00B43E07" w:rsidP="00B43E07" w:rsidRDefault="00B43E07" w14:paraId="141EDBC6" w14:textId="77777777">
      <w:pPr>
        <w:pStyle w:val="Titlelevel2"/>
      </w:pPr>
      <w:r w:rsidRPr="00AE7BA8">
        <w:t>Zahtjevi u pogledu izvješćivanja</w:t>
      </w:r>
    </w:p>
    <w:p w:rsidRPr="00AE7BA8" w:rsidR="00B43E07" w:rsidP="00B43E07" w:rsidRDefault="00236329" w14:paraId="7EE20541" w14:textId="3442EAB7">
      <w:pPr>
        <w:pStyle w:val="body"/>
        <w:numPr>
          <w:ilvl w:val="0"/>
          <w:numId w:val="28"/>
        </w:numPr>
      </w:pPr>
      <w:r w:rsidRPr="00AE7BA8">
        <w:t xml:space="preserve">U skladu s člankom 16. stavkom 3. Uredbe (EU) br. 1093/2010 nadležna tijela moraju obavijestiti EBA-u o tome da su usklađena ili da se namjeravaju uskladiti s ovim smjernicama ili, u suprotnom, navesti razloge za neusklađenost do </w:t>
      </w:r>
      <w:r w:rsidR="004D3E07">
        <w:t>16.02.2021</w:t>
      </w:r>
      <w:r w:rsidRPr="00AE7BA8">
        <w:t>. Ako nadležna tijela do tog roka ne pošalju nikakvu obavijest, EBA će smatrati da nadležna tijela nisu usklađena. Obavijesti se dostavljaju slanjem ispunjenog obrasca koji se nalazi na mrežnom mjestu EBA-e s naznakom „EBA/GL/2020/14”. Obavijesti trebaju dostaviti osobe s odgovarajućim ovlastima za izvješćivanje o usklađenosti u ime svojih nadležnih tijela. Svaka se promjena u pogledu statusa usklađenosti mora isto tako prijaviti EBA-i.</w:t>
      </w:r>
    </w:p>
    <w:p w:rsidRPr="00AE7BA8" w:rsidR="00B43E07" w:rsidP="00B43E07" w:rsidRDefault="00B43E07" w14:paraId="3FF09602" w14:textId="563622BD">
      <w:pPr>
        <w:pStyle w:val="body"/>
        <w:numPr>
          <w:ilvl w:val="0"/>
          <w:numId w:val="28"/>
        </w:numPr>
      </w:pPr>
      <w:r w:rsidRPr="00AE7BA8">
        <w:t>Obavijesti će se objaviti na mrežnom mjestu EBA-e u skladu s člankom 16. stavkom 3.</w:t>
      </w:r>
    </w:p>
    <w:p w:rsidRPr="00AE7BA8" w:rsidR="00B43E07" w:rsidP="00B43E07" w:rsidRDefault="00B43E07" w14:paraId="0BB7AD43" w14:textId="77777777">
      <w:pPr>
        <w:pStyle w:val="Titlelevel2"/>
      </w:pPr>
      <w:r w:rsidRPr="00AE7BA8">
        <w:br w:type="page"/>
      </w:r>
    </w:p>
    <w:p w:rsidRPr="00AE7BA8" w:rsidR="00B43E07" w:rsidP="00CE3517" w:rsidRDefault="00B43E07" w14:paraId="207E9159" w14:textId="77777777">
      <w:pPr>
        <w:pStyle w:val="Numberedtilelevel1"/>
      </w:pPr>
      <w:r w:rsidRPr="00AE7BA8">
        <w:lastRenderedPageBreak/>
        <w:t>Predmet, područje primjene i definicije</w:t>
      </w:r>
    </w:p>
    <w:p w:rsidRPr="00AE7BA8" w:rsidR="00B43E07" w:rsidP="00B43E07" w:rsidRDefault="00B43E07" w14:paraId="329ACB0A" w14:textId="77777777">
      <w:pPr>
        <w:pStyle w:val="Titlelevel2"/>
      </w:pPr>
      <w:r w:rsidRPr="00AE7BA8">
        <w:t>Predmet</w:t>
      </w:r>
    </w:p>
    <w:p w:rsidRPr="00AE7BA8" w:rsidR="00DE0FE1" w:rsidP="00DE0FE1" w:rsidRDefault="00DE0FE1" w14:paraId="667A5E79" w14:textId="75DF9FF9">
      <w:pPr>
        <w:pStyle w:val="body"/>
        <w:numPr>
          <w:ilvl w:val="0"/>
          <w:numId w:val="28"/>
        </w:numPr>
      </w:pPr>
      <w:r w:rsidRPr="00AE7BA8">
        <w:t>Ove smjernice odnose se na:</w:t>
      </w:r>
    </w:p>
    <w:p w:rsidRPr="00AE7BA8" w:rsidR="00DE0FE1" w:rsidP="00DE0FE1" w:rsidRDefault="00DE0FE1" w14:paraId="7F872996" w14:textId="017F20C9">
      <w:pPr>
        <w:pStyle w:val="body"/>
        <w:numPr>
          <w:ilvl w:val="1"/>
          <w:numId w:val="35"/>
        </w:numPr>
      </w:pPr>
      <w:r w:rsidRPr="00AE7BA8">
        <w:t>pobliže određivanje pokazatelja koji se upotrebljavaju za utvrđivanje globalnih sistemski važnih institucija (GSV institucija), kako je propisano Uredbom br. 1222/2014 („pokazatelji”); i</w:t>
      </w:r>
    </w:p>
    <w:p w:rsidRPr="00AE7BA8" w:rsidR="00B43E07" w:rsidP="00DE0FE1" w:rsidRDefault="00DE0FE1" w14:paraId="776C11F3" w14:textId="5A3E2820">
      <w:pPr>
        <w:pStyle w:val="body"/>
        <w:numPr>
          <w:ilvl w:val="1"/>
          <w:numId w:val="35"/>
        </w:numPr>
      </w:pPr>
      <w:r w:rsidRPr="00AE7BA8">
        <w:t xml:space="preserve">izvješćivanje o </w:t>
      </w:r>
      <w:r w:rsidR="00992126">
        <w:t>temeljnim</w:t>
      </w:r>
      <w:r w:rsidRPr="00AE7BA8">
        <w:t xml:space="preserve"> podatcima (pokazatelji</w:t>
      </w:r>
      <w:r w:rsidR="005666A0">
        <w:t>ma</w:t>
      </w:r>
      <w:r w:rsidRPr="00AE7BA8">
        <w:t>, pomoćni</w:t>
      </w:r>
      <w:r w:rsidR="005666A0">
        <w:t>m</w:t>
      </w:r>
      <w:r w:rsidRPr="00AE7BA8">
        <w:t xml:space="preserve"> podatci</w:t>
      </w:r>
      <w:r w:rsidR="005666A0">
        <w:t>ma</w:t>
      </w:r>
      <w:r w:rsidRPr="00AE7BA8">
        <w:t>, memorandumsk</w:t>
      </w:r>
      <w:r w:rsidR="005666A0">
        <w:t>im</w:t>
      </w:r>
      <w:r w:rsidRPr="00AE7BA8">
        <w:t xml:space="preserve"> stavk</w:t>
      </w:r>
      <w:r w:rsidR="005666A0">
        <w:t>ama</w:t>
      </w:r>
      <w:r w:rsidRPr="00AE7BA8">
        <w:t>) i godišnje objavljivanje informacija o dobivenim vrijednostima pokazatelja koji se upotrebljavaju za utvrđivanje GSV institucija.</w:t>
      </w:r>
    </w:p>
    <w:p w:rsidRPr="00AE7BA8" w:rsidR="00B43E07" w:rsidP="00B43E07" w:rsidRDefault="00B43E07" w14:paraId="07F996E2" w14:textId="77777777">
      <w:pPr>
        <w:pStyle w:val="Titlelevel2"/>
      </w:pPr>
      <w:r w:rsidRPr="00AE7BA8">
        <w:t>Područje primjene</w:t>
      </w:r>
    </w:p>
    <w:p w:rsidRPr="00AE7BA8" w:rsidR="00DE0FE1" w:rsidP="00B43E07" w:rsidRDefault="00B43E07" w14:paraId="71B629CF" w14:textId="05197A71">
      <w:pPr>
        <w:pStyle w:val="body"/>
        <w:numPr>
          <w:ilvl w:val="0"/>
          <w:numId w:val="28"/>
        </w:numPr>
      </w:pPr>
      <w:r w:rsidRPr="00AE7BA8">
        <w:t>Ove smjernice primjenjuju se u odnosu na:</w:t>
      </w:r>
    </w:p>
    <w:p w:rsidRPr="00AE7BA8" w:rsidR="00DE0FE1" w:rsidP="00DE0FE1" w:rsidRDefault="000F3C24" w14:paraId="73EAD676" w14:textId="3140197F">
      <w:pPr>
        <w:pStyle w:val="body"/>
        <w:numPr>
          <w:ilvl w:val="0"/>
          <w:numId w:val="36"/>
        </w:numPr>
      </w:pPr>
      <w:r w:rsidRPr="00AE7BA8">
        <w:t>grupe na čijem je čelu matična institucija iz EU-a, matični financijski holding iz EU-a ili matični mješoviti financijski holding iz EU-a; i</w:t>
      </w:r>
    </w:p>
    <w:p w:rsidRPr="00AE7BA8" w:rsidR="00B43E07" w:rsidP="00DE0FE1" w:rsidRDefault="00DE0FE1" w14:paraId="0D1E1C78" w14:textId="031EF3C2">
      <w:pPr>
        <w:pStyle w:val="body"/>
        <w:numPr>
          <w:ilvl w:val="0"/>
          <w:numId w:val="36"/>
        </w:numPr>
      </w:pPr>
      <w:r w:rsidRPr="00AE7BA8">
        <w:t>institucije koje nisu društva kćeri matične institucije iz EU-a, matičnog financijskog holdinga iz EU-a ili matičnog mješovitog financijskog holdinga iz EU-a</w:t>
      </w:r>
    </w:p>
    <w:p w:rsidRPr="00AE7BA8" w:rsidR="00B43E07" w:rsidP="00DE0FE1" w:rsidRDefault="003A2221" w14:paraId="5736DC31" w14:textId="08A9F3FE">
      <w:pPr>
        <w:pStyle w:val="body"/>
      </w:pPr>
      <w:r w:rsidRPr="00AE7BA8">
        <w:t>čija mjera izloženosti omjera financijske poluge iznosi više od 200 milijardi EUR na konsolidiranoj odnosno pojedinačnoj osnovi (te uključujući društva kćeri za osiguranje) uz primjenu odgovarajućeg tečaja, pri čemu se u obzir uzima</w:t>
      </w:r>
      <w:r w:rsidR="005666A0">
        <w:t>ju</w:t>
      </w:r>
      <w:r w:rsidRPr="00AE7BA8">
        <w:t xml:space="preserve"> referentni tečaj koji je objavila Europska središnja banka primjenjiv na kraju financijske godine te međunarodni standardi („relevantni subjekti”).</w:t>
      </w:r>
    </w:p>
    <w:p w:rsidRPr="00AE7BA8" w:rsidR="00B43E07" w:rsidP="00B43E07" w:rsidRDefault="00B43E07" w14:paraId="6EAA3145" w14:textId="77777777">
      <w:pPr>
        <w:pStyle w:val="Titlelevel2"/>
      </w:pPr>
      <w:r w:rsidRPr="00AE7BA8">
        <w:t>Adresati</w:t>
      </w:r>
    </w:p>
    <w:p w:rsidRPr="00AE7BA8" w:rsidR="00B43E07" w:rsidP="00DE0FE1" w:rsidRDefault="00DE0FE1" w14:paraId="12310C5F" w14:textId="42F50B99">
      <w:pPr>
        <w:pStyle w:val="body"/>
        <w:numPr>
          <w:ilvl w:val="0"/>
          <w:numId w:val="28"/>
        </w:numPr>
      </w:pPr>
      <w:r w:rsidRPr="00AE7BA8">
        <w:t>Ove su smjernice upućene nadležnim tijelima koja su definirana u članku 4. stavku 2. točki i. Uredbe (EU) br. 1093/2010 i financijskim institucijama u odnosu na koje se ove smjernice primjenjuju. Imenovana tijela iz članka 131. stavka 1. Direktive 2013/36/EU koja nisu nadležna tijela potiču se da primjenjuju ove smjernice. U ovim se smjernicama i nadležna tijela i imenovana tijela nazivaju „relevantna tijela”.</w:t>
      </w:r>
    </w:p>
    <w:p w:rsidRPr="00AE7BA8" w:rsidR="00DE0FE1" w:rsidP="00DE0FE1" w:rsidRDefault="00DE0FE1" w14:paraId="52A8B3D5" w14:textId="77777777">
      <w:pPr>
        <w:pStyle w:val="ListParagraph"/>
        <w:numPr>
          <w:ilvl w:val="0"/>
          <w:numId w:val="28"/>
        </w:numPr>
      </w:pPr>
      <w:r w:rsidRPr="00AE7BA8">
        <w:br w:type="page"/>
      </w:r>
    </w:p>
    <w:p w:rsidRPr="00AE7BA8" w:rsidR="00B43E07" w:rsidP="00CE3517" w:rsidRDefault="00B43E07" w14:paraId="25D099DB" w14:textId="77777777">
      <w:pPr>
        <w:pStyle w:val="Numberedtilelevel1"/>
      </w:pPr>
      <w:r w:rsidRPr="00AE7BA8">
        <w:lastRenderedPageBreak/>
        <w:t>Provedba</w:t>
      </w:r>
    </w:p>
    <w:p w:rsidRPr="00AE7BA8" w:rsidR="00B43E07" w:rsidP="00B43E07" w:rsidRDefault="00B43E07" w14:paraId="4EAB2FB0" w14:textId="77777777">
      <w:pPr>
        <w:pStyle w:val="Titlelevel2"/>
      </w:pPr>
      <w:r w:rsidRPr="00AE7BA8">
        <w:t>Datum početka primjene</w:t>
      </w:r>
    </w:p>
    <w:p w:rsidRPr="00AE7BA8" w:rsidR="00B43E07" w:rsidP="00DE0FE1" w:rsidRDefault="00DE0FE1" w14:paraId="18515792" w14:textId="277C7BAA">
      <w:pPr>
        <w:pStyle w:val="body"/>
        <w:numPr>
          <w:ilvl w:val="0"/>
          <w:numId w:val="38"/>
        </w:numPr>
      </w:pPr>
      <w:r w:rsidRPr="00AE7BA8">
        <w:t>Ove se smjernice primjenjuju od</w:t>
      </w:r>
      <w:r w:rsidR="004D3E07">
        <w:t xml:space="preserve"> 16.12.2020.</w:t>
      </w:r>
    </w:p>
    <w:p w:rsidRPr="00AE7BA8" w:rsidR="00B43E07" w:rsidP="00B43E07" w:rsidRDefault="00B43E07" w14:paraId="4AB150AF" w14:textId="64BC8239">
      <w:pPr>
        <w:pStyle w:val="Titlelevel2"/>
      </w:pPr>
      <w:r w:rsidRPr="00AE7BA8">
        <w:t>Stavljanje izvan snage</w:t>
      </w:r>
    </w:p>
    <w:p w:rsidRPr="00AE7BA8" w:rsidR="00B43E07" w:rsidP="00A41338" w:rsidRDefault="00BD1538" w14:paraId="0F71334D" w14:textId="4DCAC658">
      <w:r w:rsidRPr="00AE7BA8">
        <w:t>Ovime se stavljaju izvan snage revidirane smjernice o pobližem određivanju pokazatelja globalne sistemske značajnosti i njihovoj objavi od 29. veljače 2016. (EBA/GL/2016/01).</w:t>
      </w:r>
    </w:p>
    <w:p w:rsidRPr="00AE7BA8" w:rsidR="00BD1538" w:rsidP="00B43E07" w:rsidRDefault="00BD1538" w14:paraId="30F30A96" w14:textId="77777777">
      <w:pPr>
        <w:pStyle w:val="body"/>
        <w:rPr>
          <w:lang w:val="en-GB"/>
        </w:rPr>
        <w:sectPr w:rsidRPr="00AE7BA8" w:rsidR="00BD1538" w:rsidSect="000F33D3">
          <w:headerReference w:type="even" r:id="rId8"/>
          <w:headerReference w:type="default" r:id="rId9"/>
          <w:footerReference w:type="even" r:id="rId10"/>
          <w:footerReference w:type="default" r:id="rId11"/>
          <w:headerReference w:type="first" r:id="rId12"/>
          <w:pgSz w:w="11900" w:h="16840"/>
          <w:pgMar w:top="2268" w:right="1418" w:bottom="1134" w:left="1701" w:header="709" w:footer="709" w:gutter="0"/>
          <w:cols w:space="708"/>
          <w:docGrid w:linePitch="299"/>
        </w:sectPr>
      </w:pPr>
    </w:p>
    <w:p w:rsidRPr="00AE7BA8" w:rsidR="00B43E07" w:rsidP="00BD1538" w:rsidRDefault="00BD1538" w14:paraId="4D344DEC" w14:textId="1D9634A9">
      <w:pPr>
        <w:pStyle w:val="Numberedtilelevel1"/>
        <w:jc w:val="both"/>
      </w:pPr>
      <w:r w:rsidRPr="00AE7BA8">
        <w:lastRenderedPageBreak/>
        <w:t xml:space="preserve">Pobliže određivanje </w:t>
      </w:r>
      <w:r w:rsidR="00992126">
        <w:t>temeljnih</w:t>
      </w:r>
      <w:r w:rsidRPr="00AE7BA8" w:rsidR="00992126">
        <w:t xml:space="preserve"> </w:t>
      </w:r>
      <w:r w:rsidRPr="00AE7BA8">
        <w:t>podataka i pokazatelja koji se upotrebljavaju za utvrđivanje GSV institucija</w:t>
      </w:r>
    </w:p>
    <w:p w:rsidR="00DB265D" w:rsidP="00DB265D" w:rsidRDefault="00DB265D" w14:paraId="2764A492" w14:textId="5B0A2A29">
      <w:pPr>
        <w:pStyle w:val="body"/>
        <w:rPr>
          <w:iCs/>
        </w:rPr>
      </w:pPr>
      <w:r w:rsidRPr="007B541C">
        <w:rPr>
          <w:spacing w:val="-1"/>
          <w:highlight w:val="green"/>
        </w:rPr>
        <w:sym w:font="Wingdings" w:char="F0DA"/>
      </w:r>
      <w:r w:rsidRPr="007B541C">
        <w:rPr>
          <w:spacing w:val="-1"/>
          <w:highlight w:val="green"/>
        </w:rPr>
        <w:t>A1</w:t>
      </w:r>
    </w:p>
    <w:p w:rsidRPr="00846F9E" w:rsidR="00B43E07" w:rsidP="00BD1538" w:rsidRDefault="00846F9E" w14:paraId="50643877" w14:textId="70CDEF5D">
      <w:pPr>
        <w:pStyle w:val="body"/>
        <w:numPr>
          <w:ilvl w:val="0"/>
          <w:numId w:val="38"/>
        </w:numPr>
        <w:rPr>
          <w:iCs/>
        </w:rPr>
      </w:pPr>
      <w:r w:rsidRPr="00846F9E">
        <w:rPr>
          <w:iCs/>
        </w:rPr>
        <w:t>Relevantna tijela i relevantni subjekti trebaju slijediti upute i specifikacije za podatkovne stavke navedene u Prilogu, kako je navedeno u poveznici pod nazivom „Upute za izvješćivanje” na EBA-inom mrežnom mjestu u odjeljku o GSV institucijama</w:t>
      </w:r>
      <w:r w:rsidRPr="00846F9E">
        <w:rPr>
          <w:rStyle w:val="FootnoteReference"/>
          <w:iCs/>
        </w:rPr>
        <w:footnoteReference w:id="3"/>
      </w:r>
      <w:r w:rsidRPr="00846F9E" w:rsidR="00BD1538">
        <w:rPr>
          <w:iCs/>
        </w:rPr>
        <w:t>.</w:t>
      </w:r>
    </w:p>
    <w:p w:rsidR="00B43E07" w:rsidP="00BD1538" w:rsidRDefault="00846F9E" w14:paraId="2FD6FE4E" w14:textId="5F67521C">
      <w:pPr>
        <w:pStyle w:val="body"/>
        <w:numPr>
          <w:ilvl w:val="0"/>
          <w:numId w:val="38"/>
        </w:numPr>
      </w:pPr>
      <w:r w:rsidRPr="00846F9E">
        <w:rPr>
          <w:iCs/>
        </w:rPr>
        <w:t>Relevantna tijela trebaju primjenjivati dodatne podatke (odjeljci 15. i 16. Priloga ovim Smjernicama) kako bi potkrijepila svoju supervizorsku prosudbu u skladu s člankom 131. stavkom 10. Direktive (EU) 2013/36/EU te memorandumske stavke (odjeljci od 17. do 22. Priloga) kako bi se poboljšala kvaliteta podataka i omogućila buduća poboljšanja metodologije za utvrđivanje. Memorandumske stavke bi, prema potrebi, trebalo nadopuniti detaljnim komentarima relevantnih subjekata u pogledu kvalitete i dostupnosti podataka</w:t>
      </w:r>
      <w:r w:rsidRPr="00AE7BA8" w:rsidR="003A2221">
        <w:t>.</w:t>
      </w:r>
    </w:p>
    <w:p w:rsidRPr="00AE7BA8" w:rsidR="00846F9E" w:rsidP="00846F9E" w:rsidRDefault="00846F9E" w14:paraId="19C5F21D" w14:textId="1A1EAA96">
      <w:pPr>
        <w:pStyle w:val="body"/>
        <w:tabs>
          <w:tab w:val="left" w:pos="284"/>
        </w:tabs>
        <w:ind w:left="426" w:hanging="426"/>
      </w:pPr>
      <w:r w:rsidRPr="00846F9E">
        <w:rPr>
          <w:iCs/>
        </w:rPr>
        <w:t>10</w:t>
      </w:r>
      <w:r w:rsidR="00341BCB">
        <w:rPr>
          <w:iCs/>
        </w:rPr>
        <w:t>.</w:t>
      </w:r>
      <w:r w:rsidRPr="00846F9E">
        <w:rPr>
          <w:iCs/>
        </w:rPr>
        <w:t>a</w:t>
      </w:r>
      <w:r w:rsidRPr="00846F9E">
        <w:rPr>
          <w:iCs/>
        </w:rPr>
        <w:tab/>
        <w:t>U skladu s člankom 131. stavkom 2.a Direktive 2013/36/EU kojim se propisuje dodatna metodologija za utvrđivanje koja isključuje prekogranične aktivnosti u okviru jedinstvenog sanacijskog mehanizma (SRM), te u skladu s međunarodnim dogovorom Bazelskog odbora od 31. svibnja 2022. kojim se priznaje napredak ostvaren u razvoju europske bankovne unije, podatkovne stavke relevantne za izračun prilagođenih međudržavnih pokazatelja za institucije sa sjedištem u državama članicama koje su dio jedinstvenog sanacijskog mehanizma trebaju se smatrati dijelom pokazatelja međudržavne aktivnosti i u skladu s time objaviti u skladu sa stavkom 12., a ne dodatnim podatcima ili memorandumskim stavkama za metodologiju utvrđivanja GSV institucija i raspoređivanja u potkategorije</w:t>
      </w:r>
      <w:r w:rsidRPr="002070C7">
        <w:rPr>
          <w:i/>
        </w:rPr>
        <w:t>.</w:t>
      </w:r>
    </w:p>
    <w:p w:rsidRPr="00AE7BA8" w:rsidR="00BD1538" w:rsidP="00BD1538" w:rsidRDefault="00BD1538" w14:paraId="6A6FBBAE" w14:textId="77777777">
      <w:pPr>
        <w:pStyle w:val="body"/>
        <w:rPr>
          <w:highlight w:val="yellow"/>
        </w:rPr>
      </w:pPr>
    </w:p>
    <w:p w:rsidRPr="00AE7BA8" w:rsidR="00BD1538" w:rsidP="00505C64" w:rsidRDefault="00BD1538" w14:paraId="2DFFA9BA" w14:textId="77777777">
      <w:pPr>
        <w:pStyle w:val="Titlelevel2"/>
        <w:sectPr w:rsidRPr="00AE7BA8" w:rsidR="00BD1538" w:rsidSect="000F33D3">
          <w:pgSz w:w="11900" w:h="16840"/>
          <w:pgMar w:top="2268" w:right="1418" w:bottom="1134" w:left="1701" w:header="709" w:footer="709" w:gutter="0"/>
          <w:cols w:space="708"/>
          <w:docGrid w:linePitch="299"/>
        </w:sectPr>
      </w:pPr>
    </w:p>
    <w:p w:rsidRPr="00AE7BA8" w:rsidR="00B43E07" w:rsidP="00BD1538" w:rsidRDefault="00BD1538" w14:paraId="6CDBC73A" w14:textId="63126AA5">
      <w:pPr>
        <w:pStyle w:val="Numberedtilelevel1"/>
        <w:jc w:val="both"/>
      </w:pPr>
      <w:r w:rsidRPr="00AE7BA8">
        <w:lastRenderedPageBreak/>
        <w:t>Zahtjevi u pogledu izvješćivanja i objave za relevantne institucije</w:t>
      </w:r>
    </w:p>
    <w:p w:rsidRPr="00AE7BA8" w:rsidR="0007574B" w:rsidP="0007574B" w:rsidRDefault="00846F9E" w14:paraId="107B3895" w14:textId="0C8DBB98">
      <w:pPr>
        <w:pStyle w:val="body"/>
        <w:numPr>
          <w:ilvl w:val="0"/>
          <w:numId w:val="38"/>
        </w:numPr>
      </w:pPr>
      <w:r w:rsidRPr="00846F9E">
        <w:rPr>
          <w:iCs/>
        </w:rPr>
        <w:t>Relevantna tijela od relevantnih subjekata koji ispunjavaju kriterije utvrđene u točki 6. ovih Smjernica trebaju osigurati prikupljanje svih podatkovnih stavki navedenih u Prilogu ovim Smjernicama do 31. prosinca svake godine</w:t>
      </w:r>
      <w:r w:rsidRPr="00AE7BA8" w:rsidR="003A2221">
        <w:t>.</w:t>
      </w:r>
    </w:p>
    <w:p w:rsidR="0007574B" w:rsidP="0007574B" w:rsidRDefault="00846F9E" w14:paraId="623657F6" w14:textId="2118C089">
      <w:pPr>
        <w:pStyle w:val="body"/>
        <w:numPr>
          <w:ilvl w:val="0"/>
          <w:numId w:val="38"/>
        </w:numPr>
      </w:pPr>
      <w:r w:rsidRPr="00846F9E">
        <w:rPr>
          <w:iCs/>
        </w:rPr>
        <w:t>Relevantna tijela trebaju osigurati da relevantni subjekti na svojim mrežnim mjestima na godišnjoj osnovi javno objavljuju vrijednosti pokazatelja utvrđene u odjeljcima od 1. do 14. Priloga ovim Smjernicama i, ako je potrebna dodatna metodologija identifikacije SRM-a, stavke e), f) i g) odjeljka 21., kao i sve druge stavke odjeljka 21. koje se odnose na međudržavnu aktivnost SRM-a koje bi relevantno nadležno tijelo moglo smatrati relevantnima za izračun takve metodologije</w:t>
      </w:r>
      <w:r w:rsidRPr="00AE7BA8" w:rsidR="003A2221">
        <w:t>.</w:t>
      </w:r>
    </w:p>
    <w:p w:rsidRPr="00AE7BA8" w:rsidR="00DB265D" w:rsidP="00DB265D" w:rsidRDefault="00DB265D" w14:paraId="4D9F188B" w14:textId="3913E6F7">
      <w:pPr>
        <w:pStyle w:val="BodyText"/>
        <w:tabs>
          <w:tab w:val="left" w:pos="1802"/>
        </w:tabs>
        <w:spacing w:before="100" w:after="60" w:line="276" w:lineRule="auto"/>
        <w:ind w:right="232"/>
        <w:jc w:val="both"/>
      </w:pPr>
      <w:r w:rsidRPr="007B541C">
        <w:rPr>
          <w:spacing w:val="-1"/>
          <w:highlight w:val="yellow"/>
        </w:rPr>
        <w:sym w:font="Wingdings" w:char="F0DA"/>
      </w:r>
      <w:r w:rsidRPr="007B541C">
        <w:rPr>
          <w:spacing w:val="-1"/>
          <w:highlight w:val="yellow"/>
        </w:rPr>
        <w:t>O</w:t>
      </w:r>
    </w:p>
    <w:p w:rsidR="0007574B" w:rsidP="0007574B" w:rsidRDefault="0007574B" w14:paraId="59D95C2C" w14:textId="63945A22">
      <w:pPr>
        <w:pStyle w:val="body"/>
        <w:numPr>
          <w:ilvl w:val="0"/>
          <w:numId w:val="38"/>
        </w:numPr>
      </w:pPr>
      <w:r w:rsidRPr="00AE7BA8">
        <w:t>Pri izvješćivanju o informacijama iz točaka 11. i 12. te njihovu objavljivanju relevantni subjekti trebaju se koristiti elektroničkim obrascem i slijediti upute koje se jednom godišnje objavljuju u tu svrhu na mrežnom mjestu EBA-e.</w:t>
      </w:r>
    </w:p>
    <w:p w:rsidRPr="00AE7BA8" w:rsidR="00DB265D" w:rsidP="00DB265D" w:rsidRDefault="00DB265D" w14:paraId="4D52B5CC" w14:textId="79153F14">
      <w:pPr>
        <w:pStyle w:val="body"/>
      </w:pPr>
      <w:r w:rsidRPr="007B541C">
        <w:rPr>
          <w:spacing w:val="-1"/>
          <w:highlight w:val="green"/>
        </w:rPr>
        <w:sym w:font="Wingdings" w:char="F0DA"/>
      </w:r>
      <w:r w:rsidRPr="007B541C">
        <w:rPr>
          <w:spacing w:val="-1"/>
          <w:highlight w:val="green"/>
        </w:rPr>
        <w:t>A1</w:t>
      </w:r>
    </w:p>
    <w:p w:rsidR="006C6D8E" w:rsidP="0007574B" w:rsidRDefault="00A5057C" w14:paraId="5F511C1E" w14:textId="0B46815C">
      <w:pPr>
        <w:pStyle w:val="body"/>
        <w:numPr>
          <w:ilvl w:val="0"/>
          <w:numId w:val="38"/>
        </w:numPr>
      </w:pPr>
      <w:r w:rsidRPr="00A5057C">
        <w:rPr>
          <w:iCs/>
        </w:rPr>
        <w:t>Relevantni subjekti trebali bi dostaviti informacije iz stavka 11. relevantnim tijelima i javno objaviti informacije iz stavka 12. na godišnjoj osnovi najkasnije četiri mjeseca nakon svakog datuma završetka financijske godine, počevši od drugog uzastopnog datuma završetka financijske godine na koji je prekoračen prag naveden u stavku 6. ovih Smjernica. Pritom bi se relevantni subjekti u svrhu identifikacije trebali koristiti identifikacijskom oznakom pravne osobe</w:t>
      </w:r>
      <w:r w:rsidRPr="00AE7BA8" w:rsidR="0007574B">
        <w:t>.</w:t>
      </w:r>
    </w:p>
    <w:p w:rsidRPr="00AE7BA8" w:rsidR="00DB265D" w:rsidP="00DB265D" w:rsidRDefault="00DB265D" w14:paraId="2ADD51BB" w14:textId="694D3A41">
      <w:pPr>
        <w:pStyle w:val="BodyText"/>
        <w:tabs>
          <w:tab w:val="left" w:pos="1802"/>
        </w:tabs>
        <w:spacing w:before="100" w:after="60" w:line="276" w:lineRule="auto"/>
        <w:ind w:right="232"/>
        <w:jc w:val="both"/>
      </w:pPr>
      <w:r w:rsidRPr="007B541C">
        <w:rPr>
          <w:spacing w:val="-1"/>
          <w:highlight w:val="yellow"/>
        </w:rPr>
        <w:sym w:font="Wingdings" w:char="F0DA"/>
      </w:r>
      <w:r w:rsidRPr="007B541C">
        <w:rPr>
          <w:spacing w:val="-1"/>
          <w:highlight w:val="yellow"/>
        </w:rPr>
        <w:t>O</w:t>
      </w:r>
    </w:p>
    <w:p w:rsidRPr="00AE7BA8" w:rsidR="0007574B" w:rsidP="0007574B" w:rsidRDefault="003A2221" w14:paraId="02B1DBBB" w14:textId="35B7F7D9">
      <w:pPr>
        <w:pStyle w:val="body"/>
        <w:numPr>
          <w:ilvl w:val="0"/>
          <w:numId w:val="38"/>
        </w:numPr>
      </w:pPr>
      <w:r w:rsidRPr="00AE7BA8">
        <w:t>Relevantna tijela mogu dopustiti relevantnim subjektima čiji se kraj financijske godine ne poklapa s datumom 31. prosinca da izvijeste o tim informacijama i objave ih na temelju njihove pozicije na datum što bliži onome 31. prosinca. U svakom slučaju informacije je potrebno objaviti najkasnije do 31. srpnja.</w:t>
      </w:r>
    </w:p>
    <w:p w:rsidRPr="00AE7BA8" w:rsidR="00B43E07" w:rsidP="00B43E07" w:rsidRDefault="003A2221" w14:paraId="0BE8B0EA" w14:textId="3AD888C3">
      <w:pPr>
        <w:pStyle w:val="body"/>
        <w:numPr>
          <w:ilvl w:val="0"/>
          <w:numId w:val="38"/>
        </w:numPr>
      </w:pPr>
      <w:r w:rsidRPr="00AE7BA8">
        <w:t>Relevantna tijela trebaju se pobrinuti da su priopćeni i objavljeni podatci jednaki onima dostavljenima Bazelskom odboru za nadzor banaka ako je to primjenjivo.</w:t>
      </w:r>
    </w:p>
    <w:p w:rsidRPr="00AE7BA8" w:rsidR="006C6D8E" w:rsidP="006C6D8E" w:rsidRDefault="006C6D8E" w14:paraId="304AED26" w14:textId="0684F911">
      <w:pPr>
        <w:pStyle w:val="body"/>
      </w:pPr>
    </w:p>
    <w:p w:rsidRPr="00AE7BA8" w:rsidR="006C6D8E" w:rsidP="006C6D8E" w:rsidRDefault="006C6D8E" w14:paraId="3653C3DD" w14:textId="77777777">
      <w:pPr>
        <w:pStyle w:val="body"/>
        <w:sectPr w:rsidRPr="00AE7BA8" w:rsidR="006C6D8E" w:rsidSect="000F33D3">
          <w:pgSz w:w="11900" w:h="16840"/>
          <w:pgMar w:top="2268" w:right="1418" w:bottom="1134" w:left="1701" w:header="709" w:footer="709" w:gutter="0"/>
          <w:cols w:space="708"/>
          <w:docGrid w:linePitch="299"/>
        </w:sectPr>
      </w:pPr>
    </w:p>
    <w:p w:rsidRPr="00AE7BA8" w:rsidR="00B43E07" w:rsidP="006C6D8E" w:rsidRDefault="006C6D8E" w14:paraId="78D7CAE2" w14:textId="0D9CA5B9">
      <w:pPr>
        <w:pStyle w:val="Numberedtilelevel1"/>
        <w:jc w:val="both"/>
      </w:pPr>
      <w:r w:rsidRPr="00AE7BA8">
        <w:lastRenderedPageBreak/>
        <w:t>Informacije koje se dostavljaju EBA-i</w:t>
      </w:r>
    </w:p>
    <w:p w:rsidRPr="00AE7BA8" w:rsidR="006C6D8E" w:rsidP="006C6D8E" w:rsidRDefault="003A2221" w14:paraId="0966C959" w14:textId="52E7A3EF">
      <w:pPr>
        <w:pStyle w:val="body"/>
        <w:numPr>
          <w:ilvl w:val="0"/>
          <w:numId w:val="38"/>
        </w:numPr>
      </w:pPr>
      <w:r w:rsidRPr="00AE7BA8">
        <w:t>Relevantna tijela trebaju dostaviti EBA-i sve podatke, uključujući pomoćne podatke i memorandumske stavke prikupljene u skladu s ovim smjernicama kako bi se oni mogli objediniti na mrežnom mjestu EBA-e. Relevantni subjekti bi se u svrhu identifikacije trebali koristiti identifikacijskom oznakom pravne osobe. EBA neće objaviti pomoćne podatke ni memorandumske stavke.</w:t>
      </w:r>
    </w:p>
    <w:p w:rsidRPr="00AE7BA8" w:rsidR="006C6D8E" w:rsidP="00B43E07" w:rsidRDefault="006C6D8E" w14:paraId="001293F4" w14:textId="77777777">
      <w:pPr>
        <w:pStyle w:val="body"/>
        <w:rPr>
          <w:lang w:val="en-GB" w:eastAsia="en-GB"/>
        </w:rPr>
        <w:sectPr w:rsidRPr="00AE7BA8" w:rsidR="006C6D8E" w:rsidSect="000F33D3">
          <w:pgSz w:w="11900" w:h="16840"/>
          <w:pgMar w:top="2268" w:right="1418" w:bottom="1134" w:left="1701" w:header="709" w:footer="709" w:gutter="0"/>
          <w:cols w:space="708"/>
          <w:docGrid w:linePitch="299"/>
        </w:sectPr>
      </w:pPr>
    </w:p>
    <w:p w:rsidRPr="00AE7BA8" w:rsidR="006C6D8E" w:rsidP="006C6D8E" w:rsidRDefault="006C6D8E" w14:paraId="6FBD395E" w14:textId="77777777">
      <w:pPr>
        <w:pStyle w:val="Contenttitle"/>
      </w:pPr>
      <w:r w:rsidRPr="00AE7BA8">
        <w:lastRenderedPageBreak/>
        <w:t>Prilog</w:t>
      </w:r>
    </w:p>
    <w:tbl>
      <w:tblPr>
        <w:tblStyle w:val="TableGrid1"/>
        <w:tblW w:w="9549" w:type="dxa"/>
        <w:tblLook w:val="04A0" w:firstRow="1" w:lastRow="0" w:firstColumn="1" w:lastColumn="0" w:noHBand="0" w:noVBand="1"/>
      </w:tblPr>
      <w:tblGrid>
        <w:gridCol w:w="6804"/>
        <w:gridCol w:w="2745"/>
      </w:tblGrid>
      <w:tr w:rsidRPr="002070C7" w:rsidR="007B2C3F" w:rsidTr="002D229A" w14:paraId="4C85797E" w14:textId="77777777">
        <w:trPr>
          <w:trHeight w:val="420"/>
        </w:trPr>
        <w:tc>
          <w:tcPr>
            <w:tcW w:w="9549" w:type="dxa"/>
            <w:gridSpan w:val="2"/>
            <w:tcBorders>
              <w:top w:val="nil"/>
              <w:left w:val="nil"/>
              <w:bottom w:val="nil"/>
              <w:right w:val="nil"/>
            </w:tcBorders>
            <w:noWrap/>
            <w:hideMark/>
          </w:tcPr>
          <w:p w:rsidR="007B2C3F" w:rsidP="006F6C94" w:rsidRDefault="007B2C3F" w14:paraId="21E7928E" w14:textId="77777777">
            <w:pPr>
              <w:keepNext/>
              <w:keepLines/>
              <w:spacing w:before="47"/>
              <w:outlineLvl w:val="5"/>
              <w:rPr>
                <w:rFonts w:ascii="Arial" w:hAnsi="Arial"/>
                <w:b/>
                <w:i/>
                <w:caps/>
                <w:color w:val="172B39" w:themeColor="accent1" w:themeShade="80"/>
                <w:sz w:val="24"/>
              </w:rPr>
            </w:pPr>
            <w:r w:rsidRPr="007B541C">
              <w:rPr>
                <w:spacing w:val="-1"/>
                <w:highlight w:val="green"/>
              </w:rPr>
              <w:sym w:font="Wingdings" w:char="F0DA"/>
            </w:r>
            <w:r w:rsidRPr="007B541C">
              <w:rPr>
                <w:spacing w:val="-1"/>
                <w:highlight w:val="green"/>
              </w:rPr>
              <w:t>A1</w:t>
            </w:r>
            <w:r w:rsidRPr="002070C7">
              <w:rPr>
                <w:rFonts w:ascii="Arial" w:hAnsi="Arial"/>
                <w:b/>
                <w:i/>
                <w:caps/>
                <w:color w:val="172B39" w:themeColor="accent1" w:themeShade="80"/>
                <w:sz w:val="24"/>
              </w:rPr>
              <w:t> </w:t>
            </w:r>
          </w:p>
          <w:p w:rsidRPr="002070C7" w:rsidR="007B2C3F" w:rsidP="006F6C94" w:rsidRDefault="007B2C3F" w14:paraId="0692797D" w14:textId="77777777">
            <w:pPr>
              <w:keepNext/>
              <w:keepLines/>
              <w:spacing w:before="47"/>
              <w:outlineLvl w:val="5"/>
              <w:rPr>
                <w:rFonts w:asciiTheme="majorHAnsi" w:hAnsiTheme="majorHAnsi" w:eastAsiaTheme="majorEastAsia" w:cstheme="majorBidi"/>
                <w:b/>
                <w:bCs/>
                <w:i/>
                <w:iCs/>
                <w:caps/>
                <w:color w:val="172B39" w:themeColor="accent1" w:themeShade="80"/>
              </w:rPr>
            </w:pPr>
            <w:r w:rsidRPr="002070C7">
              <w:rPr>
                <w:rFonts w:asciiTheme="majorHAnsi" w:hAnsiTheme="majorHAnsi"/>
                <w:b/>
                <w:i/>
                <w:caps/>
              </w:rPr>
              <w:t>Opći podatci o bankama</w:t>
            </w:r>
            <w:r w:rsidRPr="002070C7">
              <w:rPr>
                <w:rFonts w:ascii="Arial" w:hAnsi="Arial"/>
                <w:i/>
                <w:caps/>
                <w:color w:val="172B39" w:themeColor="accent1" w:themeShade="80"/>
                <w:sz w:val="20"/>
              </w:rPr>
              <w:t> </w:t>
            </w:r>
          </w:p>
          <w:p w:rsidRPr="002070C7" w:rsidR="007B2C3F" w:rsidP="006F6C94" w:rsidRDefault="007B2C3F" w14:paraId="7265F56E" w14:textId="77777777">
            <w:pPr>
              <w:rPr>
                <w:rFonts w:ascii="Arial" w:hAnsi="Arial" w:eastAsia="Times New Roman" w:cs="Arial"/>
                <w:b/>
                <w:bCs/>
                <w:sz w:val="24"/>
                <w:szCs w:val="24"/>
              </w:rPr>
            </w:pPr>
            <w:r w:rsidRPr="002070C7">
              <w:rPr>
                <w:rFonts w:ascii="Arial" w:hAnsi="Arial"/>
                <w:sz w:val="20"/>
              </w:rPr>
              <w:t> </w:t>
            </w:r>
          </w:p>
        </w:tc>
      </w:tr>
      <w:tr w:rsidRPr="002070C7" w:rsidR="00A5057C" w:rsidTr="006F6C94" w14:paraId="7B20F743" w14:textId="77777777">
        <w:trPr>
          <w:trHeight w:val="300"/>
        </w:trPr>
        <w:tc>
          <w:tcPr>
            <w:tcW w:w="6804" w:type="dxa"/>
            <w:tcBorders>
              <w:top w:val="nil"/>
              <w:left w:val="nil"/>
              <w:bottom w:val="single" w:color="auto" w:sz="4" w:space="0"/>
              <w:right w:val="nil"/>
            </w:tcBorders>
            <w:noWrap/>
          </w:tcPr>
          <w:p w:rsidRPr="002070C7" w:rsidR="00A5057C" w:rsidP="006F6C94" w:rsidRDefault="00A5057C" w14:paraId="3792AC6B"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2070C7" w:rsidR="00A5057C" w:rsidP="006F6C94" w:rsidRDefault="00A5057C" w14:paraId="10ED4FF4" w14:textId="77777777">
            <w:pPr>
              <w:jc w:val="center"/>
              <w:rPr>
                <w:rFonts w:ascii="Arial" w:hAnsi="Arial" w:eastAsia="Times New Roman" w:cs="Arial"/>
                <w:b/>
                <w:bCs/>
                <w:sz w:val="20"/>
                <w:szCs w:val="20"/>
                <w:lang w:eastAsia="en-GB"/>
              </w:rPr>
            </w:pPr>
          </w:p>
        </w:tc>
      </w:tr>
      <w:tr w:rsidRPr="002070C7" w:rsidR="00A5057C" w:rsidTr="006F6C94" w14:paraId="1B341F98" w14:textId="77777777">
        <w:trPr>
          <w:trHeight w:val="300"/>
        </w:trPr>
        <w:tc>
          <w:tcPr>
            <w:tcW w:w="6804" w:type="dxa"/>
            <w:tcBorders>
              <w:top w:val="single" w:color="auto" w:sz="4" w:space="0"/>
              <w:left w:val="nil"/>
              <w:bottom w:val="single" w:color="auto" w:sz="4" w:space="0"/>
              <w:right w:val="nil"/>
            </w:tcBorders>
            <w:noWrap/>
            <w:hideMark/>
          </w:tcPr>
          <w:p w:rsidRPr="002070C7" w:rsidR="00A5057C" w:rsidP="006F6C94" w:rsidRDefault="00A5057C" w14:paraId="3ABACB50" w14:textId="77777777">
            <w:pPr>
              <w:rPr>
                <w:rFonts w:ascii="Arial" w:hAnsi="Arial" w:eastAsia="Times New Roman" w:cs="Arial"/>
                <w:b/>
                <w:bCs/>
                <w:sz w:val="20"/>
                <w:szCs w:val="20"/>
              </w:rPr>
            </w:pPr>
            <w:r w:rsidRPr="002070C7">
              <w:rPr>
                <w:rFonts w:ascii="Arial" w:hAnsi="Arial"/>
                <w:b/>
                <w:sz w:val="20"/>
              </w:rPr>
              <w:t>Odjeljak 1. – Opće informacije</w:t>
            </w:r>
          </w:p>
        </w:tc>
        <w:tc>
          <w:tcPr>
            <w:tcW w:w="2745" w:type="dxa"/>
            <w:tcBorders>
              <w:top w:val="single" w:color="auto" w:sz="4" w:space="0"/>
              <w:left w:val="nil"/>
              <w:right w:val="nil"/>
            </w:tcBorders>
            <w:noWrap/>
            <w:hideMark/>
          </w:tcPr>
          <w:p w:rsidRPr="002070C7" w:rsidR="00A5057C" w:rsidP="006F6C94" w:rsidRDefault="00A5057C" w14:paraId="2B168D36" w14:textId="77777777">
            <w:pPr>
              <w:jc w:val="center"/>
              <w:rPr>
                <w:rFonts w:ascii="Arial" w:hAnsi="Arial" w:eastAsia="Times New Roman" w:cs="Arial"/>
                <w:b/>
                <w:bCs/>
                <w:sz w:val="20"/>
                <w:szCs w:val="20"/>
              </w:rPr>
            </w:pPr>
            <w:r w:rsidRPr="002070C7">
              <w:rPr>
                <w:rFonts w:ascii="Arial" w:hAnsi="Arial"/>
                <w:b/>
                <w:sz w:val="20"/>
              </w:rPr>
              <w:t>Odgovor</w:t>
            </w:r>
          </w:p>
        </w:tc>
      </w:tr>
      <w:tr w:rsidRPr="002070C7" w:rsidR="00A5057C" w:rsidTr="006F6C94" w14:paraId="358B4998" w14:textId="77777777">
        <w:trPr>
          <w:gridAfter w:val="1"/>
          <w:wAfter w:w="2745" w:type="dxa"/>
          <w:trHeight w:val="300"/>
        </w:trPr>
        <w:tc>
          <w:tcPr>
            <w:tcW w:w="6804" w:type="dxa"/>
            <w:tcBorders>
              <w:top w:val="single" w:color="auto" w:sz="4" w:space="0"/>
              <w:left w:val="nil"/>
              <w:bottom w:val="single" w:color="auto" w:sz="4" w:space="0"/>
              <w:right w:val="nil"/>
            </w:tcBorders>
            <w:noWrap/>
            <w:hideMark/>
          </w:tcPr>
          <w:p w:rsidRPr="002070C7" w:rsidR="00A5057C" w:rsidP="006F6C94" w:rsidRDefault="00A5057C" w14:paraId="39ACCEEE" w14:textId="77777777">
            <w:pPr>
              <w:ind w:firstLine="200" w:firstLineChars="100"/>
              <w:rPr>
                <w:rFonts w:ascii="Arial" w:hAnsi="Arial" w:eastAsia="Times New Roman" w:cs="Arial"/>
                <w:sz w:val="20"/>
                <w:szCs w:val="20"/>
              </w:rPr>
            </w:pPr>
            <w:r w:rsidRPr="002070C7">
              <w:rPr>
                <w:rFonts w:ascii="Arial" w:hAnsi="Arial"/>
                <w:sz w:val="20"/>
              </w:rPr>
              <w:t>a. Opće informacije koje dostavlja relevantno nadzorno tijelo:</w:t>
            </w:r>
          </w:p>
        </w:tc>
      </w:tr>
      <w:tr w:rsidRPr="002070C7" w:rsidR="00A5057C" w:rsidTr="006F6C94" w14:paraId="6A6F49E3" w14:textId="77777777">
        <w:trPr>
          <w:trHeight w:val="300"/>
        </w:trPr>
        <w:tc>
          <w:tcPr>
            <w:tcW w:w="6804" w:type="dxa"/>
            <w:tcBorders>
              <w:left w:val="nil"/>
              <w:right w:val="nil"/>
            </w:tcBorders>
            <w:noWrap/>
            <w:hideMark/>
          </w:tcPr>
          <w:p w:rsidRPr="002070C7" w:rsidR="00A5057C" w:rsidP="006F6C94" w:rsidRDefault="00A5057C" w14:paraId="3B930A7C" w14:textId="77777777">
            <w:pPr>
              <w:ind w:firstLine="400" w:firstLineChars="200"/>
              <w:rPr>
                <w:rFonts w:ascii="Arial" w:hAnsi="Arial" w:eastAsia="Times New Roman" w:cs="Arial"/>
                <w:sz w:val="20"/>
                <w:szCs w:val="20"/>
              </w:rPr>
            </w:pPr>
            <w:r w:rsidRPr="002070C7">
              <w:rPr>
                <w:rFonts w:ascii="Arial" w:hAnsi="Arial"/>
                <w:sz w:val="20"/>
                <w:lang w:eastAsia="en-GB"/>
              </w:rPr>
              <w:t xml:space="preserve">(1) </w:t>
            </w:r>
            <w:r w:rsidRPr="002070C7">
              <w:rPr>
                <w:rFonts w:ascii="Arial" w:hAnsi="Arial"/>
                <w:sz w:val="20"/>
              </w:rPr>
              <w:t>Oznaka zemlje</w:t>
            </w:r>
          </w:p>
        </w:tc>
        <w:tc>
          <w:tcPr>
            <w:tcW w:w="2745" w:type="dxa"/>
            <w:tcBorders>
              <w:left w:val="nil"/>
              <w:bottom w:val="single" w:color="auto" w:sz="4" w:space="0"/>
              <w:right w:val="nil"/>
            </w:tcBorders>
            <w:noWrap/>
            <w:hideMark/>
          </w:tcPr>
          <w:p w:rsidRPr="002070C7" w:rsidR="00A5057C" w:rsidP="006F6C94" w:rsidRDefault="00A5057C" w14:paraId="13060EB7" w14:textId="77777777">
            <w:pPr>
              <w:jc w:val="center"/>
              <w:rPr>
                <w:rFonts w:ascii="Arial" w:hAnsi="Arial" w:eastAsia="Times New Roman" w:cs="Arial"/>
                <w:sz w:val="20"/>
                <w:szCs w:val="20"/>
              </w:rPr>
            </w:pPr>
            <w:r w:rsidRPr="002070C7">
              <w:rPr>
                <w:rFonts w:ascii="Arial" w:hAnsi="Arial"/>
                <w:sz w:val="20"/>
              </w:rPr>
              <w:t> </w:t>
            </w:r>
          </w:p>
        </w:tc>
      </w:tr>
      <w:tr w:rsidRPr="002070C7" w:rsidR="00A5057C" w:rsidTr="006F6C94" w14:paraId="2EBB0753" w14:textId="77777777">
        <w:trPr>
          <w:trHeight w:val="300"/>
        </w:trPr>
        <w:tc>
          <w:tcPr>
            <w:tcW w:w="6804" w:type="dxa"/>
            <w:tcBorders>
              <w:left w:val="nil"/>
              <w:right w:val="nil"/>
            </w:tcBorders>
            <w:noWrap/>
            <w:hideMark/>
          </w:tcPr>
          <w:p w:rsidRPr="002070C7" w:rsidR="00A5057C" w:rsidP="006F6C94" w:rsidRDefault="00A5057C" w14:paraId="4A726746" w14:textId="77777777">
            <w:pPr>
              <w:ind w:firstLine="400" w:firstLineChars="200"/>
              <w:rPr>
                <w:rFonts w:ascii="Arial" w:hAnsi="Arial" w:eastAsia="Times New Roman" w:cs="Arial"/>
                <w:sz w:val="20"/>
                <w:szCs w:val="20"/>
              </w:rPr>
            </w:pPr>
            <w:r w:rsidRPr="002070C7">
              <w:rPr>
                <w:rFonts w:ascii="Arial" w:hAnsi="Arial"/>
                <w:sz w:val="20"/>
                <w:lang w:eastAsia="en-GB"/>
              </w:rPr>
              <w:t xml:space="preserve">(2) </w:t>
            </w:r>
            <w:r w:rsidRPr="002070C7">
              <w:rPr>
                <w:rFonts w:ascii="Arial" w:hAnsi="Arial"/>
                <w:sz w:val="20"/>
              </w:rPr>
              <w:t>Naziv banke</w:t>
            </w:r>
          </w:p>
        </w:tc>
        <w:tc>
          <w:tcPr>
            <w:tcW w:w="2745" w:type="dxa"/>
            <w:tcBorders>
              <w:left w:val="nil"/>
              <w:bottom w:val="single" w:color="auto" w:sz="4" w:space="0"/>
              <w:right w:val="nil"/>
            </w:tcBorders>
            <w:hideMark/>
          </w:tcPr>
          <w:p w:rsidRPr="002070C7" w:rsidR="00A5057C" w:rsidP="006F6C94" w:rsidRDefault="00A5057C" w14:paraId="21F0D228" w14:textId="77777777">
            <w:pPr>
              <w:jc w:val="center"/>
              <w:rPr>
                <w:rFonts w:ascii="Arial" w:hAnsi="Arial" w:eastAsia="Times New Roman" w:cs="Arial"/>
                <w:sz w:val="20"/>
                <w:szCs w:val="20"/>
              </w:rPr>
            </w:pPr>
            <w:r w:rsidRPr="002070C7">
              <w:rPr>
                <w:rFonts w:ascii="Arial" w:hAnsi="Arial"/>
                <w:sz w:val="20"/>
              </w:rPr>
              <w:t> </w:t>
            </w:r>
          </w:p>
        </w:tc>
      </w:tr>
      <w:tr w:rsidRPr="002070C7" w:rsidR="00A5057C" w:rsidTr="006F6C94" w14:paraId="145F0643" w14:textId="77777777">
        <w:trPr>
          <w:trHeight w:val="300"/>
        </w:trPr>
        <w:tc>
          <w:tcPr>
            <w:tcW w:w="6804" w:type="dxa"/>
            <w:tcBorders>
              <w:left w:val="nil"/>
              <w:right w:val="nil"/>
            </w:tcBorders>
            <w:noWrap/>
            <w:hideMark/>
          </w:tcPr>
          <w:p w:rsidRPr="002070C7" w:rsidR="00A5057C" w:rsidP="006F6C94" w:rsidRDefault="00A5057C" w14:paraId="5814B6DE" w14:textId="77777777">
            <w:pPr>
              <w:ind w:firstLine="400" w:firstLineChars="200"/>
              <w:rPr>
                <w:rFonts w:ascii="Arial" w:hAnsi="Arial" w:eastAsia="Times New Roman" w:cs="Arial"/>
                <w:sz w:val="20"/>
                <w:szCs w:val="20"/>
              </w:rPr>
            </w:pPr>
            <w:r w:rsidRPr="002070C7">
              <w:rPr>
                <w:rFonts w:ascii="Arial" w:hAnsi="Arial"/>
                <w:sz w:val="20"/>
                <w:lang w:eastAsia="en-GB"/>
              </w:rPr>
              <w:t xml:space="preserve">(3) </w:t>
            </w:r>
            <w:r w:rsidRPr="002070C7">
              <w:rPr>
                <w:rFonts w:ascii="Arial" w:hAnsi="Arial"/>
                <w:sz w:val="20"/>
              </w:rPr>
              <w:t>Datum izvješćivanja (gggg-mm-dd)</w:t>
            </w:r>
          </w:p>
        </w:tc>
        <w:tc>
          <w:tcPr>
            <w:tcW w:w="2745" w:type="dxa"/>
            <w:tcBorders>
              <w:left w:val="nil"/>
              <w:bottom w:val="single" w:color="auto" w:sz="4" w:space="0"/>
              <w:right w:val="nil"/>
            </w:tcBorders>
            <w:noWrap/>
            <w:hideMark/>
          </w:tcPr>
          <w:p w:rsidRPr="002070C7" w:rsidR="00A5057C" w:rsidP="006F6C94" w:rsidRDefault="00A5057C" w14:paraId="2DB859F0" w14:textId="77777777">
            <w:pPr>
              <w:jc w:val="center"/>
              <w:rPr>
                <w:rFonts w:ascii="Arial" w:hAnsi="Arial" w:eastAsia="Times New Roman" w:cs="Arial"/>
                <w:sz w:val="20"/>
                <w:szCs w:val="20"/>
                <w:lang w:eastAsia="en-GB"/>
              </w:rPr>
            </w:pPr>
          </w:p>
        </w:tc>
      </w:tr>
      <w:tr w:rsidRPr="002070C7" w:rsidR="00A5057C" w:rsidTr="006F6C94" w14:paraId="471E9BC4" w14:textId="77777777">
        <w:trPr>
          <w:trHeight w:val="300"/>
        </w:trPr>
        <w:tc>
          <w:tcPr>
            <w:tcW w:w="6804" w:type="dxa"/>
            <w:tcBorders>
              <w:left w:val="nil"/>
              <w:right w:val="nil"/>
            </w:tcBorders>
            <w:noWrap/>
            <w:hideMark/>
          </w:tcPr>
          <w:p w:rsidRPr="002070C7" w:rsidR="00A5057C" w:rsidP="006F6C94" w:rsidRDefault="00A5057C" w14:paraId="1C7FE30D" w14:textId="77777777">
            <w:pPr>
              <w:ind w:firstLine="400" w:firstLineChars="200"/>
              <w:rPr>
                <w:rFonts w:ascii="Arial" w:hAnsi="Arial" w:eastAsia="Times New Roman" w:cs="Arial"/>
                <w:sz w:val="20"/>
                <w:szCs w:val="20"/>
              </w:rPr>
            </w:pPr>
            <w:r w:rsidRPr="002070C7">
              <w:rPr>
                <w:rFonts w:ascii="Arial" w:hAnsi="Arial"/>
                <w:sz w:val="20"/>
                <w:lang w:eastAsia="en-GB"/>
              </w:rPr>
              <w:t xml:space="preserve">(4) </w:t>
            </w:r>
            <w:r w:rsidRPr="002070C7">
              <w:rPr>
                <w:rFonts w:ascii="Arial" w:hAnsi="Arial"/>
                <w:sz w:val="20"/>
              </w:rPr>
              <w:t>Izvještajna valuta</w:t>
            </w:r>
          </w:p>
        </w:tc>
        <w:tc>
          <w:tcPr>
            <w:tcW w:w="2745" w:type="dxa"/>
            <w:tcBorders>
              <w:left w:val="nil"/>
              <w:bottom w:val="single" w:color="auto" w:sz="4" w:space="0"/>
              <w:right w:val="nil"/>
            </w:tcBorders>
            <w:noWrap/>
            <w:hideMark/>
          </w:tcPr>
          <w:p w:rsidRPr="002070C7" w:rsidR="00A5057C" w:rsidP="006F6C94" w:rsidRDefault="00A5057C" w14:paraId="713631BA" w14:textId="77777777">
            <w:pPr>
              <w:jc w:val="center"/>
              <w:rPr>
                <w:rFonts w:ascii="Arial" w:hAnsi="Arial" w:eastAsia="Times New Roman" w:cs="Arial"/>
                <w:sz w:val="20"/>
                <w:szCs w:val="20"/>
                <w:lang w:eastAsia="en-GB"/>
              </w:rPr>
            </w:pPr>
          </w:p>
        </w:tc>
      </w:tr>
      <w:tr w:rsidRPr="002070C7" w:rsidR="00A5057C" w:rsidTr="006F6C94" w14:paraId="73482D96" w14:textId="77777777">
        <w:trPr>
          <w:trHeight w:val="300"/>
        </w:trPr>
        <w:tc>
          <w:tcPr>
            <w:tcW w:w="6804" w:type="dxa"/>
            <w:tcBorders>
              <w:left w:val="nil"/>
              <w:right w:val="nil"/>
            </w:tcBorders>
            <w:noWrap/>
            <w:hideMark/>
          </w:tcPr>
          <w:p w:rsidRPr="002070C7" w:rsidR="00A5057C" w:rsidP="006F6C94" w:rsidRDefault="00A5057C" w14:paraId="7C4A76F5" w14:textId="77777777">
            <w:pPr>
              <w:ind w:firstLine="400" w:firstLineChars="200"/>
              <w:rPr>
                <w:rFonts w:ascii="Arial" w:hAnsi="Arial" w:eastAsia="Times New Roman" w:cs="Arial"/>
                <w:sz w:val="20"/>
                <w:szCs w:val="20"/>
              </w:rPr>
            </w:pPr>
            <w:r w:rsidRPr="002070C7">
              <w:rPr>
                <w:rFonts w:ascii="Arial" w:hAnsi="Arial"/>
                <w:sz w:val="20"/>
                <w:lang w:eastAsia="en-GB"/>
              </w:rPr>
              <w:t xml:space="preserve">(5) </w:t>
            </w:r>
            <w:r w:rsidRPr="002070C7">
              <w:rPr>
                <w:rFonts w:ascii="Arial" w:hAnsi="Arial"/>
                <w:sz w:val="20"/>
              </w:rPr>
              <w:t>Tečaj konverzije eura</w:t>
            </w:r>
          </w:p>
        </w:tc>
        <w:tc>
          <w:tcPr>
            <w:tcW w:w="2745" w:type="dxa"/>
            <w:tcBorders>
              <w:left w:val="nil"/>
              <w:bottom w:val="single" w:color="auto" w:sz="4" w:space="0"/>
              <w:right w:val="nil"/>
            </w:tcBorders>
            <w:noWrap/>
            <w:hideMark/>
          </w:tcPr>
          <w:p w:rsidRPr="002070C7" w:rsidR="00A5057C" w:rsidP="006F6C94" w:rsidRDefault="00A5057C" w14:paraId="4FC27D27" w14:textId="77777777">
            <w:pPr>
              <w:rPr>
                <w:rFonts w:ascii="Arial" w:hAnsi="Arial" w:eastAsia="Times New Roman" w:cs="Arial"/>
                <w:sz w:val="20"/>
                <w:szCs w:val="20"/>
              </w:rPr>
            </w:pPr>
            <w:r w:rsidRPr="002070C7">
              <w:rPr>
                <w:rFonts w:ascii="Arial" w:hAnsi="Arial"/>
                <w:sz w:val="20"/>
              </w:rPr>
              <w:t> </w:t>
            </w:r>
          </w:p>
        </w:tc>
      </w:tr>
      <w:tr w:rsidRPr="002070C7" w:rsidR="00A5057C" w:rsidTr="006F6C94" w14:paraId="7848C4AA" w14:textId="77777777">
        <w:trPr>
          <w:trHeight w:val="300"/>
        </w:trPr>
        <w:tc>
          <w:tcPr>
            <w:tcW w:w="6804" w:type="dxa"/>
            <w:tcBorders>
              <w:left w:val="nil"/>
              <w:right w:val="nil"/>
            </w:tcBorders>
            <w:noWrap/>
            <w:hideMark/>
          </w:tcPr>
          <w:p w:rsidRPr="002070C7" w:rsidR="00A5057C" w:rsidP="006F6C94" w:rsidRDefault="00A5057C" w14:paraId="3309CD54" w14:textId="77777777">
            <w:pPr>
              <w:ind w:firstLine="400" w:firstLineChars="200"/>
              <w:rPr>
                <w:rFonts w:ascii="Arial" w:hAnsi="Arial" w:eastAsia="Times New Roman" w:cs="Arial"/>
                <w:sz w:val="20"/>
                <w:szCs w:val="20"/>
              </w:rPr>
            </w:pPr>
            <w:r w:rsidRPr="002070C7">
              <w:rPr>
                <w:rFonts w:ascii="Arial" w:hAnsi="Arial"/>
                <w:sz w:val="20"/>
                <w:lang w:eastAsia="en-GB"/>
              </w:rPr>
              <w:t xml:space="preserve">(6) </w:t>
            </w:r>
            <w:r w:rsidRPr="002070C7">
              <w:rPr>
                <w:rFonts w:ascii="Arial" w:hAnsi="Arial"/>
                <w:sz w:val="20"/>
              </w:rPr>
              <w:t>Datum dostave informacija (gggg-mm-dd)</w:t>
            </w:r>
          </w:p>
        </w:tc>
        <w:tc>
          <w:tcPr>
            <w:tcW w:w="2745" w:type="dxa"/>
            <w:tcBorders>
              <w:left w:val="nil"/>
              <w:bottom w:val="single" w:color="auto" w:sz="4" w:space="0"/>
              <w:right w:val="nil"/>
            </w:tcBorders>
            <w:noWrap/>
            <w:hideMark/>
          </w:tcPr>
          <w:p w:rsidRPr="002070C7" w:rsidR="00A5057C" w:rsidP="006F6C94" w:rsidRDefault="00A5057C" w14:paraId="1A16D07B" w14:textId="77777777">
            <w:pPr>
              <w:jc w:val="center"/>
              <w:rPr>
                <w:rFonts w:ascii="Arial" w:hAnsi="Arial" w:eastAsia="Times New Roman" w:cs="Arial"/>
                <w:sz w:val="20"/>
                <w:szCs w:val="20"/>
              </w:rPr>
            </w:pPr>
            <w:r w:rsidRPr="002070C7">
              <w:rPr>
                <w:rFonts w:ascii="Arial" w:hAnsi="Arial"/>
                <w:sz w:val="20"/>
              </w:rPr>
              <w:t> </w:t>
            </w:r>
          </w:p>
        </w:tc>
      </w:tr>
      <w:tr w:rsidRPr="002070C7" w:rsidR="00A5057C" w:rsidTr="006F6C94" w14:paraId="6D38005A" w14:textId="77777777">
        <w:trPr>
          <w:trHeight w:val="300"/>
        </w:trPr>
        <w:tc>
          <w:tcPr>
            <w:tcW w:w="6804" w:type="dxa"/>
            <w:tcBorders>
              <w:left w:val="nil"/>
              <w:right w:val="nil"/>
            </w:tcBorders>
            <w:noWrap/>
            <w:hideMark/>
          </w:tcPr>
          <w:p w:rsidRPr="002070C7" w:rsidR="00A5057C" w:rsidP="006F6C94" w:rsidRDefault="00A5057C" w14:paraId="1AADA0A0" w14:textId="77777777">
            <w:pPr>
              <w:ind w:firstLine="200" w:firstLineChars="100"/>
              <w:rPr>
                <w:rFonts w:ascii="Arial" w:hAnsi="Arial" w:eastAsia="Times New Roman" w:cs="Arial"/>
                <w:sz w:val="20"/>
                <w:szCs w:val="20"/>
              </w:rPr>
            </w:pPr>
            <w:r w:rsidRPr="002070C7">
              <w:rPr>
                <w:rFonts w:ascii="Arial" w:hAnsi="Arial"/>
                <w:sz w:val="20"/>
              </w:rPr>
              <w:t>b. Opće informacije koje dostavlja izvještajna institucija:</w:t>
            </w:r>
          </w:p>
        </w:tc>
        <w:tc>
          <w:tcPr>
            <w:tcW w:w="2745" w:type="dxa"/>
            <w:tcBorders>
              <w:left w:val="nil"/>
              <w:bottom w:val="single" w:color="auto" w:sz="4" w:space="0"/>
              <w:right w:val="nil"/>
            </w:tcBorders>
            <w:noWrap/>
            <w:hideMark/>
          </w:tcPr>
          <w:p w:rsidRPr="002070C7" w:rsidR="00A5057C" w:rsidP="006F6C94" w:rsidRDefault="00A5057C" w14:paraId="11F7DF23" w14:textId="77777777">
            <w:pPr>
              <w:ind w:firstLine="200" w:firstLineChars="100"/>
              <w:rPr>
                <w:rFonts w:ascii="Arial" w:hAnsi="Arial" w:eastAsia="Times New Roman" w:cs="Arial"/>
                <w:sz w:val="20"/>
                <w:szCs w:val="20"/>
              </w:rPr>
            </w:pPr>
            <w:r w:rsidRPr="002070C7">
              <w:rPr>
                <w:rFonts w:ascii="Arial" w:hAnsi="Arial"/>
                <w:sz w:val="20"/>
              </w:rPr>
              <w:t> </w:t>
            </w:r>
          </w:p>
        </w:tc>
      </w:tr>
      <w:tr w:rsidRPr="002070C7" w:rsidR="00A5057C" w:rsidTr="006F6C94" w14:paraId="7EA3DBA3" w14:textId="77777777">
        <w:trPr>
          <w:trHeight w:val="300"/>
        </w:trPr>
        <w:tc>
          <w:tcPr>
            <w:tcW w:w="6804" w:type="dxa"/>
            <w:tcBorders>
              <w:left w:val="nil"/>
              <w:right w:val="nil"/>
            </w:tcBorders>
            <w:noWrap/>
            <w:hideMark/>
          </w:tcPr>
          <w:p w:rsidRPr="002070C7" w:rsidR="00A5057C" w:rsidP="006F6C94" w:rsidRDefault="00A5057C" w14:paraId="18727735" w14:textId="77777777">
            <w:pPr>
              <w:ind w:firstLine="400" w:firstLineChars="200"/>
              <w:rPr>
                <w:rFonts w:ascii="Arial" w:hAnsi="Arial" w:eastAsia="Times New Roman" w:cs="Arial"/>
                <w:sz w:val="20"/>
                <w:szCs w:val="20"/>
              </w:rPr>
            </w:pPr>
            <w:r w:rsidRPr="002070C7">
              <w:rPr>
                <w:rFonts w:ascii="Arial" w:hAnsi="Arial"/>
                <w:sz w:val="20"/>
                <w:lang w:eastAsia="en-GB"/>
              </w:rPr>
              <w:t xml:space="preserve">(1) </w:t>
            </w:r>
            <w:r w:rsidRPr="002070C7">
              <w:rPr>
                <w:rFonts w:ascii="Arial" w:hAnsi="Arial"/>
                <w:sz w:val="20"/>
              </w:rPr>
              <w:t>Izvještajna jedinica</w:t>
            </w:r>
          </w:p>
        </w:tc>
        <w:tc>
          <w:tcPr>
            <w:tcW w:w="2745" w:type="dxa"/>
            <w:tcBorders>
              <w:left w:val="nil"/>
              <w:bottom w:val="single" w:color="auto" w:sz="4" w:space="0"/>
              <w:right w:val="nil"/>
            </w:tcBorders>
            <w:noWrap/>
            <w:hideMark/>
          </w:tcPr>
          <w:p w:rsidRPr="002070C7" w:rsidR="00A5057C" w:rsidP="006F6C94" w:rsidRDefault="00A5057C" w14:paraId="7A53DF21" w14:textId="77777777">
            <w:pPr>
              <w:jc w:val="center"/>
              <w:rPr>
                <w:rFonts w:ascii="Arial" w:hAnsi="Arial" w:eastAsia="Times New Roman" w:cs="Arial"/>
                <w:sz w:val="20"/>
                <w:szCs w:val="20"/>
              </w:rPr>
            </w:pPr>
            <w:r w:rsidRPr="002070C7">
              <w:rPr>
                <w:rFonts w:ascii="Arial" w:hAnsi="Arial"/>
                <w:sz w:val="20"/>
              </w:rPr>
              <w:t> </w:t>
            </w:r>
          </w:p>
        </w:tc>
      </w:tr>
      <w:tr w:rsidRPr="002070C7" w:rsidR="00A5057C" w:rsidTr="006F6C94" w14:paraId="423B2C24" w14:textId="77777777">
        <w:trPr>
          <w:trHeight w:val="300"/>
        </w:trPr>
        <w:tc>
          <w:tcPr>
            <w:tcW w:w="6804" w:type="dxa"/>
            <w:tcBorders>
              <w:left w:val="nil"/>
              <w:right w:val="nil"/>
            </w:tcBorders>
            <w:noWrap/>
            <w:hideMark/>
          </w:tcPr>
          <w:p w:rsidRPr="002070C7" w:rsidR="00A5057C" w:rsidP="006F6C94" w:rsidRDefault="00A5057C" w14:paraId="6F2DF6B8" w14:textId="77777777">
            <w:pPr>
              <w:ind w:firstLine="400" w:firstLineChars="200"/>
              <w:rPr>
                <w:rFonts w:ascii="Arial" w:hAnsi="Arial" w:eastAsia="Times New Roman" w:cs="Arial"/>
                <w:sz w:val="20"/>
                <w:szCs w:val="20"/>
              </w:rPr>
            </w:pPr>
            <w:r w:rsidRPr="002070C7">
              <w:rPr>
                <w:rFonts w:ascii="Arial" w:hAnsi="Arial"/>
                <w:sz w:val="20"/>
                <w:lang w:eastAsia="en-GB"/>
              </w:rPr>
              <w:t xml:space="preserve">(2) </w:t>
            </w:r>
            <w:r w:rsidRPr="002070C7">
              <w:rPr>
                <w:rFonts w:ascii="Arial" w:hAnsi="Arial"/>
                <w:sz w:val="20"/>
              </w:rPr>
              <w:t>Računovodstveni standard</w:t>
            </w:r>
          </w:p>
        </w:tc>
        <w:tc>
          <w:tcPr>
            <w:tcW w:w="2745" w:type="dxa"/>
            <w:tcBorders>
              <w:left w:val="nil"/>
              <w:bottom w:val="single" w:color="auto" w:sz="4" w:space="0"/>
              <w:right w:val="nil"/>
            </w:tcBorders>
            <w:hideMark/>
          </w:tcPr>
          <w:p w:rsidRPr="002070C7" w:rsidR="00A5057C" w:rsidP="006F6C94" w:rsidRDefault="00A5057C" w14:paraId="515EF072" w14:textId="77777777">
            <w:pPr>
              <w:jc w:val="center"/>
              <w:rPr>
                <w:rFonts w:ascii="Arial" w:hAnsi="Arial" w:eastAsia="Times New Roman" w:cs="Arial"/>
                <w:sz w:val="20"/>
                <w:szCs w:val="20"/>
              </w:rPr>
            </w:pPr>
            <w:r w:rsidRPr="002070C7">
              <w:rPr>
                <w:rFonts w:ascii="Arial" w:hAnsi="Arial"/>
                <w:sz w:val="20"/>
              </w:rPr>
              <w:t> </w:t>
            </w:r>
          </w:p>
        </w:tc>
      </w:tr>
      <w:tr w:rsidRPr="002070C7" w:rsidR="00A5057C" w:rsidTr="006F6C94" w14:paraId="579882D2" w14:textId="77777777">
        <w:trPr>
          <w:trHeight w:val="300"/>
        </w:trPr>
        <w:tc>
          <w:tcPr>
            <w:tcW w:w="6804" w:type="dxa"/>
            <w:tcBorders>
              <w:left w:val="nil"/>
              <w:right w:val="nil"/>
            </w:tcBorders>
            <w:noWrap/>
            <w:hideMark/>
          </w:tcPr>
          <w:p w:rsidRPr="002070C7" w:rsidR="00A5057C" w:rsidP="006F6C94" w:rsidRDefault="00A5057C" w14:paraId="73193C0A" w14:textId="77777777">
            <w:pPr>
              <w:ind w:firstLine="400" w:firstLineChars="200"/>
              <w:rPr>
                <w:rFonts w:ascii="Arial" w:hAnsi="Arial" w:eastAsia="Times New Roman" w:cs="Arial"/>
                <w:sz w:val="20"/>
                <w:szCs w:val="20"/>
              </w:rPr>
            </w:pPr>
            <w:r w:rsidRPr="002070C7">
              <w:rPr>
                <w:rFonts w:ascii="Arial" w:hAnsi="Arial"/>
                <w:sz w:val="20"/>
                <w:lang w:eastAsia="en-GB"/>
              </w:rPr>
              <w:t xml:space="preserve">(3) </w:t>
            </w:r>
            <w:r w:rsidRPr="002070C7">
              <w:rPr>
                <w:rFonts w:ascii="Arial" w:hAnsi="Arial"/>
                <w:sz w:val="20"/>
              </w:rPr>
              <w:t>Datum javne objave (gggg-mm-dd)</w:t>
            </w:r>
          </w:p>
        </w:tc>
        <w:tc>
          <w:tcPr>
            <w:tcW w:w="2745" w:type="dxa"/>
            <w:tcBorders>
              <w:left w:val="nil"/>
              <w:bottom w:val="single" w:color="auto" w:sz="4" w:space="0"/>
              <w:right w:val="nil"/>
            </w:tcBorders>
            <w:noWrap/>
            <w:hideMark/>
          </w:tcPr>
          <w:p w:rsidRPr="002070C7" w:rsidR="00A5057C" w:rsidP="006F6C94" w:rsidRDefault="00A5057C" w14:paraId="2A21391B" w14:textId="77777777">
            <w:pPr>
              <w:jc w:val="center"/>
              <w:rPr>
                <w:rFonts w:ascii="Arial" w:hAnsi="Arial" w:eastAsia="Times New Roman" w:cs="Arial"/>
                <w:sz w:val="20"/>
                <w:szCs w:val="20"/>
              </w:rPr>
            </w:pPr>
            <w:r w:rsidRPr="002070C7">
              <w:rPr>
                <w:rFonts w:ascii="Arial" w:hAnsi="Arial"/>
                <w:sz w:val="20"/>
              </w:rPr>
              <w:t> </w:t>
            </w:r>
          </w:p>
        </w:tc>
      </w:tr>
      <w:tr w:rsidRPr="002070C7" w:rsidR="00A5057C" w:rsidTr="006F6C94" w14:paraId="6B00505C" w14:textId="77777777">
        <w:trPr>
          <w:trHeight w:val="300"/>
        </w:trPr>
        <w:tc>
          <w:tcPr>
            <w:tcW w:w="6804" w:type="dxa"/>
            <w:tcBorders>
              <w:left w:val="nil"/>
              <w:right w:val="nil"/>
            </w:tcBorders>
            <w:noWrap/>
            <w:hideMark/>
          </w:tcPr>
          <w:p w:rsidRPr="002070C7" w:rsidR="00A5057C" w:rsidP="006F6C94" w:rsidRDefault="00A5057C" w14:paraId="10DF8D1B" w14:textId="77777777">
            <w:pPr>
              <w:ind w:firstLine="400" w:firstLineChars="200"/>
              <w:rPr>
                <w:rFonts w:ascii="Arial" w:hAnsi="Arial" w:eastAsia="Times New Roman" w:cs="Arial"/>
                <w:sz w:val="20"/>
                <w:szCs w:val="20"/>
              </w:rPr>
            </w:pPr>
            <w:r w:rsidRPr="002070C7">
              <w:rPr>
                <w:rFonts w:ascii="Arial" w:hAnsi="Arial"/>
                <w:sz w:val="20"/>
                <w:lang w:eastAsia="en-GB"/>
              </w:rPr>
              <w:t xml:space="preserve">(4) </w:t>
            </w:r>
            <w:r w:rsidRPr="002070C7">
              <w:rPr>
                <w:rFonts w:ascii="Arial" w:hAnsi="Arial"/>
                <w:sz w:val="20"/>
              </w:rPr>
              <w:t>Jezik javne objave</w:t>
            </w:r>
          </w:p>
        </w:tc>
        <w:tc>
          <w:tcPr>
            <w:tcW w:w="2745" w:type="dxa"/>
            <w:tcBorders>
              <w:left w:val="nil"/>
              <w:bottom w:val="single" w:color="auto" w:sz="4" w:space="0"/>
              <w:right w:val="nil"/>
            </w:tcBorders>
            <w:hideMark/>
          </w:tcPr>
          <w:p w:rsidRPr="002070C7" w:rsidR="00A5057C" w:rsidP="006F6C94" w:rsidRDefault="00A5057C" w14:paraId="6B34FDFA" w14:textId="77777777">
            <w:pPr>
              <w:jc w:val="center"/>
              <w:rPr>
                <w:rFonts w:ascii="Arial" w:hAnsi="Arial" w:eastAsia="Times New Roman" w:cs="Arial"/>
                <w:sz w:val="20"/>
                <w:szCs w:val="20"/>
              </w:rPr>
            </w:pPr>
            <w:r w:rsidRPr="002070C7">
              <w:rPr>
                <w:rFonts w:ascii="Arial" w:hAnsi="Arial"/>
                <w:sz w:val="20"/>
              </w:rPr>
              <w:t> </w:t>
            </w:r>
          </w:p>
        </w:tc>
      </w:tr>
      <w:tr w:rsidRPr="002070C7" w:rsidR="00A5057C" w:rsidTr="006F6C94" w14:paraId="506804FE" w14:textId="77777777">
        <w:trPr>
          <w:trHeight w:val="300"/>
        </w:trPr>
        <w:tc>
          <w:tcPr>
            <w:tcW w:w="6804" w:type="dxa"/>
            <w:tcBorders>
              <w:left w:val="nil"/>
              <w:bottom w:val="single" w:color="auto" w:sz="4" w:space="0"/>
              <w:right w:val="nil"/>
            </w:tcBorders>
            <w:noWrap/>
            <w:hideMark/>
          </w:tcPr>
          <w:p w:rsidRPr="002070C7" w:rsidR="00A5057C" w:rsidP="006F6C94" w:rsidRDefault="00A5057C" w14:paraId="0617D309" w14:textId="77777777">
            <w:pPr>
              <w:ind w:firstLine="400" w:firstLineChars="200"/>
              <w:rPr>
                <w:rFonts w:ascii="Arial" w:hAnsi="Arial" w:eastAsia="Times New Roman" w:cs="Arial"/>
                <w:sz w:val="20"/>
                <w:szCs w:val="20"/>
              </w:rPr>
            </w:pPr>
            <w:r w:rsidRPr="002070C7">
              <w:rPr>
                <w:rFonts w:ascii="Arial" w:hAnsi="Arial"/>
                <w:sz w:val="20"/>
                <w:lang w:eastAsia="en-GB"/>
              </w:rPr>
              <w:t xml:space="preserve">(5) </w:t>
            </w:r>
            <w:r w:rsidRPr="002070C7">
              <w:rPr>
                <w:rFonts w:ascii="Arial" w:hAnsi="Arial"/>
                <w:sz w:val="20"/>
              </w:rPr>
              <w:t>Mrežno mjesto javne objave</w:t>
            </w:r>
          </w:p>
        </w:tc>
        <w:tc>
          <w:tcPr>
            <w:tcW w:w="2745" w:type="dxa"/>
            <w:tcBorders>
              <w:left w:val="nil"/>
              <w:bottom w:val="single" w:color="auto" w:sz="4" w:space="0"/>
              <w:right w:val="nil"/>
            </w:tcBorders>
            <w:noWrap/>
            <w:hideMark/>
          </w:tcPr>
          <w:p w:rsidRPr="002070C7" w:rsidR="00A5057C" w:rsidP="006F6C94" w:rsidRDefault="00A5057C" w14:paraId="5B07AC40" w14:textId="77777777">
            <w:pPr>
              <w:jc w:val="center"/>
              <w:rPr>
                <w:rFonts w:ascii="Arial" w:hAnsi="Arial" w:eastAsia="Times New Roman" w:cs="Arial"/>
                <w:color w:val="0000FF"/>
                <w:sz w:val="20"/>
                <w:szCs w:val="20"/>
                <w:u w:val="single"/>
                <w:lang w:eastAsia="en-GB"/>
              </w:rPr>
            </w:pPr>
          </w:p>
        </w:tc>
      </w:tr>
      <w:tr w:rsidRPr="002070C7" w:rsidR="00A5057C" w:rsidTr="006F6C94" w14:paraId="337BC5BC" w14:textId="77777777">
        <w:trPr>
          <w:trHeight w:val="300"/>
        </w:trPr>
        <w:tc>
          <w:tcPr>
            <w:tcW w:w="6804" w:type="dxa"/>
            <w:tcBorders>
              <w:left w:val="nil"/>
              <w:bottom w:val="single" w:color="auto" w:sz="4" w:space="0"/>
              <w:right w:val="nil"/>
            </w:tcBorders>
            <w:noWrap/>
            <w:hideMark/>
          </w:tcPr>
          <w:p w:rsidRPr="002070C7" w:rsidR="00A5057C" w:rsidP="006F6C94" w:rsidRDefault="00A5057C" w14:paraId="419453C6" w14:textId="77777777">
            <w:pPr>
              <w:ind w:firstLine="400" w:firstLineChars="200"/>
              <w:rPr>
                <w:rFonts w:ascii="Arial" w:hAnsi="Arial" w:eastAsia="Times New Roman" w:cs="Arial"/>
                <w:sz w:val="20"/>
                <w:szCs w:val="20"/>
              </w:rPr>
            </w:pPr>
            <w:r w:rsidRPr="002070C7">
              <w:rPr>
                <w:rFonts w:ascii="Arial" w:hAnsi="Arial"/>
                <w:sz w:val="20"/>
                <w:lang w:eastAsia="en-GB"/>
              </w:rPr>
              <w:t xml:space="preserve">(6) </w:t>
            </w:r>
            <w:r w:rsidRPr="002070C7">
              <w:rPr>
                <w:rFonts w:ascii="Arial" w:hAnsi="Arial"/>
                <w:sz w:val="20"/>
              </w:rPr>
              <w:t>Oznaka LEI</w:t>
            </w:r>
          </w:p>
        </w:tc>
        <w:tc>
          <w:tcPr>
            <w:tcW w:w="2745" w:type="dxa"/>
            <w:tcBorders>
              <w:left w:val="nil"/>
              <w:bottom w:val="single" w:color="auto" w:sz="4" w:space="0"/>
              <w:right w:val="nil"/>
            </w:tcBorders>
            <w:hideMark/>
          </w:tcPr>
          <w:p w:rsidRPr="002070C7" w:rsidR="00A5057C" w:rsidP="006F6C94" w:rsidRDefault="00A5057C" w14:paraId="725EA20D" w14:textId="77777777">
            <w:pPr>
              <w:jc w:val="center"/>
              <w:rPr>
                <w:rFonts w:ascii="Arial" w:hAnsi="Arial" w:eastAsia="Times New Roman" w:cs="Arial"/>
                <w:sz w:val="20"/>
                <w:szCs w:val="20"/>
              </w:rPr>
            </w:pPr>
            <w:r w:rsidRPr="002070C7">
              <w:rPr>
                <w:rFonts w:ascii="Arial" w:hAnsi="Arial"/>
                <w:sz w:val="20"/>
              </w:rPr>
              <w:t> </w:t>
            </w:r>
          </w:p>
        </w:tc>
      </w:tr>
      <w:tr w:rsidRPr="002070C7" w:rsidR="00A5057C" w:rsidTr="006F6C94" w14:paraId="44B0BAA7" w14:textId="77777777">
        <w:trPr>
          <w:trHeight w:val="300"/>
        </w:trPr>
        <w:tc>
          <w:tcPr>
            <w:tcW w:w="6804" w:type="dxa"/>
            <w:tcBorders>
              <w:left w:val="nil"/>
              <w:bottom w:val="nil"/>
              <w:right w:val="nil"/>
            </w:tcBorders>
            <w:noWrap/>
          </w:tcPr>
          <w:p w:rsidRPr="002070C7" w:rsidR="00A5057C" w:rsidP="006F6C94" w:rsidRDefault="00A5057C" w14:paraId="2E5D7E43"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2070C7" w:rsidR="00A5057C" w:rsidP="006F6C94" w:rsidRDefault="00A5057C" w14:paraId="53C19652" w14:textId="77777777">
            <w:pPr>
              <w:jc w:val="center"/>
              <w:rPr>
                <w:rFonts w:ascii="Arial" w:hAnsi="Arial" w:eastAsia="Times New Roman" w:cs="Arial"/>
                <w:sz w:val="20"/>
                <w:szCs w:val="20"/>
                <w:lang w:eastAsia="en-GB"/>
              </w:rPr>
            </w:pPr>
          </w:p>
        </w:tc>
      </w:tr>
      <w:tr w:rsidRPr="002070C7" w:rsidR="00A5057C" w:rsidTr="006F6C94" w14:paraId="3D29CF78" w14:textId="77777777">
        <w:trPr>
          <w:trHeight w:val="300"/>
        </w:trPr>
        <w:tc>
          <w:tcPr>
            <w:tcW w:w="6804" w:type="dxa"/>
            <w:tcBorders>
              <w:top w:val="nil"/>
              <w:left w:val="nil"/>
              <w:bottom w:val="nil"/>
              <w:right w:val="nil"/>
            </w:tcBorders>
            <w:noWrap/>
          </w:tcPr>
          <w:p w:rsidRPr="002070C7" w:rsidR="00A5057C" w:rsidP="006F6C94" w:rsidRDefault="00A5057C" w14:paraId="4AF583F7" w14:textId="77777777">
            <w:pPr>
              <w:keepNext/>
              <w:keepLines/>
              <w:spacing w:before="47"/>
              <w:outlineLvl w:val="5"/>
              <w:rPr>
                <w:rFonts w:ascii="Arial" w:hAnsi="Arial" w:eastAsia="Times New Roman" w:cs="Arial"/>
                <w:i/>
                <w:iCs/>
                <w:caps/>
                <w:color w:val="172B39" w:themeColor="accent1" w:themeShade="80"/>
                <w:sz w:val="20"/>
                <w:szCs w:val="20"/>
              </w:rPr>
            </w:pPr>
            <w:r w:rsidRPr="002070C7">
              <w:rPr>
                <w:rFonts w:asciiTheme="majorHAnsi" w:hAnsiTheme="majorHAnsi"/>
                <w:b/>
                <w:i/>
                <w:caps/>
              </w:rPr>
              <w:t>Pokazatelji veličine</w:t>
            </w:r>
          </w:p>
        </w:tc>
        <w:tc>
          <w:tcPr>
            <w:tcW w:w="2745" w:type="dxa"/>
            <w:tcBorders>
              <w:top w:val="nil"/>
              <w:left w:val="nil"/>
              <w:bottom w:val="nil"/>
              <w:right w:val="nil"/>
            </w:tcBorders>
          </w:tcPr>
          <w:p w:rsidRPr="002070C7" w:rsidR="00A5057C" w:rsidP="006F6C94" w:rsidRDefault="00A5057C" w14:paraId="47D478C4" w14:textId="77777777">
            <w:pPr>
              <w:jc w:val="center"/>
              <w:rPr>
                <w:rFonts w:ascii="Arial" w:hAnsi="Arial" w:eastAsia="Times New Roman" w:cs="Arial"/>
                <w:sz w:val="20"/>
                <w:szCs w:val="20"/>
                <w:lang w:eastAsia="en-GB"/>
              </w:rPr>
            </w:pPr>
          </w:p>
        </w:tc>
      </w:tr>
      <w:tr w:rsidRPr="002070C7" w:rsidR="00A5057C" w:rsidTr="006F6C94" w14:paraId="3E1D548F" w14:textId="77777777">
        <w:trPr>
          <w:trHeight w:val="300"/>
        </w:trPr>
        <w:tc>
          <w:tcPr>
            <w:tcW w:w="6804" w:type="dxa"/>
            <w:tcBorders>
              <w:top w:val="nil"/>
              <w:left w:val="nil"/>
              <w:bottom w:val="single" w:color="auto" w:sz="4" w:space="0"/>
              <w:right w:val="nil"/>
            </w:tcBorders>
            <w:noWrap/>
          </w:tcPr>
          <w:p w:rsidRPr="002070C7" w:rsidR="00A5057C" w:rsidP="006F6C94" w:rsidRDefault="00A5057C" w14:paraId="08090763"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2070C7" w:rsidR="00A5057C" w:rsidP="006F6C94" w:rsidRDefault="00A5057C" w14:paraId="5D6D1DCE" w14:textId="77777777">
            <w:pPr>
              <w:jc w:val="center"/>
              <w:rPr>
                <w:rFonts w:ascii="Arial" w:hAnsi="Arial" w:eastAsia="Times New Roman" w:cs="Arial"/>
                <w:sz w:val="20"/>
                <w:szCs w:val="20"/>
                <w:lang w:eastAsia="en-GB"/>
              </w:rPr>
            </w:pPr>
          </w:p>
        </w:tc>
      </w:tr>
      <w:tr w:rsidRPr="002070C7" w:rsidR="00A5057C" w:rsidTr="006F6C94" w14:paraId="64C49F13" w14:textId="77777777">
        <w:trPr>
          <w:trHeight w:val="300"/>
        </w:trPr>
        <w:tc>
          <w:tcPr>
            <w:tcW w:w="6804" w:type="dxa"/>
            <w:tcBorders>
              <w:left w:val="nil"/>
              <w:right w:val="nil"/>
            </w:tcBorders>
            <w:noWrap/>
          </w:tcPr>
          <w:p w:rsidRPr="002070C7" w:rsidR="00A5057C" w:rsidP="006F6C94" w:rsidRDefault="00A5057C" w14:paraId="0641BAEF" w14:textId="77777777">
            <w:pPr>
              <w:rPr>
                <w:rFonts w:ascii="Arial" w:hAnsi="Arial" w:eastAsia="Times New Roman" w:cs="Arial"/>
                <w:sz w:val="20"/>
                <w:szCs w:val="20"/>
              </w:rPr>
            </w:pPr>
            <w:r w:rsidRPr="002070C7">
              <w:rPr>
                <w:rFonts w:ascii="Arial" w:hAnsi="Arial"/>
                <w:b/>
                <w:sz w:val="20"/>
              </w:rPr>
              <w:t>Odjeljak 2. – Ukupne izloženosti</w:t>
            </w:r>
          </w:p>
        </w:tc>
        <w:tc>
          <w:tcPr>
            <w:tcW w:w="2745" w:type="dxa"/>
            <w:tcBorders>
              <w:left w:val="nil"/>
              <w:right w:val="nil"/>
            </w:tcBorders>
            <w:noWrap/>
          </w:tcPr>
          <w:p w:rsidRPr="002070C7" w:rsidR="00A5057C" w:rsidP="006F6C94" w:rsidRDefault="00A5057C" w14:paraId="22AD1328" w14:textId="77777777">
            <w:pPr>
              <w:ind w:firstLine="201" w:firstLineChars="100"/>
              <w:jc w:val="center"/>
              <w:rPr>
                <w:rFonts w:ascii="Arial" w:hAnsi="Arial" w:eastAsia="Times New Roman" w:cs="Arial"/>
                <w:sz w:val="20"/>
                <w:szCs w:val="20"/>
              </w:rPr>
            </w:pPr>
            <w:r w:rsidRPr="002070C7">
              <w:rPr>
                <w:rFonts w:ascii="Arial" w:hAnsi="Arial"/>
                <w:b/>
                <w:sz w:val="20"/>
              </w:rPr>
              <w:t>Iznos</w:t>
            </w:r>
          </w:p>
        </w:tc>
      </w:tr>
      <w:tr w:rsidRPr="002070C7" w:rsidR="00A5057C" w:rsidTr="006F6C94" w14:paraId="25592911" w14:textId="77777777">
        <w:trPr>
          <w:trHeight w:val="300"/>
        </w:trPr>
        <w:tc>
          <w:tcPr>
            <w:tcW w:w="6804" w:type="dxa"/>
            <w:tcBorders>
              <w:left w:val="nil"/>
              <w:right w:val="nil"/>
            </w:tcBorders>
            <w:noWrap/>
            <w:hideMark/>
          </w:tcPr>
          <w:p w:rsidRPr="002070C7" w:rsidR="00A5057C" w:rsidP="006F6C94" w:rsidRDefault="00A5057C" w14:paraId="661788EC" w14:textId="77777777">
            <w:pPr>
              <w:ind w:firstLine="200" w:firstLineChars="100"/>
              <w:rPr>
                <w:rFonts w:ascii="Arial" w:hAnsi="Arial" w:eastAsia="Times New Roman" w:cs="Arial"/>
                <w:sz w:val="20"/>
                <w:szCs w:val="20"/>
              </w:rPr>
            </w:pPr>
            <w:r w:rsidRPr="002070C7">
              <w:rPr>
                <w:rFonts w:ascii="Arial" w:hAnsi="Arial"/>
                <w:sz w:val="20"/>
              </w:rPr>
              <w:t>a. Izvedenice</w:t>
            </w:r>
          </w:p>
        </w:tc>
        <w:tc>
          <w:tcPr>
            <w:tcW w:w="2745" w:type="dxa"/>
            <w:tcBorders>
              <w:left w:val="nil"/>
              <w:right w:val="nil"/>
            </w:tcBorders>
            <w:noWrap/>
            <w:hideMark/>
          </w:tcPr>
          <w:p w:rsidRPr="002070C7" w:rsidR="00A5057C" w:rsidP="006F6C94" w:rsidRDefault="00A5057C" w14:paraId="2FECAA97" w14:textId="77777777">
            <w:pPr>
              <w:ind w:firstLine="200" w:firstLineChars="100"/>
              <w:rPr>
                <w:rFonts w:ascii="Arial" w:hAnsi="Arial" w:eastAsia="Times New Roman" w:cs="Arial"/>
                <w:sz w:val="20"/>
                <w:szCs w:val="20"/>
              </w:rPr>
            </w:pPr>
            <w:r w:rsidRPr="002070C7">
              <w:rPr>
                <w:rFonts w:ascii="Arial" w:hAnsi="Arial"/>
                <w:sz w:val="20"/>
              </w:rPr>
              <w:t> </w:t>
            </w:r>
          </w:p>
        </w:tc>
      </w:tr>
      <w:tr w:rsidRPr="002070C7" w:rsidR="00A5057C" w:rsidTr="006F6C94" w14:paraId="46F265F4" w14:textId="77777777">
        <w:trPr>
          <w:trHeight w:val="300"/>
        </w:trPr>
        <w:tc>
          <w:tcPr>
            <w:tcW w:w="6804" w:type="dxa"/>
            <w:tcBorders>
              <w:left w:val="nil"/>
              <w:right w:val="nil"/>
            </w:tcBorders>
            <w:noWrap/>
            <w:hideMark/>
          </w:tcPr>
          <w:p w:rsidRPr="002070C7" w:rsidR="00A5057C" w:rsidP="006F6C94" w:rsidRDefault="00A5057C" w14:paraId="68892C38" w14:textId="77777777">
            <w:pPr>
              <w:ind w:firstLine="400" w:firstLineChars="200"/>
              <w:rPr>
                <w:rFonts w:ascii="Arial" w:hAnsi="Arial" w:eastAsia="Times New Roman" w:cs="Arial"/>
                <w:sz w:val="20"/>
                <w:szCs w:val="20"/>
              </w:rPr>
            </w:pPr>
            <w:r w:rsidRPr="002070C7">
              <w:rPr>
                <w:rFonts w:ascii="Arial" w:hAnsi="Arial"/>
                <w:sz w:val="20"/>
                <w:lang w:eastAsia="en-GB"/>
              </w:rPr>
              <w:t xml:space="preserve">(1) </w:t>
            </w:r>
            <w:r w:rsidRPr="002070C7">
              <w:rPr>
                <w:rFonts w:ascii="Arial" w:hAnsi="Arial"/>
                <w:sz w:val="20"/>
              </w:rPr>
              <w:t>Izloženost ugovora o izvedenicama drugim ugovornim stranama</w:t>
            </w:r>
          </w:p>
        </w:tc>
        <w:tc>
          <w:tcPr>
            <w:tcW w:w="2745" w:type="dxa"/>
            <w:tcBorders>
              <w:left w:val="nil"/>
              <w:right w:val="nil"/>
            </w:tcBorders>
            <w:noWrap/>
            <w:hideMark/>
          </w:tcPr>
          <w:p w:rsidRPr="002070C7" w:rsidR="00A5057C" w:rsidP="006F6C94" w:rsidRDefault="00A5057C" w14:paraId="71723F46"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18A4C0F2" w14:textId="77777777">
        <w:trPr>
          <w:trHeight w:val="300"/>
        </w:trPr>
        <w:tc>
          <w:tcPr>
            <w:tcW w:w="6804" w:type="dxa"/>
            <w:tcBorders>
              <w:left w:val="nil"/>
              <w:right w:val="nil"/>
            </w:tcBorders>
            <w:noWrap/>
            <w:hideMark/>
          </w:tcPr>
          <w:p w:rsidRPr="002070C7" w:rsidR="00A5057C" w:rsidP="006F6C94" w:rsidRDefault="00A5057C" w14:paraId="5C3E0F7D" w14:textId="77777777">
            <w:pPr>
              <w:ind w:firstLine="400" w:firstLineChars="200"/>
              <w:rPr>
                <w:rFonts w:ascii="Arial" w:hAnsi="Arial" w:eastAsia="Times New Roman" w:cs="Arial"/>
                <w:sz w:val="20"/>
                <w:szCs w:val="20"/>
              </w:rPr>
            </w:pPr>
            <w:r w:rsidRPr="002070C7">
              <w:rPr>
                <w:rFonts w:ascii="Arial" w:hAnsi="Arial"/>
                <w:sz w:val="20"/>
                <w:lang w:eastAsia="en-GB"/>
              </w:rPr>
              <w:t xml:space="preserve">(2) </w:t>
            </w:r>
            <w:r w:rsidRPr="002070C7">
              <w:rPr>
                <w:rFonts w:ascii="Arial" w:hAnsi="Arial"/>
                <w:sz w:val="20"/>
              </w:rPr>
              <w:t>Ograničeni zamišljeni iznos kreditnih izvedenica</w:t>
            </w:r>
          </w:p>
        </w:tc>
        <w:tc>
          <w:tcPr>
            <w:tcW w:w="2745" w:type="dxa"/>
            <w:tcBorders>
              <w:left w:val="nil"/>
              <w:right w:val="nil"/>
            </w:tcBorders>
            <w:noWrap/>
            <w:hideMark/>
          </w:tcPr>
          <w:p w:rsidRPr="002070C7" w:rsidR="00A5057C" w:rsidP="006F6C94" w:rsidRDefault="00A5057C" w14:paraId="53E5240C"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07B9E8D9" w14:textId="77777777">
        <w:trPr>
          <w:trHeight w:val="300"/>
        </w:trPr>
        <w:tc>
          <w:tcPr>
            <w:tcW w:w="6804" w:type="dxa"/>
            <w:tcBorders>
              <w:left w:val="nil"/>
              <w:right w:val="nil"/>
            </w:tcBorders>
            <w:noWrap/>
            <w:hideMark/>
          </w:tcPr>
          <w:p w:rsidRPr="002070C7" w:rsidR="00A5057C" w:rsidP="006F6C94" w:rsidRDefault="00A5057C" w14:paraId="038ABC90" w14:textId="77777777">
            <w:pPr>
              <w:ind w:firstLine="400" w:firstLineChars="200"/>
              <w:rPr>
                <w:rFonts w:ascii="Arial" w:hAnsi="Arial" w:eastAsia="Times New Roman" w:cs="Arial"/>
                <w:sz w:val="20"/>
                <w:szCs w:val="20"/>
              </w:rPr>
            </w:pPr>
            <w:r w:rsidRPr="002070C7">
              <w:rPr>
                <w:rFonts w:ascii="Arial" w:hAnsi="Arial"/>
                <w:sz w:val="20"/>
                <w:lang w:eastAsia="en-GB"/>
              </w:rPr>
              <w:t xml:space="preserve">(3) </w:t>
            </w:r>
            <w:r w:rsidRPr="002070C7">
              <w:rPr>
                <w:rFonts w:ascii="Arial" w:hAnsi="Arial"/>
                <w:sz w:val="20"/>
              </w:rPr>
              <w:t>Potencijalna buduća izloženost ugovora o izvedenicama</w:t>
            </w:r>
          </w:p>
        </w:tc>
        <w:tc>
          <w:tcPr>
            <w:tcW w:w="2745" w:type="dxa"/>
            <w:tcBorders>
              <w:left w:val="nil"/>
              <w:right w:val="nil"/>
            </w:tcBorders>
            <w:noWrap/>
            <w:hideMark/>
          </w:tcPr>
          <w:p w:rsidRPr="002070C7" w:rsidR="00A5057C" w:rsidP="006F6C94" w:rsidRDefault="00A5057C" w14:paraId="7C70A013"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6D8A08E9" w14:textId="77777777">
        <w:trPr>
          <w:trHeight w:val="300"/>
        </w:trPr>
        <w:tc>
          <w:tcPr>
            <w:tcW w:w="6804" w:type="dxa"/>
            <w:tcBorders>
              <w:left w:val="nil"/>
              <w:right w:val="nil"/>
            </w:tcBorders>
            <w:noWrap/>
            <w:hideMark/>
          </w:tcPr>
          <w:p w:rsidRPr="002070C7" w:rsidR="00A5057C" w:rsidP="006F6C94" w:rsidRDefault="00A5057C" w14:paraId="02268EB3" w14:textId="77777777">
            <w:pPr>
              <w:ind w:firstLine="200" w:firstLineChars="100"/>
              <w:rPr>
                <w:rFonts w:ascii="Arial" w:hAnsi="Arial" w:eastAsia="Times New Roman" w:cs="Arial"/>
                <w:sz w:val="20"/>
                <w:szCs w:val="20"/>
              </w:rPr>
            </w:pPr>
            <w:r w:rsidRPr="002070C7">
              <w:rPr>
                <w:rFonts w:ascii="Arial" w:hAnsi="Arial"/>
                <w:sz w:val="20"/>
              </w:rPr>
              <w:t>b. Transakcije financiranja vrijednosnih papira</w:t>
            </w:r>
          </w:p>
        </w:tc>
        <w:tc>
          <w:tcPr>
            <w:tcW w:w="2745" w:type="dxa"/>
            <w:tcBorders>
              <w:left w:val="nil"/>
              <w:right w:val="nil"/>
            </w:tcBorders>
            <w:noWrap/>
            <w:hideMark/>
          </w:tcPr>
          <w:p w:rsidRPr="002070C7" w:rsidR="00A5057C" w:rsidP="006F6C94" w:rsidRDefault="00A5057C" w14:paraId="1C3D0F8B" w14:textId="77777777">
            <w:pPr>
              <w:ind w:firstLine="200" w:firstLineChars="100"/>
              <w:rPr>
                <w:rFonts w:ascii="Arial" w:hAnsi="Arial" w:eastAsia="Times New Roman" w:cs="Arial"/>
                <w:sz w:val="20"/>
                <w:szCs w:val="20"/>
              </w:rPr>
            </w:pPr>
            <w:r w:rsidRPr="002070C7">
              <w:rPr>
                <w:rFonts w:ascii="Arial" w:hAnsi="Arial"/>
                <w:sz w:val="20"/>
              </w:rPr>
              <w:t> </w:t>
            </w:r>
          </w:p>
        </w:tc>
      </w:tr>
      <w:tr w:rsidRPr="002070C7" w:rsidR="00A5057C" w:rsidTr="006F6C94" w14:paraId="7112CC7B" w14:textId="77777777">
        <w:trPr>
          <w:trHeight w:val="300"/>
        </w:trPr>
        <w:tc>
          <w:tcPr>
            <w:tcW w:w="6804" w:type="dxa"/>
            <w:tcBorders>
              <w:left w:val="nil"/>
              <w:right w:val="nil"/>
            </w:tcBorders>
            <w:noWrap/>
            <w:hideMark/>
          </w:tcPr>
          <w:p w:rsidRPr="002070C7" w:rsidR="00A5057C" w:rsidP="006F6C94" w:rsidRDefault="00A5057C" w14:paraId="6384B313" w14:textId="77777777">
            <w:pPr>
              <w:ind w:firstLine="400" w:firstLineChars="200"/>
              <w:rPr>
                <w:rFonts w:ascii="Arial" w:hAnsi="Arial" w:eastAsia="Times New Roman" w:cs="Arial"/>
                <w:sz w:val="20"/>
                <w:szCs w:val="20"/>
              </w:rPr>
            </w:pPr>
            <w:r w:rsidRPr="002070C7">
              <w:rPr>
                <w:rFonts w:ascii="Arial" w:hAnsi="Arial"/>
                <w:sz w:val="20"/>
                <w:lang w:eastAsia="en-GB"/>
              </w:rPr>
              <w:t xml:space="preserve">(1) </w:t>
            </w:r>
            <w:r w:rsidRPr="002070C7">
              <w:rPr>
                <w:rFonts w:ascii="Arial" w:hAnsi="Arial"/>
                <w:sz w:val="20"/>
              </w:rPr>
              <w:t>Prilagođena bruto vrijednost transakcija financiranja vrijednosnih papira</w:t>
            </w:r>
          </w:p>
        </w:tc>
        <w:tc>
          <w:tcPr>
            <w:tcW w:w="2745" w:type="dxa"/>
            <w:tcBorders>
              <w:left w:val="nil"/>
              <w:right w:val="nil"/>
            </w:tcBorders>
            <w:noWrap/>
            <w:hideMark/>
          </w:tcPr>
          <w:p w:rsidRPr="002070C7" w:rsidR="00A5057C" w:rsidP="006F6C94" w:rsidRDefault="00A5057C" w14:paraId="74D6D769"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6C7A3EA9" w14:textId="77777777">
        <w:trPr>
          <w:trHeight w:val="300"/>
        </w:trPr>
        <w:tc>
          <w:tcPr>
            <w:tcW w:w="6804" w:type="dxa"/>
            <w:tcBorders>
              <w:left w:val="nil"/>
              <w:right w:val="nil"/>
            </w:tcBorders>
            <w:noWrap/>
            <w:hideMark/>
          </w:tcPr>
          <w:p w:rsidRPr="002070C7" w:rsidR="00A5057C" w:rsidP="006F6C94" w:rsidRDefault="00A5057C" w14:paraId="793B75E7" w14:textId="77777777">
            <w:pPr>
              <w:ind w:firstLine="400" w:firstLineChars="200"/>
              <w:rPr>
                <w:rFonts w:ascii="Arial" w:hAnsi="Arial" w:eastAsia="Times New Roman" w:cs="Arial"/>
                <w:sz w:val="20"/>
                <w:szCs w:val="20"/>
              </w:rPr>
            </w:pPr>
            <w:r w:rsidRPr="002070C7">
              <w:rPr>
                <w:rFonts w:ascii="Arial" w:hAnsi="Arial"/>
                <w:sz w:val="20"/>
                <w:lang w:eastAsia="en-GB"/>
              </w:rPr>
              <w:t xml:space="preserve">(2) </w:t>
            </w:r>
            <w:r w:rsidRPr="002070C7">
              <w:rPr>
                <w:rFonts w:ascii="Arial" w:hAnsi="Arial"/>
                <w:sz w:val="20"/>
              </w:rPr>
              <w:t>Izloženost transakcija financiranja vrijednosnih papira drugim ugovornim stranama</w:t>
            </w:r>
          </w:p>
        </w:tc>
        <w:tc>
          <w:tcPr>
            <w:tcW w:w="2745" w:type="dxa"/>
            <w:tcBorders>
              <w:left w:val="nil"/>
              <w:right w:val="nil"/>
            </w:tcBorders>
            <w:noWrap/>
            <w:hideMark/>
          </w:tcPr>
          <w:p w:rsidRPr="002070C7" w:rsidR="00A5057C" w:rsidP="006F6C94" w:rsidRDefault="00A5057C" w14:paraId="79271C6B"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252180B0" w14:textId="77777777">
        <w:trPr>
          <w:trHeight w:val="300"/>
        </w:trPr>
        <w:tc>
          <w:tcPr>
            <w:tcW w:w="6804" w:type="dxa"/>
            <w:tcBorders>
              <w:left w:val="nil"/>
              <w:right w:val="nil"/>
            </w:tcBorders>
            <w:noWrap/>
            <w:hideMark/>
          </w:tcPr>
          <w:p w:rsidRPr="002070C7" w:rsidR="00A5057C" w:rsidP="006F6C94" w:rsidRDefault="00A5057C" w14:paraId="28C2DB19" w14:textId="77777777">
            <w:pPr>
              <w:ind w:firstLine="200" w:firstLineChars="100"/>
              <w:rPr>
                <w:rFonts w:ascii="Arial" w:hAnsi="Arial" w:eastAsia="Times New Roman" w:cs="Arial"/>
                <w:sz w:val="20"/>
                <w:szCs w:val="20"/>
              </w:rPr>
            </w:pPr>
            <w:r w:rsidRPr="002070C7">
              <w:rPr>
                <w:rFonts w:ascii="Arial" w:hAnsi="Arial"/>
                <w:sz w:val="20"/>
              </w:rPr>
              <w:t>c. Ostala imovina</w:t>
            </w:r>
          </w:p>
        </w:tc>
        <w:tc>
          <w:tcPr>
            <w:tcW w:w="2745" w:type="dxa"/>
            <w:tcBorders>
              <w:left w:val="nil"/>
              <w:right w:val="nil"/>
            </w:tcBorders>
            <w:noWrap/>
            <w:hideMark/>
          </w:tcPr>
          <w:p w:rsidRPr="002070C7" w:rsidR="00A5057C" w:rsidP="006F6C94" w:rsidRDefault="00A5057C" w14:paraId="565C11BE"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1F27D526" w14:textId="77777777">
        <w:trPr>
          <w:trHeight w:val="300"/>
        </w:trPr>
        <w:tc>
          <w:tcPr>
            <w:tcW w:w="6804" w:type="dxa"/>
            <w:tcBorders>
              <w:left w:val="nil"/>
              <w:right w:val="nil"/>
            </w:tcBorders>
            <w:noWrap/>
            <w:hideMark/>
          </w:tcPr>
          <w:p w:rsidRPr="002070C7" w:rsidR="00A5057C" w:rsidP="006F6C94" w:rsidRDefault="00A5057C" w14:paraId="1152B18A" w14:textId="77777777">
            <w:pPr>
              <w:ind w:firstLine="200" w:firstLineChars="100"/>
              <w:rPr>
                <w:rFonts w:ascii="Arial" w:hAnsi="Arial" w:eastAsia="Times New Roman" w:cs="Arial"/>
                <w:sz w:val="20"/>
                <w:szCs w:val="20"/>
              </w:rPr>
            </w:pPr>
            <w:r w:rsidRPr="002070C7">
              <w:rPr>
                <w:rFonts w:ascii="Arial" w:hAnsi="Arial"/>
                <w:sz w:val="20"/>
              </w:rPr>
              <w:t>d. Bruto zamišljeni iznos izvanbilančnih stavki</w:t>
            </w:r>
          </w:p>
        </w:tc>
        <w:tc>
          <w:tcPr>
            <w:tcW w:w="2745" w:type="dxa"/>
            <w:tcBorders>
              <w:left w:val="nil"/>
              <w:right w:val="nil"/>
            </w:tcBorders>
            <w:noWrap/>
            <w:hideMark/>
          </w:tcPr>
          <w:p w:rsidRPr="002070C7" w:rsidR="00A5057C" w:rsidP="006F6C94" w:rsidRDefault="00A5057C" w14:paraId="2C71A731" w14:textId="77777777">
            <w:pPr>
              <w:ind w:firstLine="200" w:firstLineChars="100"/>
              <w:rPr>
                <w:rFonts w:ascii="Arial" w:hAnsi="Arial" w:eastAsia="Times New Roman" w:cs="Arial"/>
                <w:sz w:val="20"/>
                <w:szCs w:val="20"/>
              </w:rPr>
            </w:pPr>
            <w:r w:rsidRPr="002070C7">
              <w:rPr>
                <w:rFonts w:ascii="Arial" w:hAnsi="Arial"/>
                <w:sz w:val="20"/>
              </w:rPr>
              <w:t> </w:t>
            </w:r>
          </w:p>
        </w:tc>
      </w:tr>
      <w:tr w:rsidRPr="002070C7" w:rsidR="00A5057C" w:rsidTr="006F6C94" w14:paraId="57B15687" w14:textId="77777777">
        <w:trPr>
          <w:trHeight w:val="300"/>
        </w:trPr>
        <w:tc>
          <w:tcPr>
            <w:tcW w:w="6804" w:type="dxa"/>
            <w:tcBorders>
              <w:left w:val="nil"/>
              <w:right w:val="nil"/>
            </w:tcBorders>
            <w:noWrap/>
            <w:hideMark/>
          </w:tcPr>
          <w:p w:rsidRPr="002070C7" w:rsidR="00A5057C" w:rsidP="006F6C94" w:rsidRDefault="00A5057C" w14:paraId="5628DE2E" w14:textId="77777777">
            <w:pPr>
              <w:ind w:firstLine="400" w:firstLineChars="200"/>
              <w:rPr>
                <w:rFonts w:ascii="Arial" w:hAnsi="Arial" w:eastAsia="Times New Roman" w:cs="Arial"/>
                <w:sz w:val="20"/>
                <w:szCs w:val="20"/>
              </w:rPr>
            </w:pPr>
            <w:r w:rsidRPr="002070C7">
              <w:rPr>
                <w:rFonts w:ascii="Arial" w:hAnsi="Arial"/>
                <w:sz w:val="20"/>
                <w:lang w:eastAsia="en-GB"/>
              </w:rPr>
              <w:t xml:space="preserve">(1) </w:t>
            </w:r>
            <w:r w:rsidRPr="002070C7">
              <w:rPr>
                <w:rFonts w:ascii="Arial" w:hAnsi="Arial"/>
                <w:sz w:val="20"/>
              </w:rPr>
              <w:t>Stavke koje podliježu kreditnom konverzijskom faktoru od 0 %</w:t>
            </w:r>
          </w:p>
        </w:tc>
        <w:tc>
          <w:tcPr>
            <w:tcW w:w="2745" w:type="dxa"/>
            <w:tcBorders>
              <w:left w:val="nil"/>
              <w:right w:val="nil"/>
            </w:tcBorders>
            <w:noWrap/>
            <w:hideMark/>
          </w:tcPr>
          <w:p w:rsidRPr="002070C7" w:rsidR="00A5057C" w:rsidP="006F6C94" w:rsidRDefault="00A5057C" w14:paraId="78E08092"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5715C4D0" w14:textId="77777777">
        <w:trPr>
          <w:trHeight w:val="300"/>
        </w:trPr>
        <w:tc>
          <w:tcPr>
            <w:tcW w:w="6804" w:type="dxa"/>
            <w:tcBorders>
              <w:left w:val="nil"/>
              <w:right w:val="nil"/>
            </w:tcBorders>
            <w:noWrap/>
            <w:hideMark/>
          </w:tcPr>
          <w:p w:rsidRPr="002070C7" w:rsidR="00A5057C" w:rsidP="006F6C94" w:rsidRDefault="00A5057C" w14:paraId="49514BB0" w14:textId="77777777">
            <w:pPr>
              <w:ind w:firstLine="400" w:firstLineChars="200"/>
              <w:rPr>
                <w:rFonts w:ascii="Arial" w:hAnsi="Arial" w:eastAsia="Times New Roman" w:cs="Arial"/>
                <w:sz w:val="20"/>
                <w:szCs w:val="20"/>
              </w:rPr>
            </w:pPr>
            <w:r w:rsidRPr="002070C7">
              <w:rPr>
                <w:rFonts w:ascii="Arial" w:hAnsi="Arial"/>
                <w:sz w:val="20"/>
                <w:lang w:eastAsia="en-GB"/>
              </w:rPr>
              <w:t xml:space="preserve">(2) </w:t>
            </w:r>
            <w:r w:rsidRPr="002070C7">
              <w:rPr>
                <w:rFonts w:ascii="Arial" w:hAnsi="Arial"/>
                <w:sz w:val="20"/>
              </w:rPr>
              <w:t>Stavke koje podliježu kreditnom konverzijskom faktoru od 20 %</w:t>
            </w:r>
          </w:p>
        </w:tc>
        <w:tc>
          <w:tcPr>
            <w:tcW w:w="2745" w:type="dxa"/>
            <w:tcBorders>
              <w:left w:val="nil"/>
              <w:right w:val="nil"/>
            </w:tcBorders>
            <w:noWrap/>
            <w:hideMark/>
          </w:tcPr>
          <w:p w:rsidRPr="002070C7" w:rsidR="00A5057C" w:rsidP="006F6C94" w:rsidRDefault="00A5057C" w14:paraId="4ED18630"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07C6914B" w14:textId="77777777">
        <w:trPr>
          <w:trHeight w:val="300"/>
        </w:trPr>
        <w:tc>
          <w:tcPr>
            <w:tcW w:w="6804" w:type="dxa"/>
            <w:tcBorders>
              <w:left w:val="nil"/>
              <w:right w:val="nil"/>
            </w:tcBorders>
            <w:noWrap/>
            <w:hideMark/>
          </w:tcPr>
          <w:p w:rsidRPr="002070C7" w:rsidR="00A5057C" w:rsidP="006F6C94" w:rsidRDefault="00A5057C" w14:paraId="792C568C" w14:textId="77777777">
            <w:pPr>
              <w:ind w:firstLine="400" w:firstLineChars="200"/>
              <w:rPr>
                <w:rFonts w:ascii="Arial" w:hAnsi="Arial" w:eastAsia="Times New Roman" w:cs="Arial"/>
                <w:sz w:val="20"/>
                <w:szCs w:val="20"/>
              </w:rPr>
            </w:pPr>
            <w:r w:rsidRPr="002070C7">
              <w:rPr>
                <w:rFonts w:ascii="Arial" w:hAnsi="Arial"/>
                <w:sz w:val="20"/>
                <w:lang w:eastAsia="en-GB"/>
              </w:rPr>
              <w:t xml:space="preserve">(3) </w:t>
            </w:r>
            <w:r w:rsidRPr="002070C7">
              <w:rPr>
                <w:rFonts w:ascii="Arial" w:hAnsi="Arial"/>
                <w:sz w:val="20"/>
              </w:rPr>
              <w:t>Stavke koje podliježu kreditnom konverzijskom faktoru od 50%</w:t>
            </w:r>
          </w:p>
        </w:tc>
        <w:tc>
          <w:tcPr>
            <w:tcW w:w="2745" w:type="dxa"/>
            <w:tcBorders>
              <w:left w:val="nil"/>
              <w:right w:val="nil"/>
            </w:tcBorders>
            <w:noWrap/>
            <w:hideMark/>
          </w:tcPr>
          <w:p w:rsidRPr="002070C7" w:rsidR="00A5057C" w:rsidP="006F6C94" w:rsidRDefault="00A5057C" w14:paraId="350123C8"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3726B82B" w14:textId="77777777">
        <w:trPr>
          <w:trHeight w:val="300"/>
        </w:trPr>
        <w:tc>
          <w:tcPr>
            <w:tcW w:w="6804" w:type="dxa"/>
            <w:tcBorders>
              <w:left w:val="nil"/>
              <w:right w:val="nil"/>
            </w:tcBorders>
            <w:noWrap/>
            <w:hideMark/>
          </w:tcPr>
          <w:p w:rsidRPr="002070C7" w:rsidR="00A5057C" w:rsidP="006F6C94" w:rsidRDefault="00A5057C" w14:paraId="67C0915B" w14:textId="77777777">
            <w:pPr>
              <w:ind w:firstLine="400" w:firstLineChars="200"/>
              <w:rPr>
                <w:rFonts w:ascii="Arial" w:hAnsi="Arial" w:eastAsia="Times New Roman" w:cs="Arial"/>
                <w:sz w:val="20"/>
                <w:szCs w:val="20"/>
              </w:rPr>
            </w:pPr>
            <w:r w:rsidRPr="002070C7">
              <w:rPr>
                <w:rFonts w:ascii="Arial" w:hAnsi="Arial"/>
                <w:sz w:val="20"/>
                <w:lang w:eastAsia="en-GB"/>
              </w:rPr>
              <w:t xml:space="preserve">(4) </w:t>
            </w:r>
            <w:r w:rsidRPr="002070C7">
              <w:rPr>
                <w:rFonts w:ascii="Arial" w:hAnsi="Arial"/>
                <w:sz w:val="20"/>
              </w:rPr>
              <w:t>Stavke koje podliježu kreditnom konverzijskom faktoru od 100%</w:t>
            </w:r>
          </w:p>
        </w:tc>
        <w:tc>
          <w:tcPr>
            <w:tcW w:w="2745" w:type="dxa"/>
            <w:tcBorders>
              <w:left w:val="nil"/>
              <w:right w:val="nil"/>
            </w:tcBorders>
            <w:noWrap/>
            <w:hideMark/>
          </w:tcPr>
          <w:p w:rsidRPr="002070C7" w:rsidR="00A5057C" w:rsidP="006F6C94" w:rsidRDefault="00A5057C" w14:paraId="61954937"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6156B5B6" w14:textId="77777777">
        <w:trPr>
          <w:trHeight w:val="300"/>
        </w:trPr>
        <w:tc>
          <w:tcPr>
            <w:tcW w:w="6804" w:type="dxa"/>
            <w:tcBorders>
              <w:left w:val="nil"/>
              <w:right w:val="nil"/>
            </w:tcBorders>
            <w:noWrap/>
            <w:hideMark/>
          </w:tcPr>
          <w:p w:rsidRPr="002070C7" w:rsidR="00A5057C" w:rsidP="006F6C94" w:rsidRDefault="00A5057C" w14:paraId="637426C1" w14:textId="77777777">
            <w:pPr>
              <w:ind w:firstLine="200" w:firstLineChars="100"/>
              <w:rPr>
                <w:rFonts w:ascii="Arial" w:hAnsi="Arial" w:eastAsia="Times New Roman" w:cs="Arial"/>
                <w:sz w:val="20"/>
                <w:szCs w:val="20"/>
              </w:rPr>
            </w:pPr>
            <w:r w:rsidRPr="002070C7">
              <w:rPr>
                <w:rFonts w:ascii="Arial" w:hAnsi="Arial"/>
                <w:sz w:val="20"/>
              </w:rPr>
              <w:t>e. Regulatorne prilagodbe</w:t>
            </w:r>
          </w:p>
        </w:tc>
        <w:tc>
          <w:tcPr>
            <w:tcW w:w="2745" w:type="dxa"/>
            <w:tcBorders>
              <w:left w:val="nil"/>
              <w:right w:val="nil"/>
            </w:tcBorders>
            <w:noWrap/>
            <w:hideMark/>
          </w:tcPr>
          <w:p w:rsidRPr="002070C7" w:rsidR="00A5057C" w:rsidP="006F6C94" w:rsidRDefault="00A5057C" w14:paraId="79FFB1D8"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29F95B06" w14:textId="77777777">
        <w:trPr>
          <w:trHeight w:val="300"/>
        </w:trPr>
        <w:tc>
          <w:tcPr>
            <w:tcW w:w="6804" w:type="dxa"/>
            <w:tcBorders>
              <w:left w:val="nil"/>
              <w:right w:val="nil"/>
            </w:tcBorders>
            <w:noWrap/>
          </w:tcPr>
          <w:p w:rsidRPr="002070C7" w:rsidR="00A5057C" w:rsidP="006F6C94" w:rsidRDefault="00A5057C" w14:paraId="5685E5E7" w14:textId="77777777">
            <w:pPr>
              <w:ind w:left="171" w:firstLine="28" w:firstLineChars="14"/>
              <w:rPr>
                <w:rFonts w:ascii="Arial" w:hAnsi="Arial" w:eastAsia="Times New Roman" w:cs="Arial"/>
                <w:sz w:val="20"/>
                <w:szCs w:val="20"/>
              </w:rPr>
            </w:pPr>
            <w:r w:rsidRPr="002070C7">
              <w:rPr>
                <w:rFonts w:ascii="Arial" w:hAnsi="Arial"/>
                <w:sz w:val="20"/>
              </w:rPr>
              <w:lastRenderedPageBreak/>
              <w:t>f. Ukupna izloženost prije regulatornih prilagodbi (zbroj stavki 2.a.(1) do 2.c, 0,1 puta 2.d.(1), 0,2 puta 2.d.(2), 0,5 puta 2.d.(3), i 2.d.(4))</w:t>
            </w:r>
          </w:p>
        </w:tc>
        <w:tc>
          <w:tcPr>
            <w:tcW w:w="2745" w:type="dxa"/>
            <w:tcBorders>
              <w:left w:val="nil"/>
              <w:right w:val="nil"/>
            </w:tcBorders>
            <w:noWrap/>
          </w:tcPr>
          <w:p w:rsidRPr="002070C7" w:rsidR="00A5057C" w:rsidP="006F6C94" w:rsidRDefault="00A5057C" w14:paraId="69D1A023" w14:textId="77777777">
            <w:pPr>
              <w:jc w:val="right"/>
              <w:rPr>
                <w:rFonts w:ascii="Arial" w:hAnsi="Arial" w:eastAsia="Times New Roman" w:cs="Arial"/>
                <w:sz w:val="20"/>
                <w:szCs w:val="20"/>
                <w:lang w:eastAsia="en-GB"/>
              </w:rPr>
            </w:pPr>
          </w:p>
        </w:tc>
      </w:tr>
      <w:tr w:rsidRPr="002070C7" w:rsidR="00A5057C" w:rsidTr="006F6C94" w14:paraId="0E6463A6" w14:textId="77777777">
        <w:trPr>
          <w:trHeight w:val="300"/>
        </w:trPr>
        <w:tc>
          <w:tcPr>
            <w:tcW w:w="6804" w:type="dxa"/>
            <w:tcBorders>
              <w:left w:val="nil"/>
              <w:right w:val="nil"/>
            </w:tcBorders>
            <w:noWrap/>
          </w:tcPr>
          <w:p w:rsidRPr="002070C7" w:rsidR="00A5057C" w:rsidP="006F6C94" w:rsidRDefault="00A5057C" w14:paraId="5E25B5C4" w14:textId="77777777">
            <w:pPr>
              <w:ind w:left="171" w:firstLine="28" w:firstLineChars="14"/>
              <w:rPr>
                <w:rFonts w:ascii="Arial" w:hAnsi="Arial" w:eastAsia="Times New Roman" w:cs="Arial"/>
                <w:sz w:val="20"/>
                <w:szCs w:val="20"/>
              </w:rPr>
            </w:pPr>
            <w:r w:rsidRPr="002070C7">
              <w:rPr>
                <w:rFonts w:ascii="Arial" w:hAnsi="Arial"/>
                <w:sz w:val="20"/>
              </w:rPr>
              <w:t>g. Izloženosti društava kćeri za osiguranje koje nisu uključene u točku 2.f. neto vrijednosti unutar grupe:</w:t>
            </w:r>
          </w:p>
        </w:tc>
        <w:tc>
          <w:tcPr>
            <w:tcW w:w="2745" w:type="dxa"/>
            <w:tcBorders>
              <w:left w:val="nil"/>
              <w:right w:val="nil"/>
            </w:tcBorders>
            <w:noWrap/>
          </w:tcPr>
          <w:p w:rsidRPr="002070C7" w:rsidR="00A5057C" w:rsidP="006F6C94" w:rsidRDefault="00A5057C" w14:paraId="67BB1012" w14:textId="77777777">
            <w:pPr>
              <w:jc w:val="right"/>
              <w:rPr>
                <w:rFonts w:ascii="Arial" w:hAnsi="Arial" w:eastAsia="Times New Roman" w:cs="Arial"/>
                <w:sz w:val="20"/>
                <w:szCs w:val="20"/>
                <w:lang w:eastAsia="en-GB"/>
              </w:rPr>
            </w:pPr>
          </w:p>
        </w:tc>
      </w:tr>
      <w:tr w:rsidRPr="002070C7" w:rsidR="00A5057C" w:rsidTr="006F6C94" w14:paraId="762C3529" w14:textId="77777777">
        <w:trPr>
          <w:trHeight w:val="300"/>
        </w:trPr>
        <w:tc>
          <w:tcPr>
            <w:tcW w:w="6804" w:type="dxa"/>
            <w:tcBorders>
              <w:left w:val="nil"/>
              <w:right w:val="nil"/>
            </w:tcBorders>
            <w:noWrap/>
          </w:tcPr>
          <w:p w:rsidRPr="002070C7" w:rsidR="00A5057C" w:rsidP="006F6C94" w:rsidRDefault="00A5057C" w14:paraId="3C4F9A5E" w14:textId="77777777">
            <w:pPr>
              <w:ind w:left="720" w:firstLine="28" w:firstLineChars="14"/>
              <w:rPr>
                <w:rFonts w:ascii="Arial" w:hAnsi="Arial" w:eastAsia="Times New Roman" w:cs="Arial"/>
                <w:sz w:val="20"/>
                <w:szCs w:val="20"/>
              </w:rPr>
            </w:pPr>
            <w:r w:rsidRPr="002070C7">
              <w:rPr>
                <w:rFonts w:ascii="Arial" w:hAnsi="Arial"/>
                <w:sz w:val="20"/>
                <w:lang w:eastAsia="en-GB"/>
              </w:rPr>
              <w:t xml:space="preserve">(1) </w:t>
            </w:r>
            <w:r w:rsidRPr="002070C7">
              <w:rPr>
                <w:rFonts w:ascii="Arial" w:hAnsi="Arial"/>
                <w:sz w:val="20"/>
              </w:rPr>
              <w:t>Bilančna i izvanbilančna imovina društava kćeri za osiguranje</w:t>
            </w:r>
          </w:p>
        </w:tc>
        <w:tc>
          <w:tcPr>
            <w:tcW w:w="2745" w:type="dxa"/>
            <w:tcBorders>
              <w:left w:val="nil"/>
              <w:right w:val="nil"/>
            </w:tcBorders>
            <w:noWrap/>
          </w:tcPr>
          <w:p w:rsidRPr="002070C7" w:rsidR="00A5057C" w:rsidP="006F6C94" w:rsidRDefault="00A5057C" w14:paraId="54E1D16D" w14:textId="77777777">
            <w:pPr>
              <w:jc w:val="right"/>
              <w:rPr>
                <w:rFonts w:ascii="Arial" w:hAnsi="Arial" w:eastAsia="Times New Roman" w:cs="Arial"/>
                <w:sz w:val="20"/>
                <w:szCs w:val="20"/>
                <w:lang w:eastAsia="en-GB"/>
              </w:rPr>
            </w:pPr>
          </w:p>
        </w:tc>
      </w:tr>
      <w:tr w:rsidRPr="002070C7" w:rsidR="00A5057C" w:rsidTr="006F6C94" w14:paraId="0BF0ACB4" w14:textId="77777777">
        <w:trPr>
          <w:trHeight w:val="300"/>
        </w:trPr>
        <w:tc>
          <w:tcPr>
            <w:tcW w:w="6804" w:type="dxa"/>
            <w:tcBorders>
              <w:left w:val="nil"/>
              <w:right w:val="nil"/>
            </w:tcBorders>
            <w:noWrap/>
          </w:tcPr>
          <w:p w:rsidRPr="002070C7" w:rsidR="00A5057C" w:rsidP="006F6C94" w:rsidRDefault="00A5057C" w14:paraId="19005BAF" w14:textId="77777777">
            <w:pPr>
              <w:ind w:left="720" w:firstLine="28" w:firstLineChars="14"/>
              <w:rPr>
                <w:rFonts w:ascii="Arial" w:hAnsi="Arial" w:eastAsia="Times New Roman" w:cs="Arial"/>
                <w:sz w:val="20"/>
                <w:szCs w:val="20"/>
              </w:rPr>
            </w:pPr>
            <w:r w:rsidRPr="002070C7">
              <w:rPr>
                <w:rFonts w:ascii="Arial" w:hAnsi="Arial"/>
                <w:sz w:val="20"/>
                <w:lang w:eastAsia="en-GB"/>
              </w:rPr>
              <w:t xml:space="preserve">(2) </w:t>
            </w:r>
            <w:r w:rsidRPr="002070C7">
              <w:rPr>
                <w:rFonts w:ascii="Arial" w:hAnsi="Arial"/>
                <w:sz w:val="20"/>
              </w:rPr>
              <w:t>Potencijalna buduća izloženost ugovora o izvedenicama za društva kćeri za osiguranje</w:t>
            </w:r>
          </w:p>
        </w:tc>
        <w:tc>
          <w:tcPr>
            <w:tcW w:w="2745" w:type="dxa"/>
            <w:tcBorders>
              <w:left w:val="nil"/>
              <w:right w:val="nil"/>
            </w:tcBorders>
            <w:noWrap/>
          </w:tcPr>
          <w:p w:rsidRPr="002070C7" w:rsidR="00A5057C" w:rsidP="006F6C94" w:rsidRDefault="00A5057C" w14:paraId="3DCA10BB" w14:textId="77777777">
            <w:pPr>
              <w:jc w:val="right"/>
              <w:rPr>
                <w:rFonts w:ascii="Arial" w:hAnsi="Arial" w:eastAsia="Times New Roman" w:cs="Arial"/>
                <w:sz w:val="20"/>
                <w:szCs w:val="20"/>
                <w:lang w:eastAsia="en-GB"/>
              </w:rPr>
            </w:pPr>
          </w:p>
        </w:tc>
      </w:tr>
      <w:tr w:rsidRPr="002070C7" w:rsidR="00A5057C" w:rsidTr="006F6C94" w14:paraId="3C2C8228" w14:textId="77777777">
        <w:trPr>
          <w:trHeight w:val="300"/>
        </w:trPr>
        <w:tc>
          <w:tcPr>
            <w:tcW w:w="6804" w:type="dxa"/>
            <w:tcBorders>
              <w:left w:val="nil"/>
              <w:right w:val="nil"/>
            </w:tcBorders>
            <w:noWrap/>
          </w:tcPr>
          <w:p w:rsidRPr="002070C7" w:rsidR="00A5057C" w:rsidP="006F6C94" w:rsidRDefault="00A5057C" w14:paraId="2B1E35E8" w14:textId="77777777">
            <w:pPr>
              <w:ind w:left="720" w:firstLine="28" w:firstLineChars="14"/>
              <w:rPr>
                <w:rFonts w:ascii="Arial" w:hAnsi="Arial" w:eastAsia="Times New Roman" w:cs="Arial"/>
                <w:sz w:val="20"/>
                <w:szCs w:val="20"/>
              </w:rPr>
            </w:pPr>
            <w:r w:rsidRPr="002070C7">
              <w:rPr>
                <w:rFonts w:ascii="Arial" w:hAnsi="Arial"/>
                <w:sz w:val="20"/>
                <w:lang w:eastAsia="en-GB"/>
              </w:rPr>
              <w:t xml:space="preserve">(3) </w:t>
            </w:r>
            <w:r w:rsidRPr="002070C7">
              <w:rPr>
                <w:rFonts w:ascii="Arial" w:hAnsi="Arial"/>
                <w:sz w:val="20"/>
              </w:rPr>
              <w:t>Vrijednost ulaganja u konsolidirane subjekte</w:t>
            </w:r>
          </w:p>
        </w:tc>
        <w:tc>
          <w:tcPr>
            <w:tcW w:w="2745" w:type="dxa"/>
            <w:tcBorders>
              <w:left w:val="nil"/>
              <w:right w:val="nil"/>
            </w:tcBorders>
            <w:noWrap/>
          </w:tcPr>
          <w:p w:rsidRPr="002070C7" w:rsidR="00A5057C" w:rsidP="006F6C94" w:rsidRDefault="00A5057C" w14:paraId="4106C7D1" w14:textId="77777777">
            <w:pPr>
              <w:jc w:val="right"/>
              <w:rPr>
                <w:rFonts w:ascii="Arial" w:hAnsi="Arial" w:eastAsia="Times New Roman" w:cs="Arial"/>
                <w:sz w:val="20"/>
                <w:szCs w:val="20"/>
                <w:lang w:eastAsia="en-GB"/>
              </w:rPr>
            </w:pPr>
          </w:p>
        </w:tc>
      </w:tr>
      <w:tr w:rsidRPr="002070C7" w:rsidR="00A5057C" w:rsidTr="006F6C94" w14:paraId="48B04C40" w14:textId="77777777">
        <w:trPr>
          <w:trHeight w:val="300"/>
        </w:trPr>
        <w:tc>
          <w:tcPr>
            <w:tcW w:w="6804" w:type="dxa"/>
            <w:tcBorders>
              <w:left w:val="nil"/>
              <w:right w:val="nil"/>
            </w:tcBorders>
            <w:noWrap/>
          </w:tcPr>
          <w:p w:rsidRPr="002070C7" w:rsidR="00A5057C" w:rsidP="006F6C94" w:rsidRDefault="00A5057C" w14:paraId="1289FB38" w14:textId="77777777">
            <w:pPr>
              <w:ind w:left="171"/>
              <w:rPr>
                <w:rFonts w:ascii="Arial" w:hAnsi="Arial" w:eastAsia="Times New Roman" w:cs="Arial"/>
                <w:sz w:val="20"/>
                <w:szCs w:val="20"/>
              </w:rPr>
            </w:pPr>
            <w:r w:rsidRPr="002070C7">
              <w:rPr>
                <w:rFonts w:ascii="Arial" w:hAnsi="Arial"/>
                <w:sz w:val="20"/>
              </w:rPr>
              <w:t>h. Izloženosti unutar grupe uključene u stavak 2. točku (f) za društva kćeri za osiguranje prijavljene u stavku 2. točki (g)</w:t>
            </w:r>
          </w:p>
        </w:tc>
        <w:tc>
          <w:tcPr>
            <w:tcW w:w="2745" w:type="dxa"/>
            <w:tcBorders>
              <w:left w:val="nil"/>
              <w:right w:val="nil"/>
            </w:tcBorders>
            <w:noWrap/>
          </w:tcPr>
          <w:p w:rsidRPr="002070C7" w:rsidR="00A5057C" w:rsidP="006F6C94" w:rsidRDefault="00A5057C" w14:paraId="52776025" w14:textId="77777777">
            <w:pPr>
              <w:jc w:val="right"/>
              <w:rPr>
                <w:rFonts w:ascii="Arial" w:hAnsi="Arial" w:eastAsia="Times New Roman" w:cs="Arial"/>
                <w:sz w:val="20"/>
                <w:szCs w:val="20"/>
                <w:lang w:eastAsia="en-GB"/>
              </w:rPr>
            </w:pPr>
          </w:p>
        </w:tc>
      </w:tr>
      <w:tr w:rsidRPr="002070C7" w:rsidR="00A5057C" w:rsidTr="006F6C94" w14:paraId="24CFF8DE" w14:textId="77777777">
        <w:trPr>
          <w:trHeight w:val="300"/>
        </w:trPr>
        <w:tc>
          <w:tcPr>
            <w:tcW w:w="6804" w:type="dxa"/>
            <w:tcBorders>
              <w:left w:val="nil"/>
              <w:bottom w:val="single" w:color="auto" w:sz="4" w:space="0"/>
              <w:right w:val="nil"/>
            </w:tcBorders>
            <w:noWrap/>
          </w:tcPr>
          <w:p w:rsidRPr="002070C7" w:rsidR="00A5057C" w:rsidP="006F6C94" w:rsidRDefault="00A5057C" w14:paraId="2E6A00CD" w14:textId="77777777">
            <w:pPr>
              <w:ind w:left="171"/>
              <w:rPr>
                <w:rFonts w:ascii="Arial" w:hAnsi="Arial" w:eastAsia="Times New Roman" w:cs="Arial"/>
                <w:sz w:val="20"/>
                <w:szCs w:val="20"/>
              </w:rPr>
            </w:pPr>
            <w:r w:rsidRPr="002070C7">
              <w:rPr>
                <w:rFonts w:ascii="Arial" w:hAnsi="Arial"/>
                <w:sz w:val="20"/>
              </w:rPr>
              <w:t>i. Pokazatelj ukupnih izloženosti, uključujući društva kćeri za osiguranje (zbroj stavki 2.f., 2.g.(1) do 2.g.(2) minus 2.g.(3) do 2.h.)</w:t>
            </w:r>
          </w:p>
        </w:tc>
        <w:tc>
          <w:tcPr>
            <w:tcW w:w="2745" w:type="dxa"/>
            <w:tcBorders>
              <w:left w:val="nil"/>
              <w:bottom w:val="single" w:color="auto" w:sz="4" w:space="0"/>
              <w:right w:val="nil"/>
            </w:tcBorders>
            <w:noWrap/>
          </w:tcPr>
          <w:p w:rsidRPr="002070C7" w:rsidR="00A5057C" w:rsidP="006F6C94" w:rsidRDefault="00A5057C" w14:paraId="33AD923D" w14:textId="77777777">
            <w:pPr>
              <w:jc w:val="right"/>
              <w:rPr>
                <w:rFonts w:ascii="Arial" w:hAnsi="Arial" w:eastAsia="Times New Roman" w:cs="Arial"/>
                <w:sz w:val="20"/>
                <w:szCs w:val="20"/>
                <w:lang w:eastAsia="en-GB"/>
              </w:rPr>
            </w:pPr>
          </w:p>
        </w:tc>
      </w:tr>
      <w:tr w:rsidRPr="002070C7" w:rsidR="00A5057C" w:rsidTr="006F6C94" w14:paraId="2678E62A" w14:textId="77777777">
        <w:trPr>
          <w:trHeight w:val="403"/>
        </w:trPr>
        <w:tc>
          <w:tcPr>
            <w:tcW w:w="9549" w:type="dxa"/>
            <w:gridSpan w:val="2"/>
            <w:tcBorders>
              <w:left w:val="nil"/>
              <w:right w:val="nil"/>
            </w:tcBorders>
            <w:noWrap/>
            <w:hideMark/>
          </w:tcPr>
          <w:p w:rsidRPr="002070C7" w:rsidR="00A5057C" w:rsidP="006F6C94" w:rsidRDefault="00A5057C" w14:paraId="598B13CB" w14:textId="77777777">
            <w:pPr>
              <w:keepNext/>
              <w:keepLines/>
              <w:spacing w:before="47"/>
              <w:outlineLvl w:val="5"/>
              <w:rPr>
                <w:rFonts w:ascii="Arial" w:hAnsi="Arial" w:eastAsia="Times New Roman" w:cs="Arial"/>
                <w:b/>
                <w:bCs/>
                <w:i/>
                <w:iCs/>
                <w:caps/>
                <w:color w:val="172B39" w:themeColor="accent1" w:themeShade="80"/>
                <w:sz w:val="20"/>
                <w:szCs w:val="20"/>
                <w:lang w:eastAsia="en-GB"/>
              </w:rPr>
            </w:pPr>
          </w:p>
          <w:p w:rsidRPr="002070C7" w:rsidR="00A5057C" w:rsidP="006F6C94" w:rsidRDefault="00A5057C" w14:paraId="478346F6" w14:textId="77777777">
            <w:pPr>
              <w:keepNext/>
              <w:keepLines/>
              <w:spacing w:before="47"/>
              <w:outlineLvl w:val="5"/>
              <w:rPr>
                <w:rFonts w:ascii="Arial" w:hAnsi="Arial" w:eastAsia="Times New Roman" w:cs="Arial"/>
                <w:i/>
                <w:iCs/>
                <w:caps/>
                <w:color w:val="172B39" w:themeColor="accent1" w:themeShade="80"/>
                <w:sz w:val="20"/>
                <w:szCs w:val="20"/>
              </w:rPr>
            </w:pPr>
            <w:r w:rsidRPr="002070C7">
              <w:rPr>
                <w:rFonts w:ascii="Arial" w:hAnsi="Arial"/>
                <w:b/>
                <w:i/>
                <w:caps/>
                <w:color w:val="172B39" w:themeColor="accent1" w:themeShade="80"/>
                <w:sz w:val="24"/>
              </w:rPr>
              <w:t> </w:t>
            </w:r>
            <w:r w:rsidRPr="002070C7">
              <w:rPr>
                <w:rFonts w:asciiTheme="majorHAnsi" w:hAnsiTheme="majorHAnsi"/>
                <w:b/>
                <w:i/>
                <w:caps/>
              </w:rPr>
              <w:t>Pokazatelji međupovezanosti</w:t>
            </w:r>
          </w:p>
          <w:p w:rsidRPr="002070C7" w:rsidR="00A5057C" w:rsidP="006F6C94" w:rsidRDefault="00A5057C" w14:paraId="12461AA5" w14:textId="77777777">
            <w:pPr>
              <w:rPr>
                <w:rFonts w:ascii="Arial" w:hAnsi="Arial" w:eastAsia="Times New Roman" w:cs="Arial"/>
                <w:b/>
                <w:bCs/>
                <w:sz w:val="24"/>
                <w:szCs w:val="24"/>
              </w:rPr>
            </w:pPr>
            <w:r w:rsidRPr="002070C7">
              <w:rPr>
                <w:rFonts w:ascii="Arial" w:hAnsi="Arial"/>
                <w:b/>
                <w:sz w:val="24"/>
              </w:rPr>
              <w:t> </w:t>
            </w:r>
          </w:p>
        </w:tc>
      </w:tr>
      <w:tr w:rsidRPr="002070C7" w:rsidR="00A5057C" w:rsidTr="006F6C94" w14:paraId="571A62F0" w14:textId="77777777">
        <w:trPr>
          <w:trHeight w:val="300"/>
        </w:trPr>
        <w:tc>
          <w:tcPr>
            <w:tcW w:w="6804" w:type="dxa"/>
            <w:tcBorders>
              <w:left w:val="nil"/>
              <w:bottom w:val="single" w:color="auto" w:sz="4" w:space="0"/>
              <w:right w:val="nil"/>
            </w:tcBorders>
            <w:noWrap/>
            <w:hideMark/>
          </w:tcPr>
          <w:p w:rsidRPr="002070C7" w:rsidR="00A5057C" w:rsidP="006F6C94" w:rsidRDefault="00A5057C" w14:paraId="072291E8" w14:textId="77777777">
            <w:pPr>
              <w:rPr>
                <w:rFonts w:ascii="Arial" w:hAnsi="Arial" w:eastAsia="Times New Roman" w:cs="Arial"/>
                <w:b/>
                <w:bCs/>
                <w:sz w:val="20"/>
                <w:szCs w:val="20"/>
              </w:rPr>
            </w:pPr>
            <w:r w:rsidRPr="002070C7">
              <w:rPr>
                <w:rFonts w:ascii="Arial" w:hAnsi="Arial"/>
                <w:b/>
                <w:sz w:val="20"/>
              </w:rPr>
              <w:t>Odjeljak 3. – Imovina unutar financijskog sustava</w:t>
            </w:r>
          </w:p>
        </w:tc>
        <w:tc>
          <w:tcPr>
            <w:tcW w:w="2745" w:type="dxa"/>
            <w:tcBorders>
              <w:left w:val="nil"/>
              <w:bottom w:val="single" w:color="auto" w:sz="4" w:space="0"/>
              <w:right w:val="nil"/>
            </w:tcBorders>
            <w:hideMark/>
          </w:tcPr>
          <w:p w:rsidRPr="002070C7" w:rsidR="00A5057C" w:rsidP="006F6C94" w:rsidRDefault="00A5057C" w14:paraId="5444310B"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3F0A5799" w14:textId="77777777">
        <w:trPr>
          <w:trHeight w:val="300"/>
        </w:trPr>
        <w:tc>
          <w:tcPr>
            <w:tcW w:w="6804" w:type="dxa"/>
            <w:tcBorders>
              <w:left w:val="nil"/>
              <w:right w:val="nil"/>
            </w:tcBorders>
            <w:noWrap/>
            <w:hideMark/>
          </w:tcPr>
          <w:p w:rsidRPr="002070C7" w:rsidR="00A5057C" w:rsidP="006F6C94" w:rsidRDefault="00A5057C" w14:paraId="2A527944" w14:textId="77777777">
            <w:pPr>
              <w:ind w:firstLine="200" w:firstLineChars="100"/>
              <w:rPr>
                <w:rFonts w:ascii="Arial" w:hAnsi="Arial" w:eastAsia="Times New Roman" w:cs="Arial"/>
                <w:sz w:val="20"/>
                <w:szCs w:val="20"/>
              </w:rPr>
            </w:pPr>
            <w:r w:rsidRPr="002070C7">
              <w:rPr>
                <w:rFonts w:ascii="Arial" w:hAnsi="Arial"/>
                <w:sz w:val="20"/>
              </w:rPr>
              <w:t>a. Sredstva položena u drugim financijskim institucijama ili pozajmljena tim institucijama</w:t>
            </w:r>
          </w:p>
        </w:tc>
        <w:tc>
          <w:tcPr>
            <w:tcW w:w="2745" w:type="dxa"/>
            <w:tcBorders>
              <w:left w:val="nil"/>
              <w:right w:val="nil"/>
            </w:tcBorders>
            <w:noWrap/>
            <w:hideMark/>
          </w:tcPr>
          <w:p w:rsidRPr="002070C7" w:rsidR="00A5057C" w:rsidP="006F6C94" w:rsidRDefault="00A5057C" w14:paraId="3902E4A5"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53E9D6B5" w14:textId="77777777">
        <w:trPr>
          <w:trHeight w:val="300"/>
        </w:trPr>
        <w:tc>
          <w:tcPr>
            <w:tcW w:w="6804" w:type="dxa"/>
            <w:tcBorders>
              <w:left w:val="nil"/>
              <w:bottom w:val="single" w:color="auto" w:sz="4" w:space="0"/>
              <w:right w:val="nil"/>
            </w:tcBorders>
            <w:noWrap/>
            <w:hideMark/>
          </w:tcPr>
          <w:p w:rsidRPr="002070C7" w:rsidR="00A5057C" w:rsidP="006F6C94" w:rsidRDefault="00A5057C" w14:paraId="0ACF5144" w14:textId="77777777">
            <w:pPr>
              <w:ind w:firstLine="400" w:firstLineChars="200"/>
              <w:rPr>
                <w:rFonts w:ascii="Arial" w:hAnsi="Arial" w:eastAsia="Times New Roman" w:cs="Arial"/>
                <w:sz w:val="20"/>
                <w:szCs w:val="20"/>
              </w:rPr>
            </w:pPr>
            <w:r w:rsidRPr="002070C7">
              <w:rPr>
                <w:rFonts w:ascii="Arial" w:hAnsi="Arial"/>
                <w:sz w:val="20"/>
                <w:lang w:eastAsia="en-GB"/>
              </w:rPr>
              <w:t xml:space="preserve">(1) </w:t>
            </w:r>
            <w:r w:rsidRPr="002070C7">
              <w:rPr>
                <w:rFonts w:ascii="Arial" w:hAnsi="Arial"/>
                <w:sz w:val="20"/>
              </w:rPr>
              <w:t xml:space="preserve">Certifikati o depozitu </w:t>
            </w:r>
          </w:p>
        </w:tc>
        <w:tc>
          <w:tcPr>
            <w:tcW w:w="2745" w:type="dxa"/>
            <w:tcBorders>
              <w:left w:val="nil"/>
              <w:right w:val="nil"/>
            </w:tcBorders>
            <w:noWrap/>
            <w:hideMark/>
          </w:tcPr>
          <w:p w:rsidRPr="002070C7" w:rsidR="00A5057C" w:rsidP="006F6C94" w:rsidRDefault="00A5057C" w14:paraId="4E6D5885"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19DC755F" w14:textId="77777777">
        <w:trPr>
          <w:gridAfter w:val="1"/>
          <w:wAfter w:w="2745" w:type="dxa"/>
          <w:trHeight w:val="300"/>
        </w:trPr>
        <w:tc>
          <w:tcPr>
            <w:tcW w:w="6804" w:type="dxa"/>
            <w:tcBorders>
              <w:left w:val="nil"/>
              <w:right w:val="nil"/>
            </w:tcBorders>
            <w:noWrap/>
            <w:hideMark/>
          </w:tcPr>
          <w:p w:rsidRPr="002070C7" w:rsidR="00A5057C" w:rsidP="006F6C94" w:rsidRDefault="00A5057C" w14:paraId="4CDEC947" w14:textId="77777777">
            <w:pPr>
              <w:ind w:left="171" w:firstLine="28" w:firstLineChars="14"/>
              <w:rPr>
                <w:rFonts w:ascii="Arial" w:hAnsi="Arial" w:eastAsia="Times New Roman" w:cs="Arial"/>
                <w:sz w:val="20"/>
                <w:szCs w:val="20"/>
              </w:rPr>
            </w:pPr>
            <w:r w:rsidRPr="002070C7">
              <w:rPr>
                <w:rFonts w:ascii="Arial" w:hAnsi="Arial"/>
                <w:sz w:val="20"/>
              </w:rPr>
              <w:t>b. Neiskorišteni dio obvezujućih kreditnih linija odobrenih drugim financijskim institucijama</w:t>
            </w:r>
          </w:p>
        </w:tc>
      </w:tr>
      <w:tr w:rsidRPr="002070C7" w:rsidR="00A5057C" w:rsidTr="006F6C94" w14:paraId="194CE4E1" w14:textId="77777777">
        <w:trPr>
          <w:trHeight w:val="300"/>
        </w:trPr>
        <w:tc>
          <w:tcPr>
            <w:tcW w:w="6804" w:type="dxa"/>
            <w:tcBorders>
              <w:left w:val="nil"/>
              <w:right w:val="nil"/>
            </w:tcBorders>
            <w:noWrap/>
            <w:hideMark/>
          </w:tcPr>
          <w:p w:rsidRPr="002070C7" w:rsidR="00A5057C" w:rsidP="006F6C94" w:rsidRDefault="00A5057C" w14:paraId="398F896A" w14:textId="77777777">
            <w:pPr>
              <w:ind w:firstLine="200" w:firstLineChars="100"/>
              <w:rPr>
                <w:rFonts w:ascii="Arial" w:hAnsi="Arial" w:eastAsia="Times New Roman" w:cs="Arial"/>
                <w:sz w:val="20"/>
                <w:szCs w:val="20"/>
              </w:rPr>
            </w:pPr>
            <w:r w:rsidRPr="002070C7">
              <w:rPr>
                <w:rFonts w:ascii="Arial" w:hAnsi="Arial"/>
                <w:sz w:val="20"/>
              </w:rPr>
              <w:t>c. Ulaganja u vrijednosne papire drugih financijskih institucija:</w:t>
            </w:r>
          </w:p>
        </w:tc>
        <w:tc>
          <w:tcPr>
            <w:tcW w:w="2745" w:type="dxa"/>
            <w:tcBorders>
              <w:left w:val="nil"/>
              <w:right w:val="nil"/>
            </w:tcBorders>
            <w:noWrap/>
            <w:hideMark/>
          </w:tcPr>
          <w:p w:rsidRPr="002070C7" w:rsidR="00A5057C" w:rsidP="006F6C94" w:rsidRDefault="00A5057C" w14:paraId="5297816C" w14:textId="77777777">
            <w:pPr>
              <w:ind w:firstLine="200" w:firstLineChars="100"/>
              <w:rPr>
                <w:rFonts w:ascii="Arial" w:hAnsi="Arial" w:eastAsia="Times New Roman" w:cs="Arial"/>
                <w:sz w:val="20"/>
                <w:szCs w:val="20"/>
              </w:rPr>
            </w:pPr>
            <w:r w:rsidRPr="002070C7">
              <w:rPr>
                <w:rFonts w:ascii="Arial" w:hAnsi="Arial"/>
                <w:sz w:val="20"/>
              </w:rPr>
              <w:t> </w:t>
            </w:r>
          </w:p>
        </w:tc>
      </w:tr>
      <w:tr w:rsidRPr="002070C7" w:rsidR="00A5057C" w:rsidTr="006F6C94" w14:paraId="39508EBA" w14:textId="77777777">
        <w:trPr>
          <w:trHeight w:val="300"/>
        </w:trPr>
        <w:tc>
          <w:tcPr>
            <w:tcW w:w="6804" w:type="dxa"/>
            <w:tcBorders>
              <w:left w:val="nil"/>
              <w:right w:val="nil"/>
            </w:tcBorders>
            <w:noWrap/>
            <w:hideMark/>
          </w:tcPr>
          <w:p w:rsidRPr="002070C7" w:rsidR="00A5057C" w:rsidP="006F6C94" w:rsidRDefault="00A5057C" w14:paraId="35F53AA5" w14:textId="77777777">
            <w:pPr>
              <w:ind w:firstLine="400" w:firstLineChars="200"/>
              <w:rPr>
                <w:rFonts w:ascii="Arial" w:hAnsi="Arial" w:eastAsia="Times New Roman" w:cs="Arial"/>
                <w:sz w:val="20"/>
                <w:szCs w:val="20"/>
              </w:rPr>
            </w:pPr>
            <w:r w:rsidRPr="002070C7">
              <w:rPr>
                <w:rFonts w:ascii="Arial" w:hAnsi="Arial"/>
                <w:sz w:val="20"/>
                <w:lang w:eastAsia="en-GB"/>
              </w:rPr>
              <w:t xml:space="preserve">(1) </w:t>
            </w:r>
            <w:r w:rsidRPr="002070C7">
              <w:rPr>
                <w:rFonts w:ascii="Arial" w:hAnsi="Arial"/>
                <w:sz w:val="20"/>
              </w:rPr>
              <w:t>Osigurani dužnički vrijednosni papiri</w:t>
            </w:r>
          </w:p>
        </w:tc>
        <w:tc>
          <w:tcPr>
            <w:tcW w:w="2745" w:type="dxa"/>
            <w:tcBorders>
              <w:left w:val="nil"/>
              <w:right w:val="nil"/>
            </w:tcBorders>
            <w:noWrap/>
            <w:hideMark/>
          </w:tcPr>
          <w:p w:rsidRPr="002070C7" w:rsidR="00A5057C" w:rsidP="006F6C94" w:rsidRDefault="00A5057C" w14:paraId="1BD79A8B"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19D7EDA2" w14:textId="77777777">
        <w:trPr>
          <w:trHeight w:val="300"/>
        </w:trPr>
        <w:tc>
          <w:tcPr>
            <w:tcW w:w="6804" w:type="dxa"/>
            <w:tcBorders>
              <w:left w:val="nil"/>
              <w:right w:val="nil"/>
            </w:tcBorders>
            <w:noWrap/>
            <w:hideMark/>
          </w:tcPr>
          <w:p w:rsidRPr="002070C7" w:rsidR="00A5057C" w:rsidP="006F6C94" w:rsidRDefault="00A5057C" w14:paraId="6280534E" w14:textId="77777777">
            <w:pPr>
              <w:ind w:firstLine="400" w:firstLineChars="200"/>
              <w:rPr>
                <w:rFonts w:ascii="Arial" w:hAnsi="Arial" w:eastAsia="Times New Roman" w:cs="Arial"/>
                <w:sz w:val="20"/>
                <w:szCs w:val="20"/>
              </w:rPr>
            </w:pPr>
            <w:r w:rsidRPr="002070C7">
              <w:rPr>
                <w:rFonts w:ascii="Arial" w:hAnsi="Arial"/>
                <w:sz w:val="20"/>
                <w:lang w:eastAsia="en-GB"/>
              </w:rPr>
              <w:t xml:space="preserve">(2) </w:t>
            </w:r>
            <w:r w:rsidRPr="002070C7">
              <w:rPr>
                <w:rFonts w:ascii="Arial" w:hAnsi="Arial"/>
                <w:sz w:val="20"/>
              </w:rPr>
              <w:t>Nadređeni neosigurani dužnički vrijednosni papiri</w:t>
            </w:r>
          </w:p>
        </w:tc>
        <w:tc>
          <w:tcPr>
            <w:tcW w:w="2745" w:type="dxa"/>
            <w:tcBorders>
              <w:left w:val="nil"/>
              <w:right w:val="nil"/>
            </w:tcBorders>
            <w:noWrap/>
            <w:hideMark/>
          </w:tcPr>
          <w:p w:rsidRPr="002070C7" w:rsidR="00A5057C" w:rsidP="006F6C94" w:rsidRDefault="00A5057C" w14:paraId="7008BA17"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0DE0963E" w14:textId="77777777">
        <w:trPr>
          <w:trHeight w:val="300"/>
        </w:trPr>
        <w:tc>
          <w:tcPr>
            <w:tcW w:w="6804" w:type="dxa"/>
            <w:tcBorders>
              <w:left w:val="nil"/>
              <w:right w:val="nil"/>
            </w:tcBorders>
            <w:noWrap/>
            <w:hideMark/>
          </w:tcPr>
          <w:p w:rsidRPr="002070C7" w:rsidR="00A5057C" w:rsidP="006F6C94" w:rsidRDefault="00A5057C" w14:paraId="0BC41B46" w14:textId="77777777">
            <w:pPr>
              <w:ind w:firstLine="400" w:firstLineChars="200"/>
              <w:rPr>
                <w:rFonts w:ascii="Arial" w:hAnsi="Arial" w:eastAsia="Times New Roman" w:cs="Arial"/>
                <w:sz w:val="20"/>
                <w:szCs w:val="20"/>
              </w:rPr>
            </w:pPr>
            <w:r w:rsidRPr="002070C7">
              <w:rPr>
                <w:rFonts w:ascii="Arial" w:hAnsi="Arial"/>
                <w:sz w:val="20"/>
                <w:lang w:eastAsia="en-GB"/>
              </w:rPr>
              <w:t xml:space="preserve">(3) </w:t>
            </w:r>
            <w:r w:rsidRPr="002070C7">
              <w:rPr>
                <w:rFonts w:ascii="Arial" w:hAnsi="Arial"/>
                <w:sz w:val="20"/>
              </w:rPr>
              <w:t>Podređeni dužnički vrijednosni papiri</w:t>
            </w:r>
          </w:p>
        </w:tc>
        <w:tc>
          <w:tcPr>
            <w:tcW w:w="2745" w:type="dxa"/>
            <w:tcBorders>
              <w:left w:val="nil"/>
              <w:right w:val="nil"/>
            </w:tcBorders>
            <w:noWrap/>
            <w:hideMark/>
          </w:tcPr>
          <w:p w:rsidRPr="002070C7" w:rsidR="00A5057C" w:rsidP="006F6C94" w:rsidRDefault="00A5057C" w14:paraId="7D57017A"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1FC9A7E5" w14:textId="77777777">
        <w:trPr>
          <w:trHeight w:val="300"/>
        </w:trPr>
        <w:tc>
          <w:tcPr>
            <w:tcW w:w="6804" w:type="dxa"/>
            <w:tcBorders>
              <w:left w:val="nil"/>
              <w:right w:val="nil"/>
            </w:tcBorders>
            <w:noWrap/>
            <w:hideMark/>
          </w:tcPr>
          <w:p w:rsidRPr="002070C7" w:rsidR="00A5057C" w:rsidP="006F6C94" w:rsidRDefault="00A5057C" w14:paraId="7BF071CE" w14:textId="77777777">
            <w:pPr>
              <w:ind w:firstLine="400" w:firstLineChars="200"/>
              <w:rPr>
                <w:rFonts w:ascii="Arial" w:hAnsi="Arial" w:eastAsia="Times New Roman" w:cs="Arial"/>
                <w:sz w:val="20"/>
                <w:szCs w:val="20"/>
              </w:rPr>
            </w:pPr>
            <w:r w:rsidRPr="002070C7">
              <w:rPr>
                <w:rFonts w:ascii="Arial" w:hAnsi="Arial"/>
                <w:sz w:val="20"/>
                <w:lang w:eastAsia="en-GB"/>
              </w:rPr>
              <w:t xml:space="preserve">(4) </w:t>
            </w:r>
            <w:r w:rsidRPr="002070C7">
              <w:rPr>
                <w:rFonts w:ascii="Arial" w:hAnsi="Arial"/>
                <w:sz w:val="20"/>
              </w:rPr>
              <w:t xml:space="preserve">Komercijalni zapis </w:t>
            </w:r>
          </w:p>
        </w:tc>
        <w:tc>
          <w:tcPr>
            <w:tcW w:w="2745" w:type="dxa"/>
            <w:tcBorders>
              <w:left w:val="nil"/>
              <w:right w:val="nil"/>
            </w:tcBorders>
            <w:noWrap/>
            <w:hideMark/>
          </w:tcPr>
          <w:p w:rsidRPr="002070C7" w:rsidR="00A5057C" w:rsidP="006F6C94" w:rsidRDefault="00A5057C" w14:paraId="524AEF42"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0E53D623" w14:textId="77777777">
        <w:trPr>
          <w:trHeight w:val="300"/>
        </w:trPr>
        <w:tc>
          <w:tcPr>
            <w:tcW w:w="6804" w:type="dxa"/>
            <w:tcBorders>
              <w:left w:val="nil"/>
              <w:bottom w:val="single" w:color="auto" w:sz="4" w:space="0"/>
              <w:right w:val="nil"/>
            </w:tcBorders>
            <w:noWrap/>
            <w:hideMark/>
          </w:tcPr>
          <w:p w:rsidRPr="002070C7" w:rsidR="00A5057C" w:rsidP="006F6C94" w:rsidRDefault="00A5057C" w14:paraId="163ACBC5" w14:textId="77777777">
            <w:pPr>
              <w:ind w:firstLine="400" w:firstLineChars="200"/>
              <w:rPr>
                <w:rFonts w:ascii="Arial" w:hAnsi="Arial" w:eastAsia="Times New Roman" w:cs="Arial"/>
                <w:sz w:val="20"/>
                <w:szCs w:val="20"/>
              </w:rPr>
            </w:pPr>
            <w:r w:rsidRPr="002070C7">
              <w:rPr>
                <w:rFonts w:ascii="Arial" w:hAnsi="Arial"/>
                <w:sz w:val="20"/>
                <w:lang w:eastAsia="en-GB"/>
              </w:rPr>
              <w:t xml:space="preserve">(5) </w:t>
            </w:r>
            <w:r w:rsidRPr="002070C7">
              <w:rPr>
                <w:rFonts w:ascii="Arial" w:hAnsi="Arial"/>
                <w:sz w:val="20"/>
              </w:rPr>
              <w:t>Vlasnički vrijednosni papiri</w:t>
            </w:r>
          </w:p>
        </w:tc>
        <w:tc>
          <w:tcPr>
            <w:tcW w:w="2745" w:type="dxa"/>
            <w:tcBorders>
              <w:left w:val="nil"/>
              <w:right w:val="nil"/>
            </w:tcBorders>
            <w:noWrap/>
            <w:hideMark/>
          </w:tcPr>
          <w:p w:rsidRPr="002070C7" w:rsidR="00A5057C" w:rsidP="006F6C94" w:rsidRDefault="00A5057C" w14:paraId="68A7F44B"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69B82C3A" w14:textId="77777777">
        <w:trPr>
          <w:trHeight w:val="300"/>
        </w:trPr>
        <w:tc>
          <w:tcPr>
            <w:tcW w:w="6804" w:type="dxa"/>
            <w:tcBorders>
              <w:left w:val="nil"/>
              <w:bottom w:val="single" w:color="auto" w:sz="4" w:space="0"/>
              <w:right w:val="nil"/>
            </w:tcBorders>
            <w:noWrap/>
          </w:tcPr>
          <w:p w:rsidRPr="002070C7" w:rsidR="00A5057C" w:rsidP="006F6C94" w:rsidRDefault="00A5057C" w14:paraId="414ABDFA" w14:textId="77777777">
            <w:pPr>
              <w:ind w:left="313" w:firstLine="86" w:firstLineChars="43"/>
              <w:rPr>
                <w:rFonts w:ascii="Arial" w:hAnsi="Arial" w:eastAsia="Times New Roman" w:cs="Arial"/>
                <w:sz w:val="20"/>
                <w:szCs w:val="20"/>
              </w:rPr>
            </w:pPr>
            <w:r w:rsidRPr="002070C7">
              <w:rPr>
                <w:rFonts w:ascii="Arial" w:hAnsi="Arial"/>
                <w:sz w:val="20"/>
                <w:lang w:eastAsia="en-GB"/>
              </w:rPr>
              <w:t xml:space="preserve">(6) </w:t>
            </w:r>
            <w:r w:rsidRPr="002070C7">
              <w:rPr>
                <w:rFonts w:ascii="Arial" w:hAnsi="Arial"/>
                <w:sz w:val="20"/>
              </w:rPr>
              <w:t>Prijeboj kratkih pozicija posebnim vlasničkim vrijednosnim papirima uvrštenima u stavku 3.c.(5)</w:t>
            </w:r>
          </w:p>
        </w:tc>
        <w:tc>
          <w:tcPr>
            <w:tcW w:w="2745" w:type="dxa"/>
            <w:tcBorders>
              <w:left w:val="nil"/>
              <w:right w:val="nil"/>
            </w:tcBorders>
            <w:noWrap/>
          </w:tcPr>
          <w:p w:rsidRPr="002070C7" w:rsidR="00A5057C" w:rsidP="006F6C94" w:rsidRDefault="00A5057C" w14:paraId="6B6701AD" w14:textId="77777777">
            <w:pPr>
              <w:jc w:val="right"/>
              <w:rPr>
                <w:rFonts w:ascii="Arial" w:hAnsi="Arial" w:eastAsia="Times New Roman" w:cs="Arial"/>
                <w:sz w:val="20"/>
                <w:szCs w:val="20"/>
                <w:lang w:eastAsia="en-GB"/>
              </w:rPr>
            </w:pPr>
          </w:p>
        </w:tc>
      </w:tr>
      <w:tr w:rsidRPr="002070C7" w:rsidR="00A5057C" w:rsidTr="006F6C94" w14:paraId="52F98F0B" w14:textId="77777777">
        <w:trPr>
          <w:trHeight w:val="300"/>
        </w:trPr>
        <w:tc>
          <w:tcPr>
            <w:tcW w:w="6804" w:type="dxa"/>
            <w:tcBorders>
              <w:left w:val="nil"/>
              <w:bottom w:val="single" w:color="auto" w:sz="4" w:space="0"/>
              <w:right w:val="nil"/>
            </w:tcBorders>
            <w:noWrap/>
          </w:tcPr>
          <w:p w:rsidRPr="002070C7" w:rsidR="00A5057C" w:rsidP="006F6C94" w:rsidRDefault="00A5057C" w14:paraId="598599F1" w14:textId="77777777">
            <w:pPr>
              <w:ind w:firstLine="171"/>
              <w:rPr>
                <w:rFonts w:ascii="Arial" w:hAnsi="Arial" w:eastAsia="Times New Roman" w:cs="Arial"/>
                <w:sz w:val="20"/>
                <w:szCs w:val="20"/>
              </w:rPr>
            </w:pPr>
            <w:r w:rsidRPr="002070C7">
              <w:rPr>
                <w:rFonts w:ascii="Arial" w:hAnsi="Arial"/>
                <w:sz w:val="20"/>
              </w:rPr>
              <w:t>d. Neto pozitivne sadašnje izloženosti transakcija financiranja vrijednosnih papira s drugim financijskim institucijama</w:t>
            </w:r>
          </w:p>
        </w:tc>
        <w:tc>
          <w:tcPr>
            <w:tcW w:w="2745" w:type="dxa"/>
            <w:tcBorders>
              <w:left w:val="nil"/>
              <w:right w:val="nil"/>
            </w:tcBorders>
            <w:noWrap/>
          </w:tcPr>
          <w:p w:rsidRPr="002070C7" w:rsidR="00A5057C" w:rsidP="006F6C94" w:rsidRDefault="00A5057C" w14:paraId="756F8977" w14:textId="77777777">
            <w:pPr>
              <w:jc w:val="right"/>
              <w:rPr>
                <w:rFonts w:ascii="Arial" w:hAnsi="Arial" w:eastAsia="Times New Roman" w:cs="Arial"/>
                <w:sz w:val="20"/>
                <w:szCs w:val="20"/>
                <w:lang w:eastAsia="en-GB"/>
              </w:rPr>
            </w:pPr>
          </w:p>
        </w:tc>
      </w:tr>
      <w:tr w:rsidRPr="002070C7" w:rsidR="00A5057C" w:rsidTr="006F6C94" w14:paraId="6C27C2D6" w14:textId="77777777">
        <w:trPr>
          <w:trHeight w:val="300"/>
        </w:trPr>
        <w:tc>
          <w:tcPr>
            <w:tcW w:w="6804" w:type="dxa"/>
            <w:tcBorders>
              <w:left w:val="nil"/>
              <w:bottom w:val="single" w:color="auto" w:sz="4" w:space="0"/>
              <w:right w:val="nil"/>
            </w:tcBorders>
            <w:noWrap/>
          </w:tcPr>
          <w:p w:rsidRPr="002070C7" w:rsidR="00A5057C" w:rsidP="006F6C94" w:rsidRDefault="00A5057C" w14:paraId="4AF179BA" w14:textId="77777777">
            <w:pPr>
              <w:ind w:left="171"/>
              <w:rPr>
                <w:rFonts w:ascii="Arial" w:hAnsi="Arial" w:eastAsia="Times New Roman" w:cs="Arial"/>
                <w:sz w:val="20"/>
                <w:szCs w:val="20"/>
              </w:rPr>
            </w:pPr>
            <w:r w:rsidRPr="002070C7">
              <w:rPr>
                <w:rFonts w:ascii="Arial" w:hAnsi="Arial"/>
                <w:sz w:val="20"/>
              </w:rPr>
              <w:t>e. OTC izvedenice s drugim financijskim institucijama koje imaju neto pozitivnu fer vrijednost:</w:t>
            </w:r>
          </w:p>
        </w:tc>
        <w:tc>
          <w:tcPr>
            <w:tcW w:w="2745" w:type="dxa"/>
            <w:tcBorders>
              <w:left w:val="nil"/>
              <w:right w:val="nil"/>
            </w:tcBorders>
            <w:noWrap/>
          </w:tcPr>
          <w:p w:rsidRPr="002070C7" w:rsidR="00A5057C" w:rsidP="006F6C94" w:rsidRDefault="00A5057C" w14:paraId="2CD7C184" w14:textId="77777777">
            <w:pPr>
              <w:jc w:val="right"/>
              <w:rPr>
                <w:rFonts w:ascii="Arial" w:hAnsi="Arial" w:eastAsia="Times New Roman" w:cs="Arial"/>
                <w:sz w:val="20"/>
                <w:szCs w:val="20"/>
                <w:lang w:eastAsia="en-GB"/>
              </w:rPr>
            </w:pPr>
          </w:p>
        </w:tc>
      </w:tr>
      <w:tr w:rsidRPr="002070C7" w:rsidR="00A5057C" w:rsidTr="006F6C94" w14:paraId="776C7883" w14:textId="77777777">
        <w:trPr>
          <w:trHeight w:val="300"/>
        </w:trPr>
        <w:tc>
          <w:tcPr>
            <w:tcW w:w="6804" w:type="dxa"/>
            <w:tcBorders>
              <w:left w:val="nil"/>
              <w:bottom w:val="single" w:color="auto" w:sz="4" w:space="0"/>
              <w:right w:val="nil"/>
            </w:tcBorders>
            <w:noWrap/>
          </w:tcPr>
          <w:p w:rsidRPr="002070C7" w:rsidR="00A5057C" w:rsidP="006F6C94" w:rsidRDefault="00A5057C" w14:paraId="4C6A7C6F" w14:textId="77777777">
            <w:pPr>
              <w:ind w:left="313" w:firstLine="86" w:firstLineChars="43"/>
              <w:rPr>
                <w:rFonts w:ascii="Arial" w:hAnsi="Arial" w:eastAsia="Times New Roman" w:cs="Arial"/>
                <w:sz w:val="20"/>
                <w:szCs w:val="20"/>
              </w:rPr>
            </w:pPr>
            <w:r w:rsidRPr="002070C7">
              <w:rPr>
                <w:rFonts w:ascii="Arial" w:hAnsi="Arial"/>
                <w:sz w:val="20"/>
                <w:lang w:eastAsia="en-GB"/>
              </w:rPr>
              <w:t xml:space="preserve">(1) </w:t>
            </w:r>
            <w:r w:rsidRPr="002070C7">
              <w:rPr>
                <w:rFonts w:ascii="Arial" w:hAnsi="Arial"/>
                <w:sz w:val="20"/>
              </w:rPr>
              <w:t>Pozitivna neto fer vrijednost</w:t>
            </w:r>
          </w:p>
        </w:tc>
        <w:tc>
          <w:tcPr>
            <w:tcW w:w="2745" w:type="dxa"/>
            <w:tcBorders>
              <w:left w:val="nil"/>
              <w:right w:val="nil"/>
            </w:tcBorders>
            <w:noWrap/>
          </w:tcPr>
          <w:p w:rsidRPr="002070C7" w:rsidR="00A5057C" w:rsidP="006F6C94" w:rsidRDefault="00A5057C" w14:paraId="2C348F5C" w14:textId="77777777">
            <w:pPr>
              <w:jc w:val="right"/>
              <w:rPr>
                <w:rFonts w:ascii="Arial" w:hAnsi="Arial" w:eastAsia="Times New Roman" w:cs="Arial"/>
                <w:sz w:val="20"/>
                <w:szCs w:val="20"/>
                <w:lang w:eastAsia="en-GB"/>
              </w:rPr>
            </w:pPr>
          </w:p>
        </w:tc>
      </w:tr>
      <w:tr w:rsidRPr="002070C7" w:rsidR="00A5057C" w:rsidTr="006F6C94" w14:paraId="60940248" w14:textId="77777777">
        <w:trPr>
          <w:trHeight w:val="300"/>
        </w:trPr>
        <w:tc>
          <w:tcPr>
            <w:tcW w:w="6804" w:type="dxa"/>
            <w:tcBorders>
              <w:left w:val="nil"/>
              <w:bottom w:val="single" w:color="auto" w:sz="4" w:space="0"/>
              <w:right w:val="nil"/>
            </w:tcBorders>
            <w:noWrap/>
          </w:tcPr>
          <w:p w:rsidRPr="002070C7" w:rsidR="00A5057C" w:rsidP="006F6C94" w:rsidRDefault="00A5057C" w14:paraId="17582D5B" w14:textId="77777777">
            <w:pPr>
              <w:ind w:left="313" w:firstLine="86" w:firstLineChars="43"/>
              <w:rPr>
                <w:rFonts w:ascii="Arial" w:hAnsi="Arial" w:eastAsia="Times New Roman" w:cs="Arial"/>
                <w:sz w:val="20"/>
                <w:szCs w:val="20"/>
              </w:rPr>
            </w:pPr>
            <w:r w:rsidRPr="002070C7">
              <w:rPr>
                <w:rFonts w:ascii="Arial" w:hAnsi="Arial"/>
                <w:sz w:val="20"/>
                <w:lang w:eastAsia="en-GB"/>
              </w:rPr>
              <w:t xml:space="preserve">(2) </w:t>
            </w:r>
            <w:r w:rsidRPr="002070C7">
              <w:rPr>
                <w:rFonts w:ascii="Arial" w:hAnsi="Arial"/>
                <w:sz w:val="20"/>
              </w:rPr>
              <w:t>Potencijalna buduća izloženost</w:t>
            </w:r>
          </w:p>
        </w:tc>
        <w:tc>
          <w:tcPr>
            <w:tcW w:w="2745" w:type="dxa"/>
            <w:tcBorders>
              <w:left w:val="nil"/>
              <w:right w:val="nil"/>
            </w:tcBorders>
            <w:noWrap/>
          </w:tcPr>
          <w:p w:rsidRPr="002070C7" w:rsidR="00A5057C" w:rsidP="006F6C94" w:rsidRDefault="00A5057C" w14:paraId="2CD0C7F6" w14:textId="77777777">
            <w:pPr>
              <w:jc w:val="right"/>
              <w:rPr>
                <w:rFonts w:ascii="Arial" w:hAnsi="Arial" w:eastAsia="Times New Roman" w:cs="Arial"/>
                <w:sz w:val="20"/>
                <w:szCs w:val="20"/>
                <w:lang w:eastAsia="en-GB"/>
              </w:rPr>
            </w:pPr>
          </w:p>
        </w:tc>
      </w:tr>
      <w:tr w:rsidRPr="002070C7" w:rsidR="00A5057C" w:rsidTr="006F6C94" w14:paraId="0C7CD362" w14:textId="77777777">
        <w:trPr>
          <w:gridAfter w:val="1"/>
          <w:wAfter w:w="2745" w:type="dxa"/>
          <w:trHeight w:val="450"/>
        </w:trPr>
        <w:tc>
          <w:tcPr>
            <w:tcW w:w="6804" w:type="dxa"/>
            <w:vMerge w:val="restart"/>
            <w:tcBorders>
              <w:left w:val="nil"/>
              <w:right w:val="nil"/>
            </w:tcBorders>
            <w:hideMark/>
          </w:tcPr>
          <w:p w:rsidRPr="002070C7" w:rsidR="00A5057C" w:rsidP="006F6C94" w:rsidRDefault="00A5057C" w14:paraId="29285CCC" w14:textId="77777777">
            <w:pPr>
              <w:ind w:left="171" w:firstLine="28" w:firstLineChars="14"/>
              <w:rPr>
                <w:rFonts w:ascii="Arial" w:hAnsi="Arial" w:eastAsia="Times New Roman" w:cs="Arial"/>
                <w:sz w:val="20"/>
                <w:szCs w:val="20"/>
              </w:rPr>
            </w:pPr>
            <w:r w:rsidRPr="002070C7">
              <w:rPr>
                <w:rFonts w:ascii="Arial" w:hAnsi="Arial"/>
                <w:sz w:val="20"/>
              </w:rPr>
              <w:t>f. Pokazatelj imovine unutar financijskog sustava, uključujući društva kćeri za osiguranje (zbroj stavki 3.a, 3.b do 3.c.(5), 3.d, 3.e.(1) i 3.e.(2), minus 3.c.(6))</w:t>
            </w:r>
          </w:p>
        </w:tc>
      </w:tr>
      <w:tr w:rsidRPr="002070C7" w:rsidR="00A5057C" w:rsidTr="006F6C94" w14:paraId="65CE4656" w14:textId="77777777">
        <w:trPr>
          <w:gridAfter w:val="1"/>
          <w:wAfter w:w="2745" w:type="dxa"/>
          <w:trHeight w:val="450"/>
        </w:trPr>
        <w:tc>
          <w:tcPr>
            <w:tcW w:w="6804" w:type="dxa"/>
            <w:vMerge/>
            <w:tcBorders>
              <w:left w:val="nil"/>
              <w:right w:val="nil"/>
            </w:tcBorders>
            <w:hideMark/>
          </w:tcPr>
          <w:p w:rsidRPr="002070C7" w:rsidR="00A5057C" w:rsidP="006F6C94" w:rsidRDefault="00A5057C" w14:paraId="2BC5FED7" w14:textId="77777777">
            <w:pPr>
              <w:rPr>
                <w:rFonts w:ascii="Arial" w:hAnsi="Arial" w:eastAsia="Times New Roman" w:cs="Arial"/>
                <w:sz w:val="20"/>
                <w:szCs w:val="20"/>
                <w:lang w:eastAsia="en-GB"/>
              </w:rPr>
            </w:pPr>
          </w:p>
        </w:tc>
      </w:tr>
      <w:tr w:rsidRPr="002070C7" w:rsidR="00A5057C" w:rsidTr="006F6C94" w14:paraId="555263AD" w14:textId="77777777">
        <w:trPr>
          <w:trHeight w:val="300"/>
        </w:trPr>
        <w:tc>
          <w:tcPr>
            <w:tcW w:w="6804" w:type="dxa"/>
            <w:tcBorders>
              <w:left w:val="nil"/>
              <w:bottom w:val="nil"/>
              <w:right w:val="nil"/>
            </w:tcBorders>
            <w:noWrap/>
          </w:tcPr>
          <w:p w:rsidRPr="002070C7" w:rsidR="00A5057C" w:rsidP="006F6C94" w:rsidRDefault="00A5057C" w14:paraId="356D2EF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070C7" w:rsidR="00A5057C" w:rsidP="006F6C94" w:rsidRDefault="00A5057C" w14:paraId="38B00F94" w14:textId="77777777">
            <w:pPr>
              <w:jc w:val="center"/>
              <w:rPr>
                <w:rFonts w:ascii="Arial" w:hAnsi="Arial" w:eastAsia="Times New Roman" w:cs="Arial"/>
                <w:b/>
                <w:bCs/>
                <w:sz w:val="20"/>
                <w:szCs w:val="20"/>
                <w:lang w:eastAsia="en-GB"/>
              </w:rPr>
            </w:pPr>
          </w:p>
        </w:tc>
      </w:tr>
      <w:tr w:rsidRPr="002070C7" w:rsidR="00A5057C" w:rsidTr="006F6C94" w14:paraId="511BDA95" w14:textId="77777777">
        <w:trPr>
          <w:trHeight w:val="300"/>
        </w:trPr>
        <w:tc>
          <w:tcPr>
            <w:tcW w:w="6804" w:type="dxa"/>
            <w:tcBorders>
              <w:top w:val="nil"/>
              <w:left w:val="nil"/>
              <w:bottom w:val="single" w:color="auto" w:sz="4" w:space="0"/>
              <w:right w:val="nil"/>
            </w:tcBorders>
            <w:noWrap/>
            <w:hideMark/>
          </w:tcPr>
          <w:p w:rsidRPr="002070C7" w:rsidR="00A5057C" w:rsidP="006F6C94" w:rsidRDefault="00A5057C" w14:paraId="54C6C58E" w14:textId="77777777">
            <w:pPr>
              <w:rPr>
                <w:rFonts w:ascii="Arial" w:hAnsi="Arial" w:eastAsia="Times New Roman" w:cs="Arial"/>
                <w:b/>
                <w:bCs/>
                <w:sz w:val="20"/>
                <w:szCs w:val="20"/>
              </w:rPr>
            </w:pPr>
            <w:r w:rsidRPr="002070C7">
              <w:rPr>
                <w:rFonts w:ascii="Arial" w:hAnsi="Arial"/>
                <w:b/>
                <w:sz w:val="20"/>
              </w:rPr>
              <w:t>Odjeljak 4. – Obveze unutar financijskog sustava</w:t>
            </w:r>
          </w:p>
        </w:tc>
        <w:tc>
          <w:tcPr>
            <w:tcW w:w="2745" w:type="dxa"/>
            <w:tcBorders>
              <w:top w:val="nil"/>
              <w:left w:val="nil"/>
              <w:right w:val="nil"/>
            </w:tcBorders>
            <w:hideMark/>
          </w:tcPr>
          <w:p w:rsidRPr="002070C7" w:rsidR="00A5057C" w:rsidP="006F6C94" w:rsidRDefault="00A5057C" w14:paraId="6895AD07"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12DF5122" w14:textId="77777777">
        <w:trPr>
          <w:gridAfter w:val="1"/>
          <w:wAfter w:w="2745" w:type="dxa"/>
          <w:trHeight w:val="300"/>
        </w:trPr>
        <w:tc>
          <w:tcPr>
            <w:tcW w:w="6804" w:type="dxa"/>
            <w:tcBorders>
              <w:left w:val="nil"/>
              <w:right w:val="nil"/>
            </w:tcBorders>
            <w:noWrap/>
            <w:hideMark/>
          </w:tcPr>
          <w:p w:rsidRPr="002070C7" w:rsidR="00A5057C" w:rsidP="006F6C94" w:rsidRDefault="00A5057C" w14:paraId="349D5554" w14:textId="77777777">
            <w:pPr>
              <w:ind w:left="171" w:firstLine="28" w:firstLineChars="14"/>
              <w:rPr>
                <w:rFonts w:ascii="Arial" w:hAnsi="Arial" w:eastAsia="Times New Roman" w:cs="Arial"/>
                <w:sz w:val="20"/>
                <w:szCs w:val="20"/>
              </w:rPr>
            </w:pPr>
            <w:r w:rsidRPr="002070C7">
              <w:rPr>
                <w:rFonts w:ascii="Arial" w:hAnsi="Arial"/>
                <w:sz w:val="20"/>
              </w:rPr>
              <w:t>a. Sredstva koja su položile druge financijske institucije ili su od njih pozajmljena</w:t>
            </w:r>
          </w:p>
        </w:tc>
      </w:tr>
      <w:tr w:rsidRPr="002070C7" w:rsidR="00A5057C" w:rsidTr="006F6C94" w14:paraId="7434F9C4" w14:textId="77777777">
        <w:trPr>
          <w:trHeight w:val="300"/>
        </w:trPr>
        <w:tc>
          <w:tcPr>
            <w:tcW w:w="6804" w:type="dxa"/>
            <w:tcBorders>
              <w:left w:val="nil"/>
              <w:right w:val="nil"/>
            </w:tcBorders>
            <w:noWrap/>
            <w:hideMark/>
          </w:tcPr>
          <w:p w:rsidRPr="002070C7" w:rsidR="00A5057C" w:rsidP="006F6C94" w:rsidRDefault="00A5057C" w14:paraId="1C38421F" w14:textId="77777777">
            <w:pPr>
              <w:ind w:firstLine="400" w:firstLineChars="200"/>
              <w:rPr>
                <w:rFonts w:ascii="Arial" w:hAnsi="Arial" w:eastAsia="Times New Roman" w:cs="Arial"/>
                <w:sz w:val="20"/>
                <w:szCs w:val="20"/>
              </w:rPr>
            </w:pPr>
            <w:r w:rsidRPr="002070C7">
              <w:rPr>
                <w:rFonts w:ascii="Arial" w:hAnsi="Arial"/>
                <w:sz w:val="20"/>
                <w:lang w:eastAsia="en-GB"/>
              </w:rPr>
              <w:t xml:space="preserve">(1) </w:t>
            </w:r>
            <w:r w:rsidRPr="002070C7">
              <w:rPr>
                <w:rFonts w:ascii="Arial" w:hAnsi="Arial"/>
                <w:sz w:val="20"/>
              </w:rPr>
              <w:t>Depoziti depozitnih institucija</w:t>
            </w:r>
          </w:p>
        </w:tc>
        <w:tc>
          <w:tcPr>
            <w:tcW w:w="2745" w:type="dxa"/>
            <w:tcBorders>
              <w:left w:val="nil"/>
              <w:right w:val="nil"/>
            </w:tcBorders>
            <w:noWrap/>
            <w:hideMark/>
          </w:tcPr>
          <w:p w:rsidRPr="002070C7" w:rsidR="00A5057C" w:rsidP="006F6C94" w:rsidRDefault="00A5057C" w14:paraId="354D5EA7"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4CC4A9AB" w14:textId="77777777">
        <w:trPr>
          <w:trHeight w:val="300"/>
        </w:trPr>
        <w:tc>
          <w:tcPr>
            <w:tcW w:w="6804" w:type="dxa"/>
            <w:tcBorders>
              <w:left w:val="nil"/>
              <w:right w:val="nil"/>
            </w:tcBorders>
            <w:noWrap/>
            <w:hideMark/>
          </w:tcPr>
          <w:p w:rsidRPr="002070C7" w:rsidR="00A5057C" w:rsidP="006F6C94" w:rsidRDefault="00A5057C" w14:paraId="2F5ED0E3" w14:textId="77777777">
            <w:pPr>
              <w:ind w:firstLine="400" w:firstLineChars="200"/>
              <w:rPr>
                <w:rFonts w:ascii="Arial" w:hAnsi="Arial" w:eastAsia="Times New Roman" w:cs="Arial"/>
                <w:sz w:val="20"/>
                <w:szCs w:val="20"/>
              </w:rPr>
            </w:pPr>
            <w:r w:rsidRPr="002070C7">
              <w:rPr>
                <w:rFonts w:ascii="Arial" w:hAnsi="Arial"/>
                <w:sz w:val="20"/>
                <w:lang w:eastAsia="en-GB"/>
              </w:rPr>
              <w:t xml:space="preserve">(2) </w:t>
            </w:r>
            <w:r w:rsidRPr="002070C7">
              <w:rPr>
                <w:rFonts w:ascii="Arial" w:hAnsi="Arial"/>
                <w:sz w:val="20"/>
              </w:rPr>
              <w:t>Depoziti nedepozitnih financijskih institucija</w:t>
            </w:r>
          </w:p>
        </w:tc>
        <w:tc>
          <w:tcPr>
            <w:tcW w:w="2745" w:type="dxa"/>
            <w:tcBorders>
              <w:left w:val="nil"/>
              <w:right w:val="nil"/>
            </w:tcBorders>
            <w:noWrap/>
            <w:hideMark/>
          </w:tcPr>
          <w:p w:rsidRPr="002070C7" w:rsidR="00A5057C" w:rsidP="006F6C94" w:rsidRDefault="00A5057C" w14:paraId="63805188"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580CB0AF" w14:textId="77777777">
        <w:trPr>
          <w:trHeight w:val="300"/>
        </w:trPr>
        <w:tc>
          <w:tcPr>
            <w:tcW w:w="6804" w:type="dxa"/>
            <w:tcBorders>
              <w:left w:val="nil"/>
              <w:right w:val="nil"/>
            </w:tcBorders>
            <w:noWrap/>
            <w:hideMark/>
          </w:tcPr>
          <w:p w:rsidRPr="002070C7" w:rsidR="00A5057C" w:rsidP="006F6C94" w:rsidRDefault="00A5057C" w14:paraId="2FADE81A" w14:textId="77777777">
            <w:pPr>
              <w:ind w:firstLine="400" w:firstLineChars="200"/>
              <w:rPr>
                <w:rFonts w:ascii="Arial" w:hAnsi="Arial" w:eastAsia="Times New Roman" w:cs="Arial"/>
                <w:sz w:val="20"/>
                <w:szCs w:val="20"/>
              </w:rPr>
            </w:pPr>
            <w:r w:rsidRPr="002070C7">
              <w:rPr>
                <w:rFonts w:ascii="Arial" w:hAnsi="Arial"/>
                <w:sz w:val="20"/>
                <w:lang w:eastAsia="en-GB"/>
              </w:rPr>
              <w:t xml:space="preserve">(3) </w:t>
            </w:r>
            <w:r w:rsidRPr="002070C7">
              <w:rPr>
                <w:rFonts w:ascii="Arial" w:hAnsi="Arial"/>
                <w:sz w:val="20"/>
              </w:rPr>
              <w:t>Zajmovi primljeni od drugih financijskih institucija</w:t>
            </w:r>
          </w:p>
        </w:tc>
        <w:tc>
          <w:tcPr>
            <w:tcW w:w="2745" w:type="dxa"/>
            <w:tcBorders>
              <w:left w:val="nil"/>
              <w:right w:val="nil"/>
            </w:tcBorders>
            <w:noWrap/>
            <w:hideMark/>
          </w:tcPr>
          <w:p w:rsidRPr="002070C7" w:rsidR="00A5057C" w:rsidP="006F6C94" w:rsidRDefault="00A5057C" w14:paraId="3DAE0543"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32FFE969" w14:textId="77777777">
        <w:trPr>
          <w:trHeight w:val="300"/>
        </w:trPr>
        <w:tc>
          <w:tcPr>
            <w:tcW w:w="6804" w:type="dxa"/>
            <w:tcBorders>
              <w:left w:val="nil"/>
              <w:right w:val="nil"/>
            </w:tcBorders>
            <w:noWrap/>
          </w:tcPr>
          <w:p w:rsidRPr="002070C7" w:rsidR="00A5057C" w:rsidP="006F6C94" w:rsidRDefault="00A5057C" w14:paraId="79E2FF24" w14:textId="77777777">
            <w:pPr>
              <w:ind w:left="171"/>
              <w:rPr>
                <w:rFonts w:ascii="Arial" w:hAnsi="Arial" w:eastAsia="Times New Roman" w:cs="Arial"/>
                <w:sz w:val="20"/>
                <w:szCs w:val="20"/>
              </w:rPr>
            </w:pPr>
            <w:r w:rsidRPr="002070C7">
              <w:rPr>
                <w:rFonts w:ascii="Arial" w:hAnsi="Arial"/>
                <w:sz w:val="20"/>
              </w:rPr>
              <w:t>b. Neiskorišteni dio obvezujućih kreditnih linija primljenih od drugih financijskih institucija</w:t>
            </w:r>
          </w:p>
        </w:tc>
        <w:tc>
          <w:tcPr>
            <w:tcW w:w="2745" w:type="dxa"/>
            <w:tcBorders>
              <w:left w:val="nil"/>
              <w:right w:val="nil"/>
            </w:tcBorders>
            <w:noWrap/>
          </w:tcPr>
          <w:p w:rsidRPr="002070C7" w:rsidR="00A5057C" w:rsidP="006F6C94" w:rsidRDefault="00A5057C" w14:paraId="1462F28E" w14:textId="77777777">
            <w:pPr>
              <w:jc w:val="right"/>
              <w:rPr>
                <w:rFonts w:ascii="Arial" w:hAnsi="Arial" w:eastAsia="Times New Roman" w:cs="Arial"/>
                <w:sz w:val="20"/>
                <w:szCs w:val="20"/>
                <w:lang w:eastAsia="en-GB"/>
              </w:rPr>
            </w:pPr>
          </w:p>
        </w:tc>
      </w:tr>
      <w:tr w:rsidRPr="002070C7" w:rsidR="00A5057C" w:rsidTr="006F6C94" w14:paraId="0B9B60AD" w14:textId="77777777">
        <w:trPr>
          <w:trHeight w:val="300"/>
        </w:trPr>
        <w:tc>
          <w:tcPr>
            <w:tcW w:w="6804" w:type="dxa"/>
            <w:tcBorders>
              <w:left w:val="nil"/>
              <w:right w:val="nil"/>
            </w:tcBorders>
            <w:noWrap/>
          </w:tcPr>
          <w:p w:rsidRPr="002070C7" w:rsidR="00A5057C" w:rsidP="006F6C94" w:rsidRDefault="00A5057C" w14:paraId="1EAA20FC" w14:textId="77777777">
            <w:pPr>
              <w:ind w:left="171"/>
              <w:rPr>
                <w:rFonts w:ascii="Arial" w:hAnsi="Arial" w:eastAsia="Times New Roman" w:cs="Arial"/>
                <w:sz w:val="20"/>
                <w:szCs w:val="20"/>
              </w:rPr>
            </w:pPr>
            <w:r w:rsidRPr="002070C7">
              <w:rPr>
                <w:rFonts w:ascii="Arial" w:hAnsi="Arial"/>
                <w:sz w:val="20"/>
              </w:rPr>
              <w:t>c. Neto negativne sadašnje izloženosti transakcija financiranja vrijednosnih papira s drugim financijskim institucijama</w:t>
            </w:r>
          </w:p>
        </w:tc>
        <w:tc>
          <w:tcPr>
            <w:tcW w:w="2745" w:type="dxa"/>
            <w:tcBorders>
              <w:left w:val="nil"/>
              <w:right w:val="nil"/>
            </w:tcBorders>
            <w:noWrap/>
          </w:tcPr>
          <w:p w:rsidRPr="002070C7" w:rsidR="00A5057C" w:rsidP="006F6C94" w:rsidRDefault="00A5057C" w14:paraId="7FC03417" w14:textId="77777777">
            <w:pPr>
              <w:jc w:val="right"/>
              <w:rPr>
                <w:rFonts w:ascii="Arial" w:hAnsi="Arial" w:eastAsia="Times New Roman" w:cs="Arial"/>
                <w:sz w:val="20"/>
                <w:szCs w:val="20"/>
                <w:lang w:eastAsia="en-GB"/>
              </w:rPr>
            </w:pPr>
          </w:p>
        </w:tc>
      </w:tr>
      <w:tr w:rsidRPr="002070C7" w:rsidR="00A5057C" w:rsidTr="006F6C94" w14:paraId="117DC38D" w14:textId="77777777">
        <w:trPr>
          <w:trHeight w:val="300"/>
        </w:trPr>
        <w:tc>
          <w:tcPr>
            <w:tcW w:w="6804" w:type="dxa"/>
            <w:tcBorders>
              <w:left w:val="nil"/>
              <w:bottom w:val="single" w:color="auto" w:sz="4" w:space="0"/>
              <w:right w:val="nil"/>
            </w:tcBorders>
            <w:noWrap/>
          </w:tcPr>
          <w:p w:rsidRPr="002070C7" w:rsidR="00A5057C" w:rsidP="006F6C94" w:rsidRDefault="00A5057C" w14:paraId="62D88C4F" w14:textId="77777777">
            <w:pPr>
              <w:ind w:left="171"/>
              <w:rPr>
                <w:rFonts w:ascii="Arial" w:hAnsi="Arial" w:eastAsia="Times New Roman" w:cs="Arial"/>
                <w:sz w:val="20"/>
                <w:szCs w:val="20"/>
              </w:rPr>
            </w:pPr>
            <w:r w:rsidRPr="002070C7">
              <w:rPr>
                <w:rFonts w:ascii="Arial" w:hAnsi="Arial"/>
                <w:sz w:val="20"/>
              </w:rPr>
              <w:lastRenderedPageBreak/>
              <w:t>d. OTC izvedenice s drugim financijskim institucijama koje imaju neto negativnu fer vrijednost</w:t>
            </w:r>
          </w:p>
        </w:tc>
        <w:tc>
          <w:tcPr>
            <w:tcW w:w="2745" w:type="dxa"/>
            <w:tcBorders>
              <w:left w:val="nil"/>
              <w:bottom w:val="single" w:color="auto" w:sz="4" w:space="0"/>
              <w:right w:val="nil"/>
            </w:tcBorders>
            <w:noWrap/>
          </w:tcPr>
          <w:p w:rsidRPr="002070C7" w:rsidR="00A5057C" w:rsidP="006F6C94" w:rsidRDefault="00A5057C" w14:paraId="288BAD22" w14:textId="77777777">
            <w:pPr>
              <w:jc w:val="right"/>
              <w:rPr>
                <w:rFonts w:ascii="Arial" w:hAnsi="Arial" w:eastAsia="Times New Roman" w:cs="Arial"/>
                <w:sz w:val="20"/>
                <w:szCs w:val="20"/>
                <w:lang w:eastAsia="en-GB"/>
              </w:rPr>
            </w:pPr>
          </w:p>
        </w:tc>
      </w:tr>
      <w:tr w:rsidRPr="002070C7" w:rsidR="00A5057C" w:rsidTr="006F6C94" w14:paraId="695B86DF" w14:textId="77777777">
        <w:trPr>
          <w:trHeight w:val="300"/>
        </w:trPr>
        <w:tc>
          <w:tcPr>
            <w:tcW w:w="6804" w:type="dxa"/>
            <w:tcBorders>
              <w:left w:val="nil"/>
              <w:right w:val="nil"/>
            </w:tcBorders>
            <w:noWrap/>
            <w:hideMark/>
          </w:tcPr>
          <w:p w:rsidRPr="002070C7" w:rsidR="00A5057C" w:rsidP="006F6C94" w:rsidRDefault="00A5057C" w14:paraId="20C3B5AB" w14:textId="77777777">
            <w:pPr>
              <w:ind w:firstLine="400" w:firstLineChars="200"/>
              <w:rPr>
                <w:rFonts w:ascii="Arial" w:hAnsi="Arial" w:eastAsia="Times New Roman" w:cs="Arial"/>
                <w:sz w:val="20"/>
                <w:szCs w:val="20"/>
              </w:rPr>
            </w:pPr>
            <w:r w:rsidRPr="002070C7">
              <w:rPr>
                <w:rFonts w:ascii="Arial" w:hAnsi="Arial"/>
                <w:sz w:val="20"/>
                <w:lang w:eastAsia="en-GB"/>
              </w:rPr>
              <w:t xml:space="preserve">(1) </w:t>
            </w:r>
            <w:r w:rsidRPr="002070C7">
              <w:rPr>
                <w:rFonts w:ascii="Arial" w:hAnsi="Arial"/>
                <w:sz w:val="20"/>
              </w:rPr>
              <w:t>Neto negativna fer vrijednost</w:t>
            </w:r>
          </w:p>
        </w:tc>
        <w:tc>
          <w:tcPr>
            <w:tcW w:w="2745" w:type="dxa"/>
            <w:tcBorders>
              <w:left w:val="nil"/>
              <w:right w:val="nil"/>
            </w:tcBorders>
            <w:noWrap/>
            <w:hideMark/>
          </w:tcPr>
          <w:p w:rsidRPr="002070C7" w:rsidR="00A5057C" w:rsidP="006F6C94" w:rsidRDefault="00A5057C" w14:paraId="0F1D1281"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28642047" w14:textId="77777777">
        <w:trPr>
          <w:trHeight w:val="300"/>
        </w:trPr>
        <w:tc>
          <w:tcPr>
            <w:tcW w:w="6804" w:type="dxa"/>
            <w:tcBorders>
              <w:left w:val="nil"/>
              <w:right w:val="nil"/>
            </w:tcBorders>
            <w:noWrap/>
            <w:hideMark/>
          </w:tcPr>
          <w:p w:rsidRPr="002070C7" w:rsidR="00A5057C" w:rsidP="006F6C94" w:rsidRDefault="00A5057C" w14:paraId="77521910" w14:textId="77777777">
            <w:pPr>
              <w:ind w:firstLine="400" w:firstLineChars="200"/>
              <w:rPr>
                <w:rFonts w:ascii="Arial" w:hAnsi="Arial" w:eastAsia="Times New Roman" w:cs="Arial"/>
                <w:sz w:val="20"/>
                <w:szCs w:val="20"/>
              </w:rPr>
            </w:pPr>
            <w:r w:rsidRPr="002070C7">
              <w:rPr>
                <w:rFonts w:ascii="Arial" w:hAnsi="Arial"/>
                <w:sz w:val="20"/>
                <w:lang w:eastAsia="en-GB"/>
              </w:rPr>
              <w:t xml:space="preserve">(2) </w:t>
            </w:r>
            <w:r w:rsidRPr="002070C7">
              <w:rPr>
                <w:rFonts w:ascii="Arial" w:hAnsi="Arial"/>
                <w:sz w:val="20"/>
              </w:rPr>
              <w:t>Potencijalna buduća izloženost</w:t>
            </w:r>
          </w:p>
        </w:tc>
        <w:tc>
          <w:tcPr>
            <w:tcW w:w="2745" w:type="dxa"/>
            <w:tcBorders>
              <w:left w:val="nil"/>
              <w:right w:val="nil"/>
            </w:tcBorders>
            <w:noWrap/>
            <w:hideMark/>
          </w:tcPr>
          <w:p w:rsidRPr="002070C7" w:rsidR="00A5057C" w:rsidP="006F6C94" w:rsidRDefault="00A5057C" w14:paraId="239864EA"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28772B1D" w14:textId="77777777">
        <w:trPr>
          <w:trHeight w:val="300"/>
        </w:trPr>
        <w:tc>
          <w:tcPr>
            <w:tcW w:w="6804" w:type="dxa"/>
            <w:tcBorders>
              <w:left w:val="nil"/>
              <w:bottom w:val="single" w:color="auto" w:sz="4" w:space="0"/>
              <w:right w:val="nil"/>
            </w:tcBorders>
            <w:noWrap/>
          </w:tcPr>
          <w:p w:rsidRPr="002070C7" w:rsidR="00A5057C" w:rsidP="006F6C94" w:rsidRDefault="00A5057C" w14:paraId="24371145" w14:textId="77777777">
            <w:pPr>
              <w:ind w:left="171"/>
              <w:rPr>
                <w:rFonts w:ascii="Arial" w:hAnsi="Arial" w:eastAsia="Times New Roman" w:cs="Arial"/>
                <w:sz w:val="20"/>
                <w:szCs w:val="20"/>
              </w:rPr>
            </w:pPr>
            <w:r w:rsidRPr="002070C7">
              <w:rPr>
                <w:rFonts w:ascii="Arial" w:hAnsi="Arial"/>
                <w:sz w:val="20"/>
              </w:rPr>
              <w:t>e. Pokazatelj obveza unutar financijskog sustava, uključujući društva kćeri za osiguranje (zbroj stavki od 4.a.(1) do 4.d.(2))</w:t>
            </w:r>
          </w:p>
        </w:tc>
        <w:tc>
          <w:tcPr>
            <w:tcW w:w="2745" w:type="dxa"/>
            <w:tcBorders>
              <w:left w:val="nil"/>
              <w:bottom w:val="single" w:color="auto" w:sz="4" w:space="0"/>
              <w:right w:val="nil"/>
            </w:tcBorders>
            <w:noWrap/>
          </w:tcPr>
          <w:p w:rsidRPr="002070C7" w:rsidR="00A5057C" w:rsidP="006F6C94" w:rsidRDefault="00A5057C" w14:paraId="6F9E56DC" w14:textId="77777777">
            <w:pPr>
              <w:jc w:val="right"/>
              <w:rPr>
                <w:rFonts w:ascii="Arial" w:hAnsi="Arial" w:eastAsia="Times New Roman" w:cs="Arial"/>
                <w:sz w:val="20"/>
                <w:szCs w:val="20"/>
                <w:lang w:eastAsia="en-GB"/>
              </w:rPr>
            </w:pPr>
          </w:p>
        </w:tc>
      </w:tr>
      <w:tr w:rsidRPr="002070C7" w:rsidR="00A5057C" w:rsidTr="006F6C94" w14:paraId="7A583C91" w14:textId="77777777">
        <w:trPr>
          <w:trHeight w:val="300"/>
        </w:trPr>
        <w:tc>
          <w:tcPr>
            <w:tcW w:w="6804" w:type="dxa"/>
            <w:tcBorders>
              <w:left w:val="nil"/>
              <w:bottom w:val="nil"/>
              <w:right w:val="nil"/>
            </w:tcBorders>
            <w:noWrap/>
          </w:tcPr>
          <w:p w:rsidRPr="002070C7" w:rsidR="00A5057C" w:rsidP="006F6C94" w:rsidRDefault="00A5057C" w14:paraId="7EBDAE4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070C7" w:rsidR="00A5057C" w:rsidP="006F6C94" w:rsidRDefault="00A5057C" w14:paraId="4DD4DE12" w14:textId="77777777">
            <w:pPr>
              <w:jc w:val="center"/>
              <w:rPr>
                <w:rFonts w:ascii="Arial" w:hAnsi="Arial" w:eastAsia="Times New Roman" w:cs="Arial"/>
                <w:b/>
                <w:bCs/>
                <w:sz w:val="20"/>
                <w:szCs w:val="20"/>
                <w:lang w:eastAsia="en-GB"/>
              </w:rPr>
            </w:pPr>
          </w:p>
        </w:tc>
      </w:tr>
      <w:tr w:rsidRPr="002070C7" w:rsidR="00A5057C" w:rsidTr="006F6C94" w14:paraId="73C55ACF" w14:textId="77777777">
        <w:trPr>
          <w:trHeight w:val="300"/>
        </w:trPr>
        <w:tc>
          <w:tcPr>
            <w:tcW w:w="6804" w:type="dxa"/>
            <w:tcBorders>
              <w:top w:val="nil"/>
              <w:left w:val="nil"/>
              <w:right w:val="nil"/>
            </w:tcBorders>
            <w:noWrap/>
            <w:hideMark/>
          </w:tcPr>
          <w:p w:rsidRPr="002070C7" w:rsidR="00A5057C" w:rsidP="006F6C94" w:rsidRDefault="00A5057C" w14:paraId="26187353" w14:textId="77777777">
            <w:pPr>
              <w:rPr>
                <w:rFonts w:ascii="Arial" w:hAnsi="Arial" w:eastAsia="Times New Roman" w:cs="Arial"/>
                <w:b/>
                <w:bCs/>
                <w:sz w:val="20"/>
                <w:szCs w:val="20"/>
              </w:rPr>
            </w:pPr>
            <w:r w:rsidRPr="002070C7">
              <w:rPr>
                <w:rFonts w:ascii="Arial" w:hAnsi="Arial"/>
                <w:b/>
                <w:sz w:val="20"/>
              </w:rPr>
              <w:t>Odjeljak 5. – Vrijednosni papiri u optjecaju</w:t>
            </w:r>
          </w:p>
        </w:tc>
        <w:tc>
          <w:tcPr>
            <w:tcW w:w="2745" w:type="dxa"/>
            <w:tcBorders>
              <w:top w:val="nil"/>
              <w:left w:val="nil"/>
              <w:right w:val="nil"/>
            </w:tcBorders>
            <w:hideMark/>
          </w:tcPr>
          <w:p w:rsidRPr="002070C7" w:rsidR="00A5057C" w:rsidP="006F6C94" w:rsidRDefault="00A5057C" w14:paraId="130CF951"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300E6769" w14:textId="77777777">
        <w:trPr>
          <w:trHeight w:val="300"/>
        </w:trPr>
        <w:tc>
          <w:tcPr>
            <w:tcW w:w="6804" w:type="dxa"/>
            <w:tcBorders>
              <w:left w:val="nil"/>
              <w:right w:val="nil"/>
            </w:tcBorders>
            <w:noWrap/>
            <w:hideMark/>
          </w:tcPr>
          <w:p w:rsidRPr="002070C7" w:rsidR="00A5057C" w:rsidP="006F6C94" w:rsidRDefault="00A5057C" w14:paraId="7539B4DA" w14:textId="77777777">
            <w:pPr>
              <w:ind w:firstLine="200" w:firstLineChars="100"/>
              <w:rPr>
                <w:rFonts w:ascii="Arial" w:hAnsi="Arial" w:eastAsia="Times New Roman" w:cs="Arial"/>
                <w:sz w:val="20"/>
                <w:szCs w:val="20"/>
              </w:rPr>
            </w:pPr>
            <w:r w:rsidRPr="002070C7">
              <w:rPr>
                <w:rFonts w:ascii="Arial" w:hAnsi="Arial"/>
                <w:sz w:val="20"/>
              </w:rPr>
              <w:t>a. Osigurani dužnički vrijednosni papiri</w:t>
            </w:r>
          </w:p>
        </w:tc>
        <w:tc>
          <w:tcPr>
            <w:tcW w:w="2745" w:type="dxa"/>
            <w:tcBorders>
              <w:left w:val="nil"/>
              <w:right w:val="nil"/>
            </w:tcBorders>
            <w:noWrap/>
            <w:hideMark/>
          </w:tcPr>
          <w:p w:rsidRPr="002070C7" w:rsidR="00A5057C" w:rsidP="006F6C94" w:rsidRDefault="00A5057C" w14:paraId="41DC0090"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01D4A81E" w14:textId="77777777">
        <w:trPr>
          <w:trHeight w:val="300"/>
        </w:trPr>
        <w:tc>
          <w:tcPr>
            <w:tcW w:w="6804" w:type="dxa"/>
            <w:tcBorders>
              <w:left w:val="nil"/>
              <w:right w:val="nil"/>
            </w:tcBorders>
            <w:noWrap/>
            <w:hideMark/>
          </w:tcPr>
          <w:p w:rsidRPr="002070C7" w:rsidR="00A5057C" w:rsidP="006F6C94" w:rsidRDefault="00A5057C" w14:paraId="33A1EB7B" w14:textId="77777777">
            <w:pPr>
              <w:ind w:firstLine="200" w:firstLineChars="100"/>
              <w:rPr>
                <w:rFonts w:ascii="Arial" w:hAnsi="Arial" w:eastAsia="Times New Roman" w:cs="Arial"/>
                <w:sz w:val="20"/>
                <w:szCs w:val="20"/>
              </w:rPr>
            </w:pPr>
            <w:r w:rsidRPr="002070C7">
              <w:rPr>
                <w:rFonts w:ascii="Arial" w:hAnsi="Arial"/>
                <w:sz w:val="20"/>
              </w:rPr>
              <w:t>b. Nadređeni neosigurani dužnički vrijednosni papiri</w:t>
            </w:r>
          </w:p>
        </w:tc>
        <w:tc>
          <w:tcPr>
            <w:tcW w:w="2745" w:type="dxa"/>
            <w:tcBorders>
              <w:left w:val="nil"/>
              <w:right w:val="nil"/>
            </w:tcBorders>
            <w:noWrap/>
            <w:hideMark/>
          </w:tcPr>
          <w:p w:rsidRPr="002070C7" w:rsidR="00A5057C" w:rsidP="006F6C94" w:rsidRDefault="00A5057C" w14:paraId="65D39A55"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1FB30329" w14:textId="77777777">
        <w:trPr>
          <w:trHeight w:val="300"/>
        </w:trPr>
        <w:tc>
          <w:tcPr>
            <w:tcW w:w="6804" w:type="dxa"/>
            <w:tcBorders>
              <w:left w:val="nil"/>
              <w:right w:val="nil"/>
            </w:tcBorders>
            <w:noWrap/>
            <w:hideMark/>
          </w:tcPr>
          <w:p w:rsidRPr="002070C7" w:rsidR="00A5057C" w:rsidP="006F6C94" w:rsidRDefault="00A5057C" w14:paraId="56423654" w14:textId="77777777">
            <w:pPr>
              <w:ind w:firstLine="200" w:firstLineChars="100"/>
              <w:rPr>
                <w:rFonts w:ascii="Arial" w:hAnsi="Arial" w:eastAsia="Times New Roman" w:cs="Arial"/>
                <w:sz w:val="20"/>
                <w:szCs w:val="20"/>
              </w:rPr>
            </w:pPr>
            <w:r w:rsidRPr="002070C7">
              <w:rPr>
                <w:rFonts w:ascii="Arial" w:hAnsi="Arial"/>
                <w:sz w:val="20"/>
              </w:rPr>
              <w:t>c. Podređeni dužnički vrijednosni papiri</w:t>
            </w:r>
          </w:p>
        </w:tc>
        <w:tc>
          <w:tcPr>
            <w:tcW w:w="2745" w:type="dxa"/>
            <w:tcBorders>
              <w:left w:val="nil"/>
              <w:right w:val="nil"/>
            </w:tcBorders>
            <w:noWrap/>
            <w:hideMark/>
          </w:tcPr>
          <w:p w:rsidRPr="002070C7" w:rsidR="00A5057C" w:rsidP="006F6C94" w:rsidRDefault="00A5057C" w14:paraId="452B0D88"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17BC912F" w14:textId="77777777">
        <w:trPr>
          <w:trHeight w:val="300"/>
        </w:trPr>
        <w:tc>
          <w:tcPr>
            <w:tcW w:w="6804" w:type="dxa"/>
            <w:tcBorders>
              <w:left w:val="nil"/>
              <w:right w:val="nil"/>
            </w:tcBorders>
            <w:noWrap/>
            <w:hideMark/>
          </w:tcPr>
          <w:p w:rsidRPr="002070C7" w:rsidR="00A5057C" w:rsidP="006F6C94" w:rsidRDefault="00A5057C" w14:paraId="318CECD3" w14:textId="77777777">
            <w:pPr>
              <w:ind w:firstLine="200" w:firstLineChars="100"/>
              <w:rPr>
                <w:rFonts w:ascii="Arial" w:hAnsi="Arial" w:eastAsia="Times New Roman" w:cs="Arial"/>
                <w:sz w:val="20"/>
                <w:szCs w:val="20"/>
              </w:rPr>
            </w:pPr>
            <w:r w:rsidRPr="002070C7">
              <w:rPr>
                <w:rFonts w:ascii="Arial" w:hAnsi="Arial"/>
                <w:sz w:val="20"/>
              </w:rPr>
              <w:t>d. Komercijalni zapis</w:t>
            </w:r>
          </w:p>
        </w:tc>
        <w:tc>
          <w:tcPr>
            <w:tcW w:w="2745" w:type="dxa"/>
            <w:tcBorders>
              <w:left w:val="nil"/>
              <w:right w:val="nil"/>
            </w:tcBorders>
            <w:noWrap/>
            <w:hideMark/>
          </w:tcPr>
          <w:p w:rsidRPr="002070C7" w:rsidR="00A5057C" w:rsidP="006F6C94" w:rsidRDefault="00A5057C" w14:paraId="06662596"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709C7122" w14:textId="77777777">
        <w:trPr>
          <w:trHeight w:val="300"/>
        </w:trPr>
        <w:tc>
          <w:tcPr>
            <w:tcW w:w="6804" w:type="dxa"/>
            <w:tcBorders>
              <w:left w:val="nil"/>
              <w:right w:val="nil"/>
            </w:tcBorders>
            <w:noWrap/>
            <w:hideMark/>
          </w:tcPr>
          <w:p w:rsidRPr="002070C7" w:rsidR="00A5057C" w:rsidP="006F6C94" w:rsidRDefault="00A5057C" w14:paraId="381A7990" w14:textId="77777777">
            <w:pPr>
              <w:ind w:firstLine="200" w:firstLineChars="100"/>
              <w:rPr>
                <w:rFonts w:ascii="Arial" w:hAnsi="Arial" w:eastAsia="Times New Roman" w:cs="Arial"/>
                <w:sz w:val="20"/>
                <w:szCs w:val="20"/>
              </w:rPr>
            </w:pPr>
            <w:r w:rsidRPr="002070C7">
              <w:rPr>
                <w:rFonts w:ascii="Arial" w:hAnsi="Arial"/>
                <w:sz w:val="20"/>
              </w:rPr>
              <w:t>e. Certifikati o depozitu</w:t>
            </w:r>
          </w:p>
        </w:tc>
        <w:tc>
          <w:tcPr>
            <w:tcW w:w="2745" w:type="dxa"/>
            <w:tcBorders>
              <w:left w:val="nil"/>
              <w:right w:val="nil"/>
            </w:tcBorders>
            <w:noWrap/>
            <w:hideMark/>
          </w:tcPr>
          <w:p w:rsidRPr="002070C7" w:rsidR="00A5057C" w:rsidP="006F6C94" w:rsidRDefault="00A5057C" w14:paraId="6AB659B5"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7E58D1E9" w14:textId="77777777">
        <w:trPr>
          <w:trHeight w:val="300"/>
        </w:trPr>
        <w:tc>
          <w:tcPr>
            <w:tcW w:w="6804" w:type="dxa"/>
            <w:tcBorders>
              <w:left w:val="nil"/>
              <w:right w:val="nil"/>
            </w:tcBorders>
            <w:noWrap/>
            <w:hideMark/>
          </w:tcPr>
          <w:p w:rsidRPr="002070C7" w:rsidR="00A5057C" w:rsidP="006F6C94" w:rsidRDefault="00A5057C" w14:paraId="3CAD1346" w14:textId="77777777">
            <w:pPr>
              <w:ind w:firstLine="200" w:firstLineChars="100"/>
              <w:rPr>
                <w:rFonts w:ascii="Arial" w:hAnsi="Arial" w:eastAsia="Times New Roman" w:cs="Arial"/>
                <w:sz w:val="20"/>
                <w:szCs w:val="20"/>
              </w:rPr>
            </w:pPr>
            <w:r w:rsidRPr="002070C7">
              <w:rPr>
                <w:rFonts w:ascii="Arial" w:hAnsi="Arial"/>
                <w:sz w:val="20"/>
              </w:rPr>
              <w:t>f. Osnovni kapital</w:t>
            </w:r>
          </w:p>
        </w:tc>
        <w:tc>
          <w:tcPr>
            <w:tcW w:w="2745" w:type="dxa"/>
            <w:tcBorders>
              <w:left w:val="nil"/>
              <w:right w:val="nil"/>
            </w:tcBorders>
            <w:noWrap/>
            <w:hideMark/>
          </w:tcPr>
          <w:p w:rsidRPr="002070C7" w:rsidR="00A5057C" w:rsidP="006F6C94" w:rsidRDefault="00A5057C" w14:paraId="56C929E3"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4AEBF389" w14:textId="77777777">
        <w:trPr>
          <w:trHeight w:val="300"/>
        </w:trPr>
        <w:tc>
          <w:tcPr>
            <w:tcW w:w="6804" w:type="dxa"/>
            <w:tcBorders>
              <w:left w:val="nil"/>
              <w:right w:val="nil"/>
            </w:tcBorders>
            <w:noWrap/>
          </w:tcPr>
          <w:p w:rsidRPr="002070C7" w:rsidR="00A5057C" w:rsidP="006F6C94" w:rsidRDefault="00A5057C" w14:paraId="3079DFCA" w14:textId="77777777">
            <w:pPr>
              <w:ind w:left="171"/>
              <w:rPr>
                <w:rFonts w:ascii="Arial" w:hAnsi="Arial" w:eastAsia="Times New Roman" w:cs="Arial"/>
                <w:sz w:val="20"/>
                <w:szCs w:val="20"/>
              </w:rPr>
            </w:pPr>
            <w:r w:rsidRPr="002070C7">
              <w:rPr>
                <w:rFonts w:ascii="Arial" w:hAnsi="Arial"/>
                <w:sz w:val="20"/>
              </w:rPr>
              <w:t>g. Povlaštene dionice i svi drugi oblici podređenog financiranja koji nisu obuhvaćeni stavkom 5.c</w:t>
            </w:r>
          </w:p>
        </w:tc>
        <w:tc>
          <w:tcPr>
            <w:tcW w:w="2745" w:type="dxa"/>
            <w:tcBorders>
              <w:left w:val="nil"/>
              <w:right w:val="nil"/>
            </w:tcBorders>
            <w:noWrap/>
          </w:tcPr>
          <w:p w:rsidRPr="002070C7" w:rsidR="00A5057C" w:rsidP="006F6C94" w:rsidRDefault="00A5057C" w14:paraId="4E8B23DF" w14:textId="77777777">
            <w:pPr>
              <w:jc w:val="right"/>
              <w:rPr>
                <w:rFonts w:ascii="Arial" w:hAnsi="Arial" w:eastAsia="Times New Roman" w:cs="Arial"/>
                <w:sz w:val="20"/>
                <w:szCs w:val="20"/>
                <w:lang w:eastAsia="en-GB"/>
              </w:rPr>
            </w:pPr>
          </w:p>
        </w:tc>
      </w:tr>
      <w:tr w:rsidRPr="002070C7" w:rsidR="00A5057C" w:rsidTr="006F6C94" w14:paraId="0822B05B" w14:textId="77777777">
        <w:trPr>
          <w:trHeight w:val="300"/>
        </w:trPr>
        <w:tc>
          <w:tcPr>
            <w:tcW w:w="6804" w:type="dxa"/>
            <w:tcBorders>
              <w:left w:val="nil"/>
              <w:bottom w:val="single" w:color="auto" w:sz="4" w:space="0"/>
              <w:right w:val="nil"/>
            </w:tcBorders>
            <w:noWrap/>
          </w:tcPr>
          <w:p w:rsidRPr="002070C7" w:rsidR="00A5057C" w:rsidP="006F6C94" w:rsidRDefault="00A5057C" w14:paraId="58EA9A39" w14:textId="77777777">
            <w:pPr>
              <w:ind w:left="171"/>
              <w:rPr>
                <w:rFonts w:ascii="Arial" w:hAnsi="Arial" w:eastAsia="Times New Roman" w:cs="Arial"/>
                <w:sz w:val="20"/>
                <w:szCs w:val="20"/>
              </w:rPr>
            </w:pPr>
            <w:r w:rsidRPr="002070C7">
              <w:rPr>
                <w:rFonts w:ascii="Arial" w:hAnsi="Arial"/>
                <w:sz w:val="20"/>
              </w:rPr>
              <w:t>h. Pokazatelj vrijednosnih papira u optjecaju, uključujući vrijednosne papire koje su izdala društva kćeri za osiguranje (zbroj stavki 5.a. do 5.g.)</w:t>
            </w:r>
          </w:p>
        </w:tc>
        <w:tc>
          <w:tcPr>
            <w:tcW w:w="2745" w:type="dxa"/>
            <w:tcBorders>
              <w:left w:val="nil"/>
              <w:bottom w:val="single" w:color="auto" w:sz="4" w:space="0"/>
              <w:right w:val="nil"/>
            </w:tcBorders>
            <w:noWrap/>
          </w:tcPr>
          <w:p w:rsidRPr="002070C7" w:rsidR="00A5057C" w:rsidP="006F6C94" w:rsidRDefault="00A5057C" w14:paraId="3B2B532D" w14:textId="77777777">
            <w:pPr>
              <w:jc w:val="right"/>
              <w:rPr>
                <w:rFonts w:ascii="Arial" w:hAnsi="Arial" w:eastAsia="Times New Roman" w:cs="Arial"/>
                <w:sz w:val="20"/>
                <w:szCs w:val="20"/>
                <w:lang w:eastAsia="en-GB"/>
              </w:rPr>
            </w:pPr>
          </w:p>
        </w:tc>
      </w:tr>
      <w:tr w:rsidRPr="002070C7" w:rsidR="00A5057C" w:rsidTr="006F6C94" w14:paraId="6BC26F63" w14:textId="77777777">
        <w:trPr>
          <w:trHeight w:val="300"/>
        </w:trPr>
        <w:tc>
          <w:tcPr>
            <w:tcW w:w="6804" w:type="dxa"/>
            <w:tcBorders>
              <w:top w:val="single" w:color="auto" w:sz="4" w:space="0"/>
              <w:left w:val="nil"/>
              <w:bottom w:val="nil"/>
              <w:right w:val="nil"/>
            </w:tcBorders>
            <w:noWrap/>
          </w:tcPr>
          <w:p w:rsidRPr="002070C7" w:rsidR="00A5057C" w:rsidP="006F6C94" w:rsidRDefault="00A5057C" w14:paraId="35D43FB8" w14:textId="77777777">
            <w:pPr>
              <w:keepNext/>
              <w:keepLines/>
              <w:spacing w:before="47"/>
              <w:outlineLvl w:val="5"/>
              <w:rPr>
                <w:rFonts w:ascii="Arial" w:hAnsi="Arial" w:cs="Arial" w:eastAsiaTheme="majorEastAsia"/>
                <w:b/>
                <w:bCs/>
                <w:i/>
                <w:iCs/>
                <w:caps/>
                <w:spacing w:val="-2"/>
                <w:sz w:val="20"/>
                <w:szCs w:val="20"/>
              </w:rPr>
            </w:pPr>
          </w:p>
        </w:tc>
        <w:tc>
          <w:tcPr>
            <w:tcW w:w="2745" w:type="dxa"/>
            <w:tcBorders>
              <w:top w:val="single" w:color="auto" w:sz="4" w:space="0"/>
              <w:left w:val="nil"/>
              <w:bottom w:val="nil"/>
              <w:right w:val="nil"/>
            </w:tcBorders>
            <w:noWrap/>
          </w:tcPr>
          <w:p w:rsidRPr="002070C7" w:rsidR="00A5057C" w:rsidP="006F6C94" w:rsidRDefault="00A5057C" w14:paraId="2A9D3336" w14:textId="77777777">
            <w:pPr>
              <w:jc w:val="center"/>
              <w:rPr>
                <w:rFonts w:ascii="Arial" w:hAnsi="Arial" w:eastAsia="Times New Roman" w:cs="Arial"/>
                <w:b/>
                <w:bCs/>
                <w:sz w:val="20"/>
                <w:szCs w:val="20"/>
                <w:lang w:eastAsia="en-GB"/>
              </w:rPr>
            </w:pPr>
          </w:p>
        </w:tc>
      </w:tr>
      <w:tr w:rsidRPr="002070C7" w:rsidR="00A5057C" w:rsidTr="006F6C94" w14:paraId="65F05775" w14:textId="77777777">
        <w:trPr>
          <w:trHeight w:val="300"/>
        </w:trPr>
        <w:tc>
          <w:tcPr>
            <w:tcW w:w="6804" w:type="dxa"/>
            <w:tcBorders>
              <w:top w:val="nil"/>
              <w:left w:val="nil"/>
              <w:bottom w:val="nil"/>
              <w:right w:val="nil"/>
            </w:tcBorders>
            <w:noWrap/>
          </w:tcPr>
          <w:p w:rsidRPr="002070C7" w:rsidR="00A5057C" w:rsidP="006F6C94" w:rsidRDefault="00A5057C" w14:paraId="1D3821D4" w14:textId="77777777">
            <w:pPr>
              <w:keepNext/>
              <w:keepLines/>
              <w:spacing w:before="47"/>
              <w:outlineLvl w:val="5"/>
              <w:rPr>
                <w:rFonts w:asciiTheme="majorHAnsi" w:hAnsiTheme="majorHAnsi" w:eastAsiaTheme="majorEastAsia" w:cstheme="majorBidi"/>
                <w:b/>
                <w:bCs/>
                <w:i/>
                <w:iCs/>
                <w:caps/>
                <w:spacing w:val="-2"/>
              </w:rPr>
            </w:pPr>
            <w:r w:rsidRPr="002070C7">
              <w:rPr>
                <w:rFonts w:asciiTheme="majorHAnsi" w:hAnsiTheme="majorHAnsi"/>
                <w:b/>
                <w:i/>
                <w:caps/>
              </w:rPr>
              <w:t>Pokazatelji zamjenjivosti / infrastrukture financijske institucije</w:t>
            </w:r>
          </w:p>
          <w:p w:rsidRPr="002070C7" w:rsidR="00A5057C" w:rsidP="006F6C94" w:rsidRDefault="00A5057C" w14:paraId="0D76750C"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2070C7" w:rsidR="00A5057C" w:rsidP="006F6C94" w:rsidRDefault="00A5057C" w14:paraId="1474F539" w14:textId="77777777">
            <w:pPr>
              <w:jc w:val="center"/>
              <w:rPr>
                <w:rFonts w:ascii="Arial" w:hAnsi="Arial" w:eastAsia="Times New Roman" w:cs="Arial"/>
                <w:b/>
                <w:bCs/>
                <w:sz w:val="20"/>
                <w:szCs w:val="20"/>
                <w:lang w:eastAsia="en-GB"/>
              </w:rPr>
            </w:pPr>
          </w:p>
        </w:tc>
      </w:tr>
      <w:tr w:rsidRPr="002070C7" w:rsidR="00A5057C" w:rsidTr="006F6C94" w14:paraId="798DB136" w14:textId="77777777">
        <w:trPr>
          <w:trHeight w:val="300"/>
        </w:trPr>
        <w:tc>
          <w:tcPr>
            <w:tcW w:w="6804" w:type="dxa"/>
            <w:tcBorders>
              <w:left w:val="nil"/>
              <w:bottom w:val="single" w:color="auto" w:sz="4" w:space="0"/>
              <w:right w:val="nil"/>
            </w:tcBorders>
            <w:noWrap/>
          </w:tcPr>
          <w:p w:rsidRPr="002070C7" w:rsidR="00A5057C" w:rsidP="006F6C94" w:rsidRDefault="00A5057C" w14:paraId="505815D8" w14:textId="77777777">
            <w:pPr>
              <w:rPr>
                <w:rFonts w:ascii="Arial" w:hAnsi="Arial" w:eastAsia="Times New Roman" w:cs="Arial"/>
                <w:sz w:val="20"/>
                <w:szCs w:val="20"/>
              </w:rPr>
            </w:pPr>
            <w:r w:rsidRPr="002070C7">
              <w:rPr>
                <w:rFonts w:ascii="Arial" w:hAnsi="Arial"/>
                <w:b/>
                <w:sz w:val="20"/>
              </w:rPr>
              <w:t>Odjeljak 6. – Plaćanja izvršena u izvještajnoj godini (isključujući plaćanja unutar grupe)</w:t>
            </w:r>
          </w:p>
        </w:tc>
        <w:tc>
          <w:tcPr>
            <w:tcW w:w="2745" w:type="dxa"/>
            <w:tcBorders>
              <w:left w:val="nil"/>
              <w:bottom w:val="single" w:color="auto" w:sz="4" w:space="0"/>
              <w:right w:val="nil"/>
            </w:tcBorders>
            <w:noWrap/>
          </w:tcPr>
          <w:p w:rsidRPr="002070C7" w:rsidR="00A5057C" w:rsidP="006F6C94" w:rsidRDefault="00A5057C" w14:paraId="5E4AE059"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615075C0" w14:textId="77777777">
        <w:trPr>
          <w:trHeight w:val="300"/>
        </w:trPr>
        <w:tc>
          <w:tcPr>
            <w:tcW w:w="6804" w:type="dxa"/>
            <w:tcBorders>
              <w:left w:val="nil"/>
              <w:right w:val="nil"/>
            </w:tcBorders>
            <w:noWrap/>
            <w:hideMark/>
          </w:tcPr>
          <w:p w:rsidRPr="002070C7" w:rsidR="00A5057C" w:rsidP="006F6C94" w:rsidRDefault="00A5057C" w14:paraId="4BD460A0" w14:textId="77777777">
            <w:pPr>
              <w:ind w:firstLine="200" w:firstLineChars="100"/>
              <w:rPr>
                <w:rFonts w:ascii="Arial" w:hAnsi="Arial" w:eastAsia="Times New Roman" w:cs="Arial"/>
                <w:sz w:val="20"/>
                <w:szCs w:val="20"/>
              </w:rPr>
            </w:pPr>
            <w:r w:rsidRPr="002070C7">
              <w:rPr>
                <w:rFonts w:ascii="Arial" w:hAnsi="Arial"/>
                <w:sz w:val="20"/>
              </w:rPr>
              <w:t xml:space="preserve"> a. Australski dolar (AUD)</w:t>
            </w:r>
          </w:p>
        </w:tc>
        <w:tc>
          <w:tcPr>
            <w:tcW w:w="2745" w:type="dxa"/>
            <w:tcBorders>
              <w:left w:val="nil"/>
              <w:right w:val="nil"/>
            </w:tcBorders>
            <w:noWrap/>
            <w:hideMark/>
          </w:tcPr>
          <w:p w:rsidRPr="002070C7" w:rsidR="00A5057C" w:rsidP="006F6C94" w:rsidRDefault="00A5057C" w14:paraId="2D8BA548"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1405B808" w14:textId="77777777">
        <w:trPr>
          <w:trHeight w:val="300"/>
        </w:trPr>
        <w:tc>
          <w:tcPr>
            <w:tcW w:w="6804" w:type="dxa"/>
            <w:tcBorders>
              <w:left w:val="nil"/>
              <w:right w:val="nil"/>
            </w:tcBorders>
            <w:noWrap/>
            <w:hideMark/>
          </w:tcPr>
          <w:p w:rsidRPr="002070C7" w:rsidR="00A5057C" w:rsidP="006F6C94" w:rsidRDefault="00A5057C" w14:paraId="66C2223C" w14:textId="77777777">
            <w:pPr>
              <w:ind w:firstLine="200" w:firstLineChars="100"/>
              <w:rPr>
                <w:rFonts w:ascii="Arial" w:hAnsi="Arial" w:eastAsia="Times New Roman" w:cs="Arial"/>
                <w:sz w:val="20"/>
                <w:szCs w:val="20"/>
              </w:rPr>
            </w:pPr>
            <w:r w:rsidRPr="002070C7">
              <w:rPr>
                <w:rFonts w:ascii="Arial" w:hAnsi="Arial"/>
                <w:sz w:val="20"/>
              </w:rPr>
              <w:t>b. Kanadski dolar (CAD)</w:t>
            </w:r>
          </w:p>
        </w:tc>
        <w:tc>
          <w:tcPr>
            <w:tcW w:w="2745" w:type="dxa"/>
            <w:tcBorders>
              <w:left w:val="nil"/>
              <w:right w:val="nil"/>
            </w:tcBorders>
            <w:noWrap/>
            <w:hideMark/>
          </w:tcPr>
          <w:p w:rsidRPr="002070C7" w:rsidR="00A5057C" w:rsidP="006F6C94" w:rsidRDefault="00A5057C" w14:paraId="40A84FAF"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456EC4BD" w14:textId="77777777">
        <w:trPr>
          <w:trHeight w:val="300"/>
        </w:trPr>
        <w:tc>
          <w:tcPr>
            <w:tcW w:w="6804" w:type="dxa"/>
            <w:tcBorders>
              <w:left w:val="nil"/>
              <w:right w:val="nil"/>
            </w:tcBorders>
            <w:noWrap/>
            <w:hideMark/>
          </w:tcPr>
          <w:p w:rsidRPr="002070C7" w:rsidR="00A5057C" w:rsidP="006F6C94" w:rsidRDefault="00A5057C" w14:paraId="3A71BB03" w14:textId="77777777">
            <w:pPr>
              <w:ind w:firstLine="200" w:firstLineChars="100"/>
              <w:rPr>
                <w:rFonts w:ascii="Arial" w:hAnsi="Arial" w:eastAsia="Times New Roman" w:cs="Arial"/>
                <w:sz w:val="20"/>
                <w:szCs w:val="20"/>
              </w:rPr>
            </w:pPr>
            <w:r w:rsidRPr="002070C7">
              <w:rPr>
                <w:rFonts w:ascii="Arial" w:hAnsi="Arial"/>
                <w:sz w:val="20"/>
              </w:rPr>
              <w:t>c. Švicarski franak (CHF)</w:t>
            </w:r>
          </w:p>
        </w:tc>
        <w:tc>
          <w:tcPr>
            <w:tcW w:w="2745" w:type="dxa"/>
            <w:tcBorders>
              <w:left w:val="nil"/>
              <w:right w:val="nil"/>
            </w:tcBorders>
            <w:noWrap/>
            <w:hideMark/>
          </w:tcPr>
          <w:p w:rsidRPr="002070C7" w:rsidR="00A5057C" w:rsidP="006F6C94" w:rsidRDefault="00A5057C" w14:paraId="38202D18"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0F1B6AF2" w14:textId="77777777">
        <w:trPr>
          <w:trHeight w:val="300"/>
        </w:trPr>
        <w:tc>
          <w:tcPr>
            <w:tcW w:w="6804" w:type="dxa"/>
            <w:tcBorders>
              <w:left w:val="nil"/>
              <w:right w:val="nil"/>
            </w:tcBorders>
            <w:noWrap/>
            <w:hideMark/>
          </w:tcPr>
          <w:p w:rsidRPr="002070C7" w:rsidR="00A5057C" w:rsidP="006F6C94" w:rsidRDefault="00A5057C" w14:paraId="457E6A64" w14:textId="77777777">
            <w:pPr>
              <w:ind w:firstLine="200" w:firstLineChars="100"/>
              <w:rPr>
                <w:rFonts w:ascii="Arial" w:hAnsi="Arial" w:eastAsia="Times New Roman" w:cs="Arial"/>
                <w:sz w:val="20"/>
                <w:szCs w:val="20"/>
              </w:rPr>
            </w:pPr>
            <w:r w:rsidRPr="002070C7">
              <w:rPr>
                <w:rFonts w:ascii="Arial" w:hAnsi="Arial"/>
                <w:sz w:val="20"/>
              </w:rPr>
              <w:t>d. Kineski juan (CNY)</w:t>
            </w:r>
          </w:p>
        </w:tc>
        <w:tc>
          <w:tcPr>
            <w:tcW w:w="2745" w:type="dxa"/>
            <w:tcBorders>
              <w:left w:val="nil"/>
              <w:right w:val="nil"/>
            </w:tcBorders>
            <w:noWrap/>
            <w:hideMark/>
          </w:tcPr>
          <w:p w:rsidRPr="002070C7" w:rsidR="00A5057C" w:rsidP="006F6C94" w:rsidRDefault="00A5057C" w14:paraId="1DC44F1A"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6DF3CB27" w14:textId="77777777">
        <w:trPr>
          <w:trHeight w:val="300"/>
        </w:trPr>
        <w:tc>
          <w:tcPr>
            <w:tcW w:w="6804" w:type="dxa"/>
            <w:tcBorders>
              <w:left w:val="nil"/>
              <w:right w:val="nil"/>
            </w:tcBorders>
            <w:noWrap/>
            <w:hideMark/>
          </w:tcPr>
          <w:p w:rsidRPr="002070C7" w:rsidR="00A5057C" w:rsidP="006F6C94" w:rsidRDefault="00A5057C" w14:paraId="29E278DE" w14:textId="77777777">
            <w:pPr>
              <w:ind w:firstLine="200" w:firstLineChars="100"/>
              <w:rPr>
                <w:rFonts w:ascii="Arial" w:hAnsi="Arial" w:eastAsia="Times New Roman" w:cs="Arial"/>
                <w:sz w:val="20"/>
                <w:szCs w:val="20"/>
              </w:rPr>
            </w:pPr>
            <w:r w:rsidRPr="002070C7">
              <w:rPr>
                <w:rFonts w:ascii="Arial" w:hAnsi="Arial"/>
                <w:sz w:val="20"/>
              </w:rPr>
              <w:t>e. Euro (EUR)</w:t>
            </w:r>
          </w:p>
        </w:tc>
        <w:tc>
          <w:tcPr>
            <w:tcW w:w="2745" w:type="dxa"/>
            <w:tcBorders>
              <w:left w:val="nil"/>
              <w:right w:val="nil"/>
            </w:tcBorders>
            <w:noWrap/>
            <w:hideMark/>
          </w:tcPr>
          <w:p w:rsidRPr="002070C7" w:rsidR="00A5057C" w:rsidP="006F6C94" w:rsidRDefault="00A5057C" w14:paraId="7043A3E7"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3CE7A5E4" w14:textId="77777777">
        <w:trPr>
          <w:trHeight w:val="300"/>
        </w:trPr>
        <w:tc>
          <w:tcPr>
            <w:tcW w:w="6804" w:type="dxa"/>
            <w:tcBorders>
              <w:left w:val="nil"/>
              <w:right w:val="nil"/>
            </w:tcBorders>
            <w:noWrap/>
            <w:hideMark/>
          </w:tcPr>
          <w:p w:rsidRPr="002070C7" w:rsidR="00A5057C" w:rsidP="006F6C94" w:rsidRDefault="00A5057C" w14:paraId="3CC58949" w14:textId="77777777">
            <w:pPr>
              <w:ind w:firstLine="200" w:firstLineChars="100"/>
              <w:rPr>
                <w:rFonts w:ascii="Arial" w:hAnsi="Arial" w:eastAsia="Times New Roman" w:cs="Arial"/>
                <w:sz w:val="20"/>
                <w:szCs w:val="20"/>
              </w:rPr>
            </w:pPr>
            <w:r w:rsidRPr="002070C7">
              <w:rPr>
                <w:rFonts w:ascii="Arial" w:hAnsi="Arial"/>
                <w:sz w:val="20"/>
              </w:rPr>
              <w:t>f. Britanska funta (GBP)</w:t>
            </w:r>
          </w:p>
        </w:tc>
        <w:tc>
          <w:tcPr>
            <w:tcW w:w="2745" w:type="dxa"/>
            <w:tcBorders>
              <w:left w:val="nil"/>
              <w:right w:val="nil"/>
            </w:tcBorders>
            <w:noWrap/>
            <w:hideMark/>
          </w:tcPr>
          <w:p w:rsidRPr="002070C7" w:rsidR="00A5057C" w:rsidP="006F6C94" w:rsidRDefault="00A5057C" w14:paraId="01308193"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1A445D21" w14:textId="77777777">
        <w:trPr>
          <w:trHeight w:val="300"/>
        </w:trPr>
        <w:tc>
          <w:tcPr>
            <w:tcW w:w="6804" w:type="dxa"/>
            <w:tcBorders>
              <w:left w:val="nil"/>
              <w:right w:val="nil"/>
            </w:tcBorders>
            <w:noWrap/>
            <w:hideMark/>
          </w:tcPr>
          <w:p w:rsidRPr="002070C7" w:rsidR="00A5057C" w:rsidP="006F6C94" w:rsidRDefault="00A5057C" w14:paraId="1DD3EC3B" w14:textId="77777777">
            <w:pPr>
              <w:ind w:firstLine="200" w:firstLineChars="100"/>
              <w:rPr>
                <w:rFonts w:ascii="Arial" w:hAnsi="Arial" w:eastAsia="Times New Roman" w:cs="Arial"/>
                <w:sz w:val="20"/>
                <w:szCs w:val="20"/>
              </w:rPr>
            </w:pPr>
            <w:r w:rsidRPr="002070C7">
              <w:rPr>
                <w:rFonts w:ascii="Arial" w:hAnsi="Arial"/>
                <w:sz w:val="20"/>
              </w:rPr>
              <w:t>g. Hongkonški dolar (HKD)</w:t>
            </w:r>
          </w:p>
        </w:tc>
        <w:tc>
          <w:tcPr>
            <w:tcW w:w="2745" w:type="dxa"/>
            <w:tcBorders>
              <w:left w:val="nil"/>
              <w:right w:val="nil"/>
            </w:tcBorders>
            <w:noWrap/>
            <w:hideMark/>
          </w:tcPr>
          <w:p w:rsidRPr="002070C7" w:rsidR="00A5057C" w:rsidP="006F6C94" w:rsidRDefault="00A5057C" w14:paraId="661A4E8D"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5C05C18F" w14:textId="77777777">
        <w:trPr>
          <w:trHeight w:val="300"/>
        </w:trPr>
        <w:tc>
          <w:tcPr>
            <w:tcW w:w="6804" w:type="dxa"/>
            <w:tcBorders>
              <w:left w:val="nil"/>
              <w:right w:val="nil"/>
            </w:tcBorders>
            <w:noWrap/>
            <w:hideMark/>
          </w:tcPr>
          <w:p w:rsidRPr="002070C7" w:rsidR="00A5057C" w:rsidP="006F6C94" w:rsidRDefault="00A5057C" w14:paraId="4BB56FAA" w14:textId="77777777">
            <w:pPr>
              <w:ind w:firstLine="200" w:firstLineChars="100"/>
              <w:rPr>
                <w:rFonts w:ascii="Arial" w:hAnsi="Arial" w:eastAsia="Times New Roman" w:cs="Arial"/>
                <w:sz w:val="20"/>
                <w:szCs w:val="20"/>
              </w:rPr>
            </w:pPr>
            <w:r w:rsidRPr="002070C7">
              <w:rPr>
                <w:rFonts w:ascii="Arial" w:hAnsi="Arial"/>
                <w:sz w:val="20"/>
              </w:rPr>
              <w:t>h. Indijska rupija (INR)</w:t>
            </w:r>
          </w:p>
        </w:tc>
        <w:tc>
          <w:tcPr>
            <w:tcW w:w="2745" w:type="dxa"/>
            <w:tcBorders>
              <w:left w:val="nil"/>
              <w:right w:val="nil"/>
            </w:tcBorders>
            <w:noWrap/>
            <w:hideMark/>
          </w:tcPr>
          <w:p w:rsidRPr="002070C7" w:rsidR="00A5057C" w:rsidP="006F6C94" w:rsidRDefault="00A5057C" w14:paraId="0A899AD6"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03B8CBAE" w14:textId="77777777">
        <w:trPr>
          <w:trHeight w:val="300"/>
        </w:trPr>
        <w:tc>
          <w:tcPr>
            <w:tcW w:w="6804" w:type="dxa"/>
            <w:tcBorders>
              <w:left w:val="nil"/>
              <w:right w:val="nil"/>
            </w:tcBorders>
            <w:noWrap/>
            <w:hideMark/>
          </w:tcPr>
          <w:p w:rsidRPr="002070C7" w:rsidR="00A5057C" w:rsidP="006F6C94" w:rsidRDefault="00A5057C" w14:paraId="63DF5F2B" w14:textId="77777777">
            <w:pPr>
              <w:ind w:firstLine="200" w:firstLineChars="100"/>
              <w:rPr>
                <w:rFonts w:ascii="Arial" w:hAnsi="Arial" w:eastAsia="Times New Roman" w:cs="Arial"/>
                <w:sz w:val="20"/>
                <w:szCs w:val="20"/>
              </w:rPr>
            </w:pPr>
            <w:r w:rsidRPr="002070C7">
              <w:rPr>
                <w:rFonts w:ascii="Arial" w:hAnsi="Arial"/>
                <w:sz w:val="20"/>
              </w:rPr>
              <w:t>i. Japanski jen (JPY)</w:t>
            </w:r>
          </w:p>
        </w:tc>
        <w:tc>
          <w:tcPr>
            <w:tcW w:w="2745" w:type="dxa"/>
            <w:tcBorders>
              <w:left w:val="nil"/>
              <w:right w:val="nil"/>
            </w:tcBorders>
            <w:noWrap/>
            <w:hideMark/>
          </w:tcPr>
          <w:p w:rsidRPr="002070C7" w:rsidR="00A5057C" w:rsidP="006F6C94" w:rsidRDefault="00A5057C" w14:paraId="0B52D4C2"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76870207" w14:textId="77777777">
        <w:trPr>
          <w:trHeight w:val="300"/>
        </w:trPr>
        <w:tc>
          <w:tcPr>
            <w:tcW w:w="6804" w:type="dxa"/>
            <w:tcBorders>
              <w:left w:val="nil"/>
              <w:right w:val="nil"/>
            </w:tcBorders>
            <w:noWrap/>
            <w:hideMark/>
          </w:tcPr>
          <w:p w:rsidRPr="002070C7" w:rsidR="00A5057C" w:rsidP="006F6C94" w:rsidRDefault="00A5057C" w14:paraId="636A8456" w14:textId="77777777">
            <w:pPr>
              <w:ind w:firstLine="200" w:firstLineChars="100"/>
              <w:rPr>
                <w:rFonts w:ascii="Arial" w:hAnsi="Arial" w:eastAsia="Times New Roman" w:cs="Arial"/>
                <w:sz w:val="20"/>
                <w:szCs w:val="20"/>
              </w:rPr>
            </w:pPr>
            <w:r w:rsidRPr="002070C7">
              <w:rPr>
                <w:rFonts w:ascii="Arial" w:hAnsi="Arial"/>
                <w:sz w:val="20"/>
              </w:rPr>
              <w:t>j. Novozelandski dolar (NZD)</w:t>
            </w:r>
          </w:p>
        </w:tc>
        <w:tc>
          <w:tcPr>
            <w:tcW w:w="2745" w:type="dxa"/>
            <w:tcBorders>
              <w:left w:val="nil"/>
              <w:right w:val="nil"/>
            </w:tcBorders>
            <w:noWrap/>
            <w:hideMark/>
          </w:tcPr>
          <w:p w:rsidRPr="002070C7" w:rsidR="00A5057C" w:rsidP="006F6C94" w:rsidRDefault="00A5057C" w14:paraId="0863C4F1"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179C045F" w14:textId="77777777">
        <w:trPr>
          <w:trHeight w:val="300"/>
        </w:trPr>
        <w:tc>
          <w:tcPr>
            <w:tcW w:w="6804" w:type="dxa"/>
            <w:tcBorders>
              <w:left w:val="nil"/>
              <w:right w:val="nil"/>
            </w:tcBorders>
            <w:noWrap/>
            <w:hideMark/>
          </w:tcPr>
          <w:p w:rsidRPr="002070C7" w:rsidR="00A5057C" w:rsidP="006F6C94" w:rsidRDefault="00A5057C" w14:paraId="3465B464" w14:textId="77777777">
            <w:pPr>
              <w:ind w:firstLine="200" w:firstLineChars="100"/>
              <w:rPr>
                <w:rFonts w:ascii="Arial" w:hAnsi="Arial" w:eastAsia="Times New Roman" w:cs="Arial"/>
                <w:sz w:val="20"/>
                <w:szCs w:val="20"/>
              </w:rPr>
            </w:pPr>
            <w:r w:rsidRPr="002070C7">
              <w:rPr>
                <w:rFonts w:ascii="Arial" w:hAnsi="Arial"/>
                <w:sz w:val="20"/>
              </w:rPr>
              <w:t>k. Švedska kruna (SEK)</w:t>
            </w:r>
          </w:p>
        </w:tc>
        <w:tc>
          <w:tcPr>
            <w:tcW w:w="2745" w:type="dxa"/>
            <w:tcBorders>
              <w:left w:val="nil"/>
              <w:right w:val="nil"/>
            </w:tcBorders>
            <w:noWrap/>
            <w:hideMark/>
          </w:tcPr>
          <w:p w:rsidRPr="002070C7" w:rsidR="00A5057C" w:rsidP="006F6C94" w:rsidRDefault="00A5057C" w14:paraId="3CC61EE5"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75BEDE7C" w14:textId="77777777">
        <w:trPr>
          <w:trHeight w:val="300"/>
        </w:trPr>
        <w:tc>
          <w:tcPr>
            <w:tcW w:w="6804" w:type="dxa"/>
            <w:tcBorders>
              <w:left w:val="nil"/>
              <w:right w:val="nil"/>
            </w:tcBorders>
            <w:noWrap/>
            <w:hideMark/>
          </w:tcPr>
          <w:p w:rsidRPr="002070C7" w:rsidR="00A5057C" w:rsidP="006F6C94" w:rsidRDefault="00A5057C" w14:paraId="5760676F" w14:textId="77777777">
            <w:pPr>
              <w:ind w:firstLine="200" w:firstLineChars="100"/>
              <w:rPr>
                <w:rFonts w:ascii="Arial" w:hAnsi="Arial" w:eastAsia="Times New Roman" w:cs="Arial"/>
                <w:sz w:val="20"/>
                <w:szCs w:val="20"/>
              </w:rPr>
            </w:pPr>
            <w:r w:rsidRPr="002070C7">
              <w:rPr>
                <w:rFonts w:ascii="Arial" w:hAnsi="Arial"/>
                <w:sz w:val="20"/>
              </w:rPr>
              <w:t>l. Američki dolar (USD)</w:t>
            </w:r>
          </w:p>
        </w:tc>
        <w:tc>
          <w:tcPr>
            <w:tcW w:w="2745" w:type="dxa"/>
            <w:tcBorders>
              <w:left w:val="nil"/>
              <w:right w:val="nil"/>
            </w:tcBorders>
            <w:noWrap/>
            <w:hideMark/>
          </w:tcPr>
          <w:p w:rsidRPr="002070C7" w:rsidR="00A5057C" w:rsidP="006F6C94" w:rsidRDefault="00A5057C" w14:paraId="286CECA3"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406217AA" w14:textId="77777777">
        <w:trPr>
          <w:trHeight w:val="300"/>
        </w:trPr>
        <w:tc>
          <w:tcPr>
            <w:tcW w:w="6804" w:type="dxa"/>
            <w:tcBorders>
              <w:left w:val="nil"/>
              <w:bottom w:val="single" w:color="auto" w:sz="4" w:space="0"/>
              <w:right w:val="nil"/>
            </w:tcBorders>
            <w:noWrap/>
            <w:hideMark/>
          </w:tcPr>
          <w:p w:rsidRPr="002070C7" w:rsidR="00A5057C" w:rsidP="006F6C94" w:rsidRDefault="00A5057C" w14:paraId="366A40DF" w14:textId="77777777">
            <w:pPr>
              <w:ind w:firstLine="200" w:firstLineChars="100"/>
              <w:rPr>
                <w:rFonts w:ascii="Arial" w:hAnsi="Arial" w:eastAsia="Times New Roman" w:cs="Arial"/>
                <w:sz w:val="20"/>
                <w:szCs w:val="20"/>
              </w:rPr>
            </w:pPr>
            <w:r w:rsidRPr="002070C7">
              <w:rPr>
                <w:rFonts w:ascii="Arial" w:hAnsi="Arial"/>
                <w:sz w:val="20"/>
              </w:rPr>
              <w:t>m. Pokazatelj platnog prometa (zbroj stavki 6.a do 6.l)</w:t>
            </w:r>
          </w:p>
        </w:tc>
        <w:tc>
          <w:tcPr>
            <w:tcW w:w="2745" w:type="dxa"/>
            <w:tcBorders>
              <w:left w:val="nil"/>
              <w:bottom w:val="single" w:color="auto" w:sz="4" w:space="0"/>
              <w:right w:val="nil"/>
            </w:tcBorders>
            <w:noWrap/>
            <w:hideMark/>
          </w:tcPr>
          <w:p w:rsidRPr="002070C7" w:rsidR="00A5057C" w:rsidP="006F6C94" w:rsidRDefault="00A5057C" w14:paraId="25476E60" w14:textId="77777777">
            <w:pPr>
              <w:jc w:val="right"/>
              <w:rPr>
                <w:rFonts w:ascii="Arial" w:hAnsi="Arial" w:eastAsia="Times New Roman" w:cs="Arial"/>
                <w:sz w:val="20"/>
                <w:szCs w:val="20"/>
              </w:rPr>
            </w:pPr>
            <w:r w:rsidRPr="002070C7">
              <w:rPr>
                <w:rFonts w:ascii="Arial" w:hAnsi="Arial"/>
                <w:sz w:val="20"/>
              </w:rPr>
              <w:t xml:space="preserve"> </w:t>
            </w:r>
          </w:p>
        </w:tc>
      </w:tr>
      <w:tr w:rsidRPr="002070C7" w:rsidR="00A5057C" w:rsidTr="006F6C94" w14:paraId="09EF17FB" w14:textId="77777777">
        <w:trPr>
          <w:trHeight w:val="300"/>
        </w:trPr>
        <w:tc>
          <w:tcPr>
            <w:tcW w:w="6804" w:type="dxa"/>
            <w:tcBorders>
              <w:left w:val="nil"/>
              <w:bottom w:val="nil"/>
              <w:right w:val="nil"/>
            </w:tcBorders>
            <w:noWrap/>
          </w:tcPr>
          <w:p w:rsidRPr="002070C7" w:rsidR="00A5057C" w:rsidP="006F6C94" w:rsidRDefault="00A5057C" w14:paraId="0E32B6D8"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070C7" w:rsidR="00A5057C" w:rsidP="006F6C94" w:rsidRDefault="00A5057C" w14:paraId="4A9D2707" w14:textId="77777777">
            <w:pPr>
              <w:jc w:val="center"/>
              <w:rPr>
                <w:rFonts w:ascii="Arial" w:hAnsi="Arial" w:eastAsia="Times New Roman" w:cs="Arial"/>
                <w:b/>
                <w:bCs/>
                <w:sz w:val="20"/>
                <w:szCs w:val="20"/>
                <w:lang w:eastAsia="en-GB"/>
              </w:rPr>
            </w:pPr>
          </w:p>
        </w:tc>
      </w:tr>
      <w:tr w:rsidRPr="002070C7" w:rsidR="00A5057C" w:rsidTr="006F6C94" w14:paraId="5B6EB45B" w14:textId="77777777">
        <w:trPr>
          <w:trHeight w:val="300"/>
        </w:trPr>
        <w:tc>
          <w:tcPr>
            <w:tcW w:w="6804" w:type="dxa"/>
            <w:tcBorders>
              <w:top w:val="nil"/>
              <w:left w:val="nil"/>
              <w:bottom w:val="single" w:color="auto" w:sz="4" w:space="0"/>
              <w:right w:val="nil"/>
            </w:tcBorders>
            <w:noWrap/>
            <w:hideMark/>
          </w:tcPr>
          <w:p w:rsidRPr="002070C7" w:rsidR="00A5057C" w:rsidP="006F6C94" w:rsidRDefault="00A5057C" w14:paraId="3477A2E5" w14:textId="77777777">
            <w:pPr>
              <w:rPr>
                <w:rFonts w:ascii="Arial" w:hAnsi="Arial" w:eastAsia="Times New Roman" w:cs="Arial"/>
                <w:b/>
                <w:bCs/>
                <w:sz w:val="20"/>
                <w:szCs w:val="20"/>
              </w:rPr>
            </w:pPr>
            <w:r w:rsidRPr="002070C7">
              <w:rPr>
                <w:rFonts w:ascii="Arial" w:hAnsi="Arial"/>
                <w:b/>
                <w:sz w:val="20"/>
              </w:rPr>
              <w:t>Odjeljak 7. – Imovina pod skrbništvom</w:t>
            </w:r>
          </w:p>
        </w:tc>
        <w:tc>
          <w:tcPr>
            <w:tcW w:w="2745" w:type="dxa"/>
            <w:tcBorders>
              <w:top w:val="nil"/>
              <w:left w:val="nil"/>
              <w:bottom w:val="single" w:color="auto" w:sz="4" w:space="0"/>
              <w:right w:val="nil"/>
            </w:tcBorders>
            <w:hideMark/>
          </w:tcPr>
          <w:p w:rsidRPr="002070C7" w:rsidR="00A5057C" w:rsidP="006F6C94" w:rsidRDefault="00A5057C" w14:paraId="6CB0F332"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51576868" w14:textId="77777777">
        <w:trPr>
          <w:trHeight w:val="300"/>
        </w:trPr>
        <w:tc>
          <w:tcPr>
            <w:tcW w:w="6804" w:type="dxa"/>
            <w:tcBorders>
              <w:left w:val="nil"/>
              <w:bottom w:val="single" w:color="auto" w:sz="4" w:space="0"/>
              <w:right w:val="nil"/>
            </w:tcBorders>
            <w:noWrap/>
            <w:hideMark/>
          </w:tcPr>
          <w:p w:rsidRPr="002070C7" w:rsidR="00A5057C" w:rsidP="006F6C94" w:rsidRDefault="00A5057C" w14:paraId="4109F62D" w14:textId="77777777">
            <w:pPr>
              <w:ind w:firstLine="200" w:firstLineChars="100"/>
              <w:rPr>
                <w:rFonts w:ascii="Arial" w:hAnsi="Arial" w:eastAsia="Times New Roman" w:cs="Arial"/>
                <w:sz w:val="20"/>
                <w:szCs w:val="20"/>
              </w:rPr>
            </w:pPr>
            <w:r w:rsidRPr="002070C7">
              <w:rPr>
                <w:rFonts w:ascii="Arial" w:hAnsi="Arial"/>
                <w:sz w:val="20"/>
              </w:rPr>
              <w:t>a. Pokazatelj imovine pod skrbništvom</w:t>
            </w:r>
          </w:p>
        </w:tc>
        <w:tc>
          <w:tcPr>
            <w:tcW w:w="2745" w:type="dxa"/>
            <w:tcBorders>
              <w:left w:val="nil"/>
              <w:bottom w:val="single" w:color="auto" w:sz="4" w:space="0"/>
              <w:right w:val="nil"/>
            </w:tcBorders>
            <w:noWrap/>
            <w:hideMark/>
          </w:tcPr>
          <w:p w:rsidRPr="002070C7" w:rsidR="00A5057C" w:rsidP="006F6C94" w:rsidRDefault="00A5057C" w14:paraId="36360480"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68704B5D" w14:textId="77777777">
        <w:trPr>
          <w:trHeight w:val="300"/>
        </w:trPr>
        <w:tc>
          <w:tcPr>
            <w:tcW w:w="6804" w:type="dxa"/>
            <w:tcBorders>
              <w:left w:val="nil"/>
              <w:bottom w:val="nil"/>
              <w:right w:val="nil"/>
            </w:tcBorders>
            <w:noWrap/>
          </w:tcPr>
          <w:p w:rsidRPr="002070C7" w:rsidR="00A5057C" w:rsidP="006F6C94" w:rsidRDefault="00A5057C" w14:paraId="214D49AE"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2070C7" w:rsidR="00A5057C" w:rsidP="006F6C94" w:rsidRDefault="00A5057C" w14:paraId="2D106144" w14:textId="77777777">
            <w:pPr>
              <w:jc w:val="center"/>
              <w:rPr>
                <w:rFonts w:ascii="Arial" w:hAnsi="Arial" w:eastAsia="Times New Roman" w:cs="Arial"/>
                <w:b/>
                <w:bCs/>
                <w:sz w:val="20"/>
                <w:szCs w:val="20"/>
                <w:lang w:eastAsia="en-GB"/>
              </w:rPr>
            </w:pPr>
          </w:p>
        </w:tc>
      </w:tr>
      <w:tr w:rsidRPr="002070C7" w:rsidR="00A5057C" w:rsidTr="006F6C94" w14:paraId="3C0833A8" w14:textId="77777777">
        <w:trPr>
          <w:trHeight w:val="300"/>
        </w:trPr>
        <w:tc>
          <w:tcPr>
            <w:tcW w:w="6804" w:type="dxa"/>
            <w:tcBorders>
              <w:top w:val="nil"/>
              <w:left w:val="nil"/>
              <w:bottom w:val="single" w:color="auto" w:sz="4" w:space="0"/>
              <w:right w:val="nil"/>
            </w:tcBorders>
            <w:noWrap/>
          </w:tcPr>
          <w:p w:rsidRPr="002070C7" w:rsidR="00A5057C" w:rsidP="006F6C94" w:rsidRDefault="00A5057C" w14:paraId="37080A93" w14:textId="77777777">
            <w:pPr>
              <w:rPr>
                <w:rFonts w:ascii="Arial" w:hAnsi="Arial" w:eastAsia="Times New Roman" w:cs="Arial"/>
                <w:sz w:val="20"/>
                <w:szCs w:val="20"/>
              </w:rPr>
            </w:pPr>
            <w:r w:rsidRPr="002070C7">
              <w:rPr>
                <w:rFonts w:ascii="Arial" w:hAnsi="Arial"/>
                <w:b/>
                <w:sz w:val="20"/>
              </w:rPr>
              <w:t>Odjeljak 8. – Transakcije koje proizlaze iz pružanja usluga provedbe ponude odnosno prodaje na tržištima dužničkih i vlasničkih instrumenata</w:t>
            </w:r>
          </w:p>
        </w:tc>
        <w:tc>
          <w:tcPr>
            <w:tcW w:w="2745" w:type="dxa"/>
            <w:tcBorders>
              <w:top w:val="nil"/>
              <w:left w:val="nil"/>
              <w:bottom w:val="single" w:color="auto" w:sz="4" w:space="0"/>
              <w:right w:val="nil"/>
            </w:tcBorders>
            <w:noWrap/>
          </w:tcPr>
          <w:p w:rsidRPr="002070C7" w:rsidR="00A5057C" w:rsidP="006F6C94" w:rsidRDefault="00A5057C" w14:paraId="4A8A706F"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0D443CB3" w14:textId="77777777">
        <w:trPr>
          <w:trHeight w:val="300"/>
        </w:trPr>
        <w:tc>
          <w:tcPr>
            <w:tcW w:w="6804" w:type="dxa"/>
            <w:tcBorders>
              <w:left w:val="nil"/>
              <w:right w:val="nil"/>
            </w:tcBorders>
            <w:noWrap/>
            <w:hideMark/>
          </w:tcPr>
          <w:p w:rsidRPr="002070C7" w:rsidR="00A5057C" w:rsidP="006F6C94" w:rsidRDefault="00A5057C" w14:paraId="21B28C00" w14:textId="77777777">
            <w:pPr>
              <w:ind w:firstLine="200" w:firstLineChars="100"/>
              <w:rPr>
                <w:rFonts w:ascii="Arial" w:hAnsi="Arial" w:eastAsia="Times New Roman" w:cs="Arial"/>
                <w:sz w:val="20"/>
                <w:szCs w:val="20"/>
              </w:rPr>
            </w:pPr>
            <w:r w:rsidRPr="002070C7">
              <w:rPr>
                <w:rFonts w:ascii="Arial" w:hAnsi="Arial"/>
                <w:sz w:val="20"/>
              </w:rPr>
              <w:t>a. Pružanje usluga provedbe ponude odnosno prodaje vlasničkih instrumenata</w:t>
            </w:r>
          </w:p>
        </w:tc>
        <w:tc>
          <w:tcPr>
            <w:tcW w:w="2745" w:type="dxa"/>
            <w:tcBorders>
              <w:left w:val="nil"/>
              <w:right w:val="nil"/>
            </w:tcBorders>
            <w:noWrap/>
            <w:hideMark/>
          </w:tcPr>
          <w:p w:rsidRPr="002070C7" w:rsidR="00A5057C" w:rsidP="006F6C94" w:rsidRDefault="00A5057C" w14:paraId="59B198EA"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2A6E87CB" w14:textId="77777777">
        <w:trPr>
          <w:trHeight w:val="300"/>
        </w:trPr>
        <w:tc>
          <w:tcPr>
            <w:tcW w:w="6804" w:type="dxa"/>
            <w:tcBorders>
              <w:left w:val="nil"/>
              <w:right w:val="nil"/>
            </w:tcBorders>
            <w:noWrap/>
            <w:hideMark/>
          </w:tcPr>
          <w:p w:rsidRPr="002070C7" w:rsidR="00A5057C" w:rsidP="006F6C94" w:rsidRDefault="00A5057C" w14:paraId="0DD963E4" w14:textId="77777777">
            <w:pPr>
              <w:ind w:firstLine="200" w:firstLineChars="100"/>
              <w:rPr>
                <w:rFonts w:ascii="Arial" w:hAnsi="Arial" w:eastAsia="Times New Roman" w:cs="Arial"/>
                <w:sz w:val="20"/>
                <w:szCs w:val="20"/>
              </w:rPr>
            </w:pPr>
            <w:r w:rsidRPr="002070C7">
              <w:rPr>
                <w:rFonts w:ascii="Arial" w:hAnsi="Arial"/>
                <w:sz w:val="20"/>
              </w:rPr>
              <w:lastRenderedPageBreak/>
              <w:t>b. Pružanje usluga provedbe ponude odnosno prodaje dužničkih instrumenata</w:t>
            </w:r>
          </w:p>
        </w:tc>
        <w:tc>
          <w:tcPr>
            <w:tcW w:w="2745" w:type="dxa"/>
            <w:tcBorders>
              <w:left w:val="nil"/>
              <w:right w:val="nil"/>
            </w:tcBorders>
            <w:noWrap/>
            <w:hideMark/>
          </w:tcPr>
          <w:p w:rsidRPr="002070C7" w:rsidR="00A5057C" w:rsidP="006F6C94" w:rsidRDefault="00A5057C" w14:paraId="67D9D288"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397EB4CD" w14:textId="77777777">
        <w:trPr>
          <w:trHeight w:val="300"/>
        </w:trPr>
        <w:tc>
          <w:tcPr>
            <w:tcW w:w="6804" w:type="dxa"/>
            <w:tcBorders>
              <w:left w:val="nil"/>
              <w:bottom w:val="single" w:color="auto" w:sz="4" w:space="0"/>
              <w:right w:val="nil"/>
            </w:tcBorders>
            <w:noWrap/>
            <w:hideMark/>
          </w:tcPr>
          <w:p w:rsidRPr="002070C7" w:rsidR="00A5057C" w:rsidP="006F6C94" w:rsidRDefault="00A5057C" w14:paraId="6D5C4F29" w14:textId="77777777">
            <w:pPr>
              <w:ind w:firstLine="200" w:firstLineChars="100"/>
              <w:rPr>
                <w:rFonts w:ascii="Arial" w:hAnsi="Arial" w:eastAsia="Times New Roman" w:cs="Arial"/>
                <w:sz w:val="20"/>
                <w:szCs w:val="20"/>
              </w:rPr>
            </w:pPr>
            <w:r w:rsidRPr="002070C7">
              <w:rPr>
                <w:rFonts w:ascii="Arial" w:hAnsi="Arial"/>
                <w:sz w:val="20"/>
              </w:rPr>
              <w:t>c. Pokazatelj usluga provedbe ponude odnosno prodaje (zbroj stavki 8.a i 8.b)</w:t>
            </w:r>
          </w:p>
        </w:tc>
        <w:tc>
          <w:tcPr>
            <w:tcW w:w="2745" w:type="dxa"/>
            <w:tcBorders>
              <w:left w:val="nil"/>
              <w:bottom w:val="single" w:color="auto" w:sz="4" w:space="0"/>
              <w:right w:val="nil"/>
            </w:tcBorders>
            <w:noWrap/>
            <w:hideMark/>
          </w:tcPr>
          <w:p w:rsidRPr="002070C7" w:rsidR="00A5057C" w:rsidP="006F6C94" w:rsidRDefault="00A5057C" w14:paraId="0955BEA0"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66AA10DA" w14:textId="77777777">
        <w:trPr>
          <w:trHeight w:val="300"/>
        </w:trPr>
        <w:tc>
          <w:tcPr>
            <w:tcW w:w="6804" w:type="dxa"/>
            <w:tcBorders>
              <w:left w:val="nil"/>
              <w:bottom w:val="nil"/>
              <w:right w:val="nil"/>
            </w:tcBorders>
            <w:noWrap/>
          </w:tcPr>
          <w:p w:rsidRPr="002070C7" w:rsidR="00A5057C" w:rsidP="006F6C94" w:rsidRDefault="00A5057C" w14:paraId="4CEAEA8C"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070C7" w:rsidR="00A5057C" w:rsidP="006F6C94" w:rsidRDefault="00A5057C" w14:paraId="6B34E109" w14:textId="77777777">
            <w:pPr>
              <w:jc w:val="center"/>
              <w:rPr>
                <w:rFonts w:ascii="Arial" w:hAnsi="Arial" w:eastAsia="Times New Roman" w:cs="Arial"/>
                <w:b/>
                <w:bCs/>
                <w:sz w:val="20"/>
                <w:szCs w:val="20"/>
                <w:lang w:eastAsia="en-GB"/>
              </w:rPr>
            </w:pPr>
          </w:p>
        </w:tc>
      </w:tr>
      <w:tr w:rsidRPr="002070C7" w:rsidR="00A5057C" w:rsidTr="006F6C94" w14:paraId="736DB4C1" w14:textId="77777777">
        <w:trPr>
          <w:trHeight w:val="300"/>
        </w:trPr>
        <w:tc>
          <w:tcPr>
            <w:tcW w:w="6804" w:type="dxa"/>
            <w:tcBorders>
              <w:top w:val="nil"/>
              <w:left w:val="nil"/>
              <w:right w:val="nil"/>
            </w:tcBorders>
            <w:noWrap/>
            <w:hideMark/>
          </w:tcPr>
          <w:p w:rsidRPr="002070C7" w:rsidR="00A5057C" w:rsidP="006F6C94" w:rsidRDefault="00A5057C" w14:paraId="25555B55" w14:textId="77777777">
            <w:pPr>
              <w:rPr>
                <w:rFonts w:ascii="Arial" w:hAnsi="Arial" w:eastAsia="Times New Roman" w:cs="Arial"/>
                <w:b/>
                <w:bCs/>
                <w:sz w:val="20"/>
                <w:szCs w:val="20"/>
              </w:rPr>
            </w:pPr>
            <w:r w:rsidRPr="002070C7">
              <w:rPr>
                <w:rFonts w:ascii="Arial" w:hAnsi="Arial"/>
                <w:b/>
                <w:sz w:val="20"/>
              </w:rPr>
              <w:t>Odjeljak 9. – Obujam trgovanja</w:t>
            </w:r>
          </w:p>
        </w:tc>
        <w:tc>
          <w:tcPr>
            <w:tcW w:w="2745" w:type="dxa"/>
            <w:tcBorders>
              <w:top w:val="nil"/>
              <w:left w:val="nil"/>
              <w:right w:val="nil"/>
            </w:tcBorders>
            <w:hideMark/>
          </w:tcPr>
          <w:p w:rsidRPr="002070C7" w:rsidR="00A5057C" w:rsidP="006F6C94" w:rsidRDefault="00A5057C" w14:paraId="569D8114"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6E7A3E7A" w14:textId="77777777">
        <w:trPr>
          <w:trHeight w:val="300"/>
        </w:trPr>
        <w:tc>
          <w:tcPr>
            <w:tcW w:w="6804" w:type="dxa"/>
            <w:tcBorders>
              <w:left w:val="nil"/>
              <w:right w:val="nil"/>
            </w:tcBorders>
            <w:noWrap/>
          </w:tcPr>
          <w:p w:rsidRPr="002070C7" w:rsidR="00A5057C" w:rsidP="006F6C94" w:rsidRDefault="00A5057C" w14:paraId="52BC3DCF" w14:textId="77777777">
            <w:pPr>
              <w:ind w:left="171" w:firstLine="28" w:firstLineChars="14"/>
              <w:rPr>
                <w:rFonts w:ascii="Arial" w:hAnsi="Arial" w:eastAsia="Times New Roman" w:cs="Arial"/>
                <w:sz w:val="20"/>
                <w:szCs w:val="20"/>
              </w:rPr>
            </w:pPr>
            <w:r w:rsidRPr="002070C7">
              <w:rPr>
                <w:rFonts w:ascii="Arial" w:hAnsi="Arial"/>
                <w:sz w:val="20"/>
              </w:rPr>
              <w:t>a. Volumen trgovanja vrijednosnim papirima drugih tijela javnog sektora, isključujući transakcije unutar grupe</w:t>
            </w:r>
          </w:p>
        </w:tc>
        <w:tc>
          <w:tcPr>
            <w:tcW w:w="2745" w:type="dxa"/>
            <w:tcBorders>
              <w:left w:val="nil"/>
              <w:right w:val="nil"/>
            </w:tcBorders>
            <w:noWrap/>
          </w:tcPr>
          <w:p w:rsidRPr="002070C7" w:rsidR="00A5057C" w:rsidP="006F6C94" w:rsidRDefault="00A5057C" w14:paraId="1A9C050B" w14:textId="77777777">
            <w:pPr>
              <w:jc w:val="right"/>
              <w:rPr>
                <w:rFonts w:ascii="Arial" w:hAnsi="Arial" w:eastAsia="Times New Roman" w:cs="Arial"/>
                <w:sz w:val="20"/>
                <w:szCs w:val="20"/>
                <w:lang w:eastAsia="en-GB"/>
              </w:rPr>
            </w:pPr>
          </w:p>
        </w:tc>
      </w:tr>
      <w:tr w:rsidRPr="002070C7" w:rsidR="00A5057C" w:rsidTr="006F6C94" w14:paraId="0E141DFA" w14:textId="77777777">
        <w:trPr>
          <w:trHeight w:val="300"/>
        </w:trPr>
        <w:tc>
          <w:tcPr>
            <w:tcW w:w="6804" w:type="dxa"/>
            <w:tcBorders>
              <w:left w:val="nil"/>
              <w:bottom w:val="single" w:color="auto" w:sz="4" w:space="0"/>
              <w:right w:val="nil"/>
            </w:tcBorders>
            <w:noWrap/>
            <w:hideMark/>
          </w:tcPr>
          <w:p w:rsidRPr="002070C7" w:rsidR="00A5057C" w:rsidP="006F6C94" w:rsidRDefault="00A5057C" w14:paraId="62BBB319" w14:textId="77777777">
            <w:pPr>
              <w:ind w:left="171" w:firstLine="28" w:firstLineChars="14"/>
              <w:rPr>
                <w:rFonts w:ascii="Arial" w:hAnsi="Arial" w:eastAsia="Times New Roman" w:cs="Arial"/>
                <w:sz w:val="20"/>
                <w:szCs w:val="20"/>
              </w:rPr>
            </w:pPr>
            <w:r w:rsidRPr="002070C7">
              <w:rPr>
                <w:rFonts w:ascii="Arial" w:hAnsi="Arial"/>
                <w:sz w:val="20"/>
              </w:rPr>
              <w:t>b. Volumen trgovanja ostalim vrijednosnim papirima s fiksnim prinosom, isključujući transakcije unutar grupe</w:t>
            </w:r>
          </w:p>
        </w:tc>
        <w:tc>
          <w:tcPr>
            <w:tcW w:w="2745" w:type="dxa"/>
            <w:tcBorders>
              <w:left w:val="nil"/>
              <w:right w:val="nil"/>
            </w:tcBorders>
            <w:noWrap/>
            <w:hideMark/>
          </w:tcPr>
          <w:p w:rsidRPr="002070C7" w:rsidR="00A5057C" w:rsidP="006F6C94" w:rsidRDefault="00A5057C" w14:paraId="55D2ABC2"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78D83B3E" w14:textId="77777777">
        <w:trPr>
          <w:gridAfter w:val="1"/>
          <w:wAfter w:w="2745" w:type="dxa"/>
          <w:trHeight w:val="300"/>
        </w:trPr>
        <w:tc>
          <w:tcPr>
            <w:tcW w:w="6804" w:type="dxa"/>
            <w:tcBorders>
              <w:left w:val="nil"/>
              <w:bottom w:val="single" w:color="auto" w:sz="4" w:space="0"/>
              <w:right w:val="nil"/>
            </w:tcBorders>
            <w:noWrap/>
            <w:hideMark/>
          </w:tcPr>
          <w:p w:rsidRPr="002070C7" w:rsidR="00A5057C" w:rsidP="006F6C94" w:rsidRDefault="00A5057C" w14:paraId="34CEB3E6" w14:textId="77777777">
            <w:pPr>
              <w:ind w:firstLine="200" w:firstLineChars="100"/>
              <w:rPr>
                <w:rFonts w:ascii="Arial" w:hAnsi="Arial" w:eastAsia="Times New Roman" w:cs="Arial"/>
                <w:sz w:val="20"/>
                <w:szCs w:val="20"/>
              </w:rPr>
            </w:pPr>
            <w:r w:rsidRPr="002070C7">
              <w:rPr>
                <w:rFonts w:ascii="Arial" w:hAnsi="Arial"/>
                <w:sz w:val="20"/>
              </w:rPr>
              <w:t>c. Potpokazatelj volumena trgovanja s fiksnim prinosom (zbroj stavki 9.a. i 9.b.)</w:t>
            </w:r>
          </w:p>
        </w:tc>
      </w:tr>
      <w:tr w:rsidRPr="002070C7" w:rsidR="00A5057C" w:rsidTr="006F6C94" w14:paraId="4BC1DE91" w14:textId="77777777">
        <w:trPr>
          <w:trHeight w:val="300"/>
        </w:trPr>
        <w:tc>
          <w:tcPr>
            <w:tcW w:w="6804" w:type="dxa"/>
            <w:tcBorders>
              <w:left w:val="nil"/>
              <w:right w:val="nil"/>
            </w:tcBorders>
            <w:noWrap/>
            <w:hideMark/>
          </w:tcPr>
          <w:p w:rsidRPr="002070C7" w:rsidR="00A5057C" w:rsidP="006F6C94" w:rsidRDefault="00A5057C" w14:paraId="1A65BEAC" w14:textId="77777777">
            <w:pPr>
              <w:ind w:firstLine="200" w:firstLineChars="100"/>
              <w:rPr>
                <w:rFonts w:ascii="Arial" w:hAnsi="Arial" w:eastAsia="Times New Roman" w:cs="Arial"/>
                <w:sz w:val="20"/>
                <w:szCs w:val="20"/>
              </w:rPr>
            </w:pPr>
            <w:r w:rsidRPr="002070C7">
              <w:rPr>
                <w:rFonts w:ascii="Arial" w:hAnsi="Arial"/>
                <w:sz w:val="20"/>
              </w:rPr>
              <w:t>d. Volumen trgovanja uvrštenim vlasničkim instrumentima, isključujući transakcije unutar grupe</w:t>
            </w:r>
          </w:p>
        </w:tc>
        <w:tc>
          <w:tcPr>
            <w:tcW w:w="2745" w:type="dxa"/>
            <w:tcBorders>
              <w:left w:val="nil"/>
              <w:right w:val="nil"/>
            </w:tcBorders>
            <w:noWrap/>
            <w:hideMark/>
          </w:tcPr>
          <w:p w:rsidRPr="002070C7" w:rsidR="00A5057C" w:rsidP="006F6C94" w:rsidRDefault="00A5057C" w14:paraId="4C509DC8"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29579565" w14:textId="77777777">
        <w:trPr>
          <w:trHeight w:val="300"/>
        </w:trPr>
        <w:tc>
          <w:tcPr>
            <w:tcW w:w="6804" w:type="dxa"/>
            <w:tcBorders>
              <w:left w:val="nil"/>
              <w:bottom w:val="single" w:color="auto" w:sz="4" w:space="0"/>
              <w:right w:val="nil"/>
            </w:tcBorders>
            <w:noWrap/>
            <w:hideMark/>
          </w:tcPr>
          <w:p w:rsidRPr="002070C7" w:rsidR="00A5057C" w:rsidP="006F6C94" w:rsidRDefault="00A5057C" w14:paraId="67844381" w14:textId="77777777">
            <w:pPr>
              <w:ind w:left="171"/>
              <w:rPr>
                <w:rFonts w:ascii="Arial" w:hAnsi="Arial" w:eastAsia="Times New Roman" w:cs="Arial"/>
                <w:sz w:val="20"/>
                <w:szCs w:val="20"/>
              </w:rPr>
            </w:pPr>
            <w:r w:rsidRPr="002070C7">
              <w:rPr>
                <w:rFonts w:ascii="Arial" w:hAnsi="Arial"/>
                <w:sz w:val="20"/>
              </w:rPr>
              <w:t>e. Volumen trgovanja svim ostalim vrijednosnim papirima, isključujući transakcije unutar grupe</w:t>
            </w:r>
          </w:p>
        </w:tc>
        <w:tc>
          <w:tcPr>
            <w:tcW w:w="2745" w:type="dxa"/>
            <w:tcBorders>
              <w:left w:val="nil"/>
              <w:right w:val="nil"/>
            </w:tcBorders>
            <w:noWrap/>
            <w:hideMark/>
          </w:tcPr>
          <w:p w:rsidRPr="002070C7" w:rsidR="00A5057C" w:rsidP="006F6C94" w:rsidRDefault="00A5057C" w14:paraId="581E9C1B"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64B824BE" w14:textId="77777777">
        <w:trPr>
          <w:gridAfter w:val="1"/>
          <w:wAfter w:w="2745" w:type="dxa"/>
          <w:trHeight w:val="300"/>
        </w:trPr>
        <w:tc>
          <w:tcPr>
            <w:tcW w:w="6804" w:type="dxa"/>
            <w:tcBorders>
              <w:left w:val="nil"/>
              <w:bottom w:val="single" w:color="auto" w:sz="4" w:space="0"/>
              <w:right w:val="nil"/>
            </w:tcBorders>
            <w:noWrap/>
            <w:hideMark/>
          </w:tcPr>
          <w:p w:rsidRPr="002070C7" w:rsidR="00A5057C" w:rsidP="006F6C94" w:rsidRDefault="00A5057C" w14:paraId="200B1883" w14:textId="77777777">
            <w:pPr>
              <w:ind w:left="171" w:firstLine="28" w:firstLineChars="14"/>
              <w:rPr>
                <w:rFonts w:ascii="Arial" w:hAnsi="Arial" w:eastAsia="Times New Roman" w:cs="Arial"/>
                <w:sz w:val="20"/>
                <w:szCs w:val="20"/>
              </w:rPr>
            </w:pPr>
            <w:r w:rsidRPr="002070C7">
              <w:rPr>
                <w:rFonts w:ascii="Arial" w:hAnsi="Arial"/>
                <w:sz w:val="20"/>
              </w:rPr>
              <w:t>f. Vlasnički instrumenti i drugi potpokazatelji vrijednosnih papira u pogledu volumena trgovanja (zbroj stavki 9.d. i 9.e.)</w:t>
            </w:r>
          </w:p>
        </w:tc>
      </w:tr>
      <w:tr w:rsidRPr="002070C7" w:rsidR="00A5057C" w:rsidTr="006F6C94" w14:paraId="3B30C502" w14:textId="77777777">
        <w:trPr>
          <w:trHeight w:val="403"/>
        </w:trPr>
        <w:tc>
          <w:tcPr>
            <w:tcW w:w="6804" w:type="dxa"/>
            <w:tcBorders>
              <w:left w:val="nil"/>
              <w:bottom w:val="nil"/>
              <w:right w:val="nil"/>
            </w:tcBorders>
            <w:noWrap/>
          </w:tcPr>
          <w:p w:rsidRPr="002070C7" w:rsidR="00A5057C" w:rsidP="006F6C94" w:rsidRDefault="00A5057C" w14:paraId="07666DFC"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left w:val="nil"/>
              <w:bottom w:val="nil"/>
              <w:right w:val="nil"/>
            </w:tcBorders>
            <w:noWrap/>
          </w:tcPr>
          <w:p w:rsidRPr="002070C7" w:rsidR="00A5057C" w:rsidP="006F6C94" w:rsidRDefault="00A5057C" w14:paraId="7F9611AB" w14:textId="77777777">
            <w:pPr>
              <w:rPr>
                <w:rFonts w:ascii="Arial" w:hAnsi="Arial" w:eastAsia="Times New Roman" w:cs="Arial"/>
                <w:sz w:val="20"/>
                <w:szCs w:val="20"/>
                <w:lang w:eastAsia="en-GB"/>
              </w:rPr>
            </w:pPr>
          </w:p>
        </w:tc>
      </w:tr>
      <w:tr w:rsidRPr="002070C7" w:rsidR="00A5057C" w:rsidTr="006F6C94" w14:paraId="51EAF280" w14:textId="77777777">
        <w:trPr>
          <w:trHeight w:val="403"/>
        </w:trPr>
        <w:tc>
          <w:tcPr>
            <w:tcW w:w="6804" w:type="dxa"/>
            <w:tcBorders>
              <w:top w:val="nil"/>
              <w:left w:val="nil"/>
              <w:bottom w:val="nil"/>
              <w:right w:val="nil"/>
            </w:tcBorders>
            <w:noWrap/>
            <w:hideMark/>
          </w:tcPr>
          <w:p w:rsidRPr="002070C7" w:rsidR="00A5057C" w:rsidP="006F6C94" w:rsidRDefault="00A5057C" w14:paraId="5902A92E" w14:textId="77777777">
            <w:pPr>
              <w:keepNext/>
              <w:keepLines/>
              <w:spacing w:before="47"/>
              <w:outlineLvl w:val="5"/>
              <w:rPr>
                <w:rFonts w:asciiTheme="majorHAnsi" w:hAnsiTheme="majorHAnsi" w:eastAsiaTheme="majorEastAsia" w:cstheme="majorBidi"/>
                <w:b/>
                <w:bCs/>
                <w:i/>
                <w:iCs/>
                <w:caps/>
                <w:spacing w:val="-2"/>
              </w:rPr>
            </w:pPr>
            <w:r w:rsidRPr="002070C7">
              <w:rPr>
                <w:rFonts w:ascii="Arial" w:hAnsi="Arial"/>
                <w:i/>
                <w:caps/>
                <w:color w:val="172B39" w:themeColor="accent1" w:themeShade="80"/>
                <w:sz w:val="20"/>
              </w:rPr>
              <w:t> </w:t>
            </w:r>
            <w:r w:rsidRPr="002070C7">
              <w:rPr>
                <w:rFonts w:asciiTheme="majorHAnsi" w:hAnsiTheme="majorHAnsi"/>
                <w:b/>
                <w:i/>
                <w:caps/>
              </w:rPr>
              <w:t>Pokazatelji složenosti</w:t>
            </w:r>
          </w:p>
          <w:p w:rsidRPr="002070C7" w:rsidR="00A5057C" w:rsidP="006F6C94" w:rsidRDefault="00A5057C" w14:paraId="5621202D" w14:textId="77777777">
            <w:pPr>
              <w:ind w:firstLine="200" w:firstLineChars="100"/>
              <w:rPr>
                <w:rFonts w:ascii="Arial" w:hAnsi="Arial" w:eastAsia="Times New Roman" w:cs="Arial"/>
                <w:sz w:val="20"/>
                <w:szCs w:val="20"/>
                <w:lang w:eastAsia="en-GB"/>
              </w:rPr>
            </w:pPr>
          </w:p>
        </w:tc>
        <w:tc>
          <w:tcPr>
            <w:tcW w:w="2745" w:type="dxa"/>
            <w:tcBorders>
              <w:top w:val="nil"/>
              <w:left w:val="nil"/>
              <w:bottom w:val="nil"/>
              <w:right w:val="nil"/>
            </w:tcBorders>
            <w:noWrap/>
            <w:hideMark/>
          </w:tcPr>
          <w:p w:rsidRPr="002070C7" w:rsidR="00A5057C" w:rsidP="006F6C94" w:rsidRDefault="00A5057C" w14:paraId="4FDC4FB7" w14:textId="77777777">
            <w:pPr>
              <w:rPr>
                <w:rFonts w:ascii="Arial" w:hAnsi="Arial" w:eastAsia="Times New Roman" w:cs="Arial"/>
                <w:sz w:val="20"/>
                <w:szCs w:val="20"/>
              </w:rPr>
            </w:pPr>
            <w:r w:rsidRPr="002070C7">
              <w:rPr>
                <w:rFonts w:ascii="Arial" w:hAnsi="Arial"/>
                <w:sz w:val="20"/>
              </w:rPr>
              <w:t> </w:t>
            </w:r>
          </w:p>
        </w:tc>
      </w:tr>
      <w:tr w:rsidRPr="002070C7" w:rsidR="00A5057C" w:rsidTr="006F6C94" w14:paraId="2D01A7C0" w14:textId="77777777">
        <w:trPr>
          <w:trHeight w:val="403"/>
        </w:trPr>
        <w:tc>
          <w:tcPr>
            <w:tcW w:w="6804" w:type="dxa"/>
            <w:tcBorders>
              <w:top w:val="nil"/>
              <w:left w:val="nil"/>
              <w:bottom w:val="single" w:color="auto" w:sz="4" w:space="0"/>
              <w:right w:val="nil"/>
            </w:tcBorders>
            <w:noWrap/>
          </w:tcPr>
          <w:p w:rsidRPr="002070C7" w:rsidR="00A5057C" w:rsidP="006F6C94" w:rsidRDefault="00A5057C" w14:paraId="3D65FC3B"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top w:val="nil"/>
              <w:left w:val="nil"/>
              <w:bottom w:val="single" w:color="auto" w:sz="4" w:space="0"/>
              <w:right w:val="nil"/>
            </w:tcBorders>
            <w:noWrap/>
          </w:tcPr>
          <w:p w:rsidRPr="002070C7" w:rsidR="00A5057C" w:rsidP="006F6C94" w:rsidRDefault="00A5057C" w14:paraId="0C8A3436" w14:textId="77777777">
            <w:pPr>
              <w:rPr>
                <w:rFonts w:ascii="Arial" w:hAnsi="Arial" w:eastAsia="Times New Roman" w:cs="Arial"/>
                <w:sz w:val="20"/>
                <w:szCs w:val="20"/>
                <w:lang w:eastAsia="en-GB"/>
              </w:rPr>
            </w:pPr>
          </w:p>
        </w:tc>
      </w:tr>
      <w:tr w:rsidRPr="002070C7" w:rsidR="00A5057C" w:rsidTr="006F6C94" w14:paraId="3591B333" w14:textId="77777777">
        <w:trPr>
          <w:trHeight w:val="300"/>
        </w:trPr>
        <w:tc>
          <w:tcPr>
            <w:tcW w:w="6804" w:type="dxa"/>
            <w:tcBorders>
              <w:left w:val="nil"/>
              <w:right w:val="nil"/>
            </w:tcBorders>
            <w:noWrap/>
          </w:tcPr>
          <w:p w:rsidRPr="002070C7" w:rsidR="00A5057C" w:rsidP="006F6C94" w:rsidRDefault="00A5057C" w14:paraId="338D4A11" w14:textId="77777777">
            <w:pPr>
              <w:ind w:firstLine="201" w:firstLineChars="100"/>
              <w:rPr>
                <w:rFonts w:ascii="Arial" w:hAnsi="Arial" w:eastAsia="Times New Roman" w:cs="Arial"/>
                <w:sz w:val="20"/>
                <w:szCs w:val="20"/>
              </w:rPr>
            </w:pPr>
            <w:r w:rsidRPr="002070C7">
              <w:rPr>
                <w:rFonts w:ascii="Arial" w:hAnsi="Arial"/>
                <w:b/>
                <w:sz w:val="20"/>
              </w:rPr>
              <w:t>Odjeljak 10. – Zamišljeni iznos OTC izvedenica</w:t>
            </w:r>
          </w:p>
        </w:tc>
        <w:tc>
          <w:tcPr>
            <w:tcW w:w="2745" w:type="dxa"/>
            <w:tcBorders>
              <w:left w:val="nil"/>
              <w:right w:val="nil"/>
            </w:tcBorders>
            <w:noWrap/>
          </w:tcPr>
          <w:p w:rsidRPr="002070C7" w:rsidR="00A5057C" w:rsidP="006F6C94" w:rsidRDefault="00A5057C" w14:paraId="4E5F356F"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68C71273" w14:textId="77777777">
        <w:trPr>
          <w:trHeight w:val="300"/>
        </w:trPr>
        <w:tc>
          <w:tcPr>
            <w:tcW w:w="6804" w:type="dxa"/>
            <w:tcBorders>
              <w:left w:val="nil"/>
              <w:right w:val="nil"/>
            </w:tcBorders>
            <w:noWrap/>
            <w:hideMark/>
          </w:tcPr>
          <w:p w:rsidRPr="002070C7" w:rsidR="00A5057C" w:rsidP="006F6C94" w:rsidRDefault="00A5057C" w14:paraId="31947722" w14:textId="77777777">
            <w:pPr>
              <w:ind w:firstLine="200" w:firstLineChars="100"/>
              <w:rPr>
                <w:rFonts w:ascii="Arial" w:hAnsi="Arial" w:eastAsia="Times New Roman" w:cs="Arial"/>
                <w:sz w:val="20"/>
                <w:szCs w:val="20"/>
              </w:rPr>
            </w:pPr>
            <w:r w:rsidRPr="002070C7">
              <w:rPr>
                <w:rFonts w:ascii="Arial" w:hAnsi="Arial"/>
                <w:sz w:val="20"/>
              </w:rPr>
              <w:t>a. OTC izvedenice za koje je poravnanje obavljeno preko središnje druge ugovorne strane</w:t>
            </w:r>
          </w:p>
        </w:tc>
        <w:tc>
          <w:tcPr>
            <w:tcW w:w="2745" w:type="dxa"/>
            <w:tcBorders>
              <w:left w:val="nil"/>
              <w:right w:val="nil"/>
            </w:tcBorders>
            <w:noWrap/>
            <w:hideMark/>
          </w:tcPr>
          <w:p w:rsidRPr="002070C7" w:rsidR="00A5057C" w:rsidP="006F6C94" w:rsidRDefault="00A5057C" w14:paraId="27AB1165"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1DCACCCF" w14:textId="77777777">
        <w:trPr>
          <w:trHeight w:val="300"/>
        </w:trPr>
        <w:tc>
          <w:tcPr>
            <w:tcW w:w="6804" w:type="dxa"/>
            <w:tcBorders>
              <w:left w:val="nil"/>
              <w:right w:val="nil"/>
            </w:tcBorders>
            <w:noWrap/>
            <w:hideMark/>
          </w:tcPr>
          <w:p w:rsidRPr="002070C7" w:rsidR="00A5057C" w:rsidP="006F6C94" w:rsidRDefault="00A5057C" w14:paraId="381BBFE9" w14:textId="77777777">
            <w:pPr>
              <w:ind w:firstLine="200" w:firstLineChars="100"/>
              <w:rPr>
                <w:rFonts w:ascii="Arial" w:hAnsi="Arial" w:eastAsia="Times New Roman" w:cs="Arial"/>
                <w:sz w:val="20"/>
                <w:szCs w:val="20"/>
              </w:rPr>
            </w:pPr>
            <w:r w:rsidRPr="002070C7">
              <w:rPr>
                <w:rFonts w:ascii="Arial" w:hAnsi="Arial"/>
                <w:sz w:val="20"/>
              </w:rPr>
              <w:t>b. OTC izvedenice obračunane bilateralno</w:t>
            </w:r>
          </w:p>
        </w:tc>
        <w:tc>
          <w:tcPr>
            <w:tcW w:w="2745" w:type="dxa"/>
            <w:tcBorders>
              <w:left w:val="nil"/>
              <w:right w:val="nil"/>
            </w:tcBorders>
            <w:noWrap/>
            <w:hideMark/>
          </w:tcPr>
          <w:p w:rsidRPr="002070C7" w:rsidR="00A5057C" w:rsidP="006F6C94" w:rsidRDefault="00A5057C" w14:paraId="1B9E2A55"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17B566F5" w14:textId="77777777">
        <w:trPr>
          <w:trHeight w:val="300"/>
        </w:trPr>
        <w:tc>
          <w:tcPr>
            <w:tcW w:w="6804" w:type="dxa"/>
            <w:tcBorders>
              <w:left w:val="nil"/>
              <w:bottom w:val="single" w:color="auto" w:sz="4" w:space="0"/>
              <w:right w:val="nil"/>
            </w:tcBorders>
            <w:noWrap/>
          </w:tcPr>
          <w:p w:rsidRPr="002070C7" w:rsidR="00A5057C" w:rsidP="006F6C94" w:rsidRDefault="00A5057C" w14:paraId="081FD115" w14:textId="77777777">
            <w:pPr>
              <w:ind w:left="171" w:firstLine="28" w:firstLineChars="14"/>
              <w:rPr>
                <w:rFonts w:ascii="Arial" w:hAnsi="Arial" w:eastAsia="Times New Roman" w:cs="Arial"/>
                <w:sz w:val="20"/>
                <w:szCs w:val="20"/>
              </w:rPr>
            </w:pPr>
            <w:r w:rsidRPr="002070C7">
              <w:rPr>
                <w:rFonts w:ascii="Arial" w:hAnsi="Arial"/>
                <w:sz w:val="20"/>
              </w:rPr>
              <w:t>c. Pokazatelj zamišljenog iznosa OTC izvedenica, uključujući društva kćeri za osiguranje (zbroj stavki 10.a. i 10.b.)</w:t>
            </w:r>
          </w:p>
        </w:tc>
        <w:tc>
          <w:tcPr>
            <w:tcW w:w="2745" w:type="dxa"/>
            <w:tcBorders>
              <w:left w:val="nil"/>
              <w:bottom w:val="single" w:color="auto" w:sz="4" w:space="0"/>
              <w:right w:val="nil"/>
            </w:tcBorders>
            <w:noWrap/>
          </w:tcPr>
          <w:p w:rsidRPr="002070C7" w:rsidR="00A5057C" w:rsidP="006F6C94" w:rsidRDefault="00A5057C" w14:paraId="47A4C8BA" w14:textId="77777777">
            <w:pPr>
              <w:jc w:val="right"/>
              <w:rPr>
                <w:rFonts w:ascii="Arial" w:hAnsi="Arial" w:eastAsia="Times New Roman" w:cs="Arial"/>
                <w:sz w:val="20"/>
                <w:szCs w:val="20"/>
                <w:lang w:eastAsia="en-GB"/>
              </w:rPr>
            </w:pPr>
          </w:p>
        </w:tc>
      </w:tr>
      <w:tr w:rsidRPr="002070C7" w:rsidR="00A5057C" w:rsidTr="006F6C94" w14:paraId="2A6C59A8" w14:textId="77777777">
        <w:trPr>
          <w:trHeight w:val="300"/>
        </w:trPr>
        <w:tc>
          <w:tcPr>
            <w:tcW w:w="6804" w:type="dxa"/>
            <w:tcBorders>
              <w:left w:val="nil"/>
              <w:bottom w:val="nil"/>
              <w:right w:val="nil"/>
            </w:tcBorders>
            <w:noWrap/>
          </w:tcPr>
          <w:p w:rsidRPr="002070C7" w:rsidR="00A5057C" w:rsidP="006F6C94" w:rsidRDefault="00A5057C" w14:paraId="253B8140"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070C7" w:rsidR="00A5057C" w:rsidP="006F6C94" w:rsidRDefault="00A5057C" w14:paraId="76DA2939" w14:textId="77777777">
            <w:pPr>
              <w:jc w:val="center"/>
              <w:rPr>
                <w:rFonts w:ascii="Arial" w:hAnsi="Arial" w:eastAsia="Times New Roman" w:cs="Arial"/>
                <w:b/>
                <w:bCs/>
                <w:sz w:val="20"/>
                <w:szCs w:val="20"/>
                <w:lang w:eastAsia="en-GB"/>
              </w:rPr>
            </w:pPr>
          </w:p>
        </w:tc>
      </w:tr>
      <w:tr w:rsidRPr="002070C7" w:rsidR="00A5057C" w:rsidTr="006F6C94" w14:paraId="13C83AB7" w14:textId="77777777">
        <w:trPr>
          <w:trHeight w:val="300"/>
        </w:trPr>
        <w:tc>
          <w:tcPr>
            <w:tcW w:w="6804" w:type="dxa"/>
            <w:tcBorders>
              <w:top w:val="nil"/>
              <w:left w:val="nil"/>
              <w:bottom w:val="single" w:color="auto" w:sz="4" w:space="0"/>
              <w:right w:val="nil"/>
            </w:tcBorders>
            <w:noWrap/>
            <w:hideMark/>
          </w:tcPr>
          <w:p w:rsidRPr="002070C7" w:rsidR="00A5057C" w:rsidP="006F6C94" w:rsidRDefault="00A5057C" w14:paraId="19B855E1" w14:textId="77777777">
            <w:pPr>
              <w:rPr>
                <w:rFonts w:ascii="Arial" w:hAnsi="Arial" w:eastAsia="Times New Roman" w:cs="Arial"/>
                <w:b/>
                <w:bCs/>
                <w:sz w:val="20"/>
                <w:szCs w:val="20"/>
              </w:rPr>
            </w:pPr>
            <w:r w:rsidRPr="002070C7">
              <w:rPr>
                <w:rFonts w:ascii="Arial" w:hAnsi="Arial"/>
                <w:b/>
                <w:sz w:val="20"/>
              </w:rPr>
              <w:t>Odjeljak 11. – Vrijednosni papiri namijenjeni trgovanju i raspoloživi za prodaju</w:t>
            </w:r>
          </w:p>
        </w:tc>
        <w:tc>
          <w:tcPr>
            <w:tcW w:w="2745" w:type="dxa"/>
            <w:tcBorders>
              <w:top w:val="nil"/>
              <w:left w:val="nil"/>
              <w:bottom w:val="single" w:color="auto" w:sz="4" w:space="0"/>
              <w:right w:val="nil"/>
            </w:tcBorders>
            <w:hideMark/>
          </w:tcPr>
          <w:p w:rsidRPr="002070C7" w:rsidR="00A5057C" w:rsidP="006F6C94" w:rsidRDefault="00A5057C" w14:paraId="4FC35607"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011DDDF1" w14:textId="77777777">
        <w:trPr>
          <w:trHeight w:val="300"/>
        </w:trPr>
        <w:tc>
          <w:tcPr>
            <w:tcW w:w="6804" w:type="dxa"/>
            <w:tcBorders>
              <w:left w:val="nil"/>
              <w:right w:val="nil"/>
            </w:tcBorders>
            <w:noWrap/>
            <w:hideMark/>
          </w:tcPr>
          <w:p w:rsidRPr="002070C7" w:rsidR="00A5057C" w:rsidP="006F6C94" w:rsidRDefault="00A5057C" w14:paraId="03812EBD" w14:textId="77777777">
            <w:pPr>
              <w:ind w:firstLine="200" w:firstLineChars="100"/>
              <w:rPr>
                <w:rFonts w:ascii="Arial" w:hAnsi="Arial" w:eastAsia="Times New Roman" w:cs="Arial"/>
                <w:sz w:val="20"/>
                <w:szCs w:val="20"/>
              </w:rPr>
            </w:pPr>
            <w:r w:rsidRPr="002070C7">
              <w:rPr>
                <w:rFonts w:ascii="Arial" w:hAnsi="Arial"/>
                <w:sz w:val="20"/>
              </w:rPr>
              <w:t>a. Vrijednosni papiri namijenjeni trgovanju</w:t>
            </w:r>
          </w:p>
        </w:tc>
        <w:tc>
          <w:tcPr>
            <w:tcW w:w="2745" w:type="dxa"/>
            <w:tcBorders>
              <w:left w:val="nil"/>
              <w:right w:val="nil"/>
            </w:tcBorders>
            <w:noWrap/>
            <w:hideMark/>
          </w:tcPr>
          <w:p w:rsidRPr="002070C7" w:rsidR="00A5057C" w:rsidP="006F6C94" w:rsidRDefault="00A5057C" w14:paraId="0DEABB3D"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7CFFEF61" w14:textId="77777777">
        <w:trPr>
          <w:trHeight w:val="300"/>
        </w:trPr>
        <w:tc>
          <w:tcPr>
            <w:tcW w:w="6804" w:type="dxa"/>
            <w:tcBorders>
              <w:left w:val="nil"/>
              <w:bottom w:val="single" w:color="auto" w:sz="4" w:space="0"/>
              <w:right w:val="nil"/>
            </w:tcBorders>
            <w:noWrap/>
            <w:hideMark/>
          </w:tcPr>
          <w:p w:rsidRPr="002070C7" w:rsidR="00A5057C" w:rsidP="006F6C94" w:rsidRDefault="00A5057C" w14:paraId="71D824AA" w14:textId="77777777">
            <w:pPr>
              <w:ind w:firstLine="200" w:firstLineChars="100"/>
              <w:rPr>
                <w:rFonts w:ascii="Arial" w:hAnsi="Arial" w:eastAsia="Times New Roman" w:cs="Arial"/>
                <w:sz w:val="20"/>
                <w:szCs w:val="20"/>
              </w:rPr>
            </w:pPr>
            <w:r w:rsidRPr="002070C7">
              <w:rPr>
                <w:rFonts w:ascii="Arial" w:hAnsi="Arial"/>
                <w:sz w:val="20"/>
              </w:rPr>
              <w:t>b. Vrijednosni papiri raspoloživi za prodaju</w:t>
            </w:r>
          </w:p>
        </w:tc>
        <w:tc>
          <w:tcPr>
            <w:tcW w:w="2745" w:type="dxa"/>
            <w:tcBorders>
              <w:left w:val="nil"/>
              <w:right w:val="nil"/>
            </w:tcBorders>
            <w:noWrap/>
            <w:hideMark/>
          </w:tcPr>
          <w:p w:rsidRPr="002070C7" w:rsidR="00A5057C" w:rsidP="006F6C94" w:rsidRDefault="00A5057C" w14:paraId="0C037DDB"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11EC8D6E" w14:textId="77777777">
        <w:trPr>
          <w:trHeight w:val="300"/>
        </w:trPr>
        <w:tc>
          <w:tcPr>
            <w:tcW w:w="6804" w:type="dxa"/>
            <w:tcBorders>
              <w:left w:val="nil"/>
              <w:bottom w:val="single" w:color="auto" w:sz="4" w:space="0"/>
              <w:right w:val="nil"/>
            </w:tcBorders>
            <w:noWrap/>
          </w:tcPr>
          <w:p w:rsidRPr="002070C7" w:rsidR="00A5057C" w:rsidP="006F6C94" w:rsidRDefault="00A5057C" w14:paraId="018F5E9E" w14:textId="77777777">
            <w:pPr>
              <w:ind w:firstLine="200" w:firstLineChars="100"/>
              <w:rPr>
                <w:rFonts w:ascii="Arial" w:hAnsi="Arial" w:eastAsia="Times New Roman" w:cs="Arial"/>
                <w:sz w:val="20"/>
                <w:szCs w:val="20"/>
              </w:rPr>
            </w:pPr>
            <w:r w:rsidRPr="002070C7">
              <w:rPr>
                <w:rFonts w:ascii="Arial" w:hAnsi="Arial"/>
                <w:sz w:val="20"/>
              </w:rPr>
              <w:t>c. Vrijednosni papiri namijenjeni trgovanju i vrijednosni papiri raspoloživi za prodaju koji odgovaraju definiciji imovine razine 1</w:t>
            </w:r>
          </w:p>
        </w:tc>
        <w:tc>
          <w:tcPr>
            <w:tcW w:w="2745" w:type="dxa"/>
            <w:tcBorders>
              <w:left w:val="nil"/>
              <w:right w:val="nil"/>
            </w:tcBorders>
            <w:noWrap/>
          </w:tcPr>
          <w:p w:rsidRPr="002070C7" w:rsidR="00A5057C" w:rsidP="006F6C94" w:rsidRDefault="00A5057C" w14:paraId="742D88F8" w14:textId="77777777">
            <w:pPr>
              <w:jc w:val="right"/>
              <w:rPr>
                <w:rFonts w:ascii="Arial" w:hAnsi="Arial" w:eastAsia="Times New Roman" w:cs="Arial"/>
                <w:sz w:val="20"/>
                <w:szCs w:val="20"/>
                <w:lang w:eastAsia="en-GB"/>
              </w:rPr>
            </w:pPr>
          </w:p>
        </w:tc>
      </w:tr>
      <w:tr w:rsidRPr="002070C7" w:rsidR="00A5057C" w:rsidTr="006F6C94" w14:paraId="26B6CD12" w14:textId="77777777">
        <w:trPr>
          <w:trHeight w:val="300"/>
        </w:trPr>
        <w:tc>
          <w:tcPr>
            <w:tcW w:w="6804" w:type="dxa"/>
            <w:tcBorders>
              <w:left w:val="nil"/>
              <w:bottom w:val="single" w:color="auto" w:sz="4" w:space="0"/>
              <w:right w:val="nil"/>
            </w:tcBorders>
            <w:noWrap/>
          </w:tcPr>
          <w:p w:rsidRPr="002070C7" w:rsidR="00A5057C" w:rsidP="006F6C94" w:rsidRDefault="00A5057C" w14:paraId="3AFA733A" w14:textId="77777777">
            <w:pPr>
              <w:ind w:left="171" w:firstLine="28" w:firstLineChars="14"/>
              <w:rPr>
                <w:rFonts w:ascii="Arial" w:hAnsi="Arial" w:eastAsia="Times New Roman" w:cs="Arial"/>
                <w:sz w:val="20"/>
                <w:szCs w:val="20"/>
              </w:rPr>
            </w:pPr>
            <w:r w:rsidRPr="002070C7">
              <w:rPr>
                <w:rFonts w:ascii="Arial" w:hAnsi="Arial"/>
                <w:sz w:val="20"/>
              </w:rPr>
              <w:t>d. Vrijednosni papiri namijenjeni trgovanju i vrijednosni papiri raspoloživi za prodaju koji odgovaraju definiciji imovine razine 2, s korektivnim faktorima</w:t>
            </w:r>
          </w:p>
        </w:tc>
        <w:tc>
          <w:tcPr>
            <w:tcW w:w="2745" w:type="dxa"/>
            <w:tcBorders>
              <w:left w:val="nil"/>
              <w:right w:val="nil"/>
            </w:tcBorders>
            <w:noWrap/>
          </w:tcPr>
          <w:p w:rsidRPr="002070C7" w:rsidR="00A5057C" w:rsidP="006F6C94" w:rsidRDefault="00A5057C" w14:paraId="35234FBD" w14:textId="77777777">
            <w:pPr>
              <w:jc w:val="right"/>
              <w:rPr>
                <w:rFonts w:ascii="Arial" w:hAnsi="Arial" w:eastAsia="Times New Roman" w:cs="Arial"/>
                <w:sz w:val="20"/>
                <w:szCs w:val="20"/>
                <w:lang w:eastAsia="en-GB"/>
              </w:rPr>
            </w:pPr>
          </w:p>
        </w:tc>
      </w:tr>
      <w:tr w:rsidRPr="002070C7" w:rsidR="00A5057C" w:rsidTr="006F6C94" w14:paraId="01868739" w14:textId="77777777">
        <w:trPr>
          <w:trHeight w:val="300"/>
        </w:trPr>
        <w:tc>
          <w:tcPr>
            <w:tcW w:w="6804" w:type="dxa"/>
            <w:tcBorders>
              <w:left w:val="nil"/>
              <w:bottom w:val="single" w:color="auto" w:sz="4" w:space="0"/>
              <w:right w:val="nil"/>
            </w:tcBorders>
            <w:noWrap/>
          </w:tcPr>
          <w:p w:rsidRPr="002070C7" w:rsidR="00A5057C" w:rsidP="006F6C94" w:rsidRDefault="00A5057C" w14:paraId="4DE5E2FC" w14:textId="77777777">
            <w:pPr>
              <w:ind w:left="171" w:firstLine="28" w:firstLineChars="14"/>
              <w:rPr>
                <w:rFonts w:ascii="Arial" w:hAnsi="Arial" w:eastAsia="Times New Roman" w:cs="Arial"/>
                <w:sz w:val="20"/>
                <w:szCs w:val="20"/>
              </w:rPr>
            </w:pPr>
            <w:r w:rsidRPr="002070C7">
              <w:rPr>
                <w:rFonts w:ascii="Arial" w:hAnsi="Arial"/>
                <w:sz w:val="20"/>
              </w:rPr>
              <w:t>e. Pokazatelj vrijednosnih papira namijenjenih trgovanju i vrijednosnih papira raspoloživih za prodaju (zbroj stavki 11.a i 11.b, minus zbroj 11.c i 11.d)</w:t>
            </w:r>
          </w:p>
        </w:tc>
        <w:tc>
          <w:tcPr>
            <w:tcW w:w="2745" w:type="dxa"/>
            <w:tcBorders>
              <w:left w:val="nil"/>
              <w:bottom w:val="single" w:color="auto" w:sz="4" w:space="0"/>
              <w:right w:val="nil"/>
            </w:tcBorders>
            <w:noWrap/>
          </w:tcPr>
          <w:p w:rsidRPr="002070C7" w:rsidR="00A5057C" w:rsidP="006F6C94" w:rsidRDefault="00A5057C" w14:paraId="0741C746" w14:textId="77777777">
            <w:pPr>
              <w:jc w:val="right"/>
              <w:rPr>
                <w:rFonts w:ascii="Arial" w:hAnsi="Arial" w:eastAsia="Times New Roman" w:cs="Arial"/>
                <w:sz w:val="20"/>
                <w:szCs w:val="20"/>
                <w:lang w:eastAsia="en-GB"/>
              </w:rPr>
            </w:pPr>
          </w:p>
        </w:tc>
      </w:tr>
      <w:tr w:rsidRPr="002070C7" w:rsidR="00A5057C" w:rsidTr="006F6C94" w14:paraId="60D64140" w14:textId="77777777">
        <w:trPr>
          <w:trHeight w:val="300"/>
        </w:trPr>
        <w:tc>
          <w:tcPr>
            <w:tcW w:w="6804" w:type="dxa"/>
            <w:tcBorders>
              <w:left w:val="nil"/>
              <w:bottom w:val="nil"/>
              <w:right w:val="nil"/>
            </w:tcBorders>
            <w:noWrap/>
          </w:tcPr>
          <w:p w:rsidRPr="002070C7" w:rsidR="00A5057C" w:rsidP="006F6C94" w:rsidRDefault="00A5057C" w14:paraId="20FE516D"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070C7" w:rsidR="00A5057C" w:rsidP="006F6C94" w:rsidRDefault="00A5057C" w14:paraId="57869385" w14:textId="77777777">
            <w:pPr>
              <w:jc w:val="center"/>
              <w:rPr>
                <w:rFonts w:ascii="Arial" w:hAnsi="Arial" w:eastAsia="Times New Roman" w:cs="Arial"/>
                <w:b/>
                <w:bCs/>
                <w:sz w:val="20"/>
                <w:szCs w:val="20"/>
                <w:lang w:eastAsia="en-GB"/>
              </w:rPr>
            </w:pPr>
          </w:p>
        </w:tc>
      </w:tr>
      <w:tr w:rsidRPr="002070C7" w:rsidR="00A5057C" w:rsidTr="006F6C94" w14:paraId="60CC454B" w14:textId="77777777">
        <w:trPr>
          <w:trHeight w:val="300"/>
        </w:trPr>
        <w:tc>
          <w:tcPr>
            <w:tcW w:w="6804" w:type="dxa"/>
            <w:tcBorders>
              <w:top w:val="nil"/>
              <w:left w:val="nil"/>
              <w:bottom w:val="single" w:color="auto" w:sz="4" w:space="0"/>
              <w:right w:val="nil"/>
            </w:tcBorders>
            <w:noWrap/>
            <w:hideMark/>
          </w:tcPr>
          <w:p w:rsidRPr="002070C7" w:rsidR="00A5057C" w:rsidP="006F6C94" w:rsidRDefault="00A5057C" w14:paraId="16921403" w14:textId="77777777">
            <w:pPr>
              <w:rPr>
                <w:rFonts w:ascii="Arial" w:hAnsi="Arial" w:eastAsia="Times New Roman" w:cs="Arial"/>
                <w:b/>
                <w:bCs/>
                <w:sz w:val="20"/>
                <w:szCs w:val="20"/>
              </w:rPr>
            </w:pPr>
            <w:r w:rsidRPr="002070C7">
              <w:rPr>
                <w:rFonts w:ascii="Arial" w:hAnsi="Arial"/>
                <w:b/>
                <w:sz w:val="20"/>
              </w:rPr>
              <w:t>Odjeljak 12. – Imovina 3. razine</w:t>
            </w:r>
          </w:p>
        </w:tc>
        <w:tc>
          <w:tcPr>
            <w:tcW w:w="2745" w:type="dxa"/>
            <w:tcBorders>
              <w:top w:val="nil"/>
              <w:left w:val="nil"/>
              <w:bottom w:val="single" w:color="auto" w:sz="4" w:space="0"/>
              <w:right w:val="nil"/>
            </w:tcBorders>
            <w:hideMark/>
          </w:tcPr>
          <w:p w:rsidRPr="002070C7" w:rsidR="00A5057C" w:rsidP="006F6C94" w:rsidRDefault="00A5057C" w14:paraId="7D166FCF"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471C89E8" w14:textId="77777777">
        <w:trPr>
          <w:trHeight w:val="300"/>
        </w:trPr>
        <w:tc>
          <w:tcPr>
            <w:tcW w:w="6804" w:type="dxa"/>
            <w:tcBorders>
              <w:left w:val="nil"/>
              <w:bottom w:val="single" w:color="auto" w:sz="4" w:space="0"/>
              <w:right w:val="nil"/>
            </w:tcBorders>
            <w:noWrap/>
            <w:hideMark/>
          </w:tcPr>
          <w:p w:rsidRPr="002070C7" w:rsidR="00A5057C" w:rsidP="006F6C94" w:rsidRDefault="00A5057C" w14:paraId="178B3A12" w14:textId="77777777">
            <w:pPr>
              <w:ind w:firstLine="200" w:firstLineChars="100"/>
              <w:rPr>
                <w:rFonts w:ascii="Arial" w:hAnsi="Arial" w:eastAsia="Times New Roman" w:cs="Arial"/>
                <w:sz w:val="20"/>
                <w:szCs w:val="20"/>
              </w:rPr>
            </w:pPr>
            <w:r w:rsidRPr="002070C7">
              <w:rPr>
                <w:rFonts w:ascii="Arial" w:hAnsi="Arial"/>
                <w:sz w:val="20"/>
              </w:rPr>
              <w:t xml:space="preserve">a. Pokazatelj imovine razine 3, uključujući društva kćeri za osiguranje </w:t>
            </w:r>
          </w:p>
        </w:tc>
        <w:tc>
          <w:tcPr>
            <w:tcW w:w="2745" w:type="dxa"/>
            <w:tcBorders>
              <w:left w:val="nil"/>
              <w:bottom w:val="single" w:color="auto" w:sz="4" w:space="0"/>
              <w:right w:val="nil"/>
            </w:tcBorders>
            <w:noWrap/>
            <w:hideMark/>
          </w:tcPr>
          <w:p w:rsidRPr="002070C7" w:rsidR="00A5057C" w:rsidP="006F6C94" w:rsidRDefault="00A5057C" w14:paraId="533F86A0"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0F72F2EC" w14:textId="77777777">
        <w:trPr>
          <w:trHeight w:val="300"/>
        </w:trPr>
        <w:tc>
          <w:tcPr>
            <w:tcW w:w="6804" w:type="dxa"/>
            <w:tcBorders>
              <w:left w:val="nil"/>
              <w:bottom w:val="nil"/>
              <w:right w:val="nil"/>
            </w:tcBorders>
            <w:noWrap/>
          </w:tcPr>
          <w:p w:rsidRPr="002070C7" w:rsidR="00A5057C" w:rsidP="006F6C94" w:rsidRDefault="00A5057C" w14:paraId="2CE364B2"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2070C7" w:rsidR="00A5057C" w:rsidP="006F6C94" w:rsidRDefault="00A5057C" w14:paraId="2A9ACB38" w14:textId="77777777">
            <w:pPr>
              <w:jc w:val="right"/>
              <w:rPr>
                <w:rFonts w:ascii="Arial" w:hAnsi="Arial" w:eastAsia="Times New Roman" w:cs="Arial"/>
                <w:sz w:val="20"/>
                <w:szCs w:val="20"/>
                <w:lang w:eastAsia="en-GB"/>
              </w:rPr>
            </w:pPr>
          </w:p>
        </w:tc>
      </w:tr>
      <w:tr w:rsidRPr="002070C7" w:rsidR="00A5057C" w:rsidTr="006F6C94" w14:paraId="171EF9BE" w14:textId="77777777">
        <w:trPr>
          <w:trHeight w:val="300"/>
        </w:trPr>
        <w:tc>
          <w:tcPr>
            <w:tcW w:w="6804" w:type="dxa"/>
            <w:tcBorders>
              <w:top w:val="nil"/>
              <w:left w:val="nil"/>
              <w:bottom w:val="nil"/>
              <w:right w:val="nil"/>
            </w:tcBorders>
            <w:noWrap/>
          </w:tcPr>
          <w:p w:rsidRPr="002070C7" w:rsidR="00A5057C" w:rsidP="006F6C94" w:rsidRDefault="00A5057C" w14:paraId="47DDF777" w14:textId="77777777">
            <w:pPr>
              <w:ind w:firstLine="221" w:firstLineChars="100"/>
              <w:rPr>
                <w:rFonts w:ascii="Arial" w:hAnsi="Arial" w:eastAsia="Times New Roman" w:cs="Arial"/>
                <w:sz w:val="20"/>
                <w:szCs w:val="20"/>
              </w:rPr>
            </w:pPr>
            <w:r w:rsidRPr="002070C7">
              <w:rPr>
                <w:rFonts w:asciiTheme="majorHAnsi" w:hAnsiTheme="majorHAnsi"/>
                <w:b/>
                <w:i/>
                <w:caps/>
              </w:rPr>
              <w:t>Pokazatelji međudržavnih aktivnosti</w:t>
            </w:r>
          </w:p>
        </w:tc>
        <w:tc>
          <w:tcPr>
            <w:tcW w:w="2745" w:type="dxa"/>
            <w:tcBorders>
              <w:top w:val="nil"/>
              <w:left w:val="nil"/>
              <w:bottom w:val="nil"/>
              <w:right w:val="nil"/>
            </w:tcBorders>
            <w:noWrap/>
          </w:tcPr>
          <w:p w:rsidRPr="002070C7" w:rsidR="00A5057C" w:rsidP="006F6C94" w:rsidRDefault="00A5057C" w14:paraId="296B5EC2" w14:textId="77777777">
            <w:pPr>
              <w:jc w:val="right"/>
              <w:rPr>
                <w:rFonts w:ascii="Arial" w:hAnsi="Arial" w:eastAsia="Times New Roman" w:cs="Arial"/>
                <w:sz w:val="20"/>
                <w:szCs w:val="20"/>
                <w:lang w:eastAsia="en-GB"/>
              </w:rPr>
            </w:pPr>
          </w:p>
        </w:tc>
      </w:tr>
      <w:tr w:rsidRPr="002070C7" w:rsidR="00A5057C" w:rsidTr="006F6C94" w14:paraId="3B141CAD" w14:textId="77777777">
        <w:trPr>
          <w:trHeight w:val="300"/>
        </w:trPr>
        <w:tc>
          <w:tcPr>
            <w:tcW w:w="6804" w:type="dxa"/>
            <w:tcBorders>
              <w:top w:val="nil"/>
              <w:left w:val="nil"/>
              <w:bottom w:val="single" w:color="auto" w:sz="4" w:space="0"/>
              <w:right w:val="nil"/>
            </w:tcBorders>
            <w:noWrap/>
          </w:tcPr>
          <w:p w:rsidRPr="002070C7" w:rsidR="00A5057C" w:rsidP="006F6C94" w:rsidRDefault="00A5057C" w14:paraId="1A5FA985"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2070C7" w:rsidR="00A5057C" w:rsidP="006F6C94" w:rsidRDefault="00A5057C" w14:paraId="62F70F55" w14:textId="77777777">
            <w:pPr>
              <w:jc w:val="right"/>
              <w:rPr>
                <w:rFonts w:ascii="Arial" w:hAnsi="Arial" w:eastAsia="Times New Roman" w:cs="Arial"/>
                <w:sz w:val="20"/>
                <w:szCs w:val="20"/>
                <w:lang w:eastAsia="en-GB"/>
              </w:rPr>
            </w:pPr>
          </w:p>
        </w:tc>
      </w:tr>
      <w:tr w:rsidRPr="002070C7" w:rsidR="00A5057C" w:rsidTr="006F6C94" w14:paraId="0A3C6F7F" w14:textId="77777777">
        <w:trPr>
          <w:trHeight w:val="300"/>
        </w:trPr>
        <w:tc>
          <w:tcPr>
            <w:tcW w:w="6804" w:type="dxa"/>
            <w:tcBorders>
              <w:left w:val="nil"/>
              <w:bottom w:val="single" w:color="auto" w:sz="4" w:space="0"/>
              <w:right w:val="nil"/>
            </w:tcBorders>
            <w:noWrap/>
            <w:hideMark/>
          </w:tcPr>
          <w:p w:rsidRPr="002070C7" w:rsidR="00A5057C" w:rsidP="006F6C94" w:rsidRDefault="00A5057C" w14:paraId="0D9CE8CD" w14:textId="77777777">
            <w:pPr>
              <w:rPr>
                <w:rFonts w:ascii="Arial" w:hAnsi="Arial" w:eastAsia="Times New Roman" w:cs="Arial"/>
                <w:b/>
                <w:bCs/>
                <w:sz w:val="20"/>
                <w:szCs w:val="20"/>
              </w:rPr>
            </w:pPr>
            <w:r w:rsidRPr="002070C7">
              <w:rPr>
                <w:rFonts w:ascii="Arial" w:hAnsi="Arial"/>
                <w:b/>
                <w:sz w:val="20"/>
              </w:rPr>
              <w:t>Odjeljak 13. – Međudržavna potraživanja</w:t>
            </w:r>
          </w:p>
        </w:tc>
        <w:tc>
          <w:tcPr>
            <w:tcW w:w="2745" w:type="dxa"/>
            <w:tcBorders>
              <w:left w:val="nil"/>
              <w:bottom w:val="single" w:color="auto" w:sz="4" w:space="0"/>
              <w:right w:val="nil"/>
            </w:tcBorders>
            <w:hideMark/>
          </w:tcPr>
          <w:p w:rsidRPr="002070C7" w:rsidR="00A5057C" w:rsidP="006F6C94" w:rsidRDefault="00A5057C" w14:paraId="579BACAE"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08C7624C" w14:textId="77777777">
        <w:trPr>
          <w:trHeight w:val="300"/>
        </w:trPr>
        <w:tc>
          <w:tcPr>
            <w:tcW w:w="6804" w:type="dxa"/>
            <w:tcBorders>
              <w:left w:val="nil"/>
              <w:right w:val="nil"/>
            </w:tcBorders>
            <w:noWrap/>
            <w:hideMark/>
          </w:tcPr>
          <w:p w:rsidRPr="002070C7" w:rsidR="00A5057C" w:rsidP="006F6C94" w:rsidRDefault="00A5057C" w14:paraId="4B8E1E46" w14:textId="77777777">
            <w:pPr>
              <w:ind w:firstLine="200" w:firstLineChars="100"/>
              <w:rPr>
                <w:rFonts w:ascii="Arial" w:hAnsi="Arial" w:eastAsia="Times New Roman" w:cs="Arial"/>
                <w:sz w:val="20"/>
                <w:szCs w:val="20"/>
              </w:rPr>
            </w:pPr>
            <w:r w:rsidRPr="002070C7">
              <w:rPr>
                <w:rFonts w:ascii="Arial" w:hAnsi="Arial"/>
                <w:sz w:val="20"/>
              </w:rPr>
              <w:t>a. Ukupna inozemna potraživanja na temelju krajnjeg rizika</w:t>
            </w:r>
          </w:p>
        </w:tc>
        <w:tc>
          <w:tcPr>
            <w:tcW w:w="2745" w:type="dxa"/>
            <w:tcBorders>
              <w:left w:val="nil"/>
              <w:right w:val="nil"/>
            </w:tcBorders>
            <w:noWrap/>
            <w:hideMark/>
          </w:tcPr>
          <w:p w:rsidRPr="002070C7" w:rsidR="00A5057C" w:rsidP="006F6C94" w:rsidRDefault="00A5057C" w14:paraId="262C33AE"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09CD67CD" w14:textId="77777777">
        <w:trPr>
          <w:trHeight w:val="300"/>
        </w:trPr>
        <w:tc>
          <w:tcPr>
            <w:tcW w:w="6804" w:type="dxa"/>
            <w:tcBorders>
              <w:left w:val="nil"/>
              <w:right w:val="nil"/>
            </w:tcBorders>
            <w:noWrap/>
            <w:hideMark/>
          </w:tcPr>
          <w:p w:rsidRPr="002070C7" w:rsidR="00A5057C" w:rsidP="006F6C94" w:rsidRDefault="00A5057C" w14:paraId="6412A70B" w14:textId="77777777">
            <w:pPr>
              <w:ind w:firstLine="200" w:firstLineChars="100"/>
              <w:rPr>
                <w:rFonts w:ascii="Arial" w:hAnsi="Arial" w:eastAsia="Times New Roman" w:cs="Arial"/>
                <w:sz w:val="20"/>
                <w:szCs w:val="20"/>
              </w:rPr>
            </w:pPr>
            <w:r w:rsidRPr="002070C7">
              <w:rPr>
                <w:rFonts w:ascii="Arial" w:hAnsi="Arial"/>
                <w:sz w:val="20"/>
              </w:rPr>
              <w:lastRenderedPageBreak/>
              <w:t>b. Inozemna potraživanja povezana s izvedenicama na temelju krajnjeg rizika</w:t>
            </w:r>
          </w:p>
        </w:tc>
        <w:tc>
          <w:tcPr>
            <w:tcW w:w="2745" w:type="dxa"/>
            <w:tcBorders>
              <w:left w:val="nil"/>
              <w:right w:val="nil"/>
            </w:tcBorders>
            <w:noWrap/>
            <w:hideMark/>
          </w:tcPr>
          <w:p w:rsidRPr="002070C7" w:rsidR="00A5057C" w:rsidP="006F6C94" w:rsidRDefault="00A5057C" w14:paraId="3A9F3BFF"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1E660037" w14:textId="77777777">
        <w:trPr>
          <w:gridAfter w:val="1"/>
          <w:wAfter w:w="2745" w:type="dxa"/>
          <w:trHeight w:val="300"/>
        </w:trPr>
        <w:tc>
          <w:tcPr>
            <w:tcW w:w="6804" w:type="dxa"/>
            <w:tcBorders>
              <w:left w:val="nil"/>
              <w:bottom w:val="single" w:color="auto" w:sz="4" w:space="0"/>
              <w:right w:val="nil"/>
            </w:tcBorders>
            <w:hideMark/>
          </w:tcPr>
          <w:p w:rsidRPr="002070C7" w:rsidR="00A5057C" w:rsidP="006F6C94" w:rsidRDefault="00A5057C" w14:paraId="2813E5DC" w14:textId="77777777">
            <w:pPr>
              <w:ind w:firstLine="200" w:firstLineChars="100"/>
              <w:rPr>
                <w:rFonts w:ascii="Arial" w:hAnsi="Arial" w:eastAsia="Times New Roman" w:cs="Arial"/>
                <w:sz w:val="20"/>
                <w:szCs w:val="20"/>
              </w:rPr>
            </w:pPr>
            <w:r w:rsidRPr="002070C7">
              <w:rPr>
                <w:rFonts w:ascii="Arial" w:hAnsi="Arial"/>
                <w:sz w:val="20"/>
              </w:rPr>
              <w:t>c. Pokazatelj međudržavnih potraživanja (zbroj stavki 13.a i 13.b)</w:t>
            </w:r>
          </w:p>
        </w:tc>
      </w:tr>
      <w:tr w:rsidRPr="002070C7" w:rsidR="00A5057C" w:rsidTr="006F6C94" w14:paraId="1AE9FA84" w14:textId="77777777">
        <w:trPr>
          <w:trHeight w:val="300"/>
        </w:trPr>
        <w:tc>
          <w:tcPr>
            <w:tcW w:w="6804" w:type="dxa"/>
            <w:tcBorders>
              <w:left w:val="nil"/>
              <w:bottom w:val="nil"/>
              <w:right w:val="nil"/>
            </w:tcBorders>
            <w:noWrap/>
          </w:tcPr>
          <w:p w:rsidRPr="002070C7" w:rsidR="00A5057C" w:rsidP="006F6C94" w:rsidRDefault="00A5057C" w14:paraId="4A2308E9"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070C7" w:rsidR="00A5057C" w:rsidP="006F6C94" w:rsidRDefault="00A5057C" w14:paraId="3D199EB2" w14:textId="77777777">
            <w:pPr>
              <w:jc w:val="center"/>
              <w:rPr>
                <w:rFonts w:ascii="Arial" w:hAnsi="Arial" w:eastAsia="Times New Roman" w:cs="Arial"/>
                <w:b/>
                <w:bCs/>
                <w:sz w:val="20"/>
                <w:szCs w:val="20"/>
                <w:lang w:eastAsia="en-GB"/>
              </w:rPr>
            </w:pPr>
          </w:p>
        </w:tc>
      </w:tr>
      <w:tr w:rsidRPr="002070C7" w:rsidR="00A5057C" w:rsidTr="006F6C94" w14:paraId="0095380B" w14:textId="77777777">
        <w:trPr>
          <w:trHeight w:val="300"/>
        </w:trPr>
        <w:tc>
          <w:tcPr>
            <w:tcW w:w="6804" w:type="dxa"/>
            <w:tcBorders>
              <w:top w:val="nil"/>
              <w:left w:val="nil"/>
              <w:bottom w:val="single" w:color="auto" w:sz="4" w:space="0"/>
              <w:right w:val="nil"/>
            </w:tcBorders>
            <w:noWrap/>
            <w:hideMark/>
          </w:tcPr>
          <w:p w:rsidRPr="002070C7" w:rsidR="00A5057C" w:rsidP="006F6C94" w:rsidRDefault="00A5057C" w14:paraId="1D3C6A5B" w14:textId="77777777">
            <w:pPr>
              <w:rPr>
                <w:rFonts w:ascii="Arial" w:hAnsi="Arial" w:eastAsia="Times New Roman" w:cs="Arial"/>
                <w:b/>
                <w:bCs/>
                <w:sz w:val="20"/>
                <w:szCs w:val="20"/>
              </w:rPr>
            </w:pPr>
            <w:r w:rsidRPr="002070C7">
              <w:rPr>
                <w:rFonts w:ascii="Arial" w:hAnsi="Arial"/>
                <w:b/>
                <w:sz w:val="20"/>
              </w:rPr>
              <w:t>Odjeljak 14. – Međudržavne obveze</w:t>
            </w:r>
          </w:p>
        </w:tc>
        <w:tc>
          <w:tcPr>
            <w:tcW w:w="2745" w:type="dxa"/>
            <w:tcBorders>
              <w:top w:val="nil"/>
              <w:left w:val="nil"/>
              <w:right w:val="nil"/>
            </w:tcBorders>
            <w:hideMark/>
          </w:tcPr>
          <w:p w:rsidRPr="002070C7" w:rsidR="00A5057C" w:rsidP="006F6C94" w:rsidRDefault="00A5057C" w14:paraId="31C8D4B7"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74FB83EF" w14:textId="77777777">
        <w:trPr>
          <w:gridAfter w:val="1"/>
          <w:wAfter w:w="2745" w:type="dxa"/>
          <w:trHeight w:val="300"/>
        </w:trPr>
        <w:tc>
          <w:tcPr>
            <w:tcW w:w="6804" w:type="dxa"/>
            <w:tcBorders>
              <w:left w:val="nil"/>
              <w:right w:val="nil"/>
            </w:tcBorders>
            <w:noWrap/>
            <w:hideMark/>
          </w:tcPr>
          <w:p w:rsidRPr="002070C7" w:rsidR="00A5057C" w:rsidP="006F6C94" w:rsidRDefault="00A5057C" w14:paraId="77939D03" w14:textId="77777777">
            <w:pPr>
              <w:ind w:left="171" w:firstLine="28" w:firstLineChars="14"/>
              <w:rPr>
                <w:rFonts w:ascii="Arial" w:hAnsi="Arial" w:eastAsia="Times New Roman" w:cs="Arial"/>
                <w:sz w:val="20"/>
                <w:szCs w:val="20"/>
              </w:rPr>
            </w:pPr>
            <w:r w:rsidRPr="002070C7">
              <w:rPr>
                <w:rFonts w:ascii="Arial" w:hAnsi="Arial"/>
                <w:sz w:val="20"/>
              </w:rPr>
              <w:t>a. Inozemne obveze na temelju neposrednog rizika, isključujući izvedenice i uključujući lokalne obveze u lokalnoj valuti</w:t>
            </w:r>
          </w:p>
        </w:tc>
      </w:tr>
      <w:tr w:rsidRPr="002070C7" w:rsidR="00A5057C" w:rsidTr="006F6C94" w14:paraId="230F32BF" w14:textId="77777777">
        <w:trPr>
          <w:trHeight w:val="300"/>
        </w:trPr>
        <w:tc>
          <w:tcPr>
            <w:tcW w:w="6804" w:type="dxa"/>
            <w:tcBorders>
              <w:left w:val="nil"/>
              <w:right w:val="nil"/>
            </w:tcBorders>
            <w:noWrap/>
            <w:hideMark/>
          </w:tcPr>
          <w:p w:rsidRPr="002070C7" w:rsidR="00A5057C" w:rsidP="006F6C94" w:rsidRDefault="00A5057C" w14:paraId="70015957" w14:textId="77777777">
            <w:pPr>
              <w:ind w:firstLine="200" w:firstLineChars="100"/>
              <w:rPr>
                <w:rFonts w:ascii="Arial" w:hAnsi="Arial" w:eastAsia="Times New Roman" w:cs="Arial"/>
                <w:sz w:val="20"/>
                <w:szCs w:val="20"/>
              </w:rPr>
            </w:pPr>
            <w:r w:rsidRPr="002070C7">
              <w:rPr>
                <w:rFonts w:ascii="Arial" w:hAnsi="Arial"/>
                <w:sz w:val="20"/>
              </w:rPr>
              <w:t>b. Inozemne obveze povezane s izvedenicama na temelju neposrednog rizika</w:t>
            </w:r>
          </w:p>
        </w:tc>
        <w:tc>
          <w:tcPr>
            <w:tcW w:w="2745" w:type="dxa"/>
            <w:tcBorders>
              <w:left w:val="nil"/>
              <w:right w:val="nil"/>
            </w:tcBorders>
            <w:noWrap/>
            <w:hideMark/>
          </w:tcPr>
          <w:p w:rsidRPr="002070C7" w:rsidR="00A5057C" w:rsidP="006F6C94" w:rsidRDefault="00A5057C" w14:paraId="7ECD3FA2"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2D25C30E" w14:textId="77777777">
        <w:trPr>
          <w:gridAfter w:val="1"/>
          <w:wAfter w:w="2745" w:type="dxa"/>
          <w:trHeight w:val="300"/>
        </w:trPr>
        <w:tc>
          <w:tcPr>
            <w:tcW w:w="6804" w:type="dxa"/>
            <w:tcBorders>
              <w:left w:val="nil"/>
              <w:bottom w:val="single" w:color="auto" w:sz="4" w:space="0"/>
              <w:right w:val="nil"/>
            </w:tcBorders>
            <w:hideMark/>
          </w:tcPr>
          <w:p w:rsidRPr="002070C7" w:rsidR="00A5057C" w:rsidP="006F6C94" w:rsidRDefault="00A5057C" w14:paraId="191A9DD5" w14:textId="77777777">
            <w:pPr>
              <w:ind w:firstLine="200" w:firstLineChars="100"/>
              <w:rPr>
                <w:rFonts w:ascii="Arial" w:hAnsi="Arial" w:eastAsia="Times New Roman" w:cs="Arial"/>
                <w:sz w:val="20"/>
                <w:szCs w:val="20"/>
              </w:rPr>
            </w:pPr>
            <w:r w:rsidRPr="002070C7">
              <w:rPr>
                <w:rFonts w:ascii="Arial" w:hAnsi="Arial"/>
                <w:sz w:val="20"/>
              </w:rPr>
              <w:t>c. Pokazatelj međudržavnih obveza (zbroj stavki 14.a i 14.b)</w:t>
            </w:r>
          </w:p>
        </w:tc>
      </w:tr>
      <w:tr w:rsidRPr="002070C7" w:rsidR="00A5057C" w:rsidTr="006F6C94" w14:paraId="6DC3547B" w14:textId="77777777">
        <w:trPr>
          <w:trHeight w:val="300"/>
        </w:trPr>
        <w:tc>
          <w:tcPr>
            <w:tcW w:w="6804" w:type="dxa"/>
            <w:tcBorders>
              <w:left w:val="nil"/>
              <w:bottom w:val="nil"/>
              <w:right w:val="nil"/>
            </w:tcBorders>
            <w:noWrap/>
          </w:tcPr>
          <w:p w:rsidRPr="002070C7" w:rsidR="00A5057C" w:rsidP="006F6C94" w:rsidRDefault="00A5057C" w14:paraId="1CB8BF4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070C7" w:rsidR="00A5057C" w:rsidP="006F6C94" w:rsidRDefault="00A5057C" w14:paraId="768F2D21" w14:textId="77777777">
            <w:pPr>
              <w:jc w:val="center"/>
              <w:rPr>
                <w:rFonts w:ascii="Arial" w:hAnsi="Arial" w:eastAsia="Times New Roman" w:cs="Arial"/>
                <w:b/>
                <w:bCs/>
                <w:sz w:val="20"/>
                <w:szCs w:val="20"/>
                <w:lang w:eastAsia="en-GB"/>
              </w:rPr>
            </w:pPr>
          </w:p>
        </w:tc>
      </w:tr>
      <w:tr w:rsidRPr="002070C7" w:rsidR="00A5057C" w:rsidTr="006F6C94" w14:paraId="5A5F1E89" w14:textId="77777777">
        <w:trPr>
          <w:trHeight w:val="300"/>
        </w:trPr>
        <w:tc>
          <w:tcPr>
            <w:tcW w:w="6804" w:type="dxa"/>
            <w:tcBorders>
              <w:top w:val="nil"/>
              <w:left w:val="nil"/>
              <w:bottom w:val="nil"/>
              <w:right w:val="nil"/>
            </w:tcBorders>
            <w:noWrap/>
          </w:tcPr>
          <w:p w:rsidRPr="002070C7" w:rsidR="00A5057C" w:rsidP="006F6C94" w:rsidRDefault="00A5057C" w14:paraId="798CD882" w14:textId="77777777">
            <w:pPr>
              <w:keepNext/>
              <w:keepLines/>
              <w:spacing w:before="47"/>
              <w:outlineLvl w:val="5"/>
              <w:rPr>
                <w:rFonts w:ascii="Arial" w:hAnsi="Arial" w:eastAsia="Times New Roman" w:cs="Arial"/>
                <w:b/>
                <w:bCs/>
                <w:i/>
                <w:iCs/>
                <w:caps/>
                <w:color w:val="172B39" w:themeColor="accent1" w:themeShade="80"/>
                <w:sz w:val="20"/>
                <w:szCs w:val="20"/>
              </w:rPr>
            </w:pPr>
            <w:r w:rsidRPr="002070C7">
              <w:rPr>
                <w:rFonts w:asciiTheme="majorHAnsi" w:hAnsiTheme="majorHAnsi"/>
                <w:b/>
                <w:i/>
                <w:caps/>
              </w:rPr>
              <w:t>Dodatni podatci</w:t>
            </w:r>
          </w:p>
        </w:tc>
        <w:tc>
          <w:tcPr>
            <w:tcW w:w="2745" w:type="dxa"/>
            <w:tcBorders>
              <w:top w:val="nil"/>
              <w:left w:val="nil"/>
              <w:bottom w:val="nil"/>
              <w:right w:val="nil"/>
            </w:tcBorders>
          </w:tcPr>
          <w:p w:rsidRPr="002070C7" w:rsidR="00A5057C" w:rsidP="006F6C94" w:rsidRDefault="00A5057C" w14:paraId="2B5AEDBC" w14:textId="77777777">
            <w:pPr>
              <w:jc w:val="center"/>
              <w:rPr>
                <w:rFonts w:ascii="Arial" w:hAnsi="Arial" w:eastAsia="Times New Roman" w:cs="Arial"/>
                <w:b/>
                <w:bCs/>
                <w:sz w:val="20"/>
                <w:szCs w:val="20"/>
                <w:lang w:eastAsia="en-GB"/>
              </w:rPr>
            </w:pPr>
          </w:p>
        </w:tc>
      </w:tr>
      <w:tr w:rsidRPr="002070C7" w:rsidR="00A5057C" w:rsidTr="006F6C94" w14:paraId="1DD2ADAA" w14:textId="77777777">
        <w:trPr>
          <w:trHeight w:val="300"/>
        </w:trPr>
        <w:tc>
          <w:tcPr>
            <w:tcW w:w="6804" w:type="dxa"/>
            <w:tcBorders>
              <w:top w:val="nil"/>
              <w:left w:val="nil"/>
              <w:bottom w:val="single" w:color="auto" w:sz="4" w:space="0"/>
              <w:right w:val="nil"/>
            </w:tcBorders>
            <w:noWrap/>
          </w:tcPr>
          <w:p w:rsidRPr="002070C7" w:rsidR="00A5057C" w:rsidP="006F6C94" w:rsidRDefault="00A5057C" w14:paraId="0E23546D"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2070C7" w:rsidR="00A5057C" w:rsidP="006F6C94" w:rsidRDefault="00A5057C" w14:paraId="7C6A873A" w14:textId="77777777">
            <w:pPr>
              <w:jc w:val="center"/>
              <w:rPr>
                <w:rFonts w:ascii="Arial" w:hAnsi="Arial" w:eastAsia="Times New Roman" w:cs="Arial"/>
                <w:b/>
                <w:bCs/>
                <w:sz w:val="20"/>
                <w:szCs w:val="20"/>
                <w:lang w:eastAsia="en-GB"/>
              </w:rPr>
            </w:pPr>
          </w:p>
        </w:tc>
      </w:tr>
      <w:tr w:rsidRPr="002070C7" w:rsidR="00A5057C" w:rsidTr="006F6C94" w14:paraId="00F2816F" w14:textId="77777777">
        <w:trPr>
          <w:trHeight w:val="300"/>
        </w:trPr>
        <w:tc>
          <w:tcPr>
            <w:tcW w:w="6804" w:type="dxa"/>
            <w:tcBorders>
              <w:left w:val="nil"/>
              <w:bottom w:val="single" w:color="auto" w:sz="4" w:space="0"/>
              <w:right w:val="nil"/>
            </w:tcBorders>
            <w:noWrap/>
            <w:hideMark/>
          </w:tcPr>
          <w:p w:rsidRPr="002070C7" w:rsidR="00A5057C" w:rsidP="006F6C94" w:rsidRDefault="00A5057C" w14:paraId="365D1452" w14:textId="77777777">
            <w:pPr>
              <w:rPr>
                <w:rFonts w:ascii="Arial" w:hAnsi="Arial" w:eastAsia="Times New Roman" w:cs="Arial"/>
                <w:b/>
                <w:bCs/>
                <w:sz w:val="20"/>
                <w:szCs w:val="20"/>
              </w:rPr>
            </w:pPr>
            <w:r w:rsidRPr="002070C7">
              <w:rPr>
                <w:rFonts w:ascii="Arial" w:hAnsi="Arial"/>
                <w:b/>
                <w:sz w:val="20"/>
              </w:rPr>
              <w:t>Odjeljak 15. – Pokazatelji dodatnih podataka</w:t>
            </w:r>
          </w:p>
        </w:tc>
        <w:tc>
          <w:tcPr>
            <w:tcW w:w="2745" w:type="dxa"/>
            <w:tcBorders>
              <w:left w:val="nil"/>
              <w:bottom w:val="single" w:color="auto" w:sz="4" w:space="0"/>
              <w:right w:val="nil"/>
            </w:tcBorders>
            <w:hideMark/>
          </w:tcPr>
          <w:p w:rsidRPr="002070C7" w:rsidR="00A5057C" w:rsidP="006F6C94" w:rsidRDefault="00A5057C" w14:paraId="2BE16528"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25EFF894" w14:textId="77777777">
        <w:trPr>
          <w:trHeight w:val="300"/>
        </w:trPr>
        <w:tc>
          <w:tcPr>
            <w:tcW w:w="6804" w:type="dxa"/>
            <w:tcBorders>
              <w:left w:val="nil"/>
              <w:right w:val="nil"/>
            </w:tcBorders>
            <w:noWrap/>
            <w:hideMark/>
          </w:tcPr>
          <w:p w:rsidRPr="002070C7" w:rsidR="00A5057C" w:rsidP="006F6C94" w:rsidRDefault="00A5057C" w14:paraId="725C20E4" w14:textId="77777777">
            <w:pPr>
              <w:ind w:firstLine="200" w:firstLineChars="100"/>
              <w:rPr>
                <w:rFonts w:ascii="Arial" w:hAnsi="Arial" w:eastAsia="Times New Roman" w:cs="Arial"/>
                <w:sz w:val="20"/>
                <w:szCs w:val="20"/>
              </w:rPr>
            </w:pPr>
            <w:r w:rsidRPr="002070C7">
              <w:rPr>
                <w:rFonts w:ascii="Arial" w:hAnsi="Arial"/>
                <w:sz w:val="20"/>
              </w:rPr>
              <w:t>a. Ukupne obveze</w:t>
            </w:r>
          </w:p>
        </w:tc>
        <w:tc>
          <w:tcPr>
            <w:tcW w:w="2745" w:type="dxa"/>
            <w:tcBorders>
              <w:left w:val="nil"/>
              <w:right w:val="nil"/>
            </w:tcBorders>
            <w:noWrap/>
            <w:hideMark/>
          </w:tcPr>
          <w:p w:rsidRPr="002070C7" w:rsidR="00A5057C" w:rsidP="006F6C94" w:rsidRDefault="00A5057C" w14:paraId="5366B30E"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6E17A194" w14:textId="77777777">
        <w:trPr>
          <w:trHeight w:val="300"/>
        </w:trPr>
        <w:tc>
          <w:tcPr>
            <w:tcW w:w="6804" w:type="dxa"/>
            <w:tcBorders>
              <w:left w:val="nil"/>
              <w:right w:val="nil"/>
            </w:tcBorders>
            <w:noWrap/>
            <w:hideMark/>
          </w:tcPr>
          <w:p w:rsidRPr="002070C7" w:rsidR="00A5057C" w:rsidP="006F6C94" w:rsidRDefault="00A5057C" w14:paraId="02200D1A" w14:textId="77777777">
            <w:pPr>
              <w:ind w:firstLine="200" w:firstLineChars="100"/>
              <w:rPr>
                <w:rFonts w:ascii="Arial" w:hAnsi="Arial" w:eastAsia="Times New Roman" w:cs="Arial"/>
                <w:sz w:val="20"/>
                <w:szCs w:val="20"/>
              </w:rPr>
            </w:pPr>
            <w:r w:rsidRPr="002070C7">
              <w:rPr>
                <w:rFonts w:ascii="Arial" w:hAnsi="Arial"/>
                <w:sz w:val="20"/>
              </w:rPr>
              <w:t>b. Financiranje od stanovništva</w:t>
            </w:r>
          </w:p>
        </w:tc>
        <w:tc>
          <w:tcPr>
            <w:tcW w:w="2745" w:type="dxa"/>
            <w:tcBorders>
              <w:left w:val="nil"/>
              <w:right w:val="nil"/>
            </w:tcBorders>
            <w:noWrap/>
            <w:hideMark/>
          </w:tcPr>
          <w:p w:rsidRPr="002070C7" w:rsidR="00A5057C" w:rsidP="006F6C94" w:rsidRDefault="00A5057C" w14:paraId="22A34EED"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30682566" w14:textId="77777777">
        <w:trPr>
          <w:gridAfter w:val="1"/>
          <w:wAfter w:w="2745" w:type="dxa"/>
          <w:trHeight w:val="540"/>
        </w:trPr>
        <w:tc>
          <w:tcPr>
            <w:tcW w:w="6804" w:type="dxa"/>
            <w:tcBorders>
              <w:left w:val="nil"/>
              <w:right w:val="nil"/>
            </w:tcBorders>
            <w:noWrap/>
            <w:hideMark/>
          </w:tcPr>
          <w:p w:rsidRPr="002070C7" w:rsidR="00A5057C" w:rsidP="006F6C94" w:rsidRDefault="00A5057C" w14:paraId="1B9EA68D" w14:textId="77777777">
            <w:pPr>
              <w:ind w:left="171"/>
              <w:rPr>
                <w:rFonts w:ascii="Arial" w:hAnsi="Arial" w:eastAsia="Times New Roman" w:cs="Arial"/>
                <w:sz w:val="20"/>
                <w:szCs w:val="20"/>
              </w:rPr>
            </w:pPr>
            <w:r w:rsidRPr="002070C7">
              <w:rPr>
                <w:rFonts w:ascii="Arial" w:hAnsi="Arial"/>
                <w:sz w:val="20"/>
              </w:rPr>
              <w:t>c. Omjer ovisnosti velikih izvora financiranja (razlika između stavki 15.a i 15.b, podijeljeno s 15.a)</w:t>
            </w:r>
          </w:p>
        </w:tc>
      </w:tr>
      <w:tr w:rsidRPr="002070C7" w:rsidR="00A5057C" w:rsidTr="006F6C94" w14:paraId="17960866" w14:textId="77777777">
        <w:trPr>
          <w:trHeight w:val="300"/>
        </w:trPr>
        <w:tc>
          <w:tcPr>
            <w:tcW w:w="6804" w:type="dxa"/>
            <w:tcBorders>
              <w:left w:val="nil"/>
              <w:right w:val="nil"/>
            </w:tcBorders>
            <w:noWrap/>
            <w:hideMark/>
          </w:tcPr>
          <w:p w:rsidRPr="002070C7" w:rsidR="00A5057C" w:rsidP="006F6C94" w:rsidRDefault="00A5057C" w14:paraId="266F7A0C" w14:textId="77777777">
            <w:pPr>
              <w:ind w:firstLine="200" w:firstLineChars="100"/>
              <w:rPr>
                <w:rFonts w:ascii="Arial" w:hAnsi="Arial" w:eastAsia="Times New Roman" w:cs="Arial"/>
                <w:sz w:val="20"/>
                <w:szCs w:val="20"/>
              </w:rPr>
            </w:pPr>
            <w:r w:rsidRPr="002070C7">
              <w:rPr>
                <w:rFonts w:ascii="Arial" w:hAnsi="Arial"/>
                <w:sz w:val="20"/>
              </w:rPr>
              <w:t>d. Ukupni bruto prihodi</w:t>
            </w:r>
          </w:p>
        </w:tc>
        <w:tc>
          <w:tcPr>
            <w:tcW w:w="2745" w:type="dxa"/>
            <w:tcBorders>
              <w:left w:val="nil"/>
              <w:right w:val="nil"/>
            </w:tcBorders>
            <w:noWrap/>
            <w:hideMark/>
          </w:tcPr>
          <w:p w:rsidRPr="002070C7" w:rsidR="00A5057C" w:rsidP="006F6C94" w:rsidRDefault="00A5057C" w14:paraId="1DA9D67C"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7C19E16F" w14:textId="77777777">
        <w:trPr>
          <w:trHeight w:val="300"/>
        </w:trPr>
        <w:tc>
          <w:tcPr>
            <w:tcW w:w="6804" w:type="dxa"/>
            <w:tcBorders>
              <w:left w:val="nil"/>
              <w:right w:val="nil"/>
            </w:tcBorders>
            <w:noWrap/>
            <w:hideMark/>
          </w:tcPr>
          <w:p w:rsidRPr="002070C7" w:rsidR="00A5057C" w:rsidP="006F6C94" w:rsidRDefault="00A5057C" w14:paraId="71CCF11E" w14:textId="77777777">
            <w:pPr>
              <w:ind w:firstLine="200" w:firstLineChars="100"/>
              <w:rPr>
                <w:rFonts w:ascii="Arial" w:hAnsi="Arial" w:eastAsia="Times New Roman" w:cs="Arial"/>
                <w:sz w:val="20"/>
                <w:szCs w:val="20"/>
              </w:rPr>
            </w:pPr>
            <w:r w:rsidRPr="002070C7">
              <w:rPr>
                <w:rFonts w:ascii="Arial" w:hAnsi="Arial"/>
                <w:sz w:val="20"/>
              </w:rPr>
              <w:t>e. Ukupni neto prihodi</w:t>
            </w:r>
          </w:p>
        </w:tc>
        <w:tc>
          <w:tcPr>
            <w:tcW w:w="2745" w:type="dxa"/>
            <w:tcBorders>
              <w:left w:val="nil"/>
              <w:right w:val="nil"/>
            </w:tcBorders>
            <w:noWrap/>
            <w:hideMark/>
          </w:tcPr>
          <w:p w:rsidRPr="002070C7" w:rsidR="00A5057C" w:rsidP="006F6C94" w:rsidRDefault="00A5057C" w14:paraId="5E4AF15A"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1609AF58" w14:textId="77777777">
        <w:trPr>
          <w:trHeight w:val="300"/>
        </w:trPr>
        <w:tc>
          <w:tcPr>
            <w:tcW w:w="6804" w:type="dxa"/>
            <w:tcBorders>
              <w:left w:val="nil"/>
              <w:right w:val="nil"/>
            </w:tcBorders>
            <w:noWrap/>
            <w:hideMark/>
          </w:tcPr>
          <w:p w:rsidRPr="002070C7" w:rsidR="00A5057C" w:rsidP="006F6C94" w:rsidRDefault="00A5057C" w14:paraId="07EA5411" w14:textId="77777777">
            <w:pPr>
              <w:ind w:firstLine="200" w:firstLineChars="100"/>
              <w:rPr>
                <w:rFonts w:ascii="Arial" w:hAnsi="Arial" w:eastAsia="Times New Roman" w:cs="Arial"/>
                <w:sz w:val="20"/>
                <w:szCs w:val="20"/>
              </w:rPr>
            </w:pPr>
            <w:r w:rsidRPr="002070C7">
              <w:rPr>
                <w:rFonts w:ascii="Arial" w:hAnsi="Arial"/>
                <w:sz w:val="20"/>
              </w:rPr>
              <w:t>f. Inozemni neto prihodi</w:t>
            </w:r>
          </w:p>
        </w:tc>
        <w:tc>
          <w:tcPr>
            <w:tcW w:w="2745" w:type="dxa"/>
            <w:tcBorders>
              <w:left w:val="nil"/>
              <w:right w:val="nil"/>
            </w:tcBorders>
            <w:noWrap/>
            <w:hideMark/>
          </w:tcPr>
          <w:p w:rsidRPr="002070C7" w:rsidR="00A5057C" w:rsidP="006F6C94" w:rsidRDefault="00A5057C" w14:paraId="43A7C3A7"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4C633B0A" w14:textId="77777777">
        <w:trPr>
          <w:trHeight w:val="300"/>
        </w:trPr>
        <w:tc>
          <w:tcPr>
            <w:tcW w:w="6804" w:type="dxa"/>
            <w:tcBorders>
              <w:left w:val="nil"/>
              <w:right w:val="nil"/>
            </w:tcBorders>
            <w:noWrap/>
          </w:tcPr>
          <w:p w:rsidRPr="002070C7" w:rsidR="00A5057C" w:rsidP="006F6C94" w:rsidRDefault="00A5057C" w14:paraId="0C987600" w14:textId="77777777">
            <w:pPr>
              <w:ind w:left="171"/>
              <w:rPr>
                <w:rFonts w:ascii="Arial" w:hAnsi="Arial" w:eastAsia="Times New Roman" w:cs="Arial"/>
                <w:sz w:val="20"/>
                <w:szCs w:val="20"/>
              </w:rPr>
            </w:pPr>
            <w:r w:rsidRPr="002070C7">
              <w:rPr>
                <w:rFonts w:ascii="Arial" w:hAnsi="Arial"/>
                <w:sz w:val="20"/>
              </w:rPr>
              <w:t>g. Bruto vrijednost gotovine dane u zajam i bruto fer vrijednost vrijednosnih papira danih u zajam u transakcijama financiranja vrijednosnih papira</w:t>
            </w:r>
          </w:p>
        </w:tc>
        <w:tc>
          <w:tcPr>
            <w:tcW w:w="2745" w:type="dxa"/>
            <w:tcBorders>
              <w:left w:val="nil"/>
              <w:right w:val="nil"/>
            </w:tcBorders>
            <w:noWrap/>
          </w:tcPr>
          <w:p w:rsidRPr="002070C7" w:rsidR="00A5057C" w:rsidP="006F6C94" w:rsidRDefault="00A5057C" w14:paraId="4FF385DC" w14:textId="77777777">
            <w:pPr>
              <w:jc w:val="right"/>
              <w:rPr>
                <w:rFonts w:ascii="Arial" w:hAnsi="Arial" w:eastAsia="Times New Roman" w:cs="Arial"/>
                <w:sz w:val="20"/>
                <w:szCs w:val="20"/>
                <w:lang w:eastAsia="en-GB"/>
              </w:rPr>
            </w:pPr>
          </w:p>
        </w:tc>
      </w:tr>
      <w:tr w:rsidRPr="002070C7" w:rsidR="00A5057C" w:rsidTr="006F6C94" w14:paraId="3E93C31B" w14:textId="77777777">
        <w:trPr>
          <w:trHeight w:val="300"/>
        </w:trPr>
        <w:tc>
          <w:tcPr>
            <w:tcW w:w="6804" w:type="dxa"/>
            <w:tcBorders>
              <w:left w:val="nil"/>
              <w:right w:val="nil"/>
            </w:tcBorders>
            <w:noWrap/>
          </w:tcPr>
          <w:p w:rsidRPr="002070C7" w:rsidR="00A5057C" w:rsidP="006F6C94" w:rsidRDefault="00A5057C" w14:paraId="15DCBA9D" w14:textId="77777777">
            <w:pPr>
              <w:ind w:left="171"/>
              <w:rPr>
                <w:rFonts w:ascii="Arial" w:hAnsi="Arial" w:eastAsia="Times New Roman" w:cs="Arial"/>
                <w:sz w:val="20"/>
                <w:szCs w:val="20"/>
              </w:rPr>
            </w:pPr>
            <w:r w:rsidRPr="002070C7">
              <w:rPr>
                <w:rFonts w:ascii="Arial" w:hAnsi="Arial"/>
                <w:sz w:val="20"/>
              </w:rPr>
              <w:t>h. Bruto vrijednost gotovine uzete u zajam i bruto fer vrijednost vrijednosnih papira uzetih u zajam u transakcijama financiranja vrijednosnih papira</w:t>
            </w:r>
          </w:p>
        </w:tc>
        <w:tc>
          <w:tcPr>
            <w:tcW w:w="2745" w:type="dxa"/>
            <w:tcBorders>
              <w:left w:val="nil"/>
              <w:right w:val="nil"/>
            </w:tcBorders>
            <w:noWrap/>
          </w:tcPr>
          <w:p w:rsidRPr="002070C7" w:rsidR="00A5057C" w:rsidP="006F6C94" w:rsidRDefault="00A5057C" w14:paraId="4FEFD38E" w14:textId="77777777">
            <w:pPr>
              <w:jc w:val="right"/>
              <w:rPr>
                <w:rFonts w:ascii="Arial" w:hAnsi="Arial" w:eastAsia="Times New Roman" w:cs="Arial"/>
                <w:sz w:val="20"/>
                <w:szCs w:val="20"/>
                <w:lang w:eastAsia="en-GB"/>
              </w:rPr>
            </w:pPr>
          </w:p>
        </w:tc>
      </w:tr>
      <w:tr w:rsidRPr="002070C7" w:rsidR="00A5057C" w:rsidTr="006F6C94" w14:paraId="67520F55" w14:textId="77777777">
        <w:trPr>
          <w:trHeight w:val="300"/>
        </w:trPr>
        <w:tc>
          <w:tcPr>
            <w:tcW w:w="6804" w:type="dxa"/>
            <w:tcBorders>
              <w:left w:val="nil"/>
              <w:right w:val="nil"/>
            </w:tcBorders>
            <w:noWrap/>
          </w:tcPr>
          <w:p w:rsidRPr="002070C7" w:rsidR="00A5057C" w:rsidP="006F6C94" w:rsidRDefault="00A5057C" w14:paraId="45B0B874" w14:textId="77777777">
            <w:pPr>
              <w:ind w:left="171"/>
              <w:rPr>
                <w:rFonts w:ascii="Arial" w:hAnsi="Arial" w:eastAsia="Times New Roman" w:cs="Arial"/>
                <w:sz w:val="20"/>
                <w:szCs w:val="20"/>
              </w:rPr>
            </w:pPr>
            <w:r w:rsidRPr="002070C7">
              <w:rPr>
                <w:rFonts w:ascii="Arial" w:hAnsi="Arial"/>
                <w:sz w:val="20"/>
              </w:rPr>
              <w:t>i. Bruto pozitivna fer vrijednost transakcija s OTC izvedenicama</w:t>
            </w:r>
          </w:p>
        </w:tc>
        <w:tc>
          <w:tcPr>
            <w:tcW w:w="2745" w:type="dxa"/>
            <w:tcBorders>
              <w:left w:val="nil"/>
              <w:right w:val="nil"/>
            </w:tcBorders>
            <w:noWrap/>
          </w:tcPr>
          <w:p w:rsidRPr="002070C7" w:rsidR="00A5057C" w:rsidP="006F6C94" w:rsidRDefault="00A5057C" w14:paraId="27A10538" w14:textId="77777777">
            <w:pPr>
              <w:jc w:val="right"/>
              <w:rPr>
                <w:rFonts w:ascii="Arial" w:hAnsi="Arial" w:eastAsia="Times New Roman" w:cs="Arial"/>
                <w:sz w:val="20"/>
                <w:szCs w:val="20"/>
                <w:lang w:eastAsia="en-GB"/>
              </w:rPr>
            </w:pPr>
          </w:p>
        </w:tc>
      </w:tr>
      <w:tr w:rsidRPr="002070C7" w:rsidR="00A5057C" w:rsidTr="006F6C94" w14:paraId="34F9DFED" w14:textId="77777777">
        <w:trPr>
          <w:trHeight w:val="300"/>
        </w:trPr>
        <w:tc>
          <w:tcPr>
            <w:tcW w:w="6804" w:type="dxa"/>
            <w:tcBorders>
              <w:left w:val="nil"/>
              <w:bottom w:val="single" w:color="auto" w:sz="4" w:space="0"/>
              <w:right w:val="nil"/>
            </w:tcBorders>
            <w:noWrap/>
          </w:tcPr>
          <w:p w:rsidRPr="002070C7" w:rsidR="00A5057C" w:rsidP="006F6C94" w:rsidRDefault="00A5057C" w14:paraId="52230F7D" w14:textId="77777777">
            <w:pPr>
              <w:ind w:left="171"/>
              <w:rPr>
                <w:rFonts w:ascii="Arial" w:hAnsi="Arial" w:eastAsia="Times New Roman" w:cs="Arial"/>
                <w:sz w:val="20"/>
                <w:szCs w:val="20"/>
              </w:rPr>
            </w:pPr>
            <w:r w:rsidRPr="002070C7">
              <w:rPr>
                <w:rFonts w:ascii="Arial" w:hAnsi="Arial"/>
                <w:sz w:val="20"/>
              </w:rPr>
              <w:t>j. Bruto negativna fer vrijednost transakcija s OTC izvedenicama</w:t>
            </w:r>
          </w:p>
        </w:tc>
        <w:tc>
          <w:tcPr>
            <w:tcW w:w="2745" w:type="dxa"/>
            <w:tcBorders>
              <w:left w:val="nil"/>
              <w:bottom w:val="single" w:color="auto" w:sz="4" w:space="0"/>
              <w:right w:val="nil"/>
            </w:tcBorders>
            <w:noWrap/>
          </w:tcPr>
          <w:p w:rsidRPr="002070C7" w:rsidR="00A5057C" w:rsidP="006F6C94" w:rsidRDefault="00A5057C" w14:paraId="2615FF8F" w14:textId="77777777">
            <w:pPr>
              <w:jc w:val="right"/>
              <w:rPr>
                <w:rFonts w:ascii="Arial" w:hAnsi="Arial" w:eastAsia="Times New Roman" w:cs="Arial"/>
                <w:sz w:val="20"/>
                <w:szCs w:val="20"/>
                <w:lang w:eastAsia="en-GB"/>
              </w:rPr>
            </w:pPr>
          </w:p>
        </w:tc>
      </w:tr>
      <w:tr w:rsidRPr="002070C7" w:rsidR="00A5057C" w:rsidTr="006F6C94" w14:paraId="3CC13425" w14:textId="77777777">
        <w:trPr>
          <w:trHeight w:val="300"/>
        </w:trPr>
        <w:tc>
          <w:tcPr>
            <w:tcW w:w="6804" w:type="dxa"/>
            <w:tcBorders>
              <w:left w:val="nil"/>
              <w:bottom w:val="single" w:color="auto" w:sz="4" w:space="0"/>
              <w:right w:val="nil"/>
            </w:tcBorders>
            <w:noWrap/>
            <w:hideMark/>
          </w:tcPr>
          <w:p w:rsidRPr="002070C7" w:rsidR="00A5057C" w:rsidP="006F6C94" w:rsidRDefault="00A5057C" w14:paraId="71104BCE" w14:textId="77777777">
            <w:pPr>
              <w:rPr>
                <w:rFonts w:ascii="Arial" w:hAnsi="Arial" w:eastAsia="Times New Roman" w:cs="Arial"/>
                <w:sz w:val="20"/>
                <w:szCs w:val="20"/>
              </w:rPr>
            </w:pPr>
            <w:r w:rsidRPr="002070C7">
              <w:rPr>
                <w:rFonts w:ascii="Arial" w:hAnsi="Arial"/>
                <w:sz w:val="20"/>
              </w:rPr>
              <w:t> </w:t>
            </w:r>
          </w:p>
        </w:tc>
        <w:tc>
          <w:tcPr>
            <w:tcW w:w="2745" w:type="dxa"/>
            <w:tcBorders>
              <w:left w:val="nil"/>
              <w:bottom w:val="single" w:color="auto" w:sz="4" w:space="0"/>
              <w:right w:val="nil"/>
            </w:tcBorders>
            <w:hideMark/>
          </w:tcPr>
          <w:p w:rsidRPr="002070C7" w:rsidR="00A5057C" w:rsidP="006F6C94" w:rsidRDefault="00A5057C" w14:paraId="19390D55" w14:textId="77777777">
            <w:pPr>
              <w:jc w:val="center"/>
              <w:rPr>
                <w:rFonts w:ascii="Arial" w:hAnsi="Arial" w:eastAsia="Times New Roman" w:cs="Arial"/>
                <w:b/>
                <w:bCs/>
                <w:sz w:val="20"/>
                <w:szCs w:val="20"/>
              </w:rPr>
            </w:pPr>
            <w:r w:rsidRPr="002070C7">
              <w:rPr>
                <w:rFonts w:ascii="Arial" w:hAnsi="Arial"/>
                <w:b/>
                <w:sz w:val="20"/>
              </w:rPr>
              <w:t>Iznos u jedinicama</w:t>
            </w:r>
          </w:p>
        </w:tc>
      </w:tr>
      <w:tr w:rsidRPr="002070C7" w:rsidR="00A5057C" w:rsidTr="006F6C94" w14:paraId="23303F94" w14:textId="77777777">
        <w:trPr>
          <w:trHeight w:val="300"/>
        </w:trPr>
        <w:tc>
          <w:tcPr>
            <w:tcW w:w="6804" w:type="dxa"/>
            <w:tcBorders>
              <w:left w:val="nil"/>
              <w:bottom w:val="single" w:color="auto" w:sz="4" w:space="0"/>
              <w:right w:val="nil"/>
            </w:tcBorders>
            <w:noWrap/>
            <w:hideMark/>
          </w:tcPr>
          <w:p w:rsidRPr="002070C7" w:rsidR="00A5057C" w:rsidP="006F6C94" w:rsidRDefault="00A5057C" w14:paraId="5AFA471B" w14:textId="77777777">
            <w:pPr>
              <w:ind w:firstLine="200" w:firstLineChars="100"/>
              <w:rPr>
                <w:rFonts w:ascii="Arial" w:hAnsi="Arial" w:eastAsia="Times New Roman" w:cs="Arial"/>
                <w:sz w:val="20"/>
                <w:szCs w:val="20"/>
              </w:rPr>
            </w:pPr>
            <w:r w:rsidRPr="002070C7">
              <w:rPr>
                <w:rFonts w:ascii="Arial" w:hAnsi="Arial"/>
                <w:sz w:val="20"/>
              </w:rPr>
              <w:t xml:space="preserve">k. Broj država </w:t>
            </w:r>
          </w:p>
        </w:tc>
        <w:tc>
          <w:tcPr>
            <w:tcW w:w="2745" w:type="dxa"/>
            <w:tcBorders>
              <w:left w:val="nil"/>
              <w:bottom w:val="single" w:color="auto" w:sz="4" w:space="0"/>
              <w:right w:val="nil"/>
            </w:tcBorders>
            <w:noWrap/>
            <w:hideMark/>
          </w:tcPr>
          <w:p w:rsidRPr="002070C7" w:rsidR="00A5057C" w:rsidP="006F6C94" w:rsidRDefault="00A5057C" w14:paraId="4E86C494"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483D1860" w14:textId="77777777">
        <w:trPr>
          <w:trHeight w:val="300"/>
        </w:trPr>
        <w:tc>
          <w:tcPr>
            <w:tcW w:w="6804" w:type="dxa"/>
            <w:tcBorders>
              <w:left w:val="nil"/>
              <w:bottom w:val="nil"/>
              <w:right w:val="nil"/>
            </w:tcBorders>
            <w:noWrap/>
          </w:tcPr>
          <w:p w:rsidRPr="002070C7" w:rsidR="00A5057C" w:rsidP="006F6C94" w:rsidRDefault="00A5057C" w14:paraId="0D03D421"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070C7" w:rsidR="00A5057C" w:rsidP="006F6C94" w:rsidRDefault="00A5057C" w14:paraId="66EDB4C7" w14:textId="77777777">
            <w:pPr>
              <w:jc w:val="center"/>
              <w:rPr>
                <w:rFonts w:ascii="Arial" w:hAnsi="Arial" w:eastAsia="Times New Roman" w:cs="Arial"/>
                <w:b/>
                <w:bCs/>
                <w:sz w:val="20"/>
                <w:szCs w:val="20"/>
                <w:lang w:eastAsia="en-GB"/>
              </w:rPr>
            </w:pPr>
          </w:p>
        </w:tc>
      </w:tr>
      <w:tr w:rsidRPr="002070C7" w:rsidR="00A5057C" w:rsidTr="006F6C94" w14:paraId="42C992A5" w14:textId="77777777">
        <w:trPr>
          <w:trHeight w:val="300"/>
        </w:trPr>
        <w:tc>
          <w:tcPr>
            <w:tcW w:w="6804" w:type="dxa"/>
            <w:tcBorders>
              <w:top w:val="nil"/>
              <w:left w:val="nil"/>
              <w:bottom w:val="single" w:color="auto" w:sz="4" w:space="0"/>
              <w:right w:val="nil"/>
            </w:tcBorders>
            <w:noWrap/>
            <w:hideMark/>
          </w:tcPr>
          <w:p w:rsidRPr="002070C7" w:rsidR="00A5057C" w:rsidP="006F6C94" w:rsidRDefault="00A5057C" w14:paraId="6ADCEBCC" w14:textId="77777777">
            <w:pPr>
              <w:rPr>
                <w:rFonts w:ascii="Arial" w:hAnsi="Arial" w:eastAsia="Times New Roman" w:cs="Arial"/>
                <w:b/>
                <w:bCs/>
                <w:sz w:val="20"/>
                <w:szCs w:val="20"/>
              </w:rPr>
            </w:pPr>
            <w:r w:rsidRPr="002070C7">
              <w:rPr>
                <w:rFonts w:ascii="Arial" w:hAnsi="Arial"/>
                <w:b/>
                <w:sz w:val="20"/>
              </w:rPr>
              <w:t>Odjeljak 16. – Dodatne stavke</w:t>
            </w:r>
          </w:p>
        </w:tc>
        <w:tc>
          <w:tcPr>
            <w:tcW w:w="2745" w:type="dxa"/>
            <w:tcBorders>
              <w:top w:val="nil"/>
              <w:left w:val="nil"/>
              <w:bottom w:val="single" w:color="auto" w:sz="4" w:space="0"/>
              <w:right w:val="nil"/>
            </w:tcBorders>
            <w:hideMark/>
          </w:tcPr>
          <w:p w:rsidRPr="002070C7" w:rsidR="00A5057C" w:rsidP="006F6C94" w:rsidRDefault="00A5057C" w14:paraId="384ED18B"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36C61CC3" w14:textId="77777777">
        <w:trPr>
          <w:trHeight w:val="300"/>
        </w:trPr>
        <w:tc>
          <w:tcPr>
            <w:tcW w:w="6804" w:type="dxa"/>
            <w:tcBorders>
              <w:left w:val="nil"/>
              <w:right w:val="nil"/>
            </w:tcBorders>
            <w:noWrap/>
            <w:hideMark/>
          </w:tcPr>
          <w:p w:rsidRPr="002070C7" w:rsidR="00A5057C" w:rsidP="006F6C94" w:rsidRDefault="00A5057C" w14:paraId="4A0B92EA" w14:textId="77777777">
            <w:pPr>
              <w:ind w:firstLine="200" w:firstLineChars="100"/>
              <w:rPr>
                <w:rFonts w:ascii="Arial" w:hAnsi="Arial" w:eastAsia="Times New Roman" w:cs="Arial"/>
                <w:sz w:val="20"/>
                <w:szCs w:val="20"/>
              </w:rPr>
            </w:pPr>
            <w:r w:rsidRPr="002070C7">
              <w:rPr>
                <w:rFonts w:ascii="Arial" w:hAnsi="Arial"/>
                <w:sz w:val="20"/>
              </w:rPr>
              <w:t>a. Vrijednosni papiri koji se drže do dospijeća</w:t>
            </w:r>
          </w:p>
        </w:tc>
        <w:tc>
          <w:tcPr>
            <w:tcW w:w="2745" w:type="dxa"/>
            <w:tcBorders>
              <w:left w:val="nil"/>
              <w:right w:val="nil"/>
            </w:tcBorders>
            <w:noWrap/>
            <w:hideMark/>
          </w:tcPr>
          <w:p w:rsidRPr="002070C7" w:rsidR="00A5057C" w:rsidP="006F6C94" w:rsidRDefault="00A5057C" w14:paraId="39100615"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760001B9" w14:textId="77777777">
        <w:trPr>
          <w:trHeight w:val="300"/>
        </w:trPr>
        <w:tc>
          <w:tcPr>
            <w:tcW w:w="6804" w:type="dxa"/>
            <w:tcBorders>
              <w:left w:val="nil"/>
              <w:right w:val="nil"/>
            </w:tcBorders>
            <w:noWrap/>
            <w:hideMark/>
          </w:tcPr>
          <w:p w:rsidRPr="002070C7" w:rsidR="00A5057C" w:rsidP="006F6C94" w:rsidRDefault="00A5057C" w14:paraId="694A231A" w14:textId="77777777">
            <w:pPr>
              <w:ind w:firstLine="200" w:firstLineChars="100"/>
              <w:rPr>
                <w:rFonts w:ascii="Arial" w:hAnsi="Arial" w:eastAsia="Times New Roman" w:cs="Arial"/>
                <w:sz w:val="20"/>
                <w:szCs w:val="20"/>
              </w:rPr>
            </w:pPr>
            <w:r w:rsidRPr="002070C7">
              <w:rPr>
                <w:rFonts w:ascii="Arial" w:hAnsi="Arial"/>
                <w:sz w:val="20"/>
              </w:rPr>
              <w:t>b. Plaćanja izvršena u izvještajnoj godini</w:t>
            </w:r>
          </w:p>
        </w:tc>
        <w:tc>
          <w:tcPr>
            <w:tcW w:w="2745" w:type="dxa"/>
            <w:tcBorders>
              <w:left w:val="nil"/>
              <w:right w:val="nil"/>
            </w:tcBorders>
            <w:noWrap/>
            <w:hideMark/>
          </w:tcPr>
          <w:p w:rsidRPr="002070C7" w:rsidR="00A5057C" w:rsidP="006F6C94" w:rsidRDefault="00A5057C" w14:paraId="5C319A79" w14:textId="77777777">
            <w:pPr>
              <w:ind w:firstLine="200" w:firstLineChars="100"/>
              <w:rPr>
                <w:rFonts w:ascii="Arial" w:hAnsi="Arial" w:eastAsia="Times New Roman" w:cs="Arial"/>
                <w:sz w:val="20"/>
                <w:szCs w:val="20"/>
              </w:rPr>
            </w:pPr>
            <w:r w:rsidRPr="002070C7">
              <w:rPr>
                <w:rFonts w:ascii="Arial" w:hAnsi="Arial"/>
                <w:sz w:val="20"/>
              </w:rPr>
              <w:t> </w:t>
            </w:r>
          </w:p>
        </w:tc>
      </w:tr>
      <w:tr w:rsidRPr="002070C7" w:rsidR="00A5057C" w:rsidTr="006F6C94" w14:paraId="12639699" w14:textId="77777777">
        <w:trPr>
          <w:trHeight w:val="300"/>
        </w:trPr>
        <w:tc>
          <w:tcPr>
            <w:tcW w:w="6804" w:type="dxa"/>
            <w:tcBorders>
              <w:left w:val="nil"/>
              <w:right w:val="nil"/>
            </w:tcBorders>
            <w:noWrap/>
            <w:hideMark/>
          </w:tcPr>
          <w:p w:rsidRPr="002070C7" w:rsidR="00A5057C" w:rsidP="006F6C94" w:rsidRDefault="00A5057C" w14:paraId="794F1A61" w14:textId="77777777">
            <w:pPr>
              <w:ind w:firstLine="400" w:firstLineChars="200"/>
              <w:rPr>
                <w:rFonts w:ascii="Arial" w:hAnsi="Arial" w:eastAsia="Times New Roman" w:cs="Arial"/>
                <w:sz w:val="20"/>
                <w:szCs w:val="20"/>
              </w:rPr>
            </w:pPr>
            <w:r w:rsidRPr="002070C7">
              <w:rPr>
                <w:rFonts w:ascii="Arial" w:hAnsi="Arial"/>
                <w:sz w:val="20"/>
                <w:lang w:eastAsia="en-GB"/>
              </w:rPr>
              <w:t xml:space="preserve">(1) </w:t>
            </w:r>
            <w:r w:rsidRPr="002070C7">
              <w:rPr>
                <w:rFonts w:ascii="Arial" w:hAnsi="Arial"/>
                <w:sz w:val="20"/>
              </w:rPr>
              <w:t>Brazilski real (BRL)</w:t>
            </w:r>
          </w:p>
        </w:tc>
        <w:tc>
          <w:tcPr>
            <w:tcW w:w="2745" w:type="dxa"/>
            <w:tcBorders>
              <w:left w:val="nil"/>
              <w:right w:val="nil"/>
            </w:tcBorders>
            <w:noWrap/>
            <w:hideMark/>
          </w:tcPr>
          <w:p w:rsidRPr="002070C7" w:rsidR="00A5057C" w:rsidP="006F6C94" w:rsidRDefault="00A5057C" w14:paraId="6AB3E4F6"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24DEFA75" w14:textId="77777777">
        <w:trPr>
          <w:trHeight w:val="300"/>
        </w:trPr>
        <w:tc>
          <w:tcPr>
            <w:tcW w:w="6804" w:type="dxa"/>
            <w:tcBorders>
              <w:left w:val="nil"/>
              <w:right w:val="nil"/>
            </w:tcBorders>
            <w:noWrap/>
            <w:hideMark/>
          </w:tcPr>
          <w:p w:rsidRPr="002070C7" w:rsidR="00A5057C" w:rsidP="006F6C94" w:rsidRDefault="00A5057C" w14:paraId="11952E45" w14:textId="77777777">
            <w:pPr>
              <w:ind w:firstLine="400" w:firstLineChars="200"/>
              <w:rPr>
                <w:rFonts w:ascii="Arial" w:hAnsi="Arial" w:eastAsia="Times New Roman" w:cs="Arial"/>
                <w:sz w:val="20"/>
                <w:szCs w:val="20"/>
              </w:rPr>
            </w:pPr>
            <w:r w:rsidRPr="002070C7">
              <w:rPr>
                <w:rFonts w:ascii="Arial" w:hAnsi="Arial"/>
                <w:sz w:val="20"/>
                <w:lang w:eastAsia="en-GB"/>
              </w:rPr>
              <w:t xml:space="preserve">(2) </w:t>
            </w:r>
            <w:r w:rsidRPr="002070C7">
              <w:rPr>
                <w:rFonts w:ascii="Arial" w:hAnsi="Arial"/>
                <w:sz w:val="20"/>
              </w:rPr>
              <w:t>Meksički pezo (MXN)</w:t>
            </w:r>
          </w:p>
        </w:tc>
        <w:tc>
          <w:tcPr>
            <w:tcW w:w="2745" w:type="dxa"/>
            <w:tcBorders>
              <w:left w:val="nil"/>
              <w:right w:val="nil"/>
            </w:tcBorders>
            <w:noWrap/>
            <w:hideMark/>
          </w:tcPr>
          <w:p w:rsidRPr="002070C7" w:rsidR="00A5057C" w:rsidP="006F6C94" w:rsidRDefault="00A5057C" w14:paraId="231CD9DF"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7B81C7E5" w14:textId="77777777">
        <w:trPr>
          <w:trHeight w:val="300"/>
        </w:trPr>
        <w:tc>
          <w:tcPr>
            <w:tcW w:w="6804" w:type="dxa"/>
            <w:tcBorders>
              <w:left w:val="nil"/>
              <w:right w:val="nil"/>
            </w:tcBorders>
            <w:noWrap/>
            <w:hideMark/>
          </w:tcPr>
          <w:p w:rsidRPr="002070C7" w:rsidR="00A5057C" w:rsidP="006F6C94" w:rsidRDefault="00A5057C" w14:paraId="193B280F" w14:textId="77777777">
            <w:pPr>
              <w:ind w:firstLine="400" w:firstLineChars="200"/>
              <w:rPr>
                <w:rFonts w:ascii="Arial" w:hAnsi="Arial" w:eastAsia="Times New Roman" w:cs="Arial"/>
                <w:sz w:val="20"/>
                <w:szCs w:val="20"/>
              </w:rPr>
            </w:pPr>
            <w:r w:rsidRPr="002070C7">
              <w:rPr>
                <w:rFonts w:ascii="Arial" w:hAnsi="Arial"/>
                <w:sz w:val="20"/>
                <w:lang w:eastAsia="en-GB"/>
              </w:rPr>
              <w:t xml:space="preserve">(3) </w:t>
            </w:r>
            <w:r w:rsidRPr="002070C7">
              <w:rPr>
                <w:rFonts w:ascii="Arial" w:hAnsi="Arial"/>
                <w:sz w:val="20"/>
              </w:rPr>
              <w:t>Norveška kruna (NOK)</w:t>
            </w:r>
          </w:p>
        </w:tc>
        <w:tc>
          <w:tcPr>
            <w:tcW w:w="2745" w:type="dxa"/>
            <w:tcBorders>
              <w:left w:val="nil"/>
              <w:right w:val="nil"/>
            </w:tcBorders>
            <w:noWrap/>
            <w:hideMark/>
          </w:tcPr>
          <w:p w:rsidRPr="002070C7" w:rsidR="00A5057C" w:rsidP="006F6C94" w:rsidRDefault="00A5057C" w14:paraId="0D7C7ADA"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3DE92DD1" w14:textId="77777777">
        <w:trPr>
          <w:trHeight w:val="300"/>
        </w:trPr>
        <w:tc>
          <w:tcPr>
            <w:tcW w:w="6804" w:type="dxa"/>
            <w:tcBorders>
              <w:left w:val="nil"/>
              <w:right w:val="nil"/>
            </w:tcBorders>
            <w:noWrap/>
            <w:hideMark/>
          </w:tcPr>
          <w:p w:rsidRPr="002070C7" w:rsidR="00A5057C" w:rsidP="006F6C94" w:rsidRDefault="00A5057C" w14:paraId="3CDEA011" w14:textId="77777777">
            <w:pPr>
              <w:ind w:firstLine="400" w:firstLineChars="200"/>
              <w:rPr>
                <w:rFonts w:ascii="Arial" w:hAnsi="Arial" w:eastAsia="Times New Roman" w:cs="Arial"/>
                <w:sz w:val="20"/>
                <w:szCs w:val="20"/>
              </w:rPr>
            </w:pPr>
            <w:r w:rsidRPr="002070C7">
              <w:rPr>
                <w:rFonts w:ascii="Arial" w:hAnsi="Arial"/>
                <w:sz w:val="20"/>
                <w:lang w:eastAsia="en-GB"/>
              </w:rPr>
              <w:t xml:space="preserve">(4) </w:t>
            </w:r>
            <w:r w:rsidRPr="002070C7">
              <w:rPr>
                <w:rFonts w:ascii="Arial" w:hAnsi="Arial"/>
                <w:sz w:val="20"/>
              </w:rPr>
              <w:t>Ruski rubalj (RUB)</w:t>
            </w:r>
          </w:p>
        </w:tc>
        <w:tc>
          <w:tcPr>
            <w:tcW w:w="2745" w:type="dxa"/>
            <w:tcBorders>
              <w:left w:val="nil"/>
              <w:right w:val="nil"/>
            </w:tcBorders>
            <w:noWrap/>
            <w:hideMark/>
          </w:tcPr>
          <w:p w:rsidRPr="002070C7" w:rsidR="00A5057C" w:rsidP="006F6C94" w:rsidRDefault="00A5057C" w14:paraId="43AF7A07"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7F85B8EC" w14:textId="77777777">
        <w:trPr>
          <w:trHeight w:val="300"/>
        </w:trPr>
        <w:tc>
          <w:tcPr>
            <w:tcW w:w="6804" w:type="dxa"/>
            <w:tcBorders>
              <w:left w:val="nil"/>
              <w:right w:val="nil"/>
            </w:tcBorders>
            <w:noWrap/>
            <w:hideMark/>
          </w:tcPr>
          <w:p w:rsidRPr="002070C7" w:rsidR="00A5057C" w:rsidP="006F6C94" w:rsidRDefault="00A5057C" w14:paraId="358F8B82" w14:textId="77777777">
            <w:pPr>
              <w:ind w:firstLine="400" w:firstLineChars="200"/>
              <w:rPr>
                <w:rFonts w:ascii="Arial" w:hAnsi="Arial" w:eastAsia="Times New Roman" w:cs="Arial"/>
                <w:sz w:val="20"/>
                <w:szCs w:val="20"/>
              </w:rPr>
            </w:pPr>
            <w:r w:rsidRPr="002070C7">
              <w:rPr>
                <w:rFonts w:ascii="Arial" w:hAnsi="Arial"/>
                <w:sz w:val="20"/>
                <w:lang w:eastAsia="en-GB"/>
              </w:rPr>
              <w:t xml:space="preserve">(5) </w:t>
            </w:r>
            <w:r w:rsidRPr="002070C7">
              <w:rPr>
                <w:rFonts w:ascii="Arial" w:hAnsi="Arial"/>
                <w:sz w:val="20"/>
              </w:rPr>
              <w:t>Singapurski dolar (SGD)</w:t>
            </w:r>
          </w:p>
        </w:tc>
        <w:tc>
          <w:tcPr>
            <w:tcW w:w="2745" w:type="dxa"/>
            <w:tcBorders>
              <w:left w:val="nil"/>
              <w:right w:val="nil"/>
            </w:tcBorders>
            <w:noWrap/>
            <w:hideMark/>
          </w:tcPr>
          <w:p w:rsidRPr="002070C7" w:rsidR="00A5057C" w:rsidP="006F6C94" w:rsidRDefault="00A5057C" w14:paraId="5EE7D93C"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4DEB13C7" w14:textId="77777777">
        <w:trPr>
          <w:trHeight w:val="300"/>
        </w:trPr>
        <w:tc>
          <w:tcPr>
            <w:tcW w:w="6804" w:type="dxa"/>
            <w:tcBorders>
              <w:left w:val="nil"/>
              <w:bottom w:val="single" w:color="auto" w:sz="4" w:space="0"/>
              <w:right w:val="nil"/>
            </w:tcBorders>
            <w:noWrap/>
            <w:hideMark/>
          </w:tcPr>
          <w:p w:rsidRPr="002070C7" w:rsidR="00A5057C" w:rsidP="006F6C94" w:rsidRDefault="00A5057C" w14:paraId="481425AD" w14:textId="77777777">
            <w:pPr>
              <w:ind w:firstLine="400" w:firstLineChars="200"/>
              <w:rPr>
                <w:rFonts w:ascii="Arial" w:hAnsi="Arial" w:eastAsia="Times New Roman" w:cs="Arial"/>
                <w:sz w:val="20"/>
                <w:szCs w:val="20"/>
              </w:rPr>
            </w:pPr>
            <w:r w:rsidRPr="002070C7">
              <w:rPr>
                <w:rFonts w:ascii="Arial" w:hAnsi="Arial"/>
                <w:sz w:val="20"/>
                <w:lang w:eastAsia="en-GB"/>
              </w:rPr>
              <w:t xml:space="preserve">(6) </w:t>
            </w:r>
            <w:r w:rsidRPr="002070C7">
              <w:rPr>
                <w:rFonts w:ascii="Arial" w:hAnsi="Arial"/>
                <w:sz w:val="20"/>
              </w:rPr>
              <w:t>Južnokorejski von (KRW)</w:t>
            </w:r>
          </w:p>
        </w:tc>
        <w:tc>
          <w:tcPr>
            <w:tcW w:w="2745" w:type="dxa"/>
            <w:tcBorders>
              <w:left w:val="nil"/>
              <w:bottom w:val="single" w:color="auto" w:sz="4" w:space="0"/>
              <w:right w:val="nil"/>
            </w:tcBorders>
            <w:noWrap/>
            <w:hideMark/>
          </w:tcPr>
          <w:p w:rsidRPr="002070C7" w:rsidR="00A5057C" w:rsidP="006F6C94" w:rsidRDefault="00A5057C" w14:paraId="47F64613"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37611C3C" w14:textId="77777777">
        <w:trPr>
          <w:trHeight w:val="403"/>
        </w:trPr>
        <w:tc>
          <w:tcPr>
            <w:tcW w:w="6804" w:type="dxa"/>
            <w:tcBorders>
              <w:left w:val="nil"/>
              <w:bottom w:val="nil"/>
              <w:right w:val="nil"/>
            </w:tcBorders>
            <w:noWrap/>
            <w:hideMark/>
          </w:tcPr>
          <w:p w:rsidRPr="002070C7" w:rsidR="00A5057C" w:rsidP="006F6C94" w:rsidRDefault="00A5057C" w14:paraId="4E62A111" w14:textId="77777777">
            <w:pPr>
              <w:rPr>
                <w:rFonts w:ascii="Arial" w:hAnsi="Arial" w:eastAsia="Times New Roman" w:cs="Arial"/>
                <w:sz w:val="20"/>
                <w:szCs w:val="20"/>
              </w:rPr>
            </w:pPr>
            <w:r w:rsidRPr="002070C7">
              <w:rPr>
                <w:rFonts w:ascii="Arial" w:hAnsi="Arial"/>
                <w:sz w:val="20"/>
              </w:rPr>
              <w:t> </w:t>
            </w:r>
          </w:p>
        </w:tc>
        <w:tc>
          <w:tcPr>
            <w:tcW w:w="2745" w:type="dxa"/>
            <w:tcBorders>
              <w:left w:val="nil"/>
              <w:bottom w:val="nil"/>
              <w:right w:val="nil"/>
            </w:tcBorders>
            <w:noWrap/>
            <w:hideMark/>
          </w:tcPr>
          <w:p w:rsidRPr="002070C7" w:rsidR="00A5057C" w:rsidP="006F6C94" w:rsidRDefault="00A5057C" w14:paraId="38C9F8F8" w14:textId="77777777">
            <w:pPr>
              <w:rPr>
                <w:rFonts w:ascii="Arial" w:hAnsi="Arial" w:eastAsia="Times New Roman" w:cs="Arial"/>
                <w:sz w:val="20"/>
                <w:szCs w:val="20"/>
              </w:rPr>
            </w:pPr>
            <w:r w:rsidRPr="002070C7">
              <w:rPr>
                <w:rFonts w:ascii="Arial" w:hAnsi="Arial"/>
                <w:sz w:val="20"/>
              </w:rPr>
              <w:t> </w:t>
            </w:r>
          </w:p>
        </w:tc>
      </w:tr>
      <w:tr w:rsidRPr="002070C7" w:rsidR="00A5057C" w:rsidTr="006F6C94" w14:paraId="1013C015" w14:textId="77777777">
        <w:trPr>
          <w:trHeight w:val="403"/>
        </w:trPr>
        <w:tc>
          <w:tcPr>
            <w:tcW w:w="6804" w:type="dxa"/>
            <w:tcBorders>
              <w:top w:val="nil"/>
              <w:left w:val="nil"/>
              <w:bottom w:val="nil"/>
              <w:right w:val="nil"/>
            </w:tcBorders>
            <w:noWrap/>
            <w:hideMark/>
          </w:tcPr>
          <w:p w:rsidRPr="002070C7" w:rsidR="00A5057C" w:rsidP="006F6C94" w:rsidRDefault="00A5057C" w14:paraId="2384F0FB" w14:textId="77777777">
            <w:pPr>
              <w:rPr>
                <w:rFonts w:asciiTheme="majorHAnsi" w:hAnsiTheme="majorHAnsi" w:eastAsiaTheme="majorEastAsia" w:cstheme="majorBidi"/>
                <w:b/>
                <w:bCs/>
                <w:i/>
                <w:iCs/>
                <w:caps/>
                <w:spacing w:val="-2"/>
              </w:rPr>
            </w:pPr>
            <w:r w:rsidRPr="002070C7">
              <w:rPr>
                <w:rFonts w:asciiTheme="majorHAnsi" w:hAnsiTheme="majorHAnsi"/>
                <w:b/>
                <w:i/>
                <w:caps/>
              </w:rPr>
              <w:t> Memorandumske stavke</w:t>
            </w:r>
          </w:p>
        </w:tc>
        <w:tc>
          <w:tcPr>
            <w:tcW w:w="2745" w:type="dxa"/>
            <w:tcBorders>
              <w:top w:val="nil"/>
              <w:left w:val="nil"/>
              <w:bottom w:val="nil"/>
              <w:right w:val="nil"/>
            </w:tcBorders>
            <w:noWrap/>
            <w:hideMark/>
          </w:tcPr>
          <w:p w:rsidRPr="002070C7" w:rsidR="00A5057C" w:rsidP="006F6C94" w:rsidRDefault="00A5057C" w14:paraId="3E1D9617" w14:textId="77777777">
            <w:pPr>
              <w:rPr>
                <w:rFonts w:ascii="Arial" w:hAnsi="Arial" w:eastAsia="Times New Roman" w:cs="Arial"/>
                <w:b/>
                <w:bCs/>
                <w:sz w:val="24"/>
                <w:szCs w:val="24"/>
              </w:rPr>
            </w:pPr>
            <w:r w:rsidRPr="002070C7">
              <w:rPr>
                <w:rFonts w:ascii="Arial" w:hAnsi="Arial"/>
                <w:b/>
                <w:sz w:val="24"/>
              </w:rPr>
              <w:t> </w:t>
            </w:r>
          </w:p>
        </w:tc>
      </w:tr>
      <w:tr w:rsidRPr="002070C7" w:rsidR="00A5057C" w:rsidTr="006F6C94" w14:paraId="5E7EF334" w14:textId="77777777">
        <w:trPr>
          <w:trHeight w:val="403"/>
        </w:trPr>
        <w:tc>
          <w:tcPr>
            <w:tcW w:w="6804" w:type="dxa"/>
            <w:tcBorders>
              <w:top w:val="nil"/>
              <w:left w:val="nil"/>
              <w:bottom w:val="single" w:color="auto" w:sz="4" w:space="0"/>
              <w:right w:val="nil"/>
            </w:tcBorders>
            <w:noWrap/>
            <w:hideMark/>
          </w:tcPr>
          <w:p w:rsidRPr="002070C7" w:rsidR="00A5057C" w:rsidP="006F6C94" w:rsidRDefault="00A5057C" w14:paraId="60BCA34B" w14:textId="77777777">
            <w:pPr>
              <w:ind w:firstLine="241" w:firstLineChars="100"/>
              <w:rPr>
                <w:rFonts w:ascii="Arial" w:hAnsi="Arial" w:eastAsia="Times New Roman" w:cs="Arial"/>
                <w:b/>
                <w:bCs/>
                <w:sz w:val="24"/>
                <w:szCs w:val="24"/>
              </w:rPr>
            </w:pPr>
            <w:r w:rsidRPr="002070C7">
              <w:rPr>
                <w:rFonts w:ascii="Arial" w:hAnsi="Arial"/>
                <w:b/>
                <w:sz w:val="24"/>
              </w:rPr>
              <w:t> </w:t>
            </w:r>
          </w:p>
        </w:tc>
        <w:tc>
          <w:tcPr>
            <w:tcW w:w="2745" w:type="dxa"/>
            <w:tcBorders>
              <w:top w:val="nil"/>
              <w:left w:val="nil"/>
              <w:bottom w:val="single" w:color="auto" w:sz="4" w:space="0"/>
              <w:right w:val="nil"/>
            </w:tcBorders>
            <w:noWrap/>
            <w:hideMark/>
          </w:tcPr>
          <w:p w:rsidRPr="002070C7" w:rsidR="00A5057C" w:rsidP="006F6C94" w:rsidRDefault="00A5057C" w14:paraId="3FD160E4" w14:textId="77777777">
            <w:pPr>
              <w:rPr>
                <w:rFonts w:ascii="Arial" w:hAnsi="Arial" w:eastAsia="Times New Roman" w:cs="Arial"/>
                <w:b/>
                <w:bCs/>
                <w:sz w:val="24"/>
                <w:szCs w:val="24"/>
              </w:rPr>
            </w:pPr>
            <w:r w:rsidRPr="002070C7">
              <w:rPr>
                <w:rFonts w:ascii="Arial" w:hAnsi="Arial"/>
                <w:b/>
                <w:sz w:val="24"/>
              </w:rPr>
              <w:t> </w:t>
            </w:r>
          </w:p>
        </w:tc>
      </w:tr>
      <w:tr w:rsidRPr="002070C7" w:rsidR="00A5057C" w:rsidTr="006F6C94" w14:paraId="4E131247" w14:textId="77777777">
        <w:trPr>
          <w:trHeight w:val="300"/>
        </w:trPr>
        <w:tc>
          <w:tcPr>
            <w:tcW w:w="6804" w:type="dxa"/>
            <w:tcBorders>
              <w:left w:val="nil"/>
              <w:right w:val="nil"/>
            </w:tcBorders>
            <w:noWrap/>
            <w:hideMark/>
          </w:tcPr>
          <w:p w:rsidRPr="002070C7" w:rsidR="00A5057C" w:rsidP="006F6C94" w:rsidRDefault="00A5057C" w14:paraId="4744ECB4" w14:textId="77777777">
            <w:pPr>
              <w:rPr>
                <w:rFonts w:ascii="Arial" w:hAnsi="Arial" w:eastAsia="Times New Roman" w:cs="Arial"/>
                <w:b/>
                <w:bCs/>
                <w:sz w:val="20"/>
                <w:szCs w:val="20"/>
              </w:rPr>
            </w:pPr>
            <w:r w:rsidRPr="002070C7">
              <w:rPr>
                <w:rFonts w:ascii="Arial" w:hAnsi="Arial"/>
                <w:b/>
                <w:sz w:val="20"/>
              </w:rPr>
              <w:t>Odjeljak 17. – Stavke koje se odnose na veličinu</w:t>
            </w:r>
          </w:p>
        </w:tc>
        <w:tc>
          <w:tcPr>
            <w:tcW w:w="2745" w:type="dxa"/>
            <w:tcBorders>
              <w:left w:val="nil"/>
              <w:right w:val="nil"/>
            </w:tcBorders>
            <w:hideMark/>
          </w:tcPr>
          <w:p w:rsidRPr="002070C7" w:rsidR="00A5057C" w:rsidP="006F6C94" w:rsidRDefault="00A5057C" w14:paraId="3A3994ED"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3D7BEF2A" w14:textId="77777777">
        <w:trPr>
          <w:gridAfter w:val="1"/>
          <w:wAfter w:w="2745" w:type="dxa"/>
          <w:trHeight w:val="300"/>
        </w:trPr>
        <w:tc>
          <w:tcPr>
            <w:tcW w:w="6804" w:type="dxa"/>
            <w:tcBorders>
              <w:left w:val="nil"/>
              <w:right w:val="nil"/>
            </w:tcBorders>
            <w:noWrap/>
            <w:hideMark/>
          </w:tcPr>
          <w:p w:rsidRPr="002070C7" w:rsidR="00A5057C" w:rsidP="006F6C94" w:rsidRDefault="00A5057C" w14:paraId="4CB100E3" w14:textId="77777777">
            <w:pPr>
              <w:ind w:left="171" w:firstLine="28" w:firstLineChars="14"/>
              <w:rPr>
                <w:rFonts w:ascii="Arial" w:hAnsi="Arial" w:eastAsia="Times New Roman" w:cs="Arial"/>
                <w:sz w:val="20"/>
                <w:szCs w:val="20"/>
              </w:rPr>
            </w:pPr>
            <w:r w:rsidRPr="002070C7">
              <w:rPr>
                <w:rFonts w:ascii="Arial" w:hAnsi="Arial"/>
                <w:sz w:val="20"/>
              </w:rPr>
              <w:lastRenderedPageBreak/>
              <w:t>a. Izloženosti društava kćeri za osiguranje koja su već uvrštena u bonitetni regulatorni opseg konsolidacije</w:t>
            </w:r>
          </w:p>
        </w:tc>
      </w:tr>
      <w:tr w:rsidRPr="002070C7" w:rsidR="00A5057C" w:rsidTr="006F6C94" w14:paraId="17A200C0" w14:textId="77777777">
        <w:trPr>
          <w:trHeight w:val="300"/>
        </w:trPr>
        <w:tc>
          <w:tcPr>
            <w:tcW w:w="6804" w:type="dxa"/>
            <w:tcBorders>
              <w:left w:val="nil"/>
              <w:right w:val="nil"/>
            </w:tcBorders>
            <w:noWrap/>
            <w:hideMark/>
          </w:tcPr>
          <w:p w:rsidRPr="002070C7" w:rsidR="00A5057C" w:rsidP="006F6C94" w:rsidRDefault="00A5057C" w14:paraId="5692EAE9" w14:textId="77777777">
            <w:pPr>
              <w:ind w:firstLine="200" w:firstLineChars="100"/>
              <w:rPr>
                <w:rFonts w:ascii="Arial" w:hAnsi="Arial" w:eastAsia="Times New Roman" w:cs="Arial"/>
                <w:sz w:val="20"/>
                <w:szCs w:val="20"/>
              </w:rPr>
            </w:pPr>
            <w:r w:rsidRPr="002070C7">
              <w:rPr>
                <w:rFonts w:ascii="Arial" w:hAnsi="Arial"/>
                <w:sz w:val="20"/>
              </w:rPr>
              <w:t xml:space="preserve">b. Tromjesečna prosječna vrijednost ukupnih izloženosti </w:t>
            </w:r>
          </w:p>
        </w:tc>
        <w:tc>
          <w:tcPr>
            <w:tcW w:w="2745" w:type="dxa"/>
            <w:tcBorders>
              <w:left w:val="nil"/>
              <w:right w:val="nil"/>
            </w:tcBorders>
            <w:noWrap/>
            <w:hideMark/>
          </w:tcPr>
          <w:p w:rsidRPr="002070C7" w:rsidR="00A5057C" w:rsidP="006F6C94" w:rsidRDefault="00A5057C" w14:paraId="5D4ABF84"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254E009E" w14:textId="77777777">
        <w:trPr>
          <w:trHeight w:val="300"/>
        </w:trPr>
        <w:tc>
          <w:tcPr>
            <w:tcW w:w="6804" w:type="dxa"/>
            <w:tcBorders>
              <w:left w:val="nil"/>
              <w:bottom w:val="single" w:color="auto" w:sz="4" w:space="0"/>
              <w:right w:val="nil"/>
            </w:tcBorders>
            <w:noWrap/>
            <w:hideMark/>
          </w:tcPr>
          <w:p w:rsidRPr="002070C7" w:rsidR="00A5057C" w:rsidP="006F6C94" w:rsidRDefault="00A5057C" w14:paraId="3D037867" w14:textId="77777777">
            <w:pPr>
              <w:ind w:firstLine="200" w:firstLineChars="100"/>
              <w:rPr>
                <w:rFonts w:ascii="Arial" w:hAnsi="Arial" w:eastAsia="Times New Roman" w:cs="Arial"/>
                <w:sz w:val="20"/>
                <w:szCs w:val="20"/>
              </w:rPr>
            </w:pPr>
            <w:r w:rsidRPr="002070C7">
              <w:rPr>
                <w:rFonts w:ascii="Arial" w:hAnsi="Arial"/>
                <w:sz w:val="20"/>
              </w:rPr>
              <w:t xml:space="preserve">c. Prosječna mjesečna vrijednost ukupnih izloženosti </w:t>
            </w:r>
          </w:p>
        </w:tc>
        <w:tc>
          <w:tcPr>
            <w:tcW w:w="2745" w:type="dxa"/>
            <w:tcBorders>
              <w:left w:val="nil"/>
              <w:bottom w:val="single" w:color="auto" w:sz="4" w:space="0"/>
              <w:right w:val="nil"/>
            </w:tcBorders>
            <w:noWrap/>
            <w:hideMark/>
          </w:tcPr>
          <w:p w:rsidRPr="002070C7" w:rsidR="00A5057C" w:rsidP="006F6C94" w:rsidRDefault="00A5057C" w14:paraId="492ED92A"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69A0E7BA" w14:textId="77777777">
        <w:trPr>
          <w:trHeight w:val="300"/>
        </w:trPr>
        <w:tc>
          <w:tcPr>
            <w:tcW w:w="6804" w:type="dxa"/>
            <w:tcBorders>
              <w:left w:val="nil"/>
              <w:bottom w:val="nil"/>
              <w:right w:val="nil"/>
            </w:tcBorders>
            <w:noWrap/>
          </w:tcPr>
          <w:p w:rsidRPr="002070C7" w:rsidR="00A5057C" w:rsidP="006F6C94" w:rsidRDefault="00A5057C" w14:paraId="3C7A7781"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070C7" w:rsidR="00A5057C" w:rsidP="006F6C94" w:rsidRDefault="00A5057C" w14:paraId="41475BFE" w14:textId="77777777">
            <w:pPr>
              <w:jc w:val="center"/>
              <w:rPr>
                <w:rFonts w:ascii="Arial" w:hAnsi="Arial" w:eastAsia="Times New Roman" w:cs="Arial"/>
                <w:b/>
                <w:bCs/>
                <w:sz w:val="20"/>
                <w:szCs w:val="20"/>
                <w:lang w:eastAsia="en-GB"/>
              </w:rPr>
            </w:pPr>
          </w:p>
        </w:tc>
      </w:tr>
      <w:tr w:rsidRPr="002070C7" w:rsidR="00A5057C" w:rsidTr="006F6C94" w14:paraId="5AAF1220" w14:textId="77777777">
        <w:trPr>
          <w:trHeight w:val="300"/>
        </w:trPr>
        <w:tc>
          <w:tcPr>
            <w:tcW w:w="6804" w:type="dxa"/>
            <w:tcBorders>
              <w:top w:val="nil"/>
              <w:left w:val="nil"/>
              <w:right w:val="nil"/>
            </w:tcBorders>
            <w:noWrap/>
            <w:hideMark/>
          </w:tcPr>
          <w:p w:rsidRPr="002070C7" w:rsidR="00A5057C" w:rsidP="006F6C94" w:rsidRDefault="00A5057C" w14:paraId="5CE6BD36" w14:textId="77777777">
            <w:pPr>
              <w:rPr>
                <w:rFonts w:ascii="Arial" w:hAnsi="Arial" w:eastAsia="Times New Roman" w:cs="Arial"/>
                <w:b/>
                <w:bCs/>
                <w:sz w:val="20"/>
                <w:szCs w:val="20"/>
              </w:rPr>
            </w:pPr>
            <w:r w:rsidRPr="002070C7">
              <w:rPr>
                <w:rFonts w:ascii="Arial" w:hAnsi="Arial"/>
                <w:b/>
                <w:sz w:val="20"/>
              </w:rPr>
              <w:t>Odjeljak 18. – Stavke koje se odnose na povezanost</w:t>
            </w:r>
          </w:p>
        </w:tc>
        <w:tc>
          <w:tcPr>
            <w:tcW w:w="2745" w:type="dxa"/>
            <w:tcBorders>
              <w:top w:val="nil"/>
              <w:left w:val="nil"/>
              <w:right w:val="nil"/>
            </w:tcBorders>
            <w:hideMark/>
          </w:tcPr>
          <w:p w:rsidRPr="002070C7" w:rsidR="00A5057C" w:rsidP="006F6C94" w:rsidRDefault="00A5057C" w14:paraId="1AF59703"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4435C83E" w14:textId="77777777">
        <w:trPr>
          <w:trHeight w:val="300"/>
        </w:trPr>
        <w:tc>
          <w:tcPr>
            <w:tcW w:w="6804" w:type="dxa"/>
            <w:tcBorders>
              <w:left w:val="nil"/>
              <w:right w:val="nil"/>
            </w:tcBorders>
            <w:noWrap/>
            <w:hideMark/>
          </w:tcPr>
          <w:p w:rsidRPr="002070C7" w:rsidR="00A5057C" w:rsidP="006F6C94" w:rsidRDefault="00A5057C" w14:paraId="09572CC5" w14:textId="77777777">
            <w:pPr>
              <w:ind w:firstLine="200" w:firstLineChars="100"/>
              <w:rPr>
                <w:rFonts w:ascii="Arial" w:hAnsi="Arial" w:eastAsia="Times New Roman" w:cs="Arial"/>
                <w:sz w:val="20"/>
                <w:szCs w:val="20"/>
              </w:rPr>
            </w:pPr>
            <w:r w:rsidRPr="002070C7">
              <w:rPr>
                <w:rFonts w:ascii="Arial" w:hAnsi="Arial"/>
                <w:sz w:val="20"/>
              </w:rPr>
              <w:t>a. Pokazatelj imovine unutar financijskog sustava (stari pokazatelj)</w:t>
            </w:r>
          </w:p>
        </w:tc>
        <w:tc>
          <w:tcPr>
            <w:tcW w:w="2745" w:type="dxa"/>
            <w:tcBorders>
              <w:left w:val="nil"/>
              <w:right w:val="nil"/>
            </w:tcBorders>
            <w:noWrap/>
            <w:hideMark/>
          </w:tcPr>
          <w:p w:rsidRPr="002070C7" w:rsidR="00A5057C" w:rsidP="006F6C94" w:rsidRDefault="00A5057C" w14:paraId="705D3E8E"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43B54B6E" w14:textId="77777777">
        <w:trPr>
          <w:trHeight w:val="300"/>
        </w:trPr>
        <w:tc>
          <w:tcPr>
            <w:tcW w:w="6804" w:type="dxa"/>
            <w:tcBorders>
              <w:left w:val="nil"/>
              <w:right w:val="nil"/>
            </w:tcBorders>
            <w:noWrap/>
            <w:hideMark/>
          </w:tcPr>
          <w:p w:rsidRPr="002070C7" w:rsidR="00A5057C" w:rsidP="006F6C94" w:rsidRDefault="00A5057C" w14:paraId="5E4FD9B3" w14:textId="77777777">
            <w:pPr>
              <w:ind w:firstLine="200" w:firstLineChars="100"/>
              <w:rPr>
                <w:rFonts w:ascii="Arial" w:hAnsi="Arial" w:eastAsia="Times New Roman" w:cs="Arial"/>
                <w:sz w:val="20"/>
                <w:szCs w:val="20"/>
              </w:rPr>
            </w:pPr>
            <w:r w:rsidRPr="002070C7">
              <w:rPr>
                <w:rFonts w:ascii="Arial" w:hAnsi="Arial"/>
                <w:sz w:val="20"/>
              </w:rPr>
              <w:t xml:space="preserve">b. Tromjesečna prosječna vrijednost imovine unutar financijskog sustava </w:t>
            </w:r>
          </w:p>
        </w:tc>
        <w:tc>
          <w:tcPr>
            <w:tcW w:w="2745" w:type="dxa"/>
            <w:tcBorders>
              <w:left w:val="nil"/>
              <w:right w:val="nil"/>
            </w:tcBorders>
            <w:noWrap/>
            <w:hideMark/>
          </w:tcPr>
          <w:p w:rsidRPr="002070C7" w:rsidR="00A5057C" w:rsidP="006F6C94" w:rsidRDefault="00A5057C" w14:paraId="385F8670"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22A0F873" w14:textId="77777777">
        <w:trPr>
          <w:trHeight w:val="300"/>
        </w:trPr>
        <w:tc>
          <w:tcPr>
            <w:tcW w:w="6804" w:type="dxa"/>
            <w:tcBorders>
              <w:left w:val="nil"/>
              <w:right w:val="nil"/>
            </w:tcBorders>
            <w:noWrap/>
            <w:hideMark/>
          </w:tcPr>
          <w:p w:rsidRPr="002070C7" w:rsidR="00A5057C" w:rsidP="006F6C94" w:rsidRDefault="00A5057C" w14:paraId="1D1BA583" w14:textId="77777777">
            <w:pPr>
              <w:ind w:firstLine="200" w:firstLineChars="100"/>
              <w:rPr>
                <w:rFonts w:ascii="Arial" w:hAnsi="Arial" w:eastAsia="Times New Roman" w:cs="Arial"/>
                <w:sz w:val="20"/>
                <w:szCs w:val="20"/>
              </w:rPr>
            </w:pPr>
            <w:r w:rsidRPr="002070C7">
              <w:rPr>
                <w:rFonts w:ascii="Arial" w:hAnsi="Arial"/>
                <w:sz w:val="20"/>
              </w:rPr>
              <w:t xml:space="preserve">c. Prosječna mjesečna vrijednost imovine unutar financijskog sustava </w:t>
            </w:r>
          </w:p>
        </w:tc>
        <w:tc>
          <w:tcPr>
            <w:tcW w:w="2745" w:type="dxa"/>
            <w:tcBorders>
              <w:left w:val="nil"/>
              <w:right w:val="nil"/>
            </w:tcBorders>
            <w:noWrap/>
            <w:hideMark/>
          </w:tcPr>
          <w:p w:rsidRPr="002070C7" w:rsidR="00A5057C" w:rsidP="006F6C94" w:rsidRDefault="00A5057C" w14:paraId="48A9514E"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52958AED" w14:textId="77777777">
        <w:trPr>
          <w:trHeight w:val="300"/>
        </w:trPr>
        <w:tc>
          <w:tcPr>
            <w:tcW w:w="6804" w:type="dxa"/>
            <w:tcBorders>
              <w:left w:val="nil"/>
              <w:right w:val="nil"/>
            </w:tcBorders>
            <w:noWrap/>
            <w:hideMark/>
          </w:tcPr>
          <w:p w:rsidRPr="002070C7" w:rsidR="00A5057C" w:rsidP="006F6C94" w:rsidRDefault="00A5057C" w14:paraId="146828D3" w14:textId="77777777">
            <w:pPr>
              <w:ind w:firstLine="200" w:firstLineChars="100"/>
              <w:rPr>
                <w:rFonts w:ascii="Arial" w:hAnsi="Arial" w:eastAsia="Times New Roman" w:cs="Arial"/>
                <w:sz w:val="20"/>
                <w:szCs w:val="20"/>
              </w:rPr>
            </w:pPr>
            <w:r w:rsidRPr="002070C7">
              <w:rPr>
                <w:rFonts w:ascii="Arial" w:hAnsi="Arial"/>
                <w:sz w:val="20"/>
              </w:rPr>
              <w:t>d. Pokazatelj obveza unutar financijskog sustava (stari pokazatelj)</w:t>
            </w:r>
          </w:p>
        </w:tc>
        <w:tc>
          <w:tcPr>
            <w:tcW w:w="2745" w:type="dxa"/>
            <w:tcBorders>
              <w:left w:val="nil"/>
              <w:right w:val="nil"/>
            </w:tcBorders>
            <w:noWrap/>
            <w:hideMark/>
          </w:tcPr>
          <w:p w:rsidRPr="002070C7" w:rsidR="00A5057C" w:rsidP="006F6C94" w:rsidRDefault="00A5057C" w14:paraId="7AF2E058"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3767E828" w14:textId="77777777">
        <w:trPr>
          <w:trHeight w:val="300"/>
        </w:trPr>
        <w:tc>
          <w:tcPr>
            <w:tcW w:w="6804" w:type="dxa"/>
            <w:tcBorders>
              <w:left w:val="nil"/>
              <w:right w:val="nil"/>
            </w:tcBorders>
            <w:noWrap/>
            <w:hideMark/>
          </w:tcPr>
          <w:p w:rsidRPr="002070C7" w:rsidR="00A5057C" w:rsidP="006F6C94" w:rsidRDefault="00A5057C" w14:paraId="4DFF82C9" w14:textId="77777777">
            <w:pPr>
              <w:ind w:firstLine="200" w:firstLineChars="100"/>
              <w:rPr>
                <w:rFonts w:ascii="Arial" w:hAnsi="Arial" w:eastAsia="Times New Roman" w:cs="Arial"/>
                <w:sz w:val="20"/>
                <w:szCs w:val="20"/>
              </w:rPr>
            </w:pPr>
            <w:r w:rsidRPr="002070C7">
              <w:rPr>
                <w:rFonts w:ascii="Arial" w:hAnsi="Arial"/>
                <w:sz w:val="20"/>
              </w:rPr>
              <w:t xml:space="preserve">e. Tromjesečna prosječna vrijednost obveza unutar financijskog sustava </w:t>
            </w:r>
          </w:p>
        </w:tc>
        <w:tc>
          <w:tcPr>
            <w:tcW w:w="2745" w:type="dxa"/>
            <w:tcBorders>
              <w:left w:val="nil"/>
              <w:right w:val="nil"/>
            </w:tcBorders>
            <w:noWrap/>
            <w:hideMark/>
          </w:tcPr>
          <w:p w:rsidRPr="002070C7" w:rsidR="00A5057C" w:rsidP="006F6C94" w:rsidRDefault="00A5057C" w14:paraId="5E4926F2"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592794A3" w14:textId="77777777">
        <w:trPr>
          <w:trHeight w:val="300"/>
        </w:trPr>
        <w:tc>
          <w:tcPr>
            <w:tcW w:w="6804" w:type="dxa"/>
            <w:tcBorders>
              <w:left w:val="nil"/>
              <w:right w:val="nil"/>
            </w:tcBorders>
            <w:noWrap/>
            <w:hideMark/>
          </w:tcPr>
          <w:p w:rsidRPr="002070C7" w:rsidR="00A5057C" w:rsidP="006F6C94" w:rsidRDefault="00A5057C" w14:paraId="284222FF" w14:textId="77777777">
            <w:pPr>
              <w:ind w:firstLine="200" w:firstLineChars="100"/>
              <w:rPr>
                <w:rFonts w:ascii="Arial" w:hAnsi="Arial" w:eastAsia="Times New Roman" w:cs="Arial"/>
                <w:sz w:val="20"/>
                <w:szCs w:val="20"/>
              </w:rPr>
            </w:pPr>
            <w:r w:rsidRPr="002070C7">
              <w:rPr>
                <w:rFonts w:ascii="Arial" w:hAnsi="Arial"/>
                <w:sz w:val="20"/>
              </w:rPr>
              <w:t xml:space="preserve">f. Prosječna mjesečna vrijednost obveza unutar financijskog sustava </w:t>
            </w:r>
          </w:p>
        </w:tc>
        <w:tc>
          <w:tcPr>
            <w:tcW w:w="2745" w:type="dxa"/>
            <w:tcBorders>
              <w:left w:val="nil"/>
              <w:right w:val="nil"/>
            </w:tcBorders>
            <w:noWrap/>
            <w:hideMark/>
          </w:tcPr>
          <w:p w:rsidRPr="002070C7" w:rsidR="00A5057C" w:rsidP="006F6C94" w:rsidRDefault="00A5057C" w14:paraId="0C4549A9"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37E6D6AE" w14:textId="77777777">
        <w:trPr>
          <w:trHeight w:val="300"/>
        </w:trPr>
        <w:tc>
          <w:tcPr>
            <w:tcW w:w="6804" w:type="dxa"/>
            <w:tcBorders>
              <w:left w:val="nil"/>
              <w:right w:val="nil"/>
            </w:tcBorders>
            <w:noWrap/>
            <w:hideMark/>
          </w:tcPr>
          <w:p w:rsidRPr="002070C7" w:rsidR="00A5057C" w:rsidP="006F6C94" w:rsidRDefault="00A5057C" w14:paraId="5E7E0C8D" w14:textId="77777777">
            <w:pPr>
              <w:ind w:firstLine="200" w:firstLineChars="100"/>
              <w:rPr>
                <w:rFonts w:ascii="Arial" w:hAnsi="Arial" w:eastAsia="Times New Roman" w:cs="Arial"/>
                <w:sz w:val="20"/>
                <w:szCs w:val="20"/>
              </w:rPr>
            </w:pPr>
            <w:r w:rsidRPr="002070C7">
              <w:rPr>
                <w:rFonts w:ascii="Arial" w:hAnsi="Arial"/>
                <w:sz w:val="20"/>
              </w:rPr>
              <w:t>g. Pokazatelj vrijednosnih papira u optjecaju (stari pokazatelj)</w:t>
            </w:r>
          </w:p>
        </w:tc>
        <w:tc>
          <w:tcPr>
            <w:tcW w:w="2745" w:type="dxa"/>
            <w:tcBorders>
              <w:left w:val="nil"/>
              <w:right w:val="nil"/>
            </w:tcBorders>
            <w:noWrap/>
            <w:hideMark/>
          </w:tcPr>
          <w:p w:rsidRPr="002070C7" w:rsidR="00A5057C" w:rsidP="006F6C94" w:rsidRDefault="00A5057C" w14:paraId="24B4672C"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21ABB319" w14:textId="77777777">
        <w:trPr>
          <w:trHeight w:val="300"/>
        </w:trPr>
        <w:tc>
          <w:tcPr>
            <w:tcW w:w="6804" w:type="dxa"/>
            <w:tcBorders>
              <w:left w:val="nil"/>
              <w:right w:val="nil"/>
            </w:tcBorders>
            <w:noWrap/>
            <w:hideMark/>
          </w:tcPr>
          <w:p w:rsidRPr="002070C7" w:rsidR="00A5057C" w:rsidP="006F6C94" w:rsidRDefault="00A5057C" w14:paraId="2DC6A6EE" w14:textId="77777777">
            <w:pPr>
              <w:ind w:firstLine="200" w:firstLineChars="100"/>
              <w:rPr>
                <w:rFonts w:ascii="Arial" w:hAnsi="Arial" w:eastAsia="Times New Roman" w:cs="Arial"/>
                <w:sz w:val="20"/>
                <w:szCs w:val="20"/>
              </w:rPr>
            </w:pPr>
            <w:r w:rsidRPr="002070C7">
              <w:rPr>
                <w:rFonts w:ascii="Arial" w:hAnsi="Arial"/>
                <w:sz w:val="20"/>
              </w:rPr>
              <w:t xml:space="preserve">h. Tromjesečna prosječna vrijednost vrijednosnih papira u optjecaju </w:t>
            </w:r>
          </w:p>
        </w:tc>
        <w:tc>
          <w:tcPr>
            <w:tcW w:w="2745" w:type="dxa"/>
            <w:tcBorders>
              <w:left w:val="nil"/>
              <w:right w:val="nil"/>
            </w:tcBorders>
            <w:noWrap/>
            <w:hideMark/>
          </w:tcPr>
          <w:p w:rsidRPr="002070C7" w:rsidR="00A5057C" w:rsidP="006F6C94" w:rsidRDefault="00A5057C" w14:paraId="38FECA82"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25C37C30" w14:textId="77777777">
        <w:trPr>
          <w:trHeight w:val="300"/>
        </w:trPr>
        <w:tc>
          <w:tcPr>
            <w:tcW w:w="6804" w:type="dxa"/>
            <w:tcBorders>
              <w:left w:val="nil"/>
              <w:bottom w:val="single" w:color="auto" w:sz="4" w:space="0"/>
              <w:right w:val="nil"/>
            </w:tcBorders>
            <w:noWrap/>
            <w:hideMark/>
          </w:tcPr>
          <w:p w:rsidRPr="002070C7" w:rsidR="00A5057C" w:rsidP="006F6C94" w:rsidRDefault="00A5057C" w14:paraId="53027FB3" w14:textId="77777777">
            <w:pPr>
              <w:ind w:firstLine="200" w:firstLineChars="100"/>
              <w:rPr>
                <w:rFonts w:ascii="Arial" w:hAnsi="Arial" w:eastAsia="Times New Roman" w:cs="Arial"/>
                <w:sz w:val="20"/>
                <w:szCs w:val="20"/>
              </w:rPr>
            </w:pPr>
            <w:r w:rsidRPr="002070C7">
              <w:rPr>
                <w:rFonts w:ascii="Arial" w:hAnsi="Arial"/>
                <w:sz w:val="20"/>
              </w:rPr>
              <w:t xml:space="preserve">i. Prosječna mjesečna vrijednost vrijednosnih papira u optjecaju </w:t>
            </w:r>
          </w:p>
        </w:tc>
        <w:tc>
          <w:tcPr>
            <w:tcW w:w="2745" w:type="dxa"/>
            <w:tcBorders>
              <w:left w:val="nil"/>
              <w:bottom w:val="single" w:color="auto" w:sz="4" w:space="0"/>
              <w:right w:val="nil"/>
            </w:tcBorders>
            <w:noWrap/>
            <w:hideMark/>
          </w:tcPr>
          <w:p w:rsidRPr="002070C7" w:rsidR="00A5057C" w:rsidP="006F6C94" w:rsidRDefault="00A5057C" w14:paraId="21E9EA05"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26DEF0B9" w14:textId="77777777">
        <w:trPr>
          <w:trHeight w:val="300"/>
        </w:trPr>
        <w:tc>
          <w:tcPr>
            <w:tcW w:w="6804" w:type="dxa"/>
            <w:tcBorders>
              <w:left w:val="nil"/>
              <w:bottom w:val="nil"/>
              <w:right w:val="nil"/>
            </w:tcBorders>
            <w:noWrap/>
          </w:tcPr>
          <w:p w:rsidRPr="002070C7" w:rsidR="00A5057C" w:rsidP="006F6C94" w:rsidRDefault="00A5057C" w14:paraId="57800405"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070C7" w:rsidR="00A5057C" w:rsidP="006F6C94" w:rsidRDefault="00A5057C" w14:paraId="652711B3" w14:textId="77777777">
            <w:pPr>
              <w:jc w:val="center"/>
              <w:rPr>
                <w:rFonts w:ascii="Arial" w:hAnsi="Arial" w:eastAsia="Times New Roman" w:cs="Arial"/>
                <w:b/>
                <w:bCs/>
                <w:sz w:val="20"/>
                <w:szCs w:val="20"/>
                <w:lang w:eastAsia="en-GB"/>
              </w:rPr>
            </w:pPr>
          </w:p>
        </w:tc>
      </w:tr>
      <w:tr w:rsidRPr="002070C7" w:rsidR="00A5057C" w:rsidTr="006F6C94" w14:paraId="1AA27AC8" w14:textId="77777777">
        <w:trPr>
          <w:trHeight w:val="300"/>
        </w:trPr>
        <w:tc>
          <w:tcPr>
            <w:tcW w:w="6804" w:type="dxa"/>
            <w:tcBorders>
              <w:top w:val="nil"/>
              <w:left w:val="nil"/>
              <w:bottom w:val="single" w:color="auto" w:sz="4" w:space="0"/>
              <w:right w:val="nil"/>
            </w:tcBorders>
            <w:noWrap/>
            <w:hideMark/>
          </w:tcPr>
          <w:p w:rsidRPr="002070C7" w:rsidR="00A5057C" w:rsidP="006F6C94" w:rsidRDefault="00A5057C" w14:paraId="51C5A3E0" w14:textId="2ED4A562">
            <w:pPr>
              <w:rPr>
                <w:rFonts w:ascii="Arial" w:hAnsi="Arial" w:eastAsia="Times New Roman" w:cs="Arial"/>
                <w:b/>
                <w:bCs/>
                <w:sz w:val="20"/>
                <w:szCs w:val="20"/>
              </w:rPr>
            </w:pPr>
            <w:r w:rsidRPr="002070C7">
              <w:rPr>
                <w:rFonts w:ascii="Arial" w:hAnsi="Arial"/>
                <w:b/>
                <w:sz w:val="20"/>
              </w:rPr>
              <w:t>Odjeljak 19. – Stavke koje se odnose na zamjenjivost / infrastrukturu financijske institucije</w:t>
            </w:r>
          </w:p>
        </w:tc>
        <w:tc>
          <w:tcPr>
            <w:tcW w:w="2745" w:type="dxa"/>
            <w:tcBorders>
              <w:top w:val="nil"/>
              <w:left w:val="nil"/>
              <w:right w:val="nil"/>
            </w:tcBorders>
            <w:hideMark/>
          </w:tcPr>
          <w:p w:rsidRPr="002070C7" w:rsidR="00A5057C" w:rsidP="006F6C94" w:rsidRDefault="00A5057C" w14:paraId="262CAAD5"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44A99E09" w14:textId="77777777">
        <w:trPr>
          <w:trHeight w:val="300"/>
        </w:trPr>
        <w:tc>
          <w:tcPr>
            <w:tcW w:w="6804" w:type="dxa"/>
            <w:tcBorders>
              <w:left w:val="nil"/>
              <w:right w:val="nil"/>
            </w:tcBorders>
            <w:noWrap/>
          </w:tcPr>
          <w:p w:rsidRPr="002070C7" w:rsidR="00A5057C" w:rsidP="006F6C94" w:rsidRDefault="00A5057C" w14:paraId="664D167B" w14:textId="77777777">
            <w:pPr>
              <w:ind w:left="171" w:firstLine="28" w:firstLineChars="14"/>
              <w:rPr>
                <w:rFonts w:ascii="Arial" w:hAnsi="Arial" w:eastAsia="Times New Roman" w:cs="Arial"/>
                <w:sz w:val="20"/>
                <w:szCs w:val="20"/>
              </w:rPr>
            </w:pPr>
            <w:r w:rsidRPr="002070C7">
              <w:rPr>
                <w:rFonts w:ascii="Arial" w:hAnsi="Arial"/>
                <w:sz w:val="20"/>
              </w:rPr>
              <w:t>a. Volumen trgovanja vrijednosnim papirima država, isključujući transakcije unutar grupe</w:t>
            </w:r>
          </w:p>
        </w:tc>
        <w:tc>
          <w:tcPr>
            <w:tcW w:w="2745" w:type="dxa"/>
            <w:tcBorders>
              <w:left w:val="nil"/>
              <w:right w:val="nil"/>
            </w:tcBorders>
            <w:noWrap/>
          </w:tcPr>
          <w:p w:rsidRPr="002070C7" w:rsidR="00A5057C" w:rsidP="006F6C94" w:rsidRDefault="00A5057C" w14:paraId="366465FE" w14:textId="77777777">
            <w:pPr>
              <w:jc w:val="right"/>
              <w:rPr>
                <w:rFonts w:ascii="Arial" w:hAnsi="Arial" w:eastAsia="Times New Roman" w:cs="Arial"/>
                <w:sz w:val="20"/>
                <w:szCs w:val="20"/>
                <w:lang w:eastAsia="en-GB"/>
              </w:rPr>
            </w:pPr>
          </w:p>
        </w:tc>
      </w:tr>
      <w:tr w:rsidRPr="002070C7" w:rsidR="00A5057C" w:rsidTr="006F6C94" w14:paraId="64332313" w14:textId="77777777">
        <w:trPr>
          <w:trHeight w:val="300"/>
        </w:trPr>
        <w:tc>
          <w:tcPr>
            <w:tcW w:w="6804" w:type="dxa"/>
            <w:tcBorders>
              <w:left w:val="nil"/>
              <w:right w:val="nil"/>
            </w:tcBorders>
            <w:noWrap/>
          </w:tcPr>
          <w:p w:rsidRPr="002070C7" w:rsidR="00A5057C" w:rsidP="006F6C94" w:rsidRDefault="00A5057C" w14:paraId="3A20942A" w14:textId="77777777">
            <w:pPr>
              <w:ind w:left="171"/>
              <w:rPr>
                <w:rFonts w:ascii="Arial" w:hAnsi="Arial" w:eastAsia="Times New Roman" w:cs="Arial"/>
                <w:sz w:val="20"/>
                <w:szCs w:val="20"/>
              </w:rPr>
            </w:pPr>
            <w:r w:rsidRPr="002070C7">
              <w:rPr>
                <w:rFonts w:ascii="Arial" w:hAnsi="Arial"/>
                <w:sz w:val="20"/>
              </w:rPr>
              <w:t>b. Inicijalna marža koja se daje središnjim drugim ugovornim stranama u ime klijenata</w:t>
            </w:r>
          </w:p>
        </w:tc>
        <w:tc>
          <w:tcPr>
            <w:tcW w:w="2745" w:type="dxa"/>
            <w:tcBorders>
              <w:left w:val="nil"/>
              <w:right w:val="nil"/>
            </w:tcBorders>
            <w:noWrap/>
          </w:tcPr>
          <w:p w:rsidRPr="002070C7" w:rsidR="00A5057C" w:rsidP="006F6C94" w:rsidRDefault="00A5057C" w14:paraId="0EE0E162" w14:textId="77777777">
            <w:pPr>
              <w:jc w:val="right"/>
              <w:rPr>
                <w:rFonts w:ascii="Arial" w:hAnsi="Arial" w:eastAsia="Times New Roman" w:cs="Arial"/>
                <w:sz w:val="20"/>
                <w:szCs w:val="20"/>
                <w:lang w:eastAsia="en-GB"/>
              </w:rPr>
            </w:pPr>
          </w:p>
        </w:tc>
      </w:tr>
      <w:tr w:rsidRPr="002070C7" w:rsidR="00A5057C" w:rsidTr="006F6C94" w14:paraId="20A5041B" w14:textId="77777777">
        <w:trPr>
          <w:trHeight w:val="300"/>
        </w:trPr>
        <w:tc>
          <w:tcPr>
            <w:tcW w:w="6804" w:type="dxa"/>
            <w:tcBorders>
              <w:left w:val="nil"/>
              <w:right w:val="nil"/>
            </w:tcBorders>
            <w:noWrap/>
          </w:tcPr>
          <w:p w:rsidRPr="002070C7" w:rsidR="00A5057C" w:rsidP="006F6C94" w:rsidRDefault="00A5057C" w14:paraId="18D56BC4" w14:textId="77777777">
            <w:pPr>
              <w:ind w:firstLine="200" w:firstLineChars="100"/>
              <w:rPr>
                <w:rFonts w:ascii="Arial" w:hAnsi="Arial" w:eastAsia="Times New Roman" w:cs="Arial"/>
                <w:sz w:val="20"/>
                <w:szCs w:val="20"/>
              </w:rPr>
            </w:pPr>
            <w:r w:rsidRPr="002070C7">
              <w:rPr>
                <w:rFonts w:ascii="Arial" w:hAnsi="Arial"/>
                <w:sz w:val="20"/>
              </w:rPr>
              <w:t>c. Inicijalna marža koja se daje središnjim drugim ugovornim stranama za vlastiti račun izvještajne grupe</w:t>
            </w:r>
          </w:p>
        </w:tc>
        <w:tc>
          <w:tcPr>
            <w:tcW w:w="2745" w:type="dxa"/>
            <w:tcBorders>
              <w:left w:val="nil"/>
              <w:right w:val="nil"/>
            </w:tcBorders>
            <w:noWrap/>
          </w:tcPr>
          <w:p w:rsidRPr="002070C7" w:rsidR="00A5057C" w:rsidP="006F6C94" w:rsidRDefault="00A5057C" w14:paraId="4E940C34" w14:textId="77777777">
            <w:pPr>
              <w:jc w:val="right"/>
              <w:rPr>
                <w:rFonts w:ascii="Arial" w:hAnsi="Arial" w:eastAsia="Times New Roman" w:cs="Arial"/>
                <w:sz w:val="20"/>
                <w:szCs w:val="20"/>
                <w:lang w:eastAsia="en-GB"/>
              </w:rPr>
            </w:pPr>
          </w:p>
        </w:tc>
      </w:tr>
      <w:tr w:rsidRPr="002070C7" w:rsidR="00A5057C" w:rsidTr="006F6C94" w14:paraId="54837087" w14:textId="77777777">
        <w:trPr>
          <w:trHeight w:val="300"/>
        </w:trPr>
        <w:tc>
          <w:tcPr>
            <w:tcW w:w="6804" w:type="dxa"/>
            <w:tcBorders>
              <w:left w:val="nil"/>
              <w:right w:val="nil"/>
            </w:tcBorders>
            <w:noWrap/>
            <w:hideMark/>
          </w:tcPr>
          <w:p w:rsidRPr="002070C7" w:rsidR="00A5057C" w:rsidP="006F6C94" w:rsidRDefault="00A5057C" w14:paraId="759B31C8" w14:textId="77777777">
            <w:pPr>
              <w:ind w:firstLine="200" w:firstLineChars="100"/>
              <w:rPr>
                <w:rFonts w:ascii="Arial" w:hAnsi="Arial" w:eastAsia="Times New Roman" w:cs="Arial"/>
                <w:sz w:val="20"/>
                <w:szCs w:val="20"/>
              </w:rPr>
            </w:pPr>
            <w:r w:rsidRPr="002070C7">
              <w:rPr>
                <w:rFonts w:ascii="Arial" w:hAnsi="Arial"/>
                <w:sz w:val="20"/>
              </w:rPr>
              <w:t>d. Uplate u fond za neispunjene obveze središnjim drugim ugovornim stranama</w:t>
            </w:r>
          </w:p>
        </w:tc>
        <w:tc>
          <w:tcPr>
            <w:tcW w:w="2745" w:type="dxa"/>
            <w:tcBorders>
              <w:left w:val="nil"/>
              <w:right w:val="nil"/>
            </w:tcBorders>
            <w:noWrap/>
            <w:hideMark/>
          </w:tcPr>
          <w:p w:rsidRPr="002070C7" w:rsidR="00A5057C" w:rsidP="006F6C94" w:rsidRDefault="00A5057C" w14:paraId="5DD1CBC7"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7AED71DC" w14:textId="77777777">
        <w:trPr>
          <w:trHeight w:val="300"/>
        </w:trPr>
        <w:tc>
          <w:tcPr>
            <w:tcW w:w="6804" w:type="dxa"/>
            <w:tcBorders>
              <w:left w:val="nil"/>
              <w:right w:val="nil"/>
            </w:tcBorders>
            <w:noWrap/>
            <w:hideMark/>
          </w:tcPr>
          <w:p w:rsidRPr="002070C7" w:rsidR="00A5057C" w:rsidP="006F6C94" w:rsidRDefault="00A5057C" w14:paraId="5180BFB6" w14:textId="77777777">
            <w:pPr>
              <w:ind w:firstLine="200" w:firstLineChars="100"/>
              <w:rPr>
                <w:rFonts w:ascii="Arial" w:hAnsi="Arial" w:eastAsia="Times New Roman" w:cs="Arial"/>
                <w:sz w:val="20"/>
                <w:szCs w:val="20"/>
              </w:rPr>
            </w:pPr>
            <w:r w:rsidRPr="002070C7">
              <w:rPr>
                <w:rFonts w:ascii="Arial" w:hAnsi="Arial"/>
                <w:sz w:val="20"/>
              </w:rPr>
              <w:t>e. Ostale pogodnosti za središnje druge ugovorne strane</w:t>
            </w:r>
          </w:p>
        </w:tc>
        <w:tc>
          <w:tcPr>
            <w:tcW w:w="2745" w:type="dxa"/>
            <w:tcBorders>
              <w:left w:val="nil"/>
              <w:right w:val="nil"/>
            </w:tcBorders>
            <w:noWrap/>
            <w:hideMark/>
          </w:tcPr>
          <w:p w:rsidRPr="002070C7" w:rsidR="00A5057C" w:rsidP="006F6C94" w:rsidRDefault="00A5057C" w14:paraId="53478CB2"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6D91ECD1" w14:textId="77777777">
        <w:trPr>
          <w:gridAfter w:val="1"/>
          <w:wAfter w:w="2745" w:type="dxa"/>
          <w:trHeight w:val="300"/>
        </w:trPr>
        <w:tc>
          <w:tcPr>
            <w:tcW w:w="6804" w:type="dxa"/>
            <w:tcBorders>
              <w:left w:val="nil"/>
              <w:right w:val="nil"/>
            </w:tcBorders>
            <w:noWrap/>
            <w:hideMark/>
          </w:tcPr>
          <w:p w:rsidRPr="002070C7" w:rsidR="00A5057C" w:rsidP="006F6C94" w:rsidRDefault="00A5057C" w14:paraId="02360607" w14:textId="77777777">
            <w:pPr>
              <w:ind w:left="171"/>
              <w:rPr>
                <w:rFonts w:ascii="Arial" w:hAnsi="Arial" w:eastAsia="Times New Roman" w:cs="Arial"/>
                <w:sz w:val="20"/>
                <w:szCs w:val="20"/>
              </w:rPr>
            </w:pPr>
            <w:r w:rsidRPr="002070C7">
              <w:rPr>
                <w:rFonts w:ascii="Arial" w:hAnsi="Arial"/>
                <w:sz w:val="20"/>
              </w:rPr>
              <w:t>f. Pružanje usluga namire u vezi s transakcijama čije se poravnanje obavlja centralno</w:t>
            </w:r>
          </w:p>
        </w:tc>
      </w:tr>
      <w:tr w:rsidRPr="002070C7" w:rsidR="00A5057C" w:rsidTr="006F6C94" w14:paraId="34CA1E9F" w14:textId="77777777">
        <w:trPr>
          <w:trHeight w:val="300"/>
        </w:trPr>
        <w:tc>
          <w:tcPr>
            <w:tcW w:w="6804" w:type="dxa"/>
            <w:tcBorders>
              <w:left w:val="nil"/>
              <w:right w:val="nil"/>
            </w:tcBorders>
            <w:noWrap/>
            <w:hideMark/>
          </w:tcPr>
          <w:p w:rsidRPr="002070C7" w:rsidR="00A5057C" w:rsidP="006F6C94" w:rsidRDefault="00A5057C" w14:paraId="12370990" w14:textId="77777777">
            <w:pPr>
              <w:ind w:firstLine="200" w:firstLineChars="100"/>
              <w:rPr>
                <w:rFonts w:ascii="Arial" w:hAnsi="Arial" w:eastAsia="Times New Roman" w:cs="Arial"/>
                <w:sz w:val="20"/>
                <w:szCs w:val="20"/>
              </w:rPr>
            </w:pPr>
            <w:r w:rsidRPr="002070C7">
              <w:rPr>
                <w:rFonts w:ascii="Arial" w:hAnsi="Arial"/>
                <w:sz w:val="20"/>
              </w:rPr>
              <w:t xml:space="preserve">g. Tromjesečna prosječna vrijednost imovine pod skrbništvom </w:t>
            </w:r>
          </w:p>
        </w:tc>
        <w:tc>
          <w:tcPr>
            <w:tcW w:w="2745" w:type="dxa"/>
            <w:tcBorders>
              <w:left w:val="nil"/>
              <w:right w:val="nil"/>
            </w:tcBorders>
            <w:noWrap/>
            <w:hideMark/>
          </w:tcPr>
          <w:p w:rsidRPr="002070C7" w:rsidR="00A5057C" w:rsidP="006F6C94" w:rsidRDefault="00A5057C" w14:paraId="647698A0"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5D4771E9" w14:textId="77777777">
        <w:trPr>
          <w:trHeight w:val="300"/>
        </w:trPr>
        <w:tc>
          <w:tcPr>
            <w:tcW w:w="6804" w:type="dxa"/>
            <w:tcBorders>
              <w:left w:val="nil"/>
              <w:bottom w:val="single" w:color="auto" w:sz="4" w:space="0"/>
              <w:right w:val="nil"/>
            </w:tcBorders>
            <w:noWrap/>
            <w:hideMark/>
          </w:tcPr>
          <w:p w:rsidRPr="002070C7" w:rsidR="00A5057C" w:rsidP="006F6C94" w:rsidRDefault="00A5057C" w14:paraId="49059433" w14:textId="77777777">
            <w:pPr>
              <w:ind w:firstLine="200" w:firstLineChars="100"/>
              <w:rPr>
                <w:rFonts w:ascii="Arial" w:hAnsi="Arial" w:eastAsia="Times New Roman" w:cs="Arial"/>
                <w:sz w:val="20"/>
                <w:szCs w:val="20"/>
              </w:rPr>
            </w:pPr>
            <w:r w:rsidRPr="002070C7">
              <w:rPr>
                <w:rFonts w:ascii="Arial" w:hAnsi="Arial"/>
                <w:sz w:val="20"/>
              </w:rPr>
              <w:t xml:space="preserve">h. Prosječna mjesečna vrijednost imovine pod skrbništvom </w:t>
            </w:r>
          </w:p>
        </w:tc>
        <w:tc>
          <w:tcPr>
            <w:tcW w:w="2745" w:type="dxa"/>
            <w:tcBorders>
              <w:left w:val="nil"/>
              <w:bottom w:val="single" w:color="auto" w:sz="4" w:space="0"/>
              <w:right w:val="nil"/>
            </w:tcBorders>
            <w:noWrap/>
            <w:hideMark/>
          </w:tcPr>
          <w:p w:rsidRPr="002070C7" w:rsidR="00A5057C" w:rsidP="006F6C94" w:rsidRDefault="00A5057C" w14:paraId="76134B94"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2E0F33B8" w14:textId="77777777">
        <w:trPr>
          <w:trHeight w:val="300"/>
        </w:trPr>
        <w:tc>
          <w:tcPr>
            <w:tcW w:w="6804" w:type="dxa"/>
            <w:tcBorders>
              <w:left w:val="nil"/>
              <w:bottom w:val="nil"/>
              <w:right w:val="nil"/>
            </w:tcBorders>
            <w:noWrap/>
          </w:tcPr>
          <w:p w:rsidRPr="002070C7" w:rsidR="00A5057C" w:rsidP="006F6C94" w:rsidRDefault="00A5057C" w14:paraId="18E9EF4F"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2070C7" w:rsidR="00A5057C" w:rsidP="006F6C94" w:rsidRDefault="00A5057C" w14:paraId="618E603F" w14:textId="77777777">
            <w:pPr>
              <w:jc w:val="center"/>
              <w:rPr>
                <w:rFonts w:ascii="Arial" w:hAnsi="Arial" w:eastAsia="Times New Roman" w:cs="Arial"/>
                <w:b/>
                <w:bCs/>
                <w:sz w:val="20"/>
                <w:szCs w:val="20"/>
                <w:lang w:eastAsia="en-GB"/>
              </w:rPr>
            </w:pPr>
          </w:p>
        </w:tc>
      </w:tr>
      <w:tr w:rsidRPr="002070C7" w:rsidR="00A5057C" w:rsidTr="006F6C94" w14:paraId="10EDF991" w14:textId="77777777">
        <w:trPr>
          <w:trHeight w:val="300"/>
        </w:trPr>
        <w:tc>
          <w:tcPr>
            <w:tcW w:w="6804" w:type="dxa"/>
            <w:tcBorders>
              <w:top w:val="nil"/>
              <w:left w:val="nil"/>
              <w:right w:val="nil"/>
            </w:tcBorders>
            <w:noWrap/>
            <w:hideMark/>
          </w:tcPr>
          <w:p w:rsidRPr="002070C7" w:rsidR="00A5057C" w:rsidP="006F6C94" w:rsidRDefault="00A5057C" w14:paraId="183FE3BA" w14:textId="77777777">
            <w:pPr>
              <w:rPr>
                <w:rFonts w:ascii="Arial" w:hAnsi="Arial" w:eastAsia="Times New Roman" w:cs="Arial"/>
                <w:b/>
                <w:bCs/>
                <w:sz w:val="20"/>
                <w:szCs w:val="20"/>
              </w:rPr>
            </w:pPr>
            <w:r w:rsidRPr="002070C7">
              <w:rPr>
                <w:rFonts w:ascii="Arial" w:hAnsi="Arial"/>
                <w:b/>
                <w:sz w:val="20"/>
              </w:rPr>
              <w:t>Odjeljak 20. – Stavke koje se odnose na složenost</w:t>
            </w:r>
          </w:p>
        </w:tc>
        <w:tc>
          <w:tcPr>
            <w:tcW w:w="2745" w:type="dxa"/>
            <w:tcBorders>
              <w:top w:val="nil"/>
              <w:left w:val="nil"/>
              <w:right w:val="nil"/>
            </w:tcBorders>
            <w:hideMark/>
          </w:tcPr>
          <w:p w:rsidRPr="002070C7" w:rsidR="00A5057C" w:rsidP="006F6C94" w:rsidRDefault="00A5057C" w14:paraId="66100DCA"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1A6166F2" w14:textId="77777777">
        <w:trPr>
          <w:trHeight w:val="300"/>
        </w:trPr>
        <w:tc>
          <w:tcPr>
            <w:tcW w:w="6804" w:type="dxa"/>
            <w:tcBorders>
              <w:left w:val="nil"/>
              <w:right w:val="nil"/>
            </w:tcBorders>
            <w:noWrap/>
            <w:hideMark/>
          </w:tcPr>
          <w:p w:rsidRPr="002070C7" w:rsidR="00A5057C" w:rsidP="006F6C94" w:rsidRDefault="00A5057C" w14:paraId="148BFAD5" w14:textId="77777777">
            <w:pPr>
              <w:ind w:firstLine="200" w:firstLineChars="100"/>
              <w:rPr>
                <w:rFonts w:ascii="Arial" w:hAnsi="Arial" w:eastAsia="Times New Roman" w:cs="Arial"/>
                <w:sz w:val="20"/>
                <w:szCs w:val="20"/>
              </w:rPr>
            </w:pPr>
            <w:r w:rsidRPr="002070C7">
              <w:rPr>
                <w:rFonts w:ascii="Arial" w:hAnsi="Arial"/>
                <w:sz w:val="20"/>
              </w:rPr>
              <w:t>a. Pokazatelj OTC izvedenica (stari pokazatelj)</w:t>
            </w:r>
          </w:p>
        </w:tc>
        <w:tc>
          <w:tcPr>
            <w:tcW w:w="2745" w:type="dxa"/>
            <w:tcBorders>
              <w:left w:val="nil"/>
              <w:right w:val="nil"/>
            </w:tcBorders>
            <w:noWrap/>
            <w:hideMark/>
          </w:tcPr>
          <w:p w:rsidRPr="002070C7" w:rsidR="00A5057C" w:rsidP="006F6C94" w:rsidRDefault="00A5057C" w14:paraId="592277F9" w14:textId="77777777">
            <w:pPr>
              <w:jc w:val="right"/>
              <w:rPr>
                <w:rFonts w:ascii="Arial" w:hAnsi="Arial" w:eastAsia="Times New Roman" w:cs="Arial"/>
                <w:sz w:val="20"/>
                <w:szCs w:val="20"/>
              </w:rPr>
            </w:pPr>
            <w:r w:rsidRPr="002070C7">
              <w:rPr>
                <w:rFonts w:ascii="Arial" w:hAnsi="Arial"/>
                <w:sz w:val="20"/>
              </w:rPr>
              <w:t> </w:t>
            </w:r>
          </w:p>
        </w:tc>
      </w:tr>
      <w:tr w:rsidRPr="002070C7" w:rsidR="00A5057C" w:rsidTr="006F6C94" w14:paraId="476A7A8C" w14:textId="77777777">
        <w:trPr>
          <w:trHeight w:val="300"/>
        </w:trPr>
        <w:tc>
          <w:tcPr>
            <w:tcW w:w="6804" w:type="dxa"/>
            <w:tcBorders>
              <w:left w:val="nil"/>
              <w:right w:val="nil"/>
            </w:tcBorders>
            <w:noWrap/>
          </w:tcPr>
          <w:p w:rsidRPr="002070C7" w:rsidR="00A5057C" w:rsidP="006F6C94" w:rsidRDefault="00A5057C" w14:paraId="25B72370" w14:textId="77777777">
            <w:pPr>
              <w:ind w:left="171" w:firstLine="28" w:firstLineChars="14"/>
              <w:rPr>
                <w:rFonts w:ascii="Arial" w:hAnsi="Arial" w:eastAsia="Times New Roman" w:cs="Arial"/>
                <w:sz w:val="20"/>
                <w:szCs w:val="20"/>
              </w:rPr>
            </w:pPr>
            <w:r w:rsidRPr="002070C7">
              <w:rPr>
                <w:rFonts w:ascii="Arial" w:hAnsi="Arial"/>
                <w:sz w:val="20"/>
              </w:rPr>
              <w:t>b. Zamišljeni iznos OTC izvedenica, uključujući društva kćeri za osiguranje</w:t>
            </w:r>
          </w:p>
        </w:tc>
        <w:tc>
          <w:tcPr>
            <w:tcW w:w="2745" w:type="dxa"/>
            <w:tcBorders>
              <w:left w:val="nil"/>
              <w:right w:val="nil"/>
            </w:tcBorders>
            <w:noWrap/>
          </w:tcPr>
          <w:p w:rsidRPr="002070C7" w:rsidR="00A5057C" w:rsidP="006F6C94" w:rsidRDefault="00A5057C" w14:paraId="7DD74B23" w14:textId="77777777">
            <w:pPr>
              <w:jc w:val="right"/>
              <w:rPr>
                <w:rFonts w:ascii="Arial" w:hAnsi="Arial" w:eastAsia="Times New Roman" w:cs="Arial"/>
                <w:sz w:val="20"/>
                <w:szCs w:val="20"/>
                <w:lang w:eastAsia="en-GB"/>
              </w:rPr>
            </w:pPr>
          </w:p>
        </w:tc>
      </w:tr>
      <w:tr w:rsidRPr="002070C7" w:rsidR="00A5057C" w:rsidTr="006F6C94" w14:paraId="027503DA" w14:textId="77777777">
        <w:trPr>
          <w:trHeight w:val="300"/>
        </w:trPr>
        <w:tc>
          <w:tcPr>
            <w:tcW w:w="6804" w:type="dxa"/>
            <w:tcBorders>
              <w:left w:val="nil"/>
              <w:right w:val="nil"/>
            </w:tcBorders>
            <w:noWrap/>
          </w:tcPr>
          <w:p w:rsidRPr="002070C7" w:rsidR="00A5057C" w:rsidP="006F6C94" w:rsidRDefault="00A5057C" w14:paraId="5AEC1803" w14:textId="77777777">
            <w:pPr>
              <w:ind w:left="313"/>
              <w:rPr>
                <w:rFonts w:ascii="Arial" w:hAnsi="Arial" w:eastAsia="Times New Roman" w:cs="Arial"/>
                <w:sz w:val="20"/>
                <w:szCs w:val="20"/>
              </w:rPr>
            </w:pPr>
            <w:r w:rsidRPr="002070C7">
              <w:rPr>
                <w:rFonts w:ascii="Arial" w:hAnsi="Arial"/>
                <w:sz w:val="20"/>
                <w:lang w:eastAsia="en-GB"/>
              </w:rPr>
              <w:t xml:space="preserve">(1) </w:t>
            </w:r>
            <w:r w:rsidRPr="002070C7">
              <w:rPr>
                <w:rFonts w:ascii="Arial" w:hAnsi="Arial"/>
                <w:sz w:val="20"/>
              </w:rPr>
              <w:t>Poravnanje obavljeno preko središnje druge ugovorne strane, pri čemu grupa (uključujući društva kćeri za osiguranje) postupa u svojstvu financijskog posrednika (dio transakcije koji se odnosi na središnju drugu ugovornu stranu)</w:t>
            </w:r>
          </w:p>
        </w:tc>
        <w:tc>
          <w:tcPr>
            <w:tcW w:w="2745" w:type="dxa"/>
            <w:tcBorders>
              <w:left w:val="nil"/>
              <w:right w:val="nil"/>
            </w:tcBorders>
            <w:noWrap/>
          </w:tcPr>
          <w:p w:rsidRPr="002070C7" w:rsidR="00A5057C" w:rsidP="006F6C94" w:rsidRDefault="00A5057C" w14:paraId="2E620C0C" w14:textId="77777777">
            <w:pPr>
              <w:jc w:val="right"/>
              <w:rPr>
                <w:rFonts w:ascii="Arial" w:hAnsi="Arial" w:eastAsia="Times New Roman" w:cs="Arial"/>
                <w:sz w:val="20"/>
                <w:szCs w:val="20"/>
                <w:lang w:eastAsia="en-GB"/>
              </w:rPr>
            </w:pPr>
          </w:p>
        </w:tc>
      </w:tr>
      <w:tr w:rsidRPr="002070C7" w:rsidR="00A5057C" w:rsidTr="006F6C94" w14:paraId="48C61A0F" w14:textId="77777777">
        <w:trPr>
          <w:trHeight w:val="300"/>
        </w:trPr>
        <w:tc>
          <w:tcPr>
            <w:tcW w:w="6804" w:type="dxa"/>
            <w:tcBorders>
              <w:left w:val="nil"/>
              <w:right w:val="nil"/>
            </w:tcBorders>
            <w:noWrap/>
          </w:tcPr>
          <w:p w:rsidRPr="002070C7" w:rsidR="00A5057C" w:rsidP="006F6C94" w:rsidRDefault="00A5057C" w14:paraId="5E216D5A" w14:textId="77777777">
            <w:pPr>
              <w:ind w:left="313" w:firstLine="58" w:firstLineChars="29"/>
              <w:rPr>
                <w:rFonts w:ascii="Arial" w:hAnsi="Arial" w:eastAsia="Times New Roman" w:cs="Arial"/>
                <w:sz w:val="20"/>
                <w:szCs w:val="20"/>
              </w:rPr>
            </w:pPr>
            <w:r w:rsidRPr="002070C7">
              <w:rPr>
                <w:rFonts w:ascii="Arial" w:hAnsi="Arial"/>
                <w:sz w:val="20"/>
                <w:lang w:eastAsia="en-GB"/>
              </w:rPr>
              <w:t xml:space="preserve">(2) </w:t>
            </w:r>
            <w:r w:rsidRPr="002070C7">
              <w:rPr>
                <w:rFonts w:ascii="Arial" w:hAnsi="Arial"/>
                <w:sz w:val="20"/>
              </w:rPr>
              <w:t xml:space="preserve">Poravnanje obavljeno preko središnje druge ugovorne strane, pri čemu grupa (uključujući društva kćeri za osiguranje) postupa u svojstvu financijskog posrednika (dio transakcije koji se odnosi na klijenta) </w:t>
            </w:r>
          </w:p>
        </w:tc>
        <w:tc>
          <w:tcPr>
            <w:tcW w:w="2745" w:type="dxa"/>
            <w:tcBorders>
              <w:left w:val="nil"/>
              <w:right w:val="nil"/>
            </w:tcBorders>
            <w:noWrap/>
          </w:tcPr>
          <w:p w:rsidRPr="002070C7" w:rsidR="00A5057C" w:rsidP="006F6C94" w:rsidRDefault="00A5057C" w14:paraId="436D0784" w14:textId="77777777">
            <w:pPr>
              <w:jc w:val="right"/>
              <w:rPr>
                <w:rFonts w:ascii="Arial" w:hAnsi="Arial" w:eastAsia="Times New Roman" w:cs="Arial"/>
                <w:sz w:val="20"/>
                <w:szCs w:val="20"/>
                <w:lang w:eastAsia="en-GB"/>
              </w:rPr>
            </w:pPr>
          </w:p>
        </w:tc>
      </w:tr>
      <w:tr w:rsidRPr="002070C7" w:rsidR="00A5057C" w:rsidTr="006F6C94" w14:paraId="4BD560F3" w14:textId="77777777">
        <w:trPr>
          <w:trHeight w:val="300"/>
        </w:trPr>
        <w:tc>
          <w:tcPr>
            <w:tcW w:w="6804" w:type="dxa"/>
            <w:tcBorders>
              <w:left w:val="nil"/>
              <w:right w:val="nil"/>
            </w:tcBorders>
            <w:noWrap/>
          </w:tcPr>
          <w:p w:rsidRPr="002070C7" w:rsidR="00A5057C" w:rsidP="006F6C94" w:rsidRDefault="00A5057C" w14:paraId="72E299BF" w14:textId="77777777">
            <w:pPr>
              <w:ind w:left="313"/>
              <w:rPr>
                <w:rFonts w:ascii="Arial" w:hAnsi="Arial" w:eastAsia="Times New Roman" w:cs="Arial"/>
                <w:sz w:val="20"/>
                <w:szCs w:val="20"/>
              </w:rPr>
            </w:pPr>
            <w:r w:rsidRPr="002070C7">
              <w:rPr>
                <w:rFonts w:ascii="Arial" w:hAnsi="Arial"/>
                <w:sz w:val="20"/>
                <w:lang w:eastAsia="en-GB"/>
              </w:rPr>
              <w:t xml:space="preserve">(3) </w:t>
            </w:r>
            <w:r w:rsidRPr="002070C7">
              <w:rPr>
                <w:rFonts w:ascii="Arial" w:hAnsi="Arial"/>
                <w:sz w:val="20"/>
              </w:rPr>
              <w:t xml:space="preserve">Poravnanje obavljeno preko središnje druge ugovorne strane, pri čemu grupa, uključujući društva kćeri za osiguranje, postupa kao posrednik </w:t>
            </w:r>
          </w:p>
        </w:tc>
        <w:tc>
          <w:tcPr>
            <w:tcW w:w="2745" w:type="dxa"/>
            <w:tcBorders>
              <w:left w:val="nil"/>
              <w:right w:val="nil"/>
            </w:tcBorders>
            <w:noWrap/>
          </w:tcPr>
          <w:p w:rsidRPr="002070C7" w:rsidR="00A5057C" w:rsidP="006F6C94" w:rsidRDefault="00A5057C" w14:paraId="7A312E97" w14:textId="77777777">
            <w:pPr>
              <w:jc w:val="right"/>
              <w:rPr>
                <w:rFonts w:ascii="Arial" w:hAnsi="Arial" w:eastAsia="Times New Roman" w:cs="Arial"/>
                <w:sz w:val="20"/>
                <w:szCs w:val="20"/>
                <w:lang w:eastAsia="en-GB"/>
              </w:rPr>
            </w:pPr>
          </w:p>
        </w:tc>
      </w:tr>
      <w:tr w:rsidRPr="002070C7" w:rsidR="00A5057C" w:rsidTr="006F6C94" w14:paraId="14586B8D" w14:textId="77777777">
        <w:trPr>
          <w:trHeight w:val="300"/>
        </w:trPr>
        <w:tc>
          <w:tcPr>
            <w:tcW w:w="6804" w:type="dxa"/>
            <w:tcBorders>
              <w:left w:val="nil"/>
              <w:right w:val="nil"/>
            </w:tcBorders>
            <w:noWrap/>
          </w:tcPr>
          <w:p w:rsidRPr="002070C7" w:rsidR="00A5057C" w:rsidP="006F6C94" w:rsidRDefault="00A5057C" w14:paraId="53F51B20" w14:textId="77777777">
            <w:pPr>
              <w:ind w:left="313" w:hanging="1"/>
              <w:rPr>
                <w:rFonts w:ascii="Arial" w:hAnsi="Arial" w:eastAsia="Times New Roman" w:cs="Arial"/>
                <w:sz w:val="20"/>
                <w:szCs w:val="20"/>
              </w:rPr>
            </w:pPr>
            <w:r w:rsidRPr="002070C7">
              <w:rPr>
                <w:rFonts w:ascii="Arial" w:hAnsi="Arial"/>
                <w:sz w:val="20"/>
                <w:lang w:eastAsia="en-GB"/>
              </w:rPr>
              <w:lastRenderedPageBreak/>
              <w:t xml:space="preserve">(4) </w:t>
            </w:r>
            <w:r w:rsidRPr="002070C7">
              <w:rPr>
                <w:rFonts w:ascii="Arial" w:hAnsi="Arial"/>
                <w:sz w:val="20"/>
              </w:rPr>
              <w:t>Poravnanje obavljeno preko središnje druge ugovorne strane, pri čemu grupa, uključujući društva kćeri za osiguranje, trguje za vlastiti račun</w:t>
            </w:r>
          </w:p>
        </w:tc>
        <w:tc>
          <w:tcPr>
            <w:tcW w:w="2745" w:type="dxa"/>
            <w:tcBorders>
              <w:left w:val="nil"/>
              <w:right w:val="nil"/>
            </w:tcBorders>
            <w:noWrap/>
          </w:tcPr>
          <w:p w:rsidRPr="002070C7" w:rsidR="00A5057C" w:rsidP="006F6C94" w:rsidRDefault="00A5057C" w14:paraId="7D1E7416" w14:textId="77777777">
            <w:pPr>
              <w:jc w:val="right"/>
              <w:rPr>
                <w:rFonts w:ascii="Arial" w:hAnsi="Arial" w:eastAsia="Times New Roman" w:cs="Arial"/>
                <w:sz w:val="20"/>
                <w:szCs w:val="20"/>
                <w:lang w:eastAsia="en-GB"/>
              </w:rPr>
            </w:pPr>
          </w:p>
        </w:tc>
      </w:tr>
      <w:tr w:rsidRPr="002070C7" w:rsidR="00A5057C" w:rsidTr="006F6C94" w14:paraId="468F79E5" w14:textId="77777777">
        <w:trPr>
          <w:trHeight w:val="300"/>
        </w:trPr>
        <w:tc>
          <w:tcPr>
            <w:tcW w:w="6804" w:type="dxa"/>
            <w:tcBorders>
              <w:left w:val="nil"/>
              <w:right w:val="nil"/>
            </w:tcBorders>
            <w:noWrap/>
          </w:tcPr>
          <w:p w:rsidRPr="002070C7" w:rsidR="00A5057C" w:rsidP="006F6C94" w:rsidRDefault="00A5057C" w14:paraId="1F22C7EE" w14:textId="77777777">
            <w:pPr>
              <w:ind w:left="171" w:firstLine="28" w:firstLineChars="14"/>
              <w:rPr>
                <w:rFonts w:ascii="Arial" w:hAnsi="Arial" w:eastAsia="Times New Roman" w:cs="Arial"/>
                <w:sz w:val="20"/>
                <w:szCs w:val="20"/>
              </w:rPr>
            </w:pPr>
            <w:r w:rsidRPr="002070C7">
              <w:rPr>
                <w:rFonts w:ascii="Arial" w:hAnsi="Arial"/>
                <w:sz w:val="20"/>
              </w:rPr>
              <w:t>c. OTC izvedenice za koje je poravnanje obavljeno preko središnje druge ugovorne strane (prijelazno izuzeće na temelju LIBOR-a)</w:t>
            </w:r>
          </w:p>
        </w:tc>
        <w:tc>
          <w:tcPr>
            <w:tcW w:w="2745" w:type="dxa"/>
            <w:tcBorders>
              <w:left w:val="nil"/>
              <w:right w:val="nil"/>
            </w:tcBorders>
            <w:noWrap/>
          </w:tcPr>
          <w:p w:rsidRPr="002070C7" w:rsidR="00A5057C" w:rsidP="006F6C94" w:rsidRDefault="00A5057C" w14:paraId="145CC8C9" w14:textId="77777777">
            <w:pPr>
              <w:jc w:val="right"/>
              <w:rPr>
                <w:rFonts w:ascii="Arial" w:hAnsi="Arial" w:eastAsia="Times New Roman" w:cs="Arial"/>
                <w:sz w:val="20"/>
                <w:szCs w:val="20"/>
                <w:lang w:eastAsia="en-GB"/>
              </w:rPr>
            </w:pPr>
          </w:p>
        </w:tc>
      </w:tr>
      <w:tr w:rsidRPr="002070C7" w:rsidR="00A5057C" w:rsidTr="006F6C94" w14:paraId="1EF85676" w14:textId="77777777">
        <w:trPr>
          <w:trHeight w:val="300"/>
        </w:trPr>
        <w:tc>
          <w:tcPr>
            <w:tcW w:w="6804" w:type="dxa"/>
            <w:tcBorders>
              <w:left w:val="nil"/>
              <w:right w:val="nil"/>
            </w:tcBorders>
            <w:noWrap/>
          </w:tcPr>
          <w:p w:rsidRPr="002070C7" w:rsidR="00A5057C" w:rsidP="006F6C94" w:rsidRDefault="00A5057C" w14:paraId="09442CD9" w14:textId="77777777">
            <w:pPr>
              <w:ind w:left="171" w:firstLine="28" w:firstLineChars="14"/>
              <w:rPr>
                <w:rFonts w:ascii="Arial" w:hAnsi="Arial" w:eastAsia="Times New Roman" w:cs="Arial"/>
                <w:sz w:val="20"/>
                <w:szCs w:val="20"/>
              </w:rPr>
            </w:pPr>
            <w:r w:rsidRPr="002070C7">
              <w:rPr>
                <w:rFonts w:ascii="Arial" w:hAnsi="Arial"/>
                <w:sz w:val="20"/>
              </w:rPr>
              <w:t xml:space="preserve">d. Tromjesečna prosječna vrijednost zamišljenog iznosa OTC izvedenica </w:t>
            </w:r>
          </w:p>
        </w:tc>
        <w:tc>
          <w:tcPr>
            <w:tcW w:w="2745" w:type="dxa"/>
            <w:tcBorders>
              <w:left w:val="nil"/>
              <w:right w:val="nil"/>
            </w:tcBorders>
            <w:noWrap/>
          </w:tcPr>
          <w:p w:rsidRPr="002070C7" w:rsidR="00A5057C" w:rsidP="006F6C94" w:rsidRDefault="00A5057C" w14:paraId="17792E77" w14:textId="77777777">
            <w:pPr>
              <w:jc w:val="right"/>
              <w:rPr>
                <w:rFonts w:ascii="Arial" w:hAnsi="Arial" w:eastAsia="Times New Roman" w:cs="Arial"/>
                <w:sz w:val="20"/>
                <w:szCs w:val="20"/>
                <w:lang w:eastAsia="en-GB"/>
              </w:rPr>
            </w:pPr>
          </w:p>
        </w:tc>
      </w:tr>
      <w:tr w:rsidRPr="002070C7" w:rsidR="00A5057C" w:rsidTr="006F6C94" w14:paraId="22B22D6A" w14:textId="77777777">
        <w:trPr>
          <w:trHeight w:val="300"/>
        </w:trPr>
        <w:tc>
          <w:tcPr>
            <w:tcW w:w="6804" w:type="dxa"/>
            <w:tcBorders>
              <w:left w:val="nil"/>
              <w:right w:val="nil"/>
            </w:tcBorders>
            <w:noWrap/>
          </w:tcPr>
          <w:p w:rsidRPr="002070C7" w:rsidR="00A5057C" w:rsidP="006F6C94" w:rsidRDefault="00A5057C" w14:paraId="3819AE6E" w14:textId="77777777">
            <w:pPr>
              <w:ind w:left="171" w:firstLine="28" w:firstLineChars="14"/>
              <w:rPr>
                <w:rFonts w:ascii="Arial" w:hAnsi="Arial" w:eastAsia="Times New Roman" w:cs="Arial"/>
                <w:sz w:val="20"/>
                <w:szCs w:val="20"/>
              </w:rPr>
            </w:pPr>
            <w:r w:rsidRPr="002070C7">
              <w:rPr>
                <w:rFonts w:ascii="Arial" w:hAnsi="Arial"/>
                <w:sz w:val="20"/>
              </w:rPr>
              <w:t xml:space="preserve">e. Prosječna mjesečna vrijednost zamišljenog iznosa OTC izvedenica </w:t>
            </w:r>
          </w:p>
        </w:tc>
        <w:tc>
          <w:tcPr>
            <w:tcW w:w="2745" w:type="dxa"/>
            <w:tcBorders>
              <w:left w:val="nil"/>
              <w:right w:val="nil"/>
            </w:tcBorders>
            <w:noWrap/>
          </w:tcPr>
          <w:p w:rsidRPr="002070C7" w:rsidR="00A5057C" w:rsidP="006F6C94" w:rsidRDefault="00A5057C" w14:paraId="4C458954" w14:textId="77777777">
            <w:pPr>
              <w:jc w:val="right"/>
              <w:rPr>
                <w:rFonts w:ascii="Arial" w:hAnsi="Arial" w:eastAsia="Times New Roman" w:cs="Arial"/>
                <w:sz w:val="20"/>
                <w:szCs w:val="20"/>
                <w:lang w:eastAsia="en-GB"/>
              </w:rPr>
            </w:pPr>
          </w:p>
        </w:tc>
      </w:tr>
      <w:tr w:rsidRPr="002070C7" w:rsidR="00A5057C" w:rsidTr="006F6C94" w14:paraId="1DBF28E3" w14:textId="77777777">
        <w:trPr>
          <w:trHeight w:val="300"/>
        </w:trPr>
        <w:tc>
          <w:tcPr>
            <w:tcW w:w="6804" w:type="dxa"/>
            <w:tcBorders>
              <w:left w:val="nil"/>
              <w:right w:val="nil"/>
            </w:tcBorders>
            <w:noWrap/>
          </w:tcPr>
          <w:p w:rsidRPr="002070C7" w:rsidR="00A5057C" w:rsidP="006F6C94" w:rsidRDefault="00A5057C" w14:paraId="28850371" w14:textId="77777777">
            <w:pPr>
              <w:ind w:firstLine="200" w:firstLineChars="100"/>
              <w:rPr>
                <w:rFonts w:ascii="Arial" w:hAnsi="Arial" w:eastAsia="Times New Roman" w:cs="Arial"/>
                <w:sz w:val="20"/>
                <w:szCs w:val="20"/>
              </w:rPr>
            </w:pPr>
            <w:r w:rsidRPr="002070C7">
              <w:rPr>
                <w:rFonts w:ascii="Arial" w:hAnsi="Arial"/>
                <w:sz w:val="20"/>
              </w:rPr>
              <w:t xml:space="preserve">f. Tromjesečna prosječna vrijednost vrijednosnih papira namijenjenih trgovanju i vrijednosnih papira dostupnih za prodaju </w:t>
            </w:r>
          </w:p>
        </w:tc>
        <w:tc>
          <w:tcPr>
            <w:tcW w:w="2745" w:type="dxa"/>
            <w:tcBorders>
              <w:left w:val="nil"/>
              <w:right w:val="nil"/>
            </w:tcBorders>
            <w:noWrap/>
          </w:tcPr>
          <w:p w:rsidRPr="002070C7" w:rsidR="00A5057C" w:rsidP="006F6C94" w:rsidRDefault="00A5057C" w14:paraId="11E1C7EA" w14:textId="77777777">
            <w:pPr>
              <w:jc w:val="right"/>
              <w:rPr>
                <w:rFonts w:ascii="Arial" w:hAnsi="Arial" w:eastAsia="Times New Roman" w:cs="Arial"/>
                <w:sz w:val="20"/>
                <w:szCs w:val="20"/>
                <w:lang w:eastAsia="en-GB"/>
              </w:rPr>
            </w:pPr>
          </w:p>
        </w:tc>
      </w:tr>
      <w:tr w:rsidRPr="002070C7" w:rsidR="00A5057C" w:rsidTr="006F6C94" w14:paraId="20439DC3" w14:textId="77777777">
        <w:trPr>
          <w:trHeight w:val="300"/>
        </w:trPr>
        <w:tc>
          <w:tcPr>
            <w:tcW w:w="6804" w:type="dxa"/>
            <w:tcBorders>
              <w:left w:val="nil"/>
              <w:right w:val="nil"/>
            </w:tcBorders>
            <w:noWrap/>
          </w:tcPr>
          <w:p w:rsidRPr="002070C7" w:rsidR="00A5057C" w:rsidP="006F6C94" w:rsidRDefault="00A5057C" w14:paraId="49904DE1" w14:textId="77777777">
            <w:pPr>
              <w:ind w:firstLine="200" w:firstLineChars="100"/>
              <w:rPr>
                <w:rFonts w:ascii="Arial" w:hAnsi="Arial" w:eastAsia="Times New Roman" w:cs="Arial"/>
                <w:sz w:val="20"/>
                <w:szCs w:val="20"/>
              </w:rPr>
            </w:pPr>
            <w:r w:rsidRPr="002070C7">
              <w:rPr>
                <w:rFonts w:ascii="Arial" w:hAnsi="Arial"/>
                <w:sz w:val="20"/>
              </w:rPr>
              <w:t xml:space="preserve">g. Prosječna mjesečna vrijednost vrijednosnih papira namijenjenih trgovanju i vrijednosnih papira dostupnih za prodaju </w:t>
            </w:r>
          </w:p>
        </w:tc>
        <w:tc>
          <w:tcPr>
            <w:tcW w:w="2745" w:type="dxa"/>
            <w:tcBorders>
              <w:left w:val="nil"/>
              <w:right w:val="nil"/>
            </w:tcBorders>
            <w:noWrap/>
          </w:tcPr>
          <w:p w:rsidRPr="002070C7" w:rsidR="00A5057C" w:rsidP="006F6C94" w:rsidRDefault="00A5057C" w14:paraId="40087A2B" w14:textId="77777777">
            <w:pPr>
              <w:jc w:val="right"/>
              <w:rPr>
                <w:rFonts w:ascii="Arial" w:hAnsi="Arial" w:eastAsia="Times New Roman" w:cs="Arial"/>
                <w:sz w:val="20"/>
                <w:szCs w:val="20"/>
                <w:lang w:eastAsia="en-GB"/>
              </w:rPr>
            </w:pPr>
          </w:p>
        </w:tc>
      </w:tr>
      <w:tr w:rsidRPr="002070C7" w:rsidR="00A5057C" w:rsidTr="006F6C94" w14:paraId="27F6BFB8" w14:textId="77777777">
        <w:trPr>
          <w:trHeight w:val="300"/>
        </w:trPr>
        <w:tc>
          <w:tcPr>
            <w:tcW w:w="6804" w:type="dxa"/>
            <w:tcBorders>
              <w:left w:val="nil"/>
              <w:right w:val="nil"/>
            </w:tcBorders>
            <w:noWrap/>
          </w:tcPr>
          <w:p w:rsidRPr="002070C7" w:rsidR="00A5057C" w:rsidP="006F6C94" w:rsidRDefault="00A5057C" w14:paraId="5D080905" w14:textId="77777777">
            <w:pPr>
              <w:ind w:firstLine="200" w:firstLineChars="100"/>
              <w:rPr>
                <w:rFonts w:ascii="Arial" w:hAnsi="Arial" w:eastAsia="Times New Roman" w:cs="Arial"/>
                <w:sz w:val="20"/>
                <w:szCs w:val="20"/>
              </w:rPr>
            </w:pPr>
            <w:r w:rsidRPr="002070C7">
              <w:rPr>
                <w:rFonts w:ascii="Arial" w:hAnsi="Arial"/>
                <w:sz w:val="20"/>
              </w:rPr>
              <w:t>h. Pokazatelj imovine razine 3 (stari pokazatelj)</w:t>
            </w:r>
          </w:p>
        </w:tc>
        <w:tc>
          <w:tcPr>
            <w:tcW w:w="2745" w:type="dxa"/>
            <w:tcBorders>
              <w:left w:val="nil"/>
              <w:right w:val="nil"/>
            </w:tcBorders>
            <w:noWrap/>
          </w:tcPr>
          <w:p w:rsidRPr="002070C7" w:rsidR="00A5057C" w:rsidP="006F6C94" w:rsidRDefault="00A5057C" w14:paraId="184EF416" w14:textId="77777777">
            <w:pPr>
              <w:jc w:val="right"/>
              <w:rPr>
                <w:rFonts w:ascii="Arial" w:hAnsi="Arial" w:eastAsia="Times New Roman" w:cs="Arial"/>
                <w:sz w:val="20"/>
                <w:szCs w:val="20"/>
                <w:lang w:eastAsia="en-GB"/>
              </w:rPr>
            </w:pPr>
          </w:p>
        </w:tc>
      </w:tr>
      <w:tr w:rsidRPr="002070C7" w:rsidR="00A5057C" w:rsidTr="006F6C94" w14:paraId="04FE4964" w14:textId="77777777">
        <w:trPr>
          <w:trHeight w:val="300"/>
        </w:trPr>
        <w:tc>
          <w:tcPr>
            <w:tcW w:w="6804" w:type="dxa"/>
            <w:tcBorders>
              <w:left w:val="nil"/>
              <w:right w:val="nil"/>
            </w:tcBorders>
            <w:noWrap/>
          </w:tcPr>
          <w:p w:rsidRPr="002070C7" w:rsidR="00A5057C" w:rsidP="006F6C94" w:rsidRDefault="00A5057C" w14:paraId="4025B383" w14:textId="77777777">
            <w:pPr>
              <w:ind w:firstLine="200" w:firstLineChars="100"/>
              <w:rPr>
                <w:rFonts w:ascii="Arial" w:hAnsi="Arial" w:eastAsia="Times New Roman" w:cs="Arial"/>
                <w:sz w:val="20"/>
                <w:szCs w:val="20"/>
              </w:rPr>
            </w:pPr>
            <w:r w:rsidRPr="002070C7">
              <w:rPr>
                <w:rFonts w:ascii="Arial" w:hAnsi="Arial"/>
                <w:sz w:val="20"/>
              </w:rPr>
              <w:t xml:space="preserve">i. Tromjesečna prosječna vrijednost imovine razine 3 </w:t>
            </w:r>
          </w:p>
        </w:tc>
        <w:tc>
          <w:tcPr>
            <w:tcW w:w="2745" w:type="dxa"/>
            <w:tcBorders>
              <w:left w:val="nil"/>
              <w:right w:val="nil"/>
            </w:tcBorders>
            <w:noWrap/>
          </w:tcPr>
          <w:p w:rsidRPr="002070C7" w:rsidR="00A5057C" w:rsidP="006F6C94" w:rsidRDefault="00A5057C" w14:paraId="01646EE0" w14:textId="77777777">
            <w:pPr>
              <w:jc w:val="right"/>
              <w:rPr>
                <w:rFonts w:ascii="Arial" w:hAnsi="Arial" w:eastAsia="Times New Roman" w:cs="Arial"/>
                <w:sz w:val="20"/>
                <w:szCs w:val="20"/>
                <w:lang w:eastAsia="en-GB"/>
              </w:rPr>
            </w:pPr>
          </w:p>
        </w:tc>
      </w:tr>
      <w:tr w:rsidRPr="002070C7" w:rsidR="00A5057C" w:rsidTr="006F6C94" w14:paraId="485A8756" w14:textId="77777777">
        <w:trPr>
          <w:trHeight w:val="300"/>
        </w:trPr>
        <w:tc>
          <w:tcPr>
            <w:tcW w:w="6804" w:type="dxa"/>
            <w:tcBorders>
              <w:left w:val="nil"/>
              <w:right w:val="nil"/>
            </w:tcBorders>
            <w:noWrap/>
          </w:tcPr>
          <w:p w:rsidRPr="002070C7" w:rsidR="00A5057C" w:rsidP="006F6C94" w:rsidRDefault="00A5057C" w14:paraId="2A5235C8" w14:textId="77777777">
            <w:pPr>
              <w:ind w:firstLine="200" w:firstLineChars="100"/>
              <w:rPr>
                <w:rFonts w:ascii="Arial" w:hAnsi="Arial" w:eastAsia="Times New Roman" w:cs="Arial"/>
                <w:sz w:val="20"/>
                <w:szCs w:val="20"/>
              </w:rPr>
            </w:pPr>
            <w:r w:rsidRPr="002070C7">
              <w:rPr>
                <w:rFonts w:ascii="Arial" w:hAnsi="Arial"/>
                <w:sz w:val="20"/>
              </w:rPr>
              <w:t xml:space="preserve">j. Mjesečna prosječna vrijednost imovine razine 3  </w:t>
            </w:r>
          </w:p>
        </w:tc>
        <w:tc>
          <w:tcPr>
            <w:tcW w:w="2745" w:type="dxa"/>
            <w:tcBorders>
              <w:left w:val="nil"/>
              <w:right w:val="nil"/>
            </w:tcBorders>
            <w:noWrap/>
          </w:tcPr>
          <w:p w:rsidRPr="002070C7" w:rsidR="00A5057C" w:rsidP="006F6C94" w:rsidRDefault="00A5057C" w14:paraId="2EE5FE53" w14:textId="77777777">
            <w:pPr>
              <w:jc w:val="right"/>
              <w:rPr>
                <w:rFonts w:ascii="Arial" w:hAnsi="Arial" w:eastAsia="Times New Roman" w:cs="Arial"/>
                <w:sz w:val="20"/>
                <w:szCs w:val="20"/>
                <w:lang w:eastAsia="en-GB"/>
              </w:rPr>
            </w:pPr>
          </w:p>
        </w:tc>
      </w:tr>
      <w:tr w:rsidRPr="002070C7" w:rsidR="00A5057C" w:rsidTr="006F6C94" w14:paraId="59DDBC13" w14:textId="77777777">
        <w:trPr>
          <w:trHeight w:val="300"/>
        </w:trPr>
        <w:tc>
          <w:tcPr>
            <w:tcW w:w="6804" w:type="dxa"/>
            <w:tcBorders>
              <w:left w:val="nil"/>
              <w:right w:val="nil"/>
            </w:tcBorders>
            <w:noWrap/>
          </w:tcPr>
          <w:p w:rsidRPr="002070C7" w:rsidR="00A5057C" w:rsidP="006F6C94" w:rsidRDefault="00A5057C" w14:paraId="5406D3E2" w14:textId="77777777">
            <w:pPr>
              <w:ind w:firstLine="200" w:firstLineChars="100"/>
              <w:rPr>
                <w:rFonts w:ascii="Arial" w:hAnsi="Arial" w:eastAsia="Times New Roman" w:cs="Arial"/>
                <w:sz w:val="20"/>
                <w:szCs w:val="20"/>
              </w:rPr>
            </w:pPr>
            <w:r w:rsidRPr="002070C7">
              <w:rPr>
                <w:rFonts w:ascii="Arial" w:hAnsi="Arial"/>
                <w:sz w:val="20"/>
              </w:rPr>
              <w:t>k. Imovina razine 2, uključujući društva kćeri za osiguranje</w:t>
            </w:r>
          </w:p>
        </w:tc>
        <w:tc>
          <w:tcPr>
            <w:tcW w:w="2745" w:type="dxa"/>
            <w:tcBorders>
              <w:left w:val="nil"/>
              <w:right w:val="nil"/>
            </w:tcBorders>
            <w:noWrap/>
          </w:tcPr>
          <w:p w:rsidRPr="002070C7" w:rsidR="00A5057C" w:rsidP="006F6C94" w:rsidRDefault="00A5057C" w14:paraId="24FB5AF9" w14:textId="77777777">
            <w:pPr>
              <w:jc w:val="right"/>
              <w:rPr>
                <w:rFonts w:ascii="Arial" w:hAnsi="Arial" w:eastAsia="Times New Roman" w:cs="Arial"/>
                <w:sz w:val="20"/>
                <w:szCs w:val="20"/>
                <w:lang w:eastAsia="en-GB"/>
              </w:rPr>
            </w:pPr>
          </w:p>
        </w:tc>
      </w:tr>
      <w:tr w:rsidRPr="002070C7" w:rsidR="00A5057C" w:rsidTr="006F6C94" w14:paraId="041331E6" w14:textId="77777777">
        <w:trPr>
          <w:trHeight w:val="300"/>
        </w:trPr>
        <w:tc>
          <w:tcPr>
            <w:tcW w:w="6804" w:type="dxa"/>
            <w:tcBorders>
              <w:left w:val="nil"/>
              <w:right w:val="nil"/>
            </w:tcBorders>
            <w:noWrap/>
          </w:tcPr>
          <w:p w:rsidRPr="002070C7" w:rsidR="00A5057C" w:rsidP="006F6C94" w:rsidRDefault="00A5057C" w14:paraId="2A8518E5" w14:textId="77777777">
            <w:pPr>
              <w:ind w:left="454" w:hanging="141"/>
              <w:rPr>
                <w:rFonts w:ascii="Arial" w:hAnsi="Arial" w:eastAsia="Times New Roman" w:cs="Arial"/>
                <w:sz w:val="20"/>
                <w:szCs w:val="20"/>
              </w:rPr>
            </w:pPr>
            <w:r w:rsidRPr="002070C7">
              <w:rPr>
                <w:rFonts w:ascii="Arial" w:hAnsi="Arial"/>
                <w:sz w:val="20"/>
                <w:lang w:eastAsia="en-GB"/>
              </w:rPr>
              <w:t xml:space="preserve">(1) </w:t>
            </w:r>
            <w:r w:rsidRPr="002070C7">
              <w:t>Imovina razine 2, uključujući društva kćeri za osiguranje, za koje je poravnanje obavljeno preko središnje druge ugovorne strane</w:t>
            </w:r>
          </w:p>
        </w:tc>
        <w:tc>
          <w:tcPr>
            <w:tcW w:w="2745" w:type="dxa"/>
            <w:tcBorders>
              <w:left w:val="nil"/>
              <w:right w:val="nil"/>
            </w:tcBorders>
            <w:noWrap/>
          </w:tcPr>
          <w:p w:rsidRPr="002070C7" w:rsidR="00A5057C" w:rsidP="006F6C94" w:rsidRDefault="00A5057C" w14:paraId="4F18C38F" w14:textId="77777777">
            <w:pPr>
              <w:jc w:val="right"/>
              <w:rPr>
                <w:rFonts w:ascii="Arial" w:hAnsi="Arial" w:eastAsia="Times New Roman" w:cs="Arial"/>
                <w:sz w:val="20"/>
                <w:szCs w:val="20"/>
                <w:lang w:eastAsia="en-GB"/>
              </w:rPr>
            </w:pPr>
          </w:p>
        </w:tc>
      </w:tr>
      <w:tr w:rsidRPr="002070C7" w:rsidR="00A5057C" w:rsidTr="006F6C94" w14:paraId="7C1C893F" w14:textId="77777777">
        <w:trPr>
          <w:trHeight w:val="300"/>
        </w:trPr>
        <w:tc>
          <w:tcPr>
            <w:tcW w:w="6804" w:type="dxa"/>
            <w:tcBorders>
              <w:left w:val="nil"/>
              <w:right w:val="nil"/>
            </w:tcBorders>
            <w:noWrap/>
          </w:tcPr>
          <w:p w:rsidRPr="002070C7" w:rsidR="00A5057C" w:rsidP="006F6C94" w:rsidRDefault="00A5057C" w14:paraId="6F6DFC13" w14:textId="77777777">
            <w:pPr>
              <w:ind w:left="454" w:hanging="141"/>
              <w:rPr>
                <w:rFonts w:ascii="Arial" w:hAnsi="Arial" w:eastAsia="Times New Roman" w:cs="Arial"/>
                <w:sz w:val="20"/>
                <w:szCs w:val="20"/>
              </w:rPr>
            </w:pPr>
            <w:r w:rsidRPr="002070C7">
              <w:rPr>
                <w:rFonts w:ascii="Arial" w:hAnsi="Arial"/>
                <w:sz w:val="20"/>
                <w:lang w:eastAsia="en-GB"/>
              </w:rPr>
              <w:t xml:space="preserve">(2) </w:t>
            </w:r>
            <w:r w:rsidRPr="002070C7">
              <w:rPr>
                <w:rFonts w:ascii="Arial" w:hAnsi="Arial"/>
                <w:sz w:val="20"/>
              </w:rPr>
              <w:t>Imovina razine 2, uključujući društva kćeri za osiguranje, obračunata bilateralno</w:t>
            </w:r>
          </w:p>
        </w:tc>
        <w:tc>
          <w:tcPr>
            <w:tcW w:w="2745" w:type="dxa"/>
            <w:tcBorders>
              <w:left w:val="nil"/>
              <w:right w:val="nil"/>
            </w:tcBorders>
            <w:noWrap/>
          </w:tcPr>
          <w:p w:rsidRPr="002070C7" w:rsidR="00A5057C" w:rsidP="006F6C94" w:rsidRDefault="00A5057C" w14:paraId="696C5598" w14:textId="77777777">
            <w:pPr>
              <w:jc w:val="right"/>
              <w:rPr>
                <w:rFonts w:ascii="Arial" w:hAnsi="Arial" w:eastAsia="Times New Roman" w:cs="Arial"/>
                <w:sz w:val="20"/>
                <w:szCs w:val="20"/>
                <w:lang w:eastAsia="en-GB"/>
              </w:rPr>
            </w:pPr>
          </w:p>
        </w:tc>
      </w:tr>
      <w:tr w:rsidRPr="002070C7" w:rsidR="00A5057C" w:rsidTr="006F6C94" w14:paraId="2B58512D" w14:textId="77777777">
        <w:trPr>
          <w:trHeight w:val="300"/>
        </w:trPr>
        <w:tc>
          <w:tcPr>
            <w:tcW w:w="6804" w:type="dxa"/>
            <w:tcBorders>
              <w:left w:val="nil"/>
              <w:right w:val="nil"/>
            </w:tcBorders>
            <w:noWrap/>
          </w:tcPr>
          <w:p w:rsidRPr="002070C7" w:rsidR="00A5057C" w:rsidP="006F6C94" w:rsidRDefault="00A5057C" w14:paraId="6DCA3EB4" w14:textId="77777777">
            <w:pPr>
              <w:ind w:firstLine="313"/>
              <w:rPr>
                <w:rFonts w:ascii="Arial" w:hAnsi="Arial" w:eastAsia="Times New Roman" w:cs="Arial"/>
                <w:sz w:val="20"/>
                <w:szCs w:val="20"/>
              </w:rPr>
            </w:pPr>
            <w:r w:rsidRPr="002070C7">
              <w:rPr>
                <w:rFonts w:ascii="Arial" w:hAnsi="Arial"/>
                <w:sz w:val="20"/>
                <w:lang w:eastAsia="en-GB"/>
              </w:rPr>
              <w:t xml:space="preserve">(3) </w:t>
            </w:r>
            <w:r w:rsidRPr="002070C7">
              <w:rPr>
                <w:rFonts w:ascii="Arial" w:hAnsi="Arial"/>
                <w:sz w:val="20"/>
              </w:rPr>
              <w:t>Druga imovina razine 2, uključujući društva kćeri za osiguranje</w:t>
            </w:r>
          </w:p>
        </w:tc>
        <w:tc>
          <w:tcPr>
            <w:tcW w:w="2745" w:type="dxa"/>
            <w:tcBorders>
              <w:left w:val="nil"/>
              <w:right w:val="nil"/>
            </w:tcBorders>
            <w:noWrap/>
          </w:tcPr>
          <w:p w:rsidRPr="002070C7" w:rsidR="00A5057C" w:rsidP="006F6C94" w:rsidRDefault="00A5057C" w14:paraId="02D4734F" w14:textId="77777777">
            <w:pPr>
              <w:jc w:val="right"/>
              <w:rPr>
                <w:rFonts w:ascii="Arial" w:hAnsi="Arial" w:eastAsia="Times New Roman" w:cs="Arial"/>
                <w:sz w:val="20"/>
                <w:szCs w:val="20"/>
                <w:lang w:eastAsia="en-GB"/>
              </w:rPr>
            </w:pPr>
          </w:p>
        </w:tc>
      </w:tr>
      <w:tr w:rsidRPr="002070C7" w:rsidR="00A5057C" w:rsidTr="006F6C94" w14:paraId="35DB71C7" w14:textId="77777777">
        <w:trPr>
          <w:trHeight w:val="300"/>
        </w:trPr>
        <w:tc>
          <w:tcPr>
            <w:tcW w:w="6804" w:type="dxa"/>
            <w:tcBorders>
              <w:left w:val="nil"/>
              <w:bottom w:val="single" w:color="auto" w:sz="4" w:space="0"/>
              <w:right w:val="nil"/>
            </w:tcBorders>
            <w:noWrap/>
          </w:tcPr>
          <w:p w:rsidRPr="002070C7" w:rsidR="00A5057C" w:rsidP="006F6C94" w:rsidRDefault="00A5057C" w14:paraId="762EFD05" w14:textId="77777777">
            <w:pPr>
              <w:ind w:firstLine="200" w:firstLineChars="100"/>
              <w:rPr>
                <w:rFonts w:ascii="Arial" w:hAnsi="Arial" w:eastAsia="Times New Roman" w:cs="Arial"/>
                <w:sz w:val="20"/>
                <w:szCs w:val="20"/>
              </w:rPr>
            </w:pPr>
            <w:r w:rsidRPr="002070C7">
              <w:rPr>
                <w:rFonts w:ascii="Arial" w:hAnsi="Arial"/>
                <w:sz w:val="20"/>
              </w:rPr>
              <w:t>l. Prosječna vrijednost imovine razine 2, uključujući društva kćeri za osiguranje</w:t>
            </w:r>
          </w:p>
        </w:tc>
        <w:tc>
          <w:tcPr>
            <w:tcW w:w="2745" w:type="dxa"/>
            <w:tcBorders>
              <w:left w:val="nil"/>
              <w:bottom w:val="single" w:color="auto" w:sz="4" w:space="0"/>
              <w:right w:val="nil"/>
            </w:tcBorders>
            <w:noWrap/>
          </w:tcPr>
          <w:p w:rsidRPr="002070C7" w:rsidR="00A5057C" w:rsidP="006F6C94" w:rsidRDefault="00A5057C" w14:paraId="03AD9936" w14:textId="77777777">
            <w:pPr>
              <w:jc w:val="right"/>
              <w:rPr>
                <w:rFonts w:ascii="Arial" w:hAnsi="Arial" w:eastAsia="Times New Roman" w:cs="Arial"/>
                <w:sz w:val="20"/>
                <w:szCs w:val="20"/>
                <w:lang w:eastAsia="en-GB"/>
              </w:rPr>
            </w:pPr>
          </w:p>
        </w:tc>
      </w:tr>
      <w:tr w:rsidRPr="002070C7" w:rsidR="00A5057C" w:rsidTr="006F6C94" w14:paraId="24AACBEC" w14:textId="77777777">
        <w:trPr>
          <w:trHeight w:val="300"/>
        </w:trPr>
        <w:tc>
          <w:tcPr>
            <w:tcW w:w="6804" w:type="dxa"/>
            <w:tcBorders>
              <w:left w:val="nil"/>
              <w:bottom w:val="nil"/>
              <w:right w:val="nil"/>
            </w:tcBorders>
            <w:noWrap/>
          </w:tcPr>
          <w:p w:rsidRPr="002070C7" w:rsidR="00A5057C" w:rsidP="006F6C94" w:rsidRDefault="00A5057C" w14:paraId="3EA8ABDF"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2070C7" w:rsidR="00A5057C" w:rsidP="006F6C94" w:rsidRDefault="00A5057C" w14:paraId="67D655E9" w14:textId="77777777">
            <w:pPr>
              <w:jc w:val="center"/>
              <w:rPr>
                <w:rFonts w:ascii="Arial" w:hAnsi="Arial" w:eastAsia="Times New Roman" w:cs="Arial"/>
                <w:b/>
                <w:bCs/>
                <w:sz w:val="20"/>
                <w:szCs w:val="20"/>
                <w:lang w:eastAsia="en-GB"/>
              </w:rPr>
            </w:pPr>
          </w:p>
        </w:tc>
      </w:tr>
      <w:tr w:rsidRPr="002070C7" w:rsidR="00A5057C" w:rsidTr="006F6C94" w14:paraId="2FEC0F0B" w14:textId="77777777">
        <w:trPr>
          <w:trHeight w:val="300"/>
        </w:trPr>
        <w:tc>
          <w:tcPr>
            <w:tcW w:w="6804" w:type="dxa"/>
            <w:tcBorders>
              <w:top w:val="nil"/>
              <w:left w:val="nil"/>
              <w:right w:val="nil"/>
            </w:tcBorders>
            <w:noWrap/>
          </w:tcPr>
          <w:p w:rsidRPr="002070C7" w:rsidR="00A5057C" w:rsidP="006F6C94" w:rsidRDefault="00A5057C" w14:paraId="475DF560" w14:textId="77777777">
            <w:pPr>
              <w:rPr>
                <w:rFonts w:ascii="Arial" w:hAnsi="Arial" w:eastAsia="Times New Roman" w:cs="Arial"/>
                <w:sz w:val="20"/>
                <w:szCs w:val="20"/>
              </w:rPr>
            </w:pPr>
            <w:r w:rsidRPr="002070C7">
              <w:rPr>
                <w:rFonts w:ascii="Arial" w:hAnsi="Arial"/>
                <w:b/>
                <w:sz w:val="20"/>
              </w:rPr>
              <w:t>Odjeljak 21. – Stavke međudržavnih aktivnosti</w:t>
            </w:r>
          </w:p>
        </w:tc>
        <w:tc>
          <w:tcPr>
            <w:tcW w:w="2745" w:type="dxa"/>
            <w:tcBorders>
              <w:top w:val="nil"/>
              <w:left w:val="nil"/>
              <w:right w:val="nil"/>
            </w:tcBorders>
            <w:noWrap/>
          </w:tcPr>
          <w:p w:rsidRPr="002070C7" w:rsidR="00A5057C" w:rsidP="006F6C94" w:rsidRDefault="00A5057C" w14:paraId="7A9B3924" w14:textId="77777777">
            <w:pPr>
              <w:jc w:val="center"/>
              <w:rPr>
                <w:rFonts w:ascii="Arial" w:hAnsi="Arial" w:eastAsia="Times New Roman" w:cs="Arial"/>
                <w:b/>
                <w:bCs/>
                <w:sz w:val="20"/>
                <w:szCs w:val="20"/>
              </w:rPr>
            </w:pPr>
            <w:r w:rsidRPr="002070C7">
              <w:rPr>
                <w:rFonts w:ascii="Arial" w:hAnsi="Arial"/>
                <w:b/>
                <w:sz w:val="20"/>
              </w:rPr>
              <w:t>Iznos</w:t>
            </w:r>
          </w:p>
        </w:tc>
      </w:tr>
      <w:tr w:rsidRPr="002070C7" w:rsidR="00A5057C" w:rsidTr="006F6C94" w14:paraId="43396A7B" w14:textId="77777777">
        <w:trPr>
          <w:trHeight w:val="300"/>
        </w:trPr>
        <w:tc>
          <w:tcPr>
            <w:tcW w:w="6804" w:type="dxa"/>
            <w:tcBorders>
              <w:left w:val="nil"/>
              <w:right w:val="nil"/>
            </w:tcBorders>
            <w:noWrap/>
          </w:tcPr>
          <w:p w:rsidRPr="002070C7" w:rsidR="00A5057C" w:rsidP="006F6C94" w:rsidRDefault="00A5057C" w14:paraId="0E09E14E" w14:textId="77777777">
            <w:pPr>
              <w:rPr>
                <w:rFonts w:ascii="Arial" w:hAnsi="Arial" w:eastAsia="Times New Roman" w:cs="Arial"/>
                <w:sz w:val="20"/>
                <w:szCs w:val="20"/>
              </w:rPr>
            </w:pPr>
            <w:r w:rsidRPr="002070C7">
              <w:rPr>
                <w:rFonts w:ascii="Arial" w:hAnsi="Arial"/>
                <w:sz w:val="20"/>
              </w:rPr>
              <w:t>a. Pokazatelj međudržavnih obveza (stari pokazatelj)</w:t>
            </w:r>
          </w:p>
        </w:tc>
        <w:tc>
          <w:tcPr>
            <w:tcW w:w="2745" w:type="dxa"/>
            <w:tcBorders>
              <w:left w:val="nil"/>
              <w:right w:val="nil"/>
            </w:tcBorders>
            <w:noWrap/>
          </w:tcPr>
          <w:p w:rsidRPr="002070C7" w:rsidR="00A5057C" w:rsidP="006F6C94" w:rsidRDefault="00A5057C" w14:paraId="2C152BAE" w14:textId="77777777">
            <w:pPr>
              <w:jc w:val="right"/>
              <w:rPr>
                <w:rFonts w:ascii="Arial" w:hAnsi="Arial" w:eastAsia="Times New Roman" w:cs="Arial"/>
                <w:sz w:val="20"/>
                <w:szCs w:val="20"/>
                <w:lang w:eastAsia="en-GB"/>
              </w:rPr>
            </w:pPr>
          </w:p>
        </w:tc>
      </w:tr>
      <w:tr w:rsidRPr="002070C7" w:rsidR="00A5057C" w:rsidTr="006F6C94" w14:paraId="60E1C503" w14:textId="77777777">
        <w:trPr>
          <w:trHeight w:val="300"/>
        </w:trPr>
        <w:tc>
          <w:tcPr>
            <w:tcW w:w="6804" w:type="dxa"/>
            <w:tcBorders>
              <w:left w:val="nil"/>
              <w:right w:val="nil"/>
            </w:tcBorders>
            <w:noWrap/>
          </w:tcPr>
          <w:p w:rsidRPr="002070C7" w:rsidR="00A5057C" w:rsidP="006F6C94" w:rsidRDefault="00A5057C" w14:paraId="0CB6DA56" w14:textId="77777777">
            <w:pPr>
              <w:ind w:left="313"/>
              <w:rPr>
                <w:rFonts w:ascii="Arial" w:hAnsi="Arial" w:eastAsia="Times New Roman" w:cs="Arial"/>
                <w:sz w:val="20"/>
                <w:szCs w:val="20"/>
              </w:rPr>
            </w:pPr>
            <w:r w:rsidRPr="002070C7">
              <w:rPr>
                <w:rFonts w:ascii="Arial" w:hAnsi="Arial"/>
                <w:sz w:val="20"/>
                <w:lang w:eastAsia="en-GB"/>
              </w:rPr>
              <w:t xml:space="preserve">(1) </w:t>
            </w:r>
            <w:r w:rsidRPr="002070C7">
              <w:rPr>
                <w:rFonts w:ascii="Arial" w:hAnsi="Arial"/>
                <w:sz w:val="20"/>
              </w:rPr>
              <w:t>Inozemne obveze (isključujući izvedenice i lokalne obveze u lokalnoj valuti)</w:t>
            </w:r>
          </w:p>
        </w:tc>
        <w:tc>
          <w:tcPr>
            <w:tcW w:w="2745" w:type="dxa"/>
            <w:tcBorders>
              <w:left w:val="nil"/>
              <w:right w:val="nil"/>
            </w:tcBorders>
            <w:noWrap/>
          </w:tcPr>
          <w:p w:rsidRPr="002070C7" w:rsidR="00A5057C" w:rsidP="006F6C94" w:rsidRDefault="00A5057C" w14:paraId="5DE2CD10" w14:textId="77777777">
            <w:pPr>
              <w:jc w:val="right"/>
              <w:rPr>
                <w:rFonts w:ascii="Arial" w:hAnsi="Arial" w:eastAsia="Times New Roman" w:cs="Arial"/>
                <w:sz w:val="20"/>
                <w:szCs w:val="20"/>
                <w:lang w:eastAsia="en-GB"/>
              </w:rPr>
            </w:pPr>
          </w:p>
        </w:tc>
      </w:tr>
      <w:tr w:rsidRPr="002070C7" w:rsidR="00A5057C" w:rsidTr="006F6C94" w14:paraId="38AD0052" w14:textId="77777777">
        <w:trPr>
          <w:trHeight w:val="300"/>
        </w:trPr>
        <w:tc>
          <w:tcPr>
            <w:tcW w:w="6804" w:type="dxa"/>
            <w:tcBorders>
              <w:left w:val="nil"/>
              <w:right w:val="nil"/>
            </w:tcBorders>
            <w:noWrap/>
          </w:tcPr>
          <w:p w:rsidRPr="002070C7" w:rsidR="00A5057C" w:rsidP="006F6C94" w:rsidRDefault="00A5057C" w14:paraId="504FFB00" w14:textId="77777777">
            <w:pPr>
              <w:ind w:left="-2" w:leftChars="-1" w:firstLine="312" w:firstLineChars="156"/>
              <w:rPr>
                <w:rFonts w:ascii="Arial" w:hAnsi="Arial" w:eastAsia="Times New Roman" w:cs="Arial"/>
                <w:sz w:val="20"/>
                <w:szCs w:val="20"/>
              </w:rPr>
            </w:pPr>
            <w:r w:rsidRPr="002070C7">
              <w:rPr>
                <w:rFonts w:ascii="Arial" w:hAnsi="Arial"/>
                <w:sz w:val="20"/>
                <w:lang w:eastAsia="en-GB"/>
              </w:rPr>
              <w:t xml:space="preserve">(2) </w:t>
            </w:r>
            <w:r w:rsidRPr="002070C7">
              <w:rPr>
                <w:rFonts w:ascii="Arial" w:hAnsi="Arial"/>
                <w:sz w:val="20"/>
              </w:rPr>
              <w:t>Sve inozemne obveze prema povezanim poslovnicama uvrštene u stavku 21.a (1)</w:t>
            </w:r>
          </w:p>
        </w:tc>
        <w:tc>
          <w:tcPr>
            <w:tcW w:w="2745" w:type="dxa"/>
            <w:tcBorders>
              <w:left w:val="nil"/>
              <w:right w:val="nil"/>
            </w:tcBorders>
            <w:noWrap/>
          </w:tcPr>
          <w:p w:rsidRPr="002070C7" w:rsidR="00A5057C" w:rsidP="006F6C94" w:rsidRDefault="00A5057C" w14:paraId="275D12F5" w14:textId="77777777">
            <w:pPr>
              <w:jc w:val="right"/>
              <w:rPr>
                <w:rFonts w:ascii="Arial" w:hAnsi="Arial" w:eastAsia="Times New Roman" w:cs="Arial"/>
                <w:sz w:val="20"/>
                <w:szCs w:val="20"/>
                <w:lang w:eastAsia="en-GB"/>
              </w:rPr>
            </w:pPr>
          </w:p>
        </w:tc>
      </w:tr>
      <w:tr w:rsidRPr="002070C7" w:rsidR="00A5057C" w:rsidTr="006F6C94" w14:paraId="5F089A0A" w14:textId="77777777">
        <w:trPr>
          <w:trHeight w:val="300"/>
        </w:trPr>
        <w:tc>
          <w:tcPr>
            <w:tcW w:w="6804" w:type="dxa"/>
            <w:tcBorders>
              <w:left w:val="nil"/>
              <w:right w:val="nil"/>
            </w:tcBorders>
            <w:noWrap/>
          </w:tcPr>
          <w:p w:rsidRPr="002070C7" w:rsidR="00A5057C" w:rsidP="006F6C94" w:rsidRDefault="00A5057C" w14:paraId="5FF20FEC" w14:textId="77777777">
            <w:pPr>
              <w:ind w:left="-2" w:leftChars="-1" w:firstLine="312" w:firstLineChars="156"/>
              <w:rPr>
                <w:rFonts w:ascii="Arial" w:hAnsi="Arial" w:eastAsia="Times New Roman" w:cs="Arial"/>
                <w:sz w:val="20"/>
                <w:szCs w:val="20"/>
              </w:rPr>
            </w:pPr>
            <w:r w:rsidRPr="002070C7">
              <w:rPr>
                <w:rFonts w:ascii="Arial" w:hAnsi="Arial"/>
                <w:sz w:val="20"/>
                <w:lang w:eastAsia="en-GB"/>
              </w:rPr>
              <w:t xml:space="preserve">(3) </w:t>
            </w:r>
            <w:r w:rsidRPr="002070C7">
              <w:rPr>
                <w:rFonts w:ascii="Arial" w:hAnsi="Arial"/>
                <w:sz w:val="20"/>
              </w:rPr>
              <w:t>Lokalne obveze u lokalnoj valuti (isključujući aktivnosti povezane s izvedenicama)</w:t>
            </w:r>
          </w:p>
        </w:tc>
        <w:tc>
          <w:tcPr>
            <w:tcW w:w="2745" w:type="dxa"/>
            <w:tcBorders>
              <w:left w:val="nil"/>
              <w:right w:val="nil"/>
            </w:tcBorders>
            <w:noWrap/>
          </w:tcPr>
          <w:p w:rsidRPr="002070C7" w:rsidR="00A5057C" w:rsidP="006F6C94" w:rsidRDefault="00A5057C" w14:paraId="6459AB2C" w14:textId="77777777">
            <w:pPr>
              <w:jc w:val="right"/>
              <w:rPr>
                <w:rFonts w:ascii="Arial" w:hAnsi="Arial" w:eastAsia="Times New Roman" w:cs="Arial"/>
                <w:sz w:val="20"/>
                <w:szCs w:val="20"/>
                <w:lang w:eastAsia="en-GB"/>
              </w:rPr>
            </w:pPr>
          </w:p>
        </w:tc>
      </w:tr>
      <w:tr w:rsidRPr="002070C7" w:rsidR="00A5057C" w:rsidTr="006F6C94" w14:paraId="3A1070AA" w14:textId="77777777">
        <w:trPr>
          <w:trHeight w:val="300"/>
        </w:trPr>
        <w:tc>
          <w:tcPr>
            <w:tcW w:w="6804" w:type="dxa"/>
            <w:tcBorders>
              <w:left w:val="nil"/>
              <w:right w:val="nil"/>
            </w:tcBorders>
            <w:noWrap/>
          </w:tcPr>
          <w:p w:rsidRPr="002070C7" w:rsidR="00A5057C" w:rsidP="006F6C94" w:rsidRDefault="00A5057C" w14:paraId="680A506A" w14:textId="77777777">
            <w:pPr>
              <w:ind w:firstLine="200" w:firstLineChars="100"/>
              <w:rPr>
                <w:rFonts w:ascii="Arial" w:hAnsi="Arial" w:eastAsia="Times New Roman" w:cs="Arial"/>
                <w:sz w:val="20"/>
                <w:szCs w:val="20"/>
              </w:rPr>
            </w:pPr>
            <w:r w:rsidRPr="002070C7">
              <w:rPr>
                <w:rFonts w:ascii="Arial" w:hAnsi="Arial"/>
                <w:sz w:val="20"/>
              </w:rPr>
              <w:t>b. Lokalne obveze u lokalnoj valuti (uključujući aktivnosti povezane s izvedenicama)</w:t>
            </w:r>
          </w:p>
        </w:tc>
        <w:tc>
          <w:tcPr>
            <w:tcW w:w="2745" w:type="dxa"/>
            <w:tcBorders>
              <w:left w:val="nil"/>
              <w:right w:val="nil"/>
            </w:tcBorders>
            <w:noWrap/>
          </w:tcPr>
          <w:p w:rsidRPr="002070C7" w:rsidR="00A5057C" w:rsidP="006F6C94" w:rsidRDefault="00A5057C" w14:paraId="6EBBEA17" w14:textId="77777777">
            <w:pPr>
              <w:jc w:val="right"/>
              <w:rPr>
                <w:rFonts w:ascii="Arial" w:hAnsi="Arial" w:eastAsia="Times New Roman" w:cs="Arial"/>
                <w:sz w:val="20"/>
                <w:szCs w:val="20"/>
                <w:lang w:eastAsia="en-GB"/>
              </w:rPr>
            </w:pPr>
          </w:p>
        </w:tc>
      </w:tr>
      <w:tr w:rsidRPr="002070C7" w:rsidR="00A5057C" w:rsidTr="006F6C94" w14:paraId="5C3259BD" w14:textId="77777777">
        <w:trPr>
          <w:trHeight w:val="300"/>
        </w:trPr>
        <w:tc>
          <w:tcPr>
            <w:tcW w:w="6804" w:type="dxa"/>
            <w:tcBorders>
              <w:left w:val="nil"/>
              <w:right w:val="nil"/>
            </w:tcBorders>
            <w:noWrap/>
          </w:tcPr>
          <w:p w:rsidRPr="002070C7" w:rsidR="00A5057C" w:rsidP="006F6C94" w:rsidRDefault="00A5057C" w14:paraId="23BEEA6C" w14:textId="77777777">
            <w:pPr>
              <w:ind w:left="171" w:firstLine="28" w:firstLineChars="14"/>
              <w:rPr>
                <w:rFonts w:ascii="Arial" w:hAnsi="Arial" w:eastAsia="Times New Roman" w:cs="Arial"/>
                <w:sz w:val="20"/>
                <w:szCs w:val="20"/>
              </w:rPr>
            </w:pPr>
            <w:r w:rsidRPr="002070C7">
              <w:rPr>
                <w:rFonts w:ascii="Arial" w:hAnsi="Arial"/>
                <w:sz w:val="20"/>
              </w:rPr>
              <w:t>c. Međudržavna lokalna potraživanja u lokalnoj valuti (isključujući aktivnosti povezane s izvedenicama)</w:t>
            </w:r>
          </w:p>
        </w:tc>
        <w:tc>
          <w:tcPr>
            <w:tcW w:w="2745" w:type="dxa"/>
            <w:tcBorders>
              <w:left w:val="nil"/>
              <w:right w:val="nil"/>
            </w:tcBorders>
            <w:noWrap/>
          </w:tcPr>
          <w:p w:rsidRPr="002070C7" w:rsidR="00A5057C" w:rsidP="006F6C94" w:rsidRDefault="00A5057C" w14:paraId="6E3401B4" w14:textId="77777777">
            <w:pPr>
              <w:jc w:val="right"/>
              <w:rPr>
                <w:rFonts w:ascii="Arial" w:hAnsi="Arial" w:eastAsia="Times New Roman" w:cs="Arial"/>
                <w:sz w:val="20"/>
                <w:szCs w:val="20"/>
                <w:lang w:eastAsia="en-GB"/>
              </w:rPr>
            </w:pPr>
          </w:p>
        </w:tc>
      </w:tr>
      <w:tr w:rsidRPr="002070C7" w:rsidR="00A5057C" w:rsidTr="006F6C94" w14:paraId="6EE33EF9" w14:textId="77777777">
        <w:trPr>
          <w:trHeight w:val="300"/>
        </w:trPr>
        <w:tc>
          <w:tcPr>
            <w:tcW w:w="6804" w:type="dxa"/>
            <w:tcBorders>
              <w:left w:val="nil"/>
              <w:right w:val="nil"/>
            </w:tcBorders>
            <w:noWrap/>
          </w:tcPr>
          <w:p w:rsidRPr="002070C7" w:rsidR="00A5057C" w:rsidP="006F6C94" w:rsidRDefault="00A5057C" w14:paraId="12A99189" w14:textId="77777777">
            <w:pPr>
              <w:ind w:left="171" w:firstLine="28" w:firstLineChars="14"/>
              <w:rPr>
                <w:rFonts w:ascii="Arial" w:hAnsi="Arial" w:eastAsia="Times New Roman" w:cs="Arial"/>
                <w:sz w:val="20"/>
                <w:szCs w:val="20"/>
              </w:rPr>
            </w:pPr>
            <w:r w:rsidRPr="002070C7">
              <w:rPr>
                <w:rFonts w:ascii="Arial" w:hAnsi="Arial"/>
                <w:sz w:val="20"/>
              </w:rPr>
              <w:t>d. Međudržavna lokalna potraživanja u lokalnoj valuti (uključujući aktivnosti povezane s izvedenicama)</w:t>
            </w:r>
          </w:p>
        </w:tc>
        <w:tc>
          <w:tcPr>
            <w:tcW w:w="2745" w:type="dxa"/>
            <w:tcBorders>
              <w:left w:val="nil"/>
              <w:right w:val="nil"/>
            </w:tcBorders>
            <w:noWrap/>
          </w:tcPr>
          <w:p w:rsidRPr="002070C7" w:rsidR="00A5057C" w:rsidP="006F6C94" w:rsidRDefault="00A5057C" w14:paraId="0E410180" w14:textId="77777777">
            <w:pPr>
              <w:jc w:val="right"/>
              <w:rPr>
                <w:rFonts w:ascii="Arial" w:hAnsi="Arial" w:eastAsia="Times New Roman" w:cs="Arial"/>
                <w:sz w:val="20"/>
                <w:szCs w:val="20"/>
                <w:lang w:eastAsia="en-GB"/>
              </w:rPr>
            </w:pPr>
          </w:p>
        </w:tc>
      </w:tr>
      <w:tr w:rsidRPr="002070C7" w:rsidR="00A5057C" w:rsidTr="006F6C94" w14:paraId="29E4863A" w14:textId="77777777">
        <w:trPr>
          <w:trHeight w:val="300"/>
        </w:trPr>
        <w:tc>
          <w:tcPr>
            <w:tcW w:w="6804" w:type="dxa"/>
            <w:tcBorders>
              <w:left w:val="nil"/>
              <w:right w:val="nil"/>
            </w:tcBorders>
            <w:noWrap/>
          </w:tcPr>
          <w:p w:rsidRPr="002070C7" w:rsidR="00A5057C" w:rsidP="006F6C94" w:rsidRDefault="00A5057C" w14:paraId="1EF3CE7F" w14:textId="77777777">
            <w:pPr>
              <w:ind w:left="171" w:firstLine="28" w:firstLineChars="14"/>
              <w:rPr>
                <w:rFonts w:ascii="Arial" w:hAnsi="Arial" w:eastAsia="Times New Roman" w:cs="Arial"/>
                <w:sz w:val="20"/>
                <w:szCs w:val="20"/>
              </w:rPr>
            </w:pPr>
            <w:r w:rsidRPr="002070C7">
              <w:rPr>
                <w:rFonts w:ascii="Arial" w:hAnsi="Arial"/>
                <w:sz w:val="20"/>
              </w:rPr>
              <w:t>e. Ukupna inozemna potraživanja povezana s izvedenicama na temelju krajnjeg rizika (pri čemu se SRM promatra kao jedna država)</w:t>
            </w:r>
          </w:p>
        </w:tc>
        <w:tc>
          <w:tcPr>
            <w:tcW w:w="2745" w:type="dxa"/>
            <w:tcBorders>
              <w:left w:val="nil"/>
              <w:right w:val="nil"/>
            </w:tcBorders>
            <w:noWrap/>
          </w:tcPr>
          <w:p w:rsidRPr="002070C7" w:rsidR="00A5057C" w:rsidP="006F6C94" w:rsidRDefault="00A5057C" w14:paraId="0A459151" w14:textId="77777777">
            <w:pPr>
              <w:jc w:val="right"/>
              <w:rPr>
                <w:rFonts w:ascii="Arial" w:hAnsi="Arial" w:eastAsia="Times New Roman" w:cs="Arial"/>
                <w:sz w:val="20"/>
                <w:szCs w:val="20"/>
                <w:lang w:eastAsia="en-GB"/>
              </w:rPr>
            </w:pPr>
          </w:p>
        </w:tc>
      </w:tr>
      <w:tr w:rsidRPr="002070C7" w:rsidR="00A5057C" w:rsidTr="006F6C94" w14:paraId="2052FD66" w14:textId="77777777">
        <w:trPr>
          <w:trHeight w:val="300"/>
        </w:trPr>
        <w:tc>
          <w:tcPr>
            <w:tcW w:w="6804" w:type="dxa"/>
            <w:tcBorders>
              <w:left w:val="nil"/>
              <w:right w:val="nil"/>
            </w:tcBorders>
            <w:noWrap/>
          </w:tcPr>
          <w:p w:rsidRPr="002070C7" w:rsidR="00A5057C" w:rsidP="006F6C94" w:rsidRDefault="00A5057C" w14:paraId="3EFE2295" w14:textId="77777777">
            <w:pPr>
              <w:ind w:left="171" w:firstLine="28" w:firstLineChars="14"/>
              <w:rPr>
                <w:rFonts w:ascii="Arial" w:hAnsi="Arial" w:eastAsia="Times New Roman" w:cs="Arial"/>
                <w:sz w:val="20"/>
                <w:szCs w:val="20"/>
              </w:rPr>
            </w:pPr>
            <w:r w:rsidRPr="002070C7">
              <w:rPr>
                <w:rFonts w:ascii="Arial" w:hAnsi="Arial"/>
                <w:sz w:val="20"/>
              </w:rPr>
              <w:t>f. Inozemna potraživanja povezana s izvedenicama na temelju krajnjeg rizika (pri čemu se SRM promatra kao jedna država)</w:t>
            </w:r>
          </w:p>
        </w:tc>
        <w:tc>
          <w:tcPr>
            <w:tcW w:w="2745" w:type="dxa"/>
            <w:tcBorders>
              <w:left w:val="nil"/>
              <w:right w:val="nil"/>
            </w:tcBorders>
            <w:noWrap/>
          </w:tcPr>
          <w:p w:rsidRPr="002070C7" w:rsidR="00A5057C" w:rsidP="006F6C94" w:rsidRDefault="00A5057C" w14:paraId="36817ADB" w14:textId="77777777">
            <w:pPr>
              <w:jc w:val="right"/>
              <w:rPr>
                <w:rFonts w:ascii="Arial" w:hAnsi="Arial" w:eastAsia="Times New Roman" w:cs="Arial"/>
                <w:sz w:val="20"/>
                <w:szCs w:val="20"/>
                <w:lang w:eastAsia="en-GB"/>
              </w:rPr>
            </w:pPr>
          </w:p>
        </w:tc>
      </w:tr>
      <w:tr w:rsidRPr="002070C7" w:rsidR="00A5057C" w:rsidTr="006F6C94" w14:paraId="70D5DE97" w14:textId="77777777">
        <w:trPr>
          <w:trHeight w:val="300"/>
        </w:trPr>
        <w:tc>
          <w:tcPr>
            <w:tcW w:w="6804" w:type="dxa"/>
            <w:tcBorders>
              <w:left w:val="nil"/>
              <w:right w:val="nil"/>
            </w:tcBorders>
            <w:noWrap/>
          </w:tcPr>
          <w:p w:rsidRPr="002070C7" w:rsidR="00A5057C" w:rsidP="006F6C94" w:rsidRDefault="00A5057C" w14:paraId="2AD003BA" w14:textId="77777777">
            <w:pPr>
              <w:ind w:left="171" w:firstLine="28" w:firstLineChars="14"/>
              <w:rPr>
                <w:rFonts w:ascii="Arial" w:hAnsi="Arial" w:eastAsia="Times New Roman" w:cs="Arial"/>
                <w:sz w:val="20"/>
                <w:szCs w:val="20"/>
              </w:rPr>
            </w:pPr>
            <w:r w:rsidRPr="002070C7">
              <w:rPr>
                <w:rFonts w:ascii="Arial" w:hAnsi="Arial"/>
                <w:sz w:val="20"/>
              </w:rPr>
              <w:t>g. Inozemne obveze na temelju neposrednog rizika, uključujući izvedenice (pri čemu se SRM promatra kao jedna država)</w:t>
            </w:r>
          </w:p>
        </w:tc>
        <w:tc>
          <w:tcPr>
            <w:tcW w:w="2745" w:type="dxa"/>
            <w:tcBorders>
              <w:left w:val="nil"/>
              <w:right w:val="nil"/>
            </w:tcBorders>
            <w:noWrap/>
          </w:tcPr>
          <w:p w:rsidRPr="002070C7" w:rsidR="00A5057C" w:rsidP="006F6C94" w:rsidRDefault="00A5057C" w14:paraId="092BCFF7" w14:textId="77777777">
            <w:pPr>
              <w:jc w:val="right"/>
              <w:rPr>
                <w:rFonts w:ascii="Arial" w:hAnsi="Arial" w:eastAsia="Times New Roman" w:cs="Arial"/>
                <w:sz w:val="20"/>
                <w:szCs w:val="20"/>
                <w:lang w:eastAsia="en-GB"/>
              </w:rPr>
            </w:pPr>
          </w:p>
        </w:tc>
      </w:tr>
      <w:tr w:rsidRPr="002070C7" w:rsidR="00A5057C" w:rsidTr="006F6C94" w14:paraId="2FD18714" w14:textId="77777777">
        <w:trPr>
          <w:trHeight w:val="300"/>
        </w:trPr>
        <w:tc>
          <w:tcPr>
            <w:tcW w:w="6804" w:type="dxa"/>
            <w:tcBorders>
              <w:left w:val="nil"/>
              <w:right w:val="nil"/>
            </w:tcBorders>
            <w:noWrap/>
          </w:tcPr>
          <w:p w:rsidRPr="002070C7" w:rsidR="00A5057C" w:rsidP="006F6C94" w:rsidRDefault="00A5057C" w14:paraId="57C938F8" w14:textId="77777777">
            <w:pPr>
              <w:ind w:left="171" w:firstLine="28" w:firstLineChars="14"/>
              <w:rPr>
                <w:rFonts w:ascii="Arial" w:hAnsi="Arial" w:eastAsia="Times New Roman" w:cs="Arial"/>
                <w:sz w:val="20"/>
                <w:szCs w:val="20"/>
              </w:rPr>
            </w:pPr>
            <w:r w:rsidRPr="002070C7">
              <w:rPr>
                <w:rFonts w:ascii="Arial" w:hAnsi="Arial"/>
                <w:sz w:val="20"/>
                <w:lang w:eastAsia="en-GB"/>
              </w:rPr>
              <w:t xml:space="preserve">(1) </w:t>
            </w:r>
            <w:r w:rsidRPr="002070C7">
              <w:rPr>
                <w:rFonts w:ascii="Arial" w:hAnsi="Arial"/>
                <w:sz w:val="20"/>
              </w:rPr>
              <w:t>Inozemne obveze povezane s izvedenicama na temelju neposrednog rizika (pri čemu se SRM promatra kao jedna država)</w:t>
            </w:r>
          </w:p>
        </w:tc>
        <w:tc>
          <w:tcPr>
            <w:tcW w:w="2745" w:type="dxa"/>
            <w:tcBorders>
              <w:left w:val="nil"/>
              <w:right w:val="nil"/>
            </w:tcBorders>
            <w:noWrap/>
          </w:tcPr>
          <w:p w:rsidRPr="002070C7" w:rsidR="00A5057C" w:rsidP="006F6C94" w:rsidRDefault="00A5057C" w14:paraId="5D9B7482" w14:textId="77777777">
            <w:pPr>
              <w:jc w:val="right"/>
              <w:rPr>
                <w:rFonts w:ascii="Arial" w:hAnsi="Arial" w:eastAsia="Times New Roman" w:cs="Arial"/>
                <w:sz w:val="20"/>
                <w:szCs w:val="20"/>
                <w:lang w:eastAsia="en-GB"/>
              </w:rPr>
            </w:pPr>
          </w:p>
        </w:tc>
      </w:tr>
      <w:tr w:rsidRPr="002070C7" w:rsidR="00A5057C" w:rsidTr="006F6C94" w14:paraId="699B76D9" w14:textId="77777777">
        <w:trPr>
          <w:trHeight w:val="300"/>
        </w:trPr>
        <w:tc>
          <w:tcPr>
            <w:tcW w:w="6804" w:type="dxa"/>
            <w:tcBorders>
              <w:left w:val="nil"/>
              <w:right w:val="nil"/>
            </w:tcBorders>
            <w:noWrap/>
          </w:tcPr>
          <w:p w:rsidRPr="002070C7" w:rsidR="00A5057C" w:rsidP="006F6C94" w:rsidRDefault="00A5057C" w14:paraId="1437DAAB" w14:textId="77777777">
            <w:pPr>
              <w:ind w:firstLine="200" w:firstLineChars="100"/>
              <w:rPr>
                <w:rFonts w:ascii="Arial" w:hAnsi="Arial" w:eastAsia="Times New Roman" w:cs="Arial"/>
                <w:sz w:val="20"/>
                <w:szCs w:val="20"/>
              </w:rPr>
            </w:pPr>
            <w:r w:rsidRPr="002070C7">
              <w:rPr>
                <w:rFonts w:ascii="Arial" w:hAnsi="Arial"/>
                <w:sz w:val="20"/>
              </w:rPr>
              <w:t>h. Međudržavna lokalna potraživanja u lokalnoj valuti, isključujući aktivnosti povezane s izvedenicama (pri čemu se SRM promatra kao jedna država)</w:t>
            </w:r>
          </w:p>
        </w:tc>
        <w:tc>
          <w:tcPr>
            <w:tcW w:w="2745" w:type="dxa"/>
            <w:tcBorders>
              <w:left w:val="nil"/>
              <w:right w:val="nil"/>
            </w:tcBorders>
            <w:noWrap/>
          </w:tcPr>
          <w:p w:rsidRPr="002070C7" w:rsidR="00A5057C" w:rsidP="006F6C94" w:rsidRDefault="00A5057C" w14:paraId="3DCC81C7" w14:textId="77777777">
            <w:pPr>
              <w:jc w:val="right"/>
              <w:rPr>
                <w:rFonts w:ascii="Arial" w:hAnsi="Arial" w:eastAsia="Times New Roman" w:cs="Arial"/>
                <w:sz w:val="20"/>
                <w:szCs w:val="20"/>
                <w:lang w:eastAsia="en-GB"/>
              </w:rPr>
            </w:pPr>
          </w:p>
        </w:tc>
      </w:tr>
      <w:tr w:rsidRPr="002070C7" w:rsidR="00A5057C" w:rsidTr="006F6C94" w14:paraId="63A307CA" w14:textId="77777777">
        <w:trPr>
          <w:trHeight w:val="300"/>
        </w:trPr>
        <w:tc>
          <w:tcPr>
            <w:tcW w:w="6804" w:type="dxa"/>
            <w:tcBorders>
              <w:left w:val="nil"/>
              <w:right w:val="nil"/>
            </w:tcBorders>
            <w:noWrap/>
          </w:tcPr>
          <w:p w:rsidRPr="002070C7" w:rsidR="00A5057C" w:rsidP="006F6C94" w:rsidRDefault="00A5057C" w14:paraId="0C2B4E95" w14:textId="77777777">
            <w:pPr>
              <w:ind w:left="171" w:firstLine="28" w:firstLineChars="14"/>
              <w:rPr>
                <w:rFonts w:ascii="Arial" w:hAnsi="Arial" w:eastAsia="Times New Roman" w:cs="Arial"/>
                <w:sz w:val="20"/>
                <w:szCs w:val="20"/>
              </w:rPr>
            </w:pPr>
            <w:r w:rsidRPr="002070C7">
              <w:rPr>
                <w:rFonts w:ascii="Arial" w:hAnsi="Arial"/>
                <w:sz w:val="20"/>
              </w:rPr>
              <w:t>i. Međudržavna lokalna potraživanja u lokalnoj valuti, uključujući aktivnosti povezane s izvedenicama (pri čemu se SRM promatra kao jedna država)</w:t>
            </w:r>
          </w:p>
        </w:tc>
        <w:tc>
          <w:tcPr>
            <w:tcW w:w="2745" w:type="dxa"/>
            <w:tcBorders>
              <w:left w:val="nil"/>
              <w:right w:val="nil"/>
            </w:tcBorders>
            <w:noWrap/>
          </w:tcPr>
          <w:p w:rsidRPr="002070C7" w:rsidR="00A5057C" w:rsidP="006F6C94" w:rsidRDefault="00A5057C" w14:paraId="7472653F" w14:textId="77777777">
            <w:pPr>
              <w:jc w:val="right"/>
              <w:rPr>
                <w:rFonts w:ascii="Arial" w:hAnsi="Arial" w:eastAsia="Times New Roman" w:cs="Arial"/>
                <w:sz w:val="20"/>
                <w:szCs w:val="20"/>
                <w:lang w:eastAsia="en-GB"/>
              </w:rPr>
            </w:pPr>
          </w:p>
        </w:tc>
      </w:tr>
      <w:tr w:rsidRPr="002070C7" w:rsidR="00A5057C" w:rsidTr="006F6C94" w14:paraId="6251E6E1" w14:textId="77777777">
        <w:trPr>
          <w:trHeight w:val="300"/>
        </w:trPr>
        <w:tc>
          <w:tcPr>
            <w:tcW w:w="6804" w:type="dxa"/>
            <w:tcBorders>
              <w:left w:val="nil"/>
              <w:right w:val="nil"/>
            </w:tcBorders>
            <w:noWrap/>
          </w:tcPr>
          <w:p w:rsidRPr="002070C7" w:rsidR="00A5057C" w:rsidP="006F6C94" w:rsidRDefault="00A5057C" w14:paraId="006EAB6D" w14:textId="77777777">
            <w:pPr>
              <w:ind w:left="171" w:firstLine="28" w:firstLineChars="14"/>
              <w:rPr>
                <w:rFonts w:ascii="Arial" w:hAnsi="Arial" w:eastAsia="Times New Roman" w:cs="Arial"/>
                <w:sz w:val="20"/>
                <w:szCs w:val="20"/>
              </w:rPr>
            </w:pPr>
            <w:r w:rsidRPr="002070C7">
              <w:rPr>
                <w:rFonts w:ascii="Arial" w:hAnsi="Arial"/>
                <w:sz w:val="20"/>
              </w:rPr>
              <w:lastRenderedPageBreak/>
              <w:t>j. Inozemne obveze, isključujući izvedenice i lokalne obveze u lokalnoj valuti (pri čemu se SRM promatra kao jedna država)</w:t>
            </w:r>
          </w:p>
        </w:tc>
        <w:tc>
          <w:tcPr>
            <w:tcW w:w="2745" w:type="dxa"/>
            <w:tcBorders>
              <w:left w:val="nil"/>
              <w:right w:val="nil"/>
            </w:tcBorders>
            <w:noWrap/>
          </w:tcPr>
          <w:p w:rsidRPr="002070C7" w:rsidR="00A5057C" w:rsidP="006F6C94" w:rsidRDefault="00A5057C" w14:paraId="30B31C50" w14:textId="77777777">
            <w:pPr>
              <w:jc w:val="right"/>
              <w:rPr>
                <w:rFonts w:ascii="Arial" w:hAnsi="Arial" w:eastAsia="Times New Roman" w:cs="Arial"/>
                <w:sz w:val="20"/>
                <w:szCs w:val="20"/>
                <w:lang w:eastAsia="en-GB"/>
              </w:rPr>
            </w:pPr>
          </w:p>
        </w:tc>
      </w:tr>
      <w:tr w:rsidRPr="002070C7" w:rsidR="00A5057C" w:rsidTr="006F6C94" w14:paraId="5A2AA4B5" w14:textId="77777777">
        <w:trPr>
          <w:trHeight w:val="300"/>
        </w:trPr>
        <w:tc>
          <w:tcPr>
            <w:tcW w:w="6804" w:type="dxa"/>
            <w:tcBorders>
              <w:left w:val="nil"/>
              <w:right w:val="nil"/>
            </w:tcBorders>
            <w:noWrap/>
          </w:tcPr>
          <w:p w:rsidRPr="002070C7" w:rsidR="00A5057C" w:rsidP="006F6C94" w:rsidRDefault="00A5057C" w14:paraId="7B132575" w14:textId="77777777">
            <w:pPr>
              <w:ind w:left="171" w:firstLine="28" w:firstLineChars="14"/>
              <w:rPr>
                <w:rFonts w:ascii="Arial" w:hAnsi="Arial" w:eastAsia="Times New Roman" w:cs="Arial"/>
                <w:sz w:val="20"/>
                <w:szCs w:val="20"/>
              </w:rPr>
            </w:pPr>
            <w:r w:rsidRPr="002070C7">
              <w:rPr>
                <w:rFonts w:ascii="Arial" w:hAnsi="Arial"/>
                <w:sz w:val="20"/>
                <w:lang w:eastAsia="en-GB"/>
              </w:rPr>
              <w:t xml:space="preserve">(1) </w:t>
            </w:r>
            <w:r w:rsidRPr="002070C7">
              <w:rPr>
                <w:rFonts w:ascii="Arial" w:hAnsi="Arial"/>
                <w:sz w:val="20"/>
              </w:rPr>
              <w:t>Sve inozemne obveze prema povezanim poslovnicama uvrštene u stavku 20.j. (razmatranje SRM-a kao jedne države)</w:t>
            </w:r>
          </w:p>
        </w:tc>
        <w:tc>
          <w:tcPr>
            <w:tcW w:w="2745" w:type="dxa"/>
            <w:tcBorders>
              <w:left w:val="nil"/>
              <w:right w:val="nil"/>
            </w:tcBorders>
            <w:noWrap/>
          </w:tcPr>
          <w:p w:rsidRPr="002070C7" w:rsidR="00A5057C" w:rsidP="006F6C94" w:rsidRDefault="00A5057C" w14:paraId="2890E840" w14:textId="77777777">
            <w:pPr>
              <w:jc w:val="right"/>
              <w:rPr>
                <w:rFonts w:ascii="Arial" w:hAnsi="Arial" w:eastAsia="Times New Roman" w:cs="Arial"/>
                <w:sz w:val="20"/>
                <w:szCs w:val="20"/>
                <w:lang w:eastAsia="en-GB"/>
              </w:rPr>
            </w:pPr>
          </w:p>
        </w:tc>
      </w:tr>
      <w:tr w:rsidRPr="002070C7" w:rsidR="00A5057C" w:rsidTr="006F6C94" w14:paraId="1A7C99E6" w14:textId="77777777">
        <w:trPr>
          <w:trHeight w:val="300"/>
        </w:trPr>
        <w:tc>
          <w:tcPr>
            <w:tcW w:w="6804" w:type="dxa"/>
            <w:tcBorders>
              <w:left w:val="nil"/>
              <w:right w:val="nil"/>
            </w:tcBorders>
            <w:noWrap/>
          </w:tcPr>
          <w:p w:rsidRPr="002070C7" w:rsidR="00A5057C" w:rsidP="006F6C94" w:rsidRDefault="00A5057C" w14:paraId="30FD9C35" w14:textId="77777777">
            <w:pPr>
              <w:ind w:left="171" w:firstLine="28" w:firstLineChars="14"/>
              <w:rPr>
                <w:rFonts w:ascii="Arial" w:hAnsi="Arial" w:eastAsia="Times New Roman" w:cs="Arial"/>
                <w:sz w:val="20"/>
                <w:szCs w:val="20"/>
              </w:rPr>
            </w:pPr>
            <w:r w:rsidRPr="002070C7">
              <w:rPr>
                <w:rFonts w:ascii="Arial" w:hAnsi="Arial"/>
                <w:sz w:val="20"/>
              </w:rPr>
              <w:t>k. Lokalne obveze u lokalnoj valuti, isključujući izvedenice (pri čemu se SRM promatra kao jedna država)</w:t>
            </w:r>
          </w:p>
        </w:tc>
        <w:tc>
          <w:tcPr>
            <w:tcW w:w="2745" w:type="dxa"/>
            <w:tcBorders>
              <w:left w:val="nil"/>
              <w:right w:val="nil"/>
            </w:tcBorders>
            <w:noWrap/>
          </w:tcPr>
          <w:p w:rsidRPr="002070C7" w:rsidR="00A5057C" w:rsidP="006F6C94" w:rsidRDefault="00A5057C" w14:paraId="0C5E58AD" w14:textId="77777777">
            <w:pPr>
              <w:jc w:val="right"/>
              <w:rPr>
                <w:rFonts w:ascii="Arial" w:hAnsi="Arial" w:eastAsia="Times New Roman" w:cs="Arial"/>
                <w:sz w:val="20"/>
                <w:szCs w:val="20"/>
                <w:lang w:eastAsia="en-GB"/>
              </w:rPr>
            </w:pPr>
          </w:p>
        </w:tc>
      </w:tr>
      <w:tr w:rsidRPr="002070C7" w:rsidR="00A5057C" w:rsidTr="006F6C94" w14:paraId="6748A17A" w14:textId="77777777">
        <w:trPr>
          <w:trHeight w:val="300"/>
        </w:trPr>
        <w:tc>
          <w:tcPr>
            <w:tcW w:w="6804" w:type="dxa"/>
            <w:tcBorders>
              <w:left w:val="nil"/>
              <w:right w:val="nil"/>
            </w:tcBorders>
            <w:noWrap/>
          </w:tcPr>
          <w:p w:rsidRPr="002070C7" w:rsidR="00A5057C" w:rsidP="006F6C94" w:rsidRDefault="00A5057C" w14:paraId="3928D71C" w14:textId="77777777">
            <w:pPr>
              <w:ind w:left="171" w:firstLine="28" w:firstLineChars="14"/>
              <w:rPr>
                <w:rFonts w:ascii="Arial" w:hAnsi="Arial" w:eastAsia="Times New Roman" w:cs="Arial"/>
                <w:sz w:val="20"/>
                <w:szCs w:val="20"/>
              </w:rPr>
            </w:pPr>
            <w:r w:rsidRPr="002070C7">
              <w:rPr>
                <w:rFonts w:ascii="Arial" w:hAnsi="Arial"/>
                <w:sz w:val="20"/>
              </w:rPr>
              <w:t>l. Lokalne obveze u lokalnoj valuti, uključujući izvedenice (pri čemu se SRM promatra kao jedna država)</w:t>
            </w:r>
          </w:p>
        </w:tc>
        <w:tc>
          <w:tcPr>
            <w:tcW w:w="2745" w:type="dxa"/>
            <w:tcBorders>
              <w:left w:val="nil"/>
              <w:right w:val="nil"/>
            </w:tcBorders>
            <w:noWrap/>
          </w:tcPr>
          <w:p w:rsidRPr="002070C7" w:rsidR="00A5057C" w:rsidP="006F6C94" w:rsidRDefault="00A5057C" w14:paraId="6ED11CBE" w14:textId="77777777">
            <w:pPr>
              <w:jc w:val="right"/>
              <w:rPr>
                <w:rFonts w:ascii="Arial" w:hAnsi="Arial" w:eastAsia="Times New Roman" w:cs="Arial"/>
                <w:sz w:val="20"/>
                <w:szCs w:val="20"/>
                <w:lang w:eastAsia="en-GB"/>
              </w:rPr>
            </w:pPr>
          </w:p>
        </w:tc>
      </w:tr>
      <w:tr w:rsidRPr="002070C7" w:rsidR="00A5057C" w:rsidTr="006F6C94" w14:paraId="4BDA857C" w14:textId="77777777">
        <w:trPr>
          <w:trHeight w:val="300"/>
        </w:trPr>
        <w:tc>
          <w:tcPr>
            <w:tcW w:w="6804" w:type="dxa"/>
            <w:tcBorders>
              <w:left w:val="nil"/>
              <w:right w:val="nil"/>
            </w:tcBorders>
            <w:noWrap/>
          </w:tcPr>
          <w:p w:rsidRPr="002070C7" w:rsidR="00A5057C" w:rsidP="006F6C94" w:rsidRDefault="00A5057C" w14:paraId="6867BA48" w14:textId="77777777">
            <w:pPr>
              <w:ind w:left="171" w:firstLine="28" w:firstLineChars="14"/>
              <w:rPr>
                <w:rFonts w:ascii="Arial" w:hAnsi="Arial" w:eastAsia="Times New Roman" w:cs="Arial"/>
                <w:sz w:val="20"/>
                <w:szCs w:val="20"/>
              </w:rPr>
            </w:pPr>
            <w:r w:rsidRPr="002070C7">
              <w:rPr>
                <w:rFonts w:ascii="Arial" w:hAnsi="Arial"/>
                <w:sz w:val="20"/>
              </w:rPr>
              <w:t>m. Ukupne neto lokalne pozicije u lokalnoj valuti, uključujući izvedenice, ako je riječ o neto pozitivnim pozicijama</w:t>
            </w:r>
          </w:p>
        </w:tc>
        <w:tc>
          <w:tcPr>
            <w:tcW w:w="2745" w:type="dxa"/>
            <w:tcBorders>
              <w:left w:val="nil"/>
              <w:right w:val="nil"/>
            </w:tcBorders>
            <w:noWrap/>
          </w:tcPr>
          <w:p w:rsidRPr="002070C7" w:rsidR="00A5057C" w:rsidP="006F6C94" w:rsidRDefault="00A5057C" w14:paraId="6E624ABF" w14:textId="77777777">
            <w:pPr>
              <w:jc w:val="right"/>
              <w:rPr>
                <w:rFonts w:ascii="Arial" w:hAnsi="Arial" w:eastAsia="Times New Roman" w:cs="Arial"/>
                <w:sz w:val="20"/>
                <w:szCs w:val="20"/>
                <w:lang w:eastAsia="en-GB"/>
              </w:rPr>
            </w:pPr>
          </w:p>
        </w:tc>
      </w:tr>
      <w:tr w:rsidRPr="002070C7" w:rsidR="00A5057C" w:rsidTr="006F6C94" w14:paraId="03EB6FFD" w14:textId="77777777">
        <w:trPr>
          <w:trHeight w:val="300"/>
        </w:trPr>
        <w:tc>
          <w:tcPr>
            <w:tcW w:w="6804" w:type="dxa"/>
            <w:tcBorders>
              <w:left w:val="nil"/>
              <w:right w:val="nil"/>
            </w:tcBorders>
            <w:noWrap/>
          </w:tcPr>
          <w:p w:rsidRPr="002070C7" w:rsidR="00A5057C" w:rsidP="006F6C94" w:rsidRDefault="00A5057C" w14:paraId="193FC8E1" w14:textId="77777777">
            <w:pPr>
              <w:ind w:left="171" w:firstLine="28" w:firstLineChars="14"/>
              <w:rPr>
                <w:rFonts w:ascii="Arial" w:hAnsi="Arial" w:eastAsia="Times New Roman" w:cs="Arial"/>
                <w:sz w:val="20"/>
                <w:szCs w:val="20"/>
              </w:rPr>
            </w:pPr>
            <w:r w:rsidRPr="002070C7">
              <w:rPr>
                <w:rFonts w:ascii="Arial" w:hAnsi="Arial"/>
                <w:sz w:val="20"/>
              </w:rPr>
              <w:t>n. Ukupne neto lokalne pozicije u lokalnoj valuti, uključujući izvedenice, ako je riječ o neto negativnim pozicijama</w:t>
            </w:r>
          </w:p>
        </w:tc>
        <w:tc>
          <w:tcPr>
            <w:tcW w:w="2745" w:type="dxa"/>
            <w:tcBorders>
              <w:left w:val="nil"/>
              <w:right w:val="nil"/>
            </w:tcBorders>
            <w:noWrap/>
          </w:tcPr>
          <w:p w:rsidRPr="002070C7" w:rsidR="00A5057C" w:rsidP="006F6C94" w:rsidRDefault="00A5057C" w14:paraId="3F0A299E" w14:textId="77777777">
            <w:pPr>
              <w:jc w:val="right"/>
              <w:rPr>
                <w:rFonts w:ascii="Arial" w:hAnsi="Arial" w:eastAsia="Times New Roman" w:cs="Arial"/>
                <w:sz w:val="20"/>
                <w:szCs w:val="20"/>
                <w:lang w:eastAsia="en-GB"/>
              </w:rPr>
            </w:pPr>
          </w:p>
        </w:tc>
      </w:tr>
      <w:tr w:rsidRPr="002070C7" w:rsidR="00A5057C" w:rsidTr="006F6C94" w14:paraId="0D84AB02" w14:textId="77777777">
        <w:trPr>
          <w:trHeight w:val="300"/>
        </w:trPr>
        <w:tc>
          <w:tcPr>
            <w:tcW w:w="6804" w:type="dxa"/>
            <w:tcBorders>
              <w:left w:val="nil"/>
              <w:right w:val="nil"/>
            </w:tcBorders>
            <w:noWrap/>
          </w:tcPr>
          <w:p w:rsidRPr="002070C7" w:rsidR="00A5057C" w:rsidP="006F6C94" w:rsidRDefault="00A5057C" w14:paraId="7A33EB5D" w14:textId="77777777">
            <w:pPr>
              <w:ind w:left="171" w:firstLine="28" w:firstLineChars="14"/>
              <w:rPr>
                <w:rFonts w:ascii="Arial" w:hAnsi="Arial" w:eastAsia="Times New Roman" w:cs="Arial"/>
                <w:sz w:val="20"/>
                <w:szCs w:val="20"/>
              </w:rPr>
            </w:pPr>
            <w:r w:rsidRPr="002070C7">
              <w:rPr>
                <w:rFonts w:ascii="Arial" w:hAnsi="Arial"/>
                <w:sz w:val="20"/>
              </w:rPr>
              <w:t>o. Ukupne neto lokalne pozicije u lokalnoj valuti u državama izvan SRM-a, uključujući izvedenice, ako je riječ o neto pozitivnim pozicijama (pri čemu se SRM promatra kao jedna država)</w:t>
            </w:r>
          </w:p>
        </w:tc>
        <w:tc>
          <w:tcPr>
            <w:tcW w:w="2745" w:type="dxa"/>
            <w:tcBorders>
              <w:left w:val="nil"/>
              <w:right w:val="nil"/>
            </w:tcBorders>
            <w:noWrap/>
          </w:tcPr>
          <w:p w:rsidRPr="002070C7" w:rsidR="00A5057C" w:rsidP="006F6C94" w:rsidRDefault="00A5057C" w14:paraId="34D9404D" w14:textId="77777777">
            <w:pPr>
              <w:jc w:val="right"/>
              <w:rPr>
                <w:rFonts w:ascii="Arial" w:hAnsi="Arial" w:eastAsia="Times New Roman" w:cs="Arial"/>
                <w:sz w:val="20"/>
                <w:szCs w:val="20"/>
                <w:lang w:eastAsia="en-GB"/>
              </w:rPr>
            </w:pPr>
          </w:p>
        </w:tc>
      </w:tr>
      <w:tr w:rsidRPr="002070C7" w:rsidR="00A5057C" w:rsidTr="006F6C94" w14:paraId="3ACD0221" w14:textId="77777777">
        <w:trPr>
          <w:trHeight w:val="300"/>
        </w:trPr>
        <w:tc>
          <w:tcPr>
            <w:tcW w:w="6804" w:type="dxa"/>
            <w:tcBorders>
              <w:left w:val="nil"/>
              <w:right w:val="nil"/>
            </w:tcBorders>
            <w:noWrap/>
          </w:tcPr>
          <w:p w:rsidRPr="002070C7" w:rsidR="00A5057C" w:rsidP="006F6C94" w:rsidRDefault="00A5057C" w14:paraId="35A127D2" w14:textId="77777777">
            <w:pPr>
              <w:ind w:left="171" w:firstLine="28" w:firstLineChars="14"/>
              <w:rPr>
                <w:rFonts w:ascii="Arial" w:hAnsi="Arial" w:eastAsia="Times New Roman" w:cs="Arial"/>
                <w:sz w:val="20"/>
                <w:szCs w:val="20"/>
              </w:rPr>
            </w:pPr>
            <w:r w:rsidRPr="002070C7">
              <w:rPr>
                <w:rFonts w:ascii="Arial" w:hAnsi="Arial"/>
                <w:sz w:val="20"/>
              </w:rPr>
              <w:t>p. Ukupne neto lokalne pozicije u lokalnoj valuti u državama izvan SRM-a, uključujući izvedenice, ako je riječ o neto negativnim pozicijama (pri čemu se SRM promatra kao jedna država)</w:t>
            </w:r>
          </w:p>
        </w:tc>
        <w:tc>
          <w:tcPr>
            <w:tcW w:w="2745" w:type="dxa"/>
            <w:tcBorders>
              <w:left w:val="nil"/>
              <w:right w:val="nil"/>
            </w:tcBorders>
            <w:noWrap/>
          </w:tcPr>
          <w:p w:rsidRPr="002070C7" w:rsidR="00A5057C" w:rsidP="006F6C94" w:rsidRDefault="00A5057C" w14:paraId="028170B2" w14:textId="77777777">
            <w:pPr>
              <w:jc w:val="right"/>
              <w:rPr>
                <w:rFonts w:ascii="Arial" w:hAnsi="Arial" w:eastAsia="Times New Roman" w:cs="Arial"/>
                <w:sz w:val="20"/>
                <w:szCs w:val="20"/>
                <w:lang w:eastAsia="en-GB"/>
              </w:rPr>
            </w:pPr>
          </w:p>
        </w:tc>
      </w:tr>
      <w:tr w:rsidRPr="002070C7" w:rsidR="00A5057C" w:rsidTr="006F6C94" w14:paraId="492A8EAF" w14:textId="77777777">
        <w:trPr>
          <w:trHeight w:val="300"/>
        </w:trPr>
        <w:tc>
          <w:tcPr>
            <w:tcW w:w="6804" w:type="dxa"/>
            <w:tcBorders>
              <w:left w:val="nil"/>
              <w:right w:val="nil"/>
            </w:tcBorders>
            <w:noWrap/>
          </w:tcPr>
          <w:p w:rsidRPr="002070C7" w:rsidR="00A5057C" w:rsidP="006F6C94" w:rsidRDefault="00A5057C" w14:paraId="65D77EEF" w14:textId="77777777">
            <w:pPr>
              <w:ind w:left="171" w:firstLine="28" w:firstLineChars="14"/>
              <w:rPr>
                <w:rFonts w:ascii="Arial" w:hAnsi="Arial" w:eastAsia="Times New Roman" w:cs="Arial"/>
                <w:sz w:val="20"/>
                <w:szCs w:val="20"/>
              </w:rPr>
            </w:pPr>
            <w:r w:rsidRPr="002070C7">
              <w:rPr>
                <w:rFonts w:ascii="Arial" w:hAnsi="Arial"/>
                <w:sz w:val="20"/>
              </w:rPr>
              <w:t>q. Ukupne neto lokalne pozicije u lokalnoj valuti u državama SRM-a, uključujući izvedenice (pri čemu se SRM promatra kao jedna država)</w:t>
            </w:r>
          </w:p>
        </w:tc>
        <w:tc>
          <w:tcPr>
            <w:tcW w:w="2745" w:type="dxa"/>
            <w:tcBorders>
              <w:left w:val="nil"/>
              <w:right w:val="nil"/>
            </w:tcBorders>
            <w:noWrap/>
          </w:tcPr>
          <w:p w:rsidRPr="002070C7" w:rsidR="00A5057C" w:rsidP="006F6C94" w:rsidRDefault="00A5057C" w14:paraId="172D8A97" w14:textId="77777777">
            <w:pPr>
              <w:jc w:val="right"/>
              <w:rPr>
                <w:rFonts w:ascii="Arial" w:hAnsi="Arial" w:eastAsia="Times New Roman" w:cs="Arial"/>
                <w:sz w:val="20"/>
                <w:szCs w:val="20"/>
                <w:lang w:eastAsia="en-GB"/>
              </w:rPr>
            </w:pPr>
          </w:p>
        </w:tc>
      </w:tr>
      <w:tr w:rsidRPr="002070C7" w:rsidR="00A5057C" w:rsidTr="006F6C94" w14:paraId="2464C52A" w14:textId="77777777">
        <w:trPr>
          <w:trHeight w:val="300"/>
        </w:trPr>
        <w:tc>
          <w:tcPr>
            <w:tcW w:w="6804" w:type="dxa"/>
            <w:tcBorders>
              <w:left w:val="nil"/>
              <w:right w:val="nil"/>
            </w:tcBorders>
            <w:noWrap/>
          </w:tcPr>
          <w:p w:rsidRPr="002070C7" w:rsidR="00A5057C" w:rsidP="006F6C94" w:rsidRDefault="00A5057C" w14:paraId="00B0A286" w14:textId="77777777">
            <w:pPr>
              <w:ind w:firstLine="200" w:firstLineChars="100"/>
              <w:rPr>
                <w:rFonts w:ascii="Arial" w:hAnsi="Arial" w:eastAsia="Times New Roman" w:cs="Arial"/>
                <w:sz w:val="20"/>
                <w:szCs w:val="20"/>
              </w:rPr>
            </w:pPr>
            <w:r w:rsidRPr="002070C7">
              <w:rPr>
                <w:rFonts w:ascii="Arial" w:hAnsi="Arial"/>
                <w:sz w:val="20"/>
              </w:rPr>
              <w:t xml:space="preserve">r. Potraživanja unutar ureda koja su iskazala inozemna društva kćeri </w:t>
            </w:r>
          </w:p>
        </w:tc>
        <w:tc>
          <w:tcPr>
            <w:tcW w:w="2745" w:type="dxa"/>
            <w:tcBorders>
              <w:left w:val="nil"/>
              <w:right w:val="nil"/>
            </w:tcBorders>
            <w:noWrap/>
          </w:tcPr>
          <w:p w:rsidRPr="002070C7" w:rsidR="00A5057C" w:rsidP="006F6C94" w:rsidRDefault="00A5057C" w14:paraId="1357A515" w14:textId="77777777">
            <w:pPr>
              <w:jc w:val="right"/>
              <w:rPr>
                <w:rFonts w:ascii="Arial" w:hAnsi="Arial" w:eastAsia="Times New Roman" w:cs="Arial"/>
                <w:sz w:val="20"/>
                <w:szCs w:val="20"/>
                <w:lang w:eastAsia="en-GB"/>
              </w:rPr>
            </w:pPr>
          </w:p>
        </w:tc>
      </w:tr>
      <w:tr w:rsidRPr="002070C7" w:rsidR="00A5057C" w:rsidTr="006F6C94" w14:paraId="67D716FF" w14:textId="77777777">
        <w:trPr>
          <w:trHeight w:val="300"/>
        </w:trPr>
        <w:tc>
          <w:tcPr>
            <w:tcW w:w="6804" w:type="dxa"/>
            <w:tcBorders>
              <w:left w:val="nil"/>
              <w:right w:val="nil"/>
            </w:tcBorders>
            <w:noWrap/>
          </w:tcPr>
          <w:p w:rsidRPr="002070C7" w:rsidR="00A5057C" w:rsidP="006F6C94" w:rsidRDefault="00A5057C" w14:paraId="48EC9384" w14:textId="77777777">
            <w:pPr>
              <w:ind w:firstLine="200" w:firstLineChars="100"/>
              <w:rPr>
                <w:rFonts w:ascii="Arial" w:hAnsi="Arial" w:eastAsia="Times New Roman" w:cs="Arial"/>
                <w:sz w:val="20"/>
                <w:szCs w:val="20"/>
              </w:rPr>
            </w:pPr>
            <w:r w:rsidRPr="002070C7">
              <w:rPr>
                <w:rFonts w:ascii="Arial" w:hAnsi="Arial"/>
                <w:sz w:val="20"/>
              </w:rPr>
              <w:t xml:space="preserve">s. Potraživanja unutar ureda koja su iskazale inozemne podružnice </w:t>
            </w:r>
          </w:p>
        </w:tc>
        <w:tc>
          <w:tcPr>
            <w:tcW w:w="2745" w:type="dxa"/>
            <w:tcBorders>
              <w:left w:val="nil"/>
              <w:right w:val="nil"/>
            </w:tcBorders>
            <w:noWrap/>
          </w:tcPr>
          <w:p w:rsidRPr="002070C7" w:rsidR="00A5057C" w:rsidP="006F6C94" w:rsidRDefault="00A5057C" w14:paraId="36E41A70" w14:textId="77777777">
            <w:pPr>
              <w:jc w:val="right"/>
              <w:rPr>
                <w:rFonts w:ascii="Arial" w:hAnsi="Arial" w:eastAsia="Times New Roman" w:cs="Arial"/>
                <w:sz w:val="20"/>
                <w:szCs w:val="20"/>
                <w:lang w:eastAsia="en-GB"/>
              </w:rPr>
            </w:pPr>
          </w:p>
        </w:tc>
      </w:tr>
      <w:tr w:rsidRPr="002070C7" w:rsidR="00A5057C" w:rsidTr="006F6C94" w14:paraId="118570EE" w14:textId="77777777">
        <w:trPr>
          <w:trHeight w:val="300"/>
        </w:trPr>
        <w:tc>
          <w:tcPr>
            <w:tcW w:w="6804" w:type="dxa"/>
            <w:tcBorders>
              <w:left w:val="nil"/>
              <w:right w:val="nil"/>
            </w:tcBorders>
            <w:noWrap/>
          </w:tcPr>
          <w:p w:rsidRPr="002070C7" w:rsidR="00A5057C" w:rsidP="006F6C94" w:rsidRDefault="00A5057C" w14:paraId="419A2C73" w14:textId="77777777">
            <w:pPr>
              <w:ind w:firstLine="200" w:firstLineChars="100"/>
              <w:rPr>
                <w:rFonts w:ascii="Arial" w:hAnsi="Arial" w:eastAsia="Times New Roman" w:cs="Arial"/>
                <w:sz w:val="20"/>
                <w:szCs w:val="20"/>
              </w:rPr>
            </w:pPr>
            <w:r w:rsidRPr="002070C7">
              <w:rPr>
                <w:rFonts w:ascii="Arial" w:hAnsi="Arial"/>
                <w:sz w:val="20"/>
              </w:rPr>
              <w:t>t. Obveze unutar ureda koje su iskazala inozemna društva kćeri</w:t>
            </w:r>
          </w:p>
        </w:tc>
        <w:tc>
          <w:tcPr>
            <w:tcW w:w="2745" w:type="dxa"/>
            <w:tcBorders>
              <w:left w:val="nil"/>
              <w:right w:val="nil"/>
            </w:tcBorders>
            <w:noWrap/>
          </w:tcPr>
          <w:p w:rsidRPr="002070C7" w:rsidR="00A5057C" w:rsidP="006F6C94" w:rsidRDefault="00A5057C" w14:paraId="52A7FC43" w14:textId="77777777">
            <w:pPr>
              <w:jc w:val="right"/>
              <w:rPr>
                <w:rFonts w:ascii="Arial" w:hAnsi="Arial" w:eastAsia="Times New Roman" w:cs="Arial"/>
                <w:sz w:val="20"/>
                <w:szCs w:val="20"/>
                <w:lang w:eastAsia="en-GB"/>
              </w:rPr>
            </w:pPr>
          </w:p>
        </w:tc>
      </w:tr>
      <w:tr w:rsidRPr="002070C7" w:rsidR="00A5057C" w:rsidTr="006F6C94" w14:paraId="2C517E87" w14:textId="77777777">
        <w:trPr>
          <w:trHeight w:val="300"/>
        </w:trPr>
        <w:tc>
          <w:tcPr>
            <w:tcW w:w="6804" w:type="dxa"/>
            <w:tcBorders>
              <w:left w:val="nil"/>
              <w:right w:val="nil"/>
            </w:tcBorders>
            <w:noWrap/>
          </w:tcPr>
          <w:p w:rsidRPr="002070C7" w:rsidR="00A5057C" w:rsidP="006F6C94" w:rsidRDefault="00A5057C" w14:paraId="474A2517" w14:textId="77777777">
            <w:pPr>
              <w:ind w:firstLine="200" w:firstLineChars="100"/>
              <w:rPr>
                <w:rFonts w:ascii="Arial" w:hAnsi="Arial" w:eastAsia="Times New Roman" w:cs="Arial"/>
                <w:sz w:val="20"/>
                <w:szCs w:val="20"/>
              </w:rPr>
            </w:pPr>
            <w:r w:rsidRPr="002070C7">
              <w:rPr>
                <w:rFonts w:ascii="Arial" w:hAnsi="Arial"/>
                <w:sz w:val="20"/>
              </w:rPr>
              <w:t xml:space="preserve">u. Obveze unutar ureda koje su iskazale inozemne podružnice </w:t>
            </w:r>
          </w:p>
        </w:tc>
        <w:tc>
          <w:tcPr>
            <w:tcW w:w="2745" w:type="dxa"/>
            <w:tcBorders>
              <w:left w:val="nil"/>
              <w:right w:val="nil"/>
            </w:tcBorders>
            <w:noWrap/>
          </w:tcPr>
          <w:p w:rsidRPr="002070C7" w:rsidR="00A5057C" w:rsidP="006F6C94" w:rsidRDefault="00A5057C" w14:paraId="027DB9E7" w14:textId="77777777">
            <w:pPr>
              <w:jc w:val="right"/>
              <w:rPr>
                <w:rFonts w:ascii="Arial" w:hAnsi="Arial" w:eastAsia="Times New Roman" w:cs="Arial"/>
                <w:sz w:val="20"/>
                <w:szCs w:val="20"/>
                <w:lang w:eastAsia="en-GB"/>
              </w:rPr>
            </w:pPr>
          </w:p>
        </w:tc>
      </w:tr>
      <w:tr w:rsidRPr="002070C7" w:rsidR="00A5057C" w:rsidTr="006F6C94" w14:paraId="0F285695" w14:textId="77777777">
        <w:trPr>
          <w:trHeight w:val="300"/>
        </w:trPr>
        <w:tc>
          <w:tcPr>
            <w:tcW w:w="6804" w:type="dxa"/>
            <w:tcBorders>
              <w:left w:val="nil"/>
              <w:right w:val="nil"/>
            </w:tcBorders>
            <w:noWrap/>
          </w:tcPr>
          <w:p w:rsidRPr="002070C7" w:rsidR="00A5057C" w:rsidP="006F6C94" w:rsidRDefault="00A5057C" w14:paraId="4D6FCFF2" w14:textId="77777777">
            <w:pPr>
              <w:ind w:firstLine="200" w:firstLineChars="100"/>
              <w:rPr>
                <w:rFonts w:ascii="Arial" w:hAnsi="Arial" w:eastAsia="Times New Roman" w:cs="Arial"/>
                <w:sz w:val="20"/>
                <w:szCs w:val="20"/>
              </w:rPr>
            </w:pPr>
            <w:r w:rsidRPr="002070C7">
              <w:rPr>
                <w:rFonts w:ascii="Arial" w:hAnsi="Arial"/>
                <w:sz w:val="20"/>
              </w:rPr>
              <w:t xml:space="preserve">v. Tromjesečna prosječna vrijednost međudržavnih potraživanja </w:t>
            </w:r>
          </w:p>
        </w:tc>
        <w:tc>
          <w:tcPr>
            <w:tcW w:w="2745" w:type="dxa"/>
            <w:tcBorders>
              <w:left w:val="nil"/>
              <w:right w:val="nil"/>
            </w:tcBorders>
            <w:noWrap/>
          </w:tcPr>
          <w:p w:rsidRPr="002070C7" w:rsidR="00A5057C" w:rsidP="006F6C94" w:rsidRDefault="00A5057C" w14:paraId="55894BA8" w14:textId="77777777">
            <w:pPr>
              <w:jc w:val="right"/>
              <w:rPr>
                <w:rFonts w:ascii="Arial" w:hAnsi="Arial" w:eastAsia="Times New Roman" w:cs="Arial"/>
                <w:sz w:val="20"/>
                <w:szCs w:val="20"/>
                <w:lang w:eastAsia="en-GB"/>
              </w:rPr>
            </w:pPr>
          </w:p>
        </w:tc>
      </w:tr>
      <w:tr w:rsidRPr="002070C7" w:rsidR="00A5057C" w:rsidTr="006F6C94" w14:paraId="02D3AE2D" w14:textId="77777777">
        <w:trPr>
          <w:trHeight w:val="300"/>
        </w:trPr>
        <w:tc>
          <w:tcPr>
            <w:tcW w:w="6804" w:type="dxa"/>
            <w:tcBorders>
              <w:left w:val="nil"/>
              <w:right w:val="nil"/>
            </w:tcBorders>
            <w:noWrap/>
          </w:tcPr>
          <w:p w:rsidRPr="002070C7" w:rsidR="00A5057C" w:rsidP="006F6C94" w:rsidRDefault="00A5057C" w14:paraId="198E50D9" w14:textId="77777777">
            <w:pPr>
              <w:ind w:firstLine="200" w:firstLineChars="100"/>
              <w:rPr>
                <w:rFonts w:ascii="Arial" w:hAnsi="Arial" w:eastAsia="Times New Roman" w:cs="Arial"/>
                <w:sz w:val="20"/>
                <w:szCs w:val="20"/>
              </w:rPr>
            </w:pPr>
            <w:r w:rsidRPr="002070C7">
              <w:rPr>
                <w:rFonts w:ascii="Arial" w:hAnsi="Arial"/>
                <w:sz w:val="20"/>
              </w:rPr>
              <w:t xml:space="preserve">w. Mjesečna prosječna mjesečna vrijednost međudržavnih potraživanja </w:t>
            </w:r>
          </w:p>
        </w:tc>
        <w:tc>
          <w:tcPr>
            <w:tcW w:w="2745" w:type="dxa"/>
            <w:tcBorders>
              <w:left w:val="nil"/>
              <w:right w:val="nil"/>
            </w:tcBorders>
            <w:noWrap/>
          </w:tcPr>
          <w:p w:rsidRPr="002070C7" w:rsidR="00A5057C" w:rsidP="006F6C94" w:rsidRDefault="00A5057C" w14:paraId="03C04996" w14:textId="77777777">
            <w:pPr>
              <w:jc w:val="right"/>
              <w:rPr>
                <w:rFonts w:ascii="Arial" w:hAnsi="Arial" w:eastAsia="Times New Roman" w:cs="Arial"/>
                <w:sz w:val="20"/>
                <w:szCs w:val="20"/>
                <w:lang w:eastAsia="en-GB"/>
              </w:rPr>
            </w:pPr>
          </w:p>
        </w:tc>
      </w:tr>
      <w:tr w:rsidRPr="002070C7" w:rsidR="00A5057C" w:rsidTr="006F6C94" w14:paraId="17758479" w14:textId="77777777">
        <w:trPr>
          <w:trHeight w:val="300"/>
        </w:trPr>
        <w:tc>
          <w:tcPr>
            <w:tcW w:w="6804" w:type="dxa"/>
            <w:tcBorders>
              <w:left w:val="nil"/>
              <w:right w:val="nil"/>
            </w:tcBorders>
            <w:noWrap/>
          </w:tcPr>
          <w:p w:rsidRPr="002070C7" w:rsidR="00A5057C" w:rsidP="006F6C94" w:rsidRDefault="00A5057C" w14:paraId="0DCDAE0C" w14:textId="77777777">
            <w:pPr>
              <w:ind w:firstLine="200" w:firstLineChars="100"/>
              <w:rPr>
                <w:rFonts w:ascii="Arial" w:hAnsi="Arial" w:eastAsia="Times New Roman" w:cs="Arial"/>
                <w:sz w:val="20"/>
                <w:szCs w:val="20"/>
              </w:rPr>
            </w:pPr>
            <w:r w:rsidRPr="002070C7">
              <w:rPr>
                <w:rFonts w:ascii="Arial" w:hAnsi="Arial"/>
                <w:sz w:val="20"/>
              </w:rPr>
              <w:t xml:space="preserve">x. Tromjesečna prosječna vrijednost međudržavnih obveza </w:t>
            </w:r>
          </w:p>
        </w:tc>
        <w:tc>
          <w:tcPr>
            <w:tcW w:w="2745" w:type="dxa"/>
            <w:tcBorders>
              <w:left w:val="nil"/>
              <w:right w:val="nil"/>
            </w:tcBorders>
            <w:noWrap/>
          </w:tcPr>
          <w:p w:rsidRPr="002070C7" w:rsidR="00A5057C" w:rsidP="006F6C94" w:rsidRDefault="00A5057C" w14:paraId="269AB098" w14:textId="77777777">
            <w:pPr>
              <w:jc w:val="right"/>
              <w:rPr>
                <w:rFonts w:ascii="Arial" w:hAnsi="Arial" w:eastAsia="Times New Roman" w:cs="Arial"/>
                <w:sz w:val="20"/>
                <w:szCs w:val="20"/>
                <w:lang w:eastAsia="en-GB"/>
              </w:rPr>
            </w:pPr>
          </w:p>
        </w:tc>
      </w:tr>
      <w:tr w:rsidRPr="002070C7" w:rsidR="00A5057C" w:rsidTr="006F6C94" w14:paraId="3E1526D4" w14:textId="77777777">
        <w:trPr>
          <w:trHeight w:val="300"/>
        </w:trPr>
        <w:tc>
          <w:tcPr>
            <w:tcW w:w="6804" w:type="dxa"/>
            <w:tcBorders>
              <w:left w:val="nil"/>
              <w:bottom w:val="single" w:color="auto" w:sz="4" w:space="0"/>
              <w:right w:val="nil"/>
            </w:tcBorders>
            <w:noWrap/>
          </w:tcPr>
          <w:p w:rsidRPr="002070C7" w:rsidR="00A5057C" w:rsidP="006F6C94" w:rsidRDefault="00A5057C" w14:paraId="1267D3DA" w14:textId="77777777">
            <w:pPr>
              <w:ind w:firstLine="200" w:firstLineChars="100"/>
              <w:rPr>
                <w:rFonts w:ascii="Arial" w:hAnsi="Arial" w:eastAsia="Times New Roman" w:cs="Arial"/>
                <w:sz w:val="20"/>
                <w:szCs w:val="20"/>
              </w:rPr>
            </w:pPr>
            <w:r w:rsidRPr="002070C7">
              <w:rPr>
                <w:rFonts w:ascii="Arial" w:hAnsi="Arial"/>
                <w:sz w:val="20"/>
              </w:rPr>
              <w:t xml:space="preserve">y. Prosječna mjesečna vrijednost međudržavnih obveza </w:t>
            </w:r>
          </w:p>
        </w:tc>
        <w:tc>
          <w:tcPr>
            <w:tcW w:w="2745" w:type="dxa"/>
            <w:tcBorders>
              <w:left w:val="nil"/>
              <w:bottom w:val="single" w:color="auto" w:sz="4" w:space="0"/>
              <w:right w:val="nil"/>
            </w:tcBorders>
            <w:noWrap/>
          </w:tcPr>
          <w:p w:rsidRPr="002070C7" w:rsidR="00A5057C" w:rsidP="006F6C94" w:rsidRDefault="00A5057C" w14:paraId="34370705" w14:textId="77777777">
            <w:pPr>
              <w:jc w:val="right"/>
              <w:rPr>
                <w:rFonts w:ascii="Arial" w:hAnsi="Arial" w:eastAsia="Times New Roman" w:cs="Arial"/>
                <w:sz w:val="20"/>
                <w:szCs w:val="20"/>
                <w:lang w:eastAsia="en-GB"/>
              </w:rPr>
            </w:pPr>
          </w:p>
        </w:tc>
      </w:tr>
      <w:tr w:rsidRPr="002070C7" w:rsidR="00A5057C" w:rsidTr="006F6C94" w14:paraId="075748C4" w14:textId="77777777">
        <w:trPr>
          <w:trHeight w:val="300"/>
        </w:trPr>
        <w:tc>
          <w:tcPr>
            <w:tcW w:w="6804" w:type="dxa"/>
            <w:tcBorders>
              <w:left w:val="nil"/>
              <w:bottom w:val="nil"/>
              <w:right w:val="nil"/>
            </w:tcBorders>
            <w:noWrap/>
          </w:tcPr>
          <w:p w:rsidRPr="002070C7" w:rsidR="00A5057C" w:rsidP="006F6C94" w:rsidRDefault="00A5057C" w14:paraId="4C7F6EF4"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2070C7" w:rsidR="00A5057C" w:rsidP="006F6C94" w:rsidRDefault="00A5057C" w14:paraId="4FD05B9C" w14:textId="77777777">
            <w:pPr>
              <w:jc w:val="right"/>
              <w:rPr>
                <w:rFonts w:ascii="Arial" w:hAnsi="Arial" w:eastAsia="Times New Roman" w:cs="Arial"/>
                <w:sz w:val="20"/>
                <w:szCs w:val="20"/>
                <w:lang w:eastAsia="en-GB"/>
              </w:rPr>
            </w:pPr>
          </w:p>
        </w:tc>
      </w:tr>
      <w:tr w:rsidRPr="002070C7" w:rsidR="00A5057C" w:rsidTr="006F6C94" w14:paraId="464DE122" w14:textId="77777777">
        <w:trPr>
          <w:trHeight w:val="300"/>
        </w:trPr>
        <w:tc>
          <w:tcPr>
            <w:tcW w:w="6804" w:type="dxa"/>
            <w:tcBorders>
              <w:top w:val="nil"/>
              <w:left w:val="nil"/>
              <w:right w:val="nil"/>
            </w:tcBorders>
            <w:noWrap/>
          </w:tcPr>
          <w:p w:rsidRPr="002070C7" w:rsidR="00A5057C" w:rsidP="006F6C94" w:rsidRDefault="00A5057C" w14:paraId="3A8F398E" w14:textId="77777777">
            <w:pPr>
              <w:rPr>
                <w:rFonts w:ascii="Arial" w:hAnsi="Arial" w:eastAsia="Times New Roman" w:cs="Arial"/>
                <w:sz w:val="20"/>
                <w:szCs w:val="20"/>
              </w:rPr>
            </w:pPr>
            <w:r w:rsidRPr="002070C7">
              <w:rPr>
                <w:rFonts w:ascii="Arial" w:hAnsi="Arial"/>
                <w:b/>
                <w:sz w:val="20"/>
              </w:rPr>
              <w:t>Odjeljak 22. – Pokazatelji dodatnih podataka</w:t>
            </w:r>
          </w:p>
        </w:tc>
        <w:tc>
          <w:tcPr>
            <w:tcW w:w="2745" w:type="dxa"/>
            <w:tcBorders>
              <w:top w:val="nil"/>
              <w:left w:val="nil"/>
              <w:right w:val="nil"/>
            </w:tcBorders>
            <w:noWrap/>
          </w:tcPr>
          <w:p w:rsidRPr="002070C7" w:rsidR="00A5057C" w:rsidP="006F6C94" w:rsidRDefault="00A5057C" w14:paraId="239FD8D3" w14:textId="77777777">
            <w:pPr>
              <w:jc w:val="right"/>
              <w:rPr>
                <w:rFonts w:ascii="Arial" w:hAnsi="Arial" w:eastAsia="Times New Roman" w:cs="Arial"/>
                <w:sz w:val="20"/>
                <w:szCs w:val="20"/>
                <w:lang w:eastAsia="en-GB"/>
              </w:rPr>
            </w:pPr>
          </w:p>
        </w:tc>
      </w:tr>
      <w:tr w:rsidRPr="002070C7" w:rsidR="00A5057C" w:rsidTr="006F6C94" w14:paraId="1553247F" w14:textId="77777777">
        <w:trPr>
          <w:trHeight w:val="300"/>
        </w:trPr>
        <w:tc>
          <w:tcPr>
            <w:tcW w:w="6804" w:type="dxa"/>
            <w:tcBorders>
              <w:left w:val="nil"/>
              <w:right w:val="nil"/>
            </w:tcBorders>
            <w:noWrap/>
          </w:tcPr>
          <w:p w:rsidRPr="002070C7" w:rsidR="00A5057C" w:rsidP="006F6C94" w:rsidRDefault="00A5057C" w14:paraId="34C29DF5" w14:textId="77777777">
            <w:pPr>
              <w:ind w:firstLine="200" w:firstLineChars="100"/>
              <w:rPr>
                <w:rFonts w:ascii="Arial" w:hAnsi="Arial" w:eastAsia="Times New Roman" w:cs="Arial"/>
                <w:sz w:val="20"/>
                <w:szCs w:val="20"/>
              </w:rPr>
            </w:pPr>
            <w:r w:rsidRPr="002070C7">
              <w:rPr>
                <w:rFonts w:ascii="Arial" w:hAnsi="Arial"/>
                <w:sz w:val="20"/>
              </w:rPr>
              <w:t>a. Inozemni neto prihodi (pri čemu se SRM promatra kao jedna država)</w:t>
            </w:r>
          </w:p>
        </w:tc>
        <w:tc>
          <w:tcPr>
            <w:tcW w:w="2745" w:type="dxa"/>
            <w:tcBorders>
              <w:left w:val="nil"/>
              <w:right w:val="nil"/>
            </w:tcBorders>
            <w:noWrap/>
          </w:tcPr>
          <w:p w:rsidRPr="002070C7" w:rsidR="00A5057C" w:rsidP="006F6C94" w:rsidRDefault="00A5057C" w14:paraId="29329A38" w14:textId="77777777">
            <w:pPr>
              <w:jc w:val="right"/>
              <w:rPr>
                <w:rFonts w:ascii="Arial" w:hAnsi="Arial" w:eastAsia="Times New Roman" w:cs="Arial"/>
                <w:sz w:val="20"/>
                <w:szCs w:val="20"/>
                <w:lang w:eastAsia="en-GB"/>
              </w:rPr>
            </w:pPr>
          </w:p>
        </w:tc>
      </w:tr>
      <w:tr w:rsidRPr="002070C7" w:rsidR="00A5057C" w:rsidTr="006F6C94" w14:paraId="26AE04E3" w14:textId="77777777">
        <w:trPr>
          <w:trHeight w:val="300"/>
        </w:trPr>
        <w:tc>
          <w:tcPr>
            <w:tcW w:w="6804" w:type="dxa"/>
            <w:tcBorders>
              <w:left w:val="nil"/>
              <w:bottom w:val="single" w:color="auto" w:sz="4" w:space="0"/>
              <w:right w:val="nil"/>
            </w:tcBorders>
            <w:noWrap/>
          </w:tcPr>
          <w:p w:rsidRPr="002070C7" w:rsidR="00A5057C" w:rsidP="006F6C94" w:rsidRDefault="00A5057C" w14:paraId="31ABE0EC" w14:textId="77777777">
            <w:pPr>
              <w:ind w:firstLine="200" w:firstLineChars="100"/>
              <w:rPr>
                <w:rFonts w:ascii="Arial" w:hAnsi="Arial" w:eastAsia="Times New Roman" w:cs="Arial"/>
                <w:sz w:val="20"/>
                <w:szCs w:val="20"/>
              </w:rPr>
            </w:pPr>
            <w:r w:rsidRPr="002070C7">
              <w:rPr>
                <w:rFonts w:ascii="Arial" w:hAnsi="Arial"/>
                <w:sz w:val="20"/>
              </w:rPr>
              <w:t>b. Broj država (pri čemu se SRM promatra kao jedna država)</w:t>
            </w:r>
          </w:p>
        </w:tc>
        <w:tc>
          <w:tcPr>
            <w:tcW w:w="2745" w:type="dxa"/>
            <w:tcBorders>
              <w:left w:val="nil"/>
              <w:right w:val="nil"/>
            </w:tcBorders>
            <w:noWrap/>
          </w:tcPr>
          <w:p w:rsidRPr="002070C7" w:rsidR="00A5057C" w:rsidP="006F6C94" w:rsidRDefault="00A5057C" w14:paraId="29E08DD6" w14:textId="77777777">
            <w:pPr>
              <w:jc w:val="right"/>
              <w:rPr>
                <w:rFonts w:ascii="Arial" w:hAnsi="Arial" w:eastAsia="Times New Roman" w:cs="Arial"/>
                <w:sz w:val="20"/>
                <w:szCs w:val="20"/>
                <w:lang w:eastAsia="en-GB"/>
              </w:rPr>
            </w:pPr>
          </w:p>
        </w:tc>
      </w:tr>
      <w:tr w:rsidRPr="002070C7" w:rsidR="00A5057C" w:rsidTr="006F6C94" w14:paraId="53DED4E4" w14:textId="77777777">
        <w:trPr>
          <w:trHeight w:val="300"/>
        </w:trPr>
        <w:tc>
          <w:tcPr>
            <w:tcW w:w="6804" w:type="dxa"/>
            <w:tcBorders>
              <w:left w:val="nil"/>
              <w:bottom w:val="nil"/>
              <w:right w:val="nil"/>
            </w:tcBorders>
            <w:noWrap/>
          </w:tcPr>
          <w:p w:rsidRPr="002070C7" w:rsidR="00A5057C" w:rsidP="006F6C94" w:rsidRDefault="00A5057C" w14:paraId="7CFE5081"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2070C7" w:rsidR="00A5057C" w:rsidP="006F6C94" w:rsidRDefault="00A5057C" w14:paraId="43634F1D" w14:textId="77777777">
            <w:pPr>
              <w:jc w:val="right"/>
              <w:rPr>
                <w:rFonts w:ascii="Arial" w:hAnsi="Arial" w:eastAsia="Times New Roman" w:cs="Arial"/>
                <w:sz w:val="20"/>
                <w:szCs w:val="20"/>
                <w:lang w:eastAsia="en-GB"/>
              </w:rPr>
            </w:pPr>
          </w:p>
        </w:tc>
      </w:tr>
      <w:tr w:rsidRPr="002070C7" w:rsidR="00A5057C" w:rsidTr="006F6C94" w14:paraId="5545C9DE" w14:textId="77777777">
        <w:trPr>
          <w:trHeight w:val="300"/>
        </w:trPr>
        <w:tc>
          <w:tcPr>
            <w:tcW w:w="6804" w:type="dxa"/>
            <w:tcBorders>
              <w:top w:val="nil"/>
              <w:left w:val="nil"/>
              <w:bottom w:val="nil"/>
              <w:right w:val="nil"/>
            </w:tcBorders>
            <w:noWrap/>
          </w:tcPr>
          <w:p w:rsidRPr="002070C7" w:rsidR="00A5057C" w:rsidP="006F6C94" w:rsidRDefault="00A5057C" w14:paraId="269A0200" w14:textId="77777777">
            <w:pPr>
              <w:ind w:firstLine="221" w:firstLineChars="100"/>
              <w:rPr>
                <w:rFonts w:ascii="Arial" w:hAnsi="Arial" w:eastAsia="Times New Roman" w:cs="Arial"/>
                <w:sz w:val="20"/>
                <w:szCs w:val="20"/>
              </w:rPr>
            </w:pPr>
            <w:r w:rsidRPr="002070C7">
              <w:rPr>
                <w:rFonts w:asciiTheme="majorHAnsi" w:hAnsiTheme="majorHAnsi"/>
                <w:b/>
                <w:i/>
                <w:caps/>
              </w:rPr>
              <w:t>Sažetak za provjeru</w:t>
            </w:r>
          </w:p>
        </w:tc>
        <w:tc>
          <w:tcPr>
            <w:tcW w:w="2745" w:type="dxa"/>
            <w:tcBorders>
              <w:top w:val="nil"/>
              <w:left w:val="nil"/>
              <w:bottom w:val="nil"/>
              <w:right w:val="nil"/>
            </w:tcBorders>
            <w:noWrap/>
          </w:tcPr>
          <w:p w:rsidRPr="002070C7" w:rsidR="00A5057C" w:rsidP="006F6C94" w:rsidRDefault="00A5057C" w14:paraId="7D4B854D" w14:textId="77777777">
            <w:pPr>
              <w:jc w:val="right"/>
              <w:rPr>
                <w:rFonts w:ascii="Arial" w:hAnsi="Arial" w:eastAsia="Times New Roman" w:cs="Arial"/>
                <w:sz w:val="20"/>
                <w:szCs w:val="20"/>
                <w:lang w:eastAsia="en-GB"/>
              </w:rPr>
            </w:pPr>
          </w:p>
        </w:tc>
      </w:tr>
      <w:tr w:rsidRPr="002070C7" w:rsidR="00A5057C" w:rsidTr="006F6C94" w14:paraId="5C004CCA" w14:textId="77777777">
        <w:trPr>
          <w:trHeight w:val="300"/>
        </w:trPr>
        <w:tc>
          <w:tcPr>
            <w:tcW w:w="6804" w:type="dxa"/>
            <w:tcBorders>
              <w:top w:val="nil"/>
              <w:left w:val="nil"/>
              <w:bottom w:val="single" w:color="auto" w:sz="4" w:space="0"/>
              <w:right w:val="nil"/>
            </w:tcBorders>
            <w:noWrap/>
          </w:tcPr>
          <w:p w:rsidRPr="002070C7" w:rsidR="00A5057C" w:rsidP="006F6C94" w:rsidRDefault="00A5057C" w14:paraId="715E1CE4"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2070C7" w:rsidR="00A5057C" w:rsidP="006F6C94" w:rsidRDefault="00A5057C" w14:paraId="42874F76" w14:textId="77777777">
            <w:pPr>
              <w:jc w:val="right"/>
              <w:rPr>
                <w:rFonts w:ascii="Arial" w:hAnsi="Arial" w:eastAsia="Times New Roman" w:cs="Arial"/>
                <w:sz w:val="20"/>
                <w:szCs w:val="20"/>
                <w:lang w:eastAsia="en-GB"/>
              </w:rPr>
            </w:pPr>
          </w:p>
        </w:tc>
      </w:tr>
      <w:tr w:rsidRPr="002070C7" w:rsidR="00A5057C" w:rsidTr="006F6C94" w14:paraId="72FA3C5D" w14:textId="77777777">
        <w:trPr>
          <w:trHeight w:val="300"/>
        </w:trPr>
        <w:tc>
          <w:tcPr>
            <w:tcW w:w="6804" w:type="dxa"/>
            <w:tcBorders>
              <w:left w:val="nil"/>
              <w:bottom w:val="single" w:color="auto" w:sz="4" w:space="0"/>
              <w:right w:val="nil"/>
            </w:tcBorders>
            <w:noWrap/>
          </w:tcPr>
          <w:p w:rsidRPr="002070C7" w:rsidR="00A5057C" w:rsidP="006F6C94" w:rsidRDefault="00A5057C" w14:paraId="128EC2F1" w14:textId="77777777">
            <w:pPr>
              <w:rPr>
                <w:rFonts w:ascii="Arial" w:hAnsi="Arial" w:eastAsia="Times New Roman" w:cs="Arial"/>
                <w:sz w:val="20"/>
                <w:szCs w:val="20"/>
              </w:rPr>
            </w:pPr>
            <w:r w:rsidRPr="002070C7">
              <w:rPr>
                <w:b/>
              </w:rPr>
              <w:t>Odjeljak 23. – Vrijednosti pokazatelja (revidirana metodologija)</w:t>
            </w:r>
          </w:p>
        </w:tc>
        <w:tc>
          <w:tcPr>
            <w:tcW w:w="2745" w:type="dxa"/>
            <w:tcBorders>
              <w:left w:val="nil"/>
              <w:right w:val="nil"/>
            </w:tcBorders>
            <w:noWrap/>
          </w:tcPr>
          <w:p w:rsidRPr="002070C7" w:rsidR="00A5057C" w:rsidP="006F6C94" w:rsidRDefault="00A5057C" w14:paraId="09D95E10" w14:textId="77777777">
            <w:pPr>
              <w:jc w:val="center"/>
              <w:rPr>
                <w:rFonts w:ascii="Arial" w:hAnsi="Arial" w:eastAsia="Times New Roman" w:cs="Arial"/>
                <w:sz w:val="20"/>
                <w:szCs w:val="20"/>
              </w:rPr>
            </w:pPr>
            <w:r w:rsidRPr="002070C7">
              <w:rPr>
                <w:b/>
              </w:rPr>
              <w:t>Vrijednost pokazatelja u valuti izvješćivanja</w:t>
            </w:r>
          </w:p>
        </w:tc>
      </w:tr>
      <w:tr w:rsidRPr="002070C7" w:rsidR="00A5057C" w:rsidTr="006F6C94" w14:paraId="37E2F002" w14:textId="77777777">
        <w:trPr>
          <w:trHeight w:val="300"/>
        </w:trPr>
        <w:tc>
          <w:tcPr>
            <w:tcW w:w="6804" w:type="dxa"/>
            <w:tcBorders>
              <w:left w:val="nil"/>
              <w:bottom w:val="single" w:color="auto" w:sz="4" w:space="0"/>
              <w:right w:val="nil"/>
            </w:tcBorders>
            <w:noWrap/>
          </w:tcPr>
          <w:p w:rsidRPr="002070C7" w:rsidR="00A5057C" w:rsidP="006F6C94" w:rsidRDefault="00A5057C" w14:paraId="04EAB09A" w14:textId="77777777">
            <w:pPr>
              <w:ind w:left="171" w:firstLine="48" w:firstLineChars="22"/>
              <w:rPr>
                <w:rFonts w:ascii="Arial" w:hAnsi="Arial" w:eastAsia="Times New Roman" w:cs="Arial"/>
                <w:sz w:val="20"/>
                <w:szCs w:val="20"/>
              </w:rPr>
            </w:pPr>
            <w:r w:rsidRPr="002070C7">
              <w:t>a. Odjeljak 2. – Pokazatelj ukupnih izloženosti, uključujući društva kćeri za osiguranje</w:t>
            </w:r>
          </w:p>
        </w:tc>
        <w:tc>
          <w:tcPr>
            <w:tcW w:w="2745" w:type="dxa"/>
            <w:tcBorders>
              <w:left w:val="nil"/>
              <w:right w:val="nil"/>
            </w:tcBorders>
            <w:noWrap/>
          </w:tcPr>
          <w:p w:rsidRPr="002070C7" w:rsidR="00A5057C" w:rsidP="006F6C94" w:rsidRDefault="00A5057C" w14:paraId="3A85BE51" w14:textId="77777777">
            <w:pPr>
              <w:jc w:val="right"/>
              <w:rPr>
                <w:rFonts w:ascii="Arial" w:hAnsi="Arial" w:eastAsia="Times New Roman" w:cs="Arial"/>
                <w:sz w:val="20"/>
                <w:szCs w:val="20"/>
                <w:lang w:eastAsia="en-GB"/>
              </w:rPr>
            </w:pPr>
          </w:p>
        </w:tc>
      </w:tr>
      <w:tr w:rsidRPr="002070C7" w:rsidR="00A5057C" w:rsidTr="006F6C94" w14:paraId="5998E7D1" w14:textId="77777777">
        <w:trPr>
          <w:trHeight w:val="300"/>
        </w:trPr>
        <w:tc>
          <w:tcPr>
            <w:tcW w:w="6804" w:type="dxa"/>
            <w:tcBorders>
              <w:left w:val="nil"/>
              <w:bottom w:val="single" w:color="auto" w:sz="4" w:space="0"/>
              <w:right w:val="nil"/>
            </w:tcBorders>
            <w:noWrap/>
          </w:tcPr>
          <w:p w:rsidRPr="002070C7" w:rsidR="00A5057C" w:rsidP="006F6C94" w:rsidRDefault="00A5057C" w14:paraId="181E5A9D" w14:textId="77777777">
            <w:pPr>
              <w:ind w:left="171" w:firstLine="48" w:firstLineChars="22"/>
              <w:rPr>
                <w:rFonts w:ascii="Arial" w:hAnsi="Arial" w:eastAsia="Times New Roman" w:cs="Arial"/>
                <w:sz w:val="20"/>
                <w:szCs w:val="20"/>
              </w:rPr>
            </w:pPr>
            <w:r w:rsidRPr="002070C7">
              <w:t>b. Odjeljak 3. – Pokazatelj imovine unutar financijskog sustava, uključujući društva kćeri za osiguranje</w:t>
            </w:r>
          </w:p>
        </w:tc>
        <w:tc>
          <w:tcPr>
            <w:tcW w:w="2745" w:type="dxa"/>
            <w:tcBorders>
              <w:left w:val="nil"/>
              <w:right w:val="nil"/>
            </w:tcBorders>
            <w:noWrap/>
          </w:tcPr>
          <w:p w:rsidRPr="002070C7" w:rsidR="00A5057C" w:rsidP="006F6C94" w:rsidRDefault="00A5057C" w14:paraId="5F87035D" w14:textId="77777777">
            <w:pPr>
              <w:jc w:val="right"/>
              <w:rPr>
                <w:rFonts w:ascii="Arial" w:hAnsi="Arial" w:eastAsia="Times New Roman" w:cs="Arial"/>
                <w:sz w:val="20"/>
                <w:szCs w:val="20"/>
                <w:lang w:eastAsia="en-GB"/>
              </w:rPr>
            </w:pPr>
          </w:p>
        </w:tc>
      </w:tr>
      <w:tr w:rsidRPr="002070C7" w:rsidR="00A5057C" w:rsidTr="006F6C94" w14:paraId="6624B230" w14:textId="77777777">
        <w:trPr>
          <w:trHeight w:val="300"/>
        </w:trPr>
        <w:tc>
          <w:tcPr>
            <w:tcW w:w="6804" w:type="dxa"/>
            <w:tcBorders>
              <w:left w:val="nil"/>
              <w:bottom w:val="single" w:color="auto" w:sz="4" w:space="0"/>
              <w:right w:val="nil"/>
            </w:tcBorders>
            <w:noWrap/>
          </w:tcPr>
          <w:p w:rsidRPr="002070C7" w:rsidR="00A5057C" w:rsidP="006F6C94" w:rsidRDefault="00A5057C" w14:paraId="5A021F61" w14:textId="77777777">
            <w:pPr>
              <w:ind w:left="171" w:firstLine="48" w:firstLineChars="22"/>
              <w:rPr>
                <w:rFonts w:ascii="Arial" w:hAnsi="Arial" w:eastAsia="Times New Roman" w:cs="Arial"/>
                <w:sz w:val="20"/>
                <w:szCs w:val="20"/>
              </w:rPr>
            </w:pPr>
            <w:r w:rsidRPr="002070C7">
              <w:t>c. Odjeljak 4. – Pokazatelj obveza unutar financijskog sustava, uključujući društva kćeri za osiguranje</w:t>
            </w:r>
          </w:p>
        </w:tc>
        <w:tc>
          <w:tcPr>
            <w:tcW w:w="2745" w:type="dxa"/>
            <w:tcBorders>
              <w:left w:val="nil"/>
              <w:right w:val="nil"/>
            </w:tcBorders>
            <w:noWrap/>
          </w:tcPr>
          <w:p w:rsidRPr="002070C7" w:rsidR="00A5057C" w:rsidP="006F6C94" w:rsidRDefault="00A5057C" w14:paraId="1E7AC001" w14:textId="77777777">
            <w:pPr>
              <w:jc w:val="right"/>
              <w:rPr>
                <w:rFonts w:ascii="Arial" w:hAnsi="Arial" w:eastAsia="Times New Roman" w:cs="Arial"/>
                <w:sz w:val="20"/>
                <w:szCs w:val="20"/>
                <w:lang w:eastAsia="en-GB"/>
              </w:rPr>
            </w:pPr>
          </w:p>
        </w:tc>
      </w:tr>
      <w:tr w:rsidRPr="002070C7" w:rsidR="00A5057C" w:rsidTr="006F6C94" w14:paraId="7D2B06B2" w14:textId="77777777">
        <w:trPr>
          <w:trHeight w:val="300"/>
        </w:trPr>
        <w:tc>
          <w:tcPr>
            <w:tcW w:w="6804" w:type="dxa"/>
            <w:tcBorders>
              <w:left w:val="nil"/>
              <w:bottom w:val="single" w:color="auto" w:sz="4" w:space="0"/>
              <w:right w:val="nil"/>
            </w:tcBorders>
            <w:noWrap/>
          </w:tcPr>
          <w:p w:rsidRPr="002070C7" w:rsidR="00A5057C" w:rsidP="006F6C94" w:rsidRDefault="00A5057C" w14:paraId="28D4D4C0" w14:textId="77777777">
            <w:pPr>
              <w:ind w:left="171" w:firstLine="48" w:firstLineChars="22"/>
              <w:rPr>
                <w:rFonts w:ascii="Arial" w:hAnsi="Arial" w:eastAsia="Times New Roman" w:cs="Arial"/>
                <w:sz w:val="20"/>
                <w:szCs w:val="20"/>
              </w:rPr>
            </w:pPr>
            <w:r w:rsidRPr="002070C7">
              <w:t>d. Odjeljak 5. – Pokazatelj vrijednosnih papira u optjecaju, uključujući društva kćeri za osiguranje</w:t>
            </w:r>
          </w:p>
        </w:tc>
        <w:tc>
          <w:tcPr>
            <w:tcW w:w="2745" w:type="dxa"/>
            <w:tcBorders>
              <w:left w:val="nil"/>
              <w:right w:val="nil"/>
            </w:tcBorders>
            <w:noWrap/>
          </w:tcPr>
          <w:p w:rsidRPr="002070C7" w:rsidR="00A5057C" w:rsidP="006F6C94" w:rsidRDefault="00A5057C" w14:paraId="07F28027" w14:textId="77777777">
            <w:pPr>
              <w:jc w:val="right"/>
              <w:rPr>
                <w:rFonts w:ascii="Arial" w:hAnsi="Arial" w:eastAsia="Times New Roman" w:cs="Arial"/>
                <w:sz w:val="20"/>
                <w:szCs w:val="20"/>
                <w:lang w:eastAsia="en-GB"/>
              </w:rPr>
            </w:pPr>
          </w:p>
        </w:tc>
      </w:tr>
      <w:tr w:rsidRPr="002070C7" w:rsidR="00A5057C" w:rsidTr="006F6C94" w14:paraId="646FB083" w14:textId="77777777">
        <w:trPr>
          <w:trHeight w:val="300"/>
        </w:trPr>
        <w:tc>
          <w:tcPr>
            <w:tcW w:w="6804" w:type="dxa"/>
            <w:tcBorders>
              <w:left w:val="nil"/>
              <w:bottom w:val="single" w:color="auto" w:sz="4" w:space="0"/>
              <w:right w:val="nil"/>
            </w:tcBorders>
            <w:noWrap/>
          </w:tcPr>
          <w:p w:rsidRPr="002070C7" w:rsidR="00A5057C" w:rsidP="006F6C94" w:rsidRDefault="00A5057C" w14:paraId="76ACD325" w14:textId="77777777">
            <w:pPr>
              <w:ind w:firstLine="220" w:firstLineChars="100"/>
              <w:rPr>
                <w:rFonts w:ascii="Arial" w:hAnsi="Arial" w:eastAsia="Times New Roman" w:cs="Arial"/>
                <w:sz w:val="20"/>
                <w:szCs w:val="20"/>
              </w:rPr>
            </w:pPr>
            <w:r w:rsidRPr="002070C7">
              <w:t>e. Odjeljak 6. – Pokazatelj platnog prometa</w:t>
            </w:r>
          </w:p>
        </w:tc>
        <w:tc>
          <w:tcPr>
            <w:tcW w:w="2745" w:type="dxa"/>
            <w:tcBorders>
              <w:left w:val="nil"/>
              <w:right w:val="nil"/>
            </w:tcBorders>
            <w:noWrap/>
          </w:tcPr>
          <w:p w:rsidRPr="002070C7" w:rsidR="00A5057C" w:rsidP="006F6C94" w:rsidRDefault="00A5057C" w14:paraId="5F2D35A4" w14:textId="77777777">
            <w:pPr>
              <w:jc w:val="right"/>
              <w:rPr>
                <w:rFonts w:ascii="Arial" w:hAnsi="Arial" w:eastAsia="Times New Roman" w:cs="Arial"/>
                <w:sz w:val="20"/>
                <w:szCs w:val="20"/>
                <w:lang w:eastAsia="en-GB"/>
              </w:rPr>
            </w:pPr>
          </w:p>
        </w:tc>
      </w:tr>
      <w:tr w:rsidRPr="002070C7" w:rsidR="00A5057C" w:rsidTr="006F6C94" w14:paraId="2F29015E" w14:textId="77777777">
        <w:trPr>
          <w:trHeight w:val="300"/>
        </w:trPr>
        <w:tc>
          <w:tcPr>
            <w:tcW w:w="6804" w:type="dxa"/>
            <w:tcBorders>
              <w:left w:val="nil"/>
              <w:bottom w:val="single" w:color="auto" w:sz="4" w:space="0"/>
              <w:right w:val="nil"/>
            </w:tcBorders>
            <w:noWrap/>
          </w:tcPr>
          <w:p w:rsidRPr="002070C7" w:rsidR="00A5057C" w:rsidP="006F6C94" w:rsidRDefault="00A5057C" w14:paraId="2BD38CEC" w14:textId="77777777">
            <w:pPr>
              <w:ind w:firstLine="220" w:firstLineChars="100"/>
              <w:rPr>
                <w:rFonts w:ascii="Arial" w:hAnsi="Arial" w:eastAsia="Times New Roman" w:cs="Arial"/>
                <w:sz w:val="20"/>
                <w:szCs w:val="20"/>
              </w:rPr>
            </w:pPr>
            <w:r w:rsidRPr="002070C7">
              <w:t>f. Odjeljak 7. – Pokazatelj imovine pod skrbništvom</w:t>
            </w:r>
          </w:p>
        </w:tc>
        <w:tc>
          <w:tcPr>
            <w:tcW w:w="2745" w:type="dxa"/>
            <w:tcBorders>
              <w:left w:val="nil"/>
              <w:right w:val="nil"/>
            </w:tcBorders>
            <w:noWrap/>
          </w:tcPr>
          <w:p w:rsidRPr="002070C7" w:rsidR="00A5057C" w:rsidP="006F6C94" w:rsidRDefault="00A5057C" w14:paraId="6DD212D2" w14:textId="77777777">
            <w:pPr>
              <w:jc w:val="right"/>
              <w:rPr>
                <w:rFonts w:ascii="Arial" w:hAnsi="Arial" w:eastAsia="Times New Roman" w:cs="Arial"/>
                <w:sz w:val="20"/>
                <w:szCs w:val="20"/>
                <w:lang w:eastAsia="en-GB"/>
              </w:rPr>
            </w:pPr>
          </w:p>
        </w:tc>
      </w:tr>
      <w:tr w:rsidRPr="002070C7" w:rsidR="00A5057C" w:rsidTr="006F6C94" w14:paraId="104E0506" w14:textId="77777777">
        <w:trPr>
          <w:trHeight w:val="300"/>
        </w:trPr>
        <w:tc>
          <w:tcPr>
            <w:tcW w:w="6804" w:type="dxa"/>
            <w:tcBorders>
              <w:left w:val="nil"/>
              <w:bottom w:val="single" w:color="auto" w:sz="4" w:space="0"/>
              <w:right w:val="nil"/>
            </w:tcBorders>
            <w:noWrap/>
          </w:tcPr>
          <w:p w:rsidRPr="002070C7" w:rsidR="00A5057C" w:rsidP="006F6C94" w:rsidRDefault="00A5057C" w14:paraId="53264F62" w14:textId="77777777">
            <w:pPr>
              <w:ind w:firstLine="220" w:firstLineChars="100"/>
              <w:rPr>
                <w:rFonts w:ascii="Arial" w:hAnsi="Arial" w:eastAsia="Times New Roman" w:cs="Arial"/>
                <w:sz w:val="20"/>
                <w:szCs w:val="20"/>
              </w:rPr>
            </w:pPr>
            <w:r w:rsidRPr="002070C7">
              <w:t>g. Odjeljak 8. – Pokazatelj usluga provedbe ponude odnosno prodaje</w:t>
            </w:r>
          </w:p>
        </w:tc>
        <w:tc>
          <w:tcPr>
            <w:tcW w:w="2745" w:type="dxa"/>
            <w:tcBorders>
              <w:left w:val="nil"/>
              <w:right w:val="nil"/>
            </w:tcBorders>
            <w:noWrap/>
          </w:tcPr>
          <w:p w:rsidRPr="002070C7" w:rsidR="00A5057C" w:rsidP="006F6C94" w:rsidRDefault="00A5057C" w14:paraId="7FC05371" w14:textId="77777777">
            <w:pPr>
              <w:jc w:val="right"/>
              <w:rPr>
                <w:rFonts w:ascii="Arial" w:hAnsi="Arial" w:eastAsia="Times New Roman" w:cs="Arial"/>
                <w:sz w:val="20"/>
                <w:szCs w:val="20"/>
                <w:lang w:eastAsia="en-GB"/>
              </w:rPr>
            </w:pPr>
          </w:p>
        </w:tc>
      </w:tr>
      <w:tr w:rsidRPr="002070C7" w:rsidR="00A5057C" w:rsidTr="006F6C94" w14:paraId="045FCE21" w14:textId="77777777">
        <w:trPr>
          <w:trHeight w:val="300"/>
        </w:trPr>
        <w:tc>
          <w:tcPr>
            <w:tcW w:w="6804" w:type="dxa"/>
            <w:tcBorders>
              <w:left w:val="nil"/>
              <w:bottom w:val="single" w:color="auto" w:sz="4" w:space="0"/>
              <w:right w:val="nil"/>
            </w:tcBorders>
            <w:noWrap/>
          </w:tcPr>
          <w:p w:rsidRPr="002070C7" w:rsidR="00A5057C" w:rsidP="006F6C94" w:rsidRDefault="00A5057C" w14:paraId="1C236B1C" w14:textId="77777777">
            <w:pPr>
              <w:ind w:firstLine="220" w:firstLineChars="100"/>
              <w:rPr>
                <w:rFonts w:ascii="Arial" w:hAnsi="Arial" w:eastAsia="Times New Roman" w:cs="Arial"/>
                <w:sz w:val="20"/>
                <w:szCs w:val="20"/>
              </w:rPr>
            </w:pPr>
            <w:r w:rsidRPr="002070C7">
              <w:t>h. Odjeljak 9.c – Potpokazatelj volumena trgovanja s fiksnim prinosom</w:t>
            </w:r>
          </w:p>
        </w:tc>
        <w:tc>
          <w:tcPr>
            <w:tcW w:w="2745" w:type="dxa"/>
            <w:tcBorders>
              <w:left w:val="nil"/>
              <w:right w:val="nil"/>
            </w:tcBorders>
            <w:noWrap/>
          </w:tcPr>
          <w:p w:rsidRPr="002070C7" w:rsidR="00A5057C" w:rsidP="006F6C94" w:rsidRDefault="00A5057C" w14:paraId="15D0BFEE" w14:textId="77777777">
            <w:pPr>
              <w:jc w:val="right"/>
              <w:rPr>
                <w:rFonts w:ascii="Arial" w:hAnsi="Arial" w:eastAsia="Times New Roman" w:cs="Arial"/>
                <w:sz w:val="20"/>
                <w:szCs w:val="20"/>
                <w:lang w:eastAsia="en-GB"/>
              </w:rPr>
            </w:pPr>
          </w:p>
        </w:tc>
      </w:tr>
      <w:tr w:rsidRPr="002070C7" w:rsidR="00A5057C" w:rsidTr="006F6C94" w14:paraId="450EA3F9" w14:textId="77777777">
        <w:trPr>
          <w:trHeight w:val="300"/>
        </w:trPr>
        <w:tc>
          <w:tcPr>
            <w:tcW w:w="6804" w:type="dxa"/>
            <w:tcBorders>
              <w:left w:val="nil"/>
              <w:bottom w:val="single" w:color="auto" w:sz="4" w:space="0"/>
              <w:right w:val="nil"/>
            </w:tcBorders>
            <w:noWrap/>
          </w:tcPr>
          <w:p w:rsidRPr="002070C7" w:rsidR="00A5057C" w:rsidP="006F6C94" w:rsidRDefault="00A5057C" w14:paraId="6A737219" w14:textId="77777777">
            <w:pPr>
              <w:ind w:left="171" w:firstLine="77" w:firstLineChars="35"/>
              <w:rPr>
                <w:rFonts w:ascii="Arial" w:hAnsi="Arial" w:eastAsia="Times New Roman" w:cs="Arial"/>
                <w:sz w:val="20"/>
                <w:szCs w:val="20"/>
              </w:rPr>
            </w:pPr>
            <w:r w:rsidRPr="002070C7">
              <w:lastRenderedPageBreak/>
              <w:t>i. Odjeljak 9.f. – Pokazatelj volumena trgovanja – potpokazatelj vlasničkih instrumenata i ostalih vrijednosnih papira</w:t>
            </w:r>
          </w:p>
        </w:tc>
        <w:tc>
          <w:tcPr>
            <w:tcW w:w="2745" w:type="dxa"/>
            <w:tcBorders>
              <w:left w:val="nil"/>
              <w:right w:val="nil"/>
            </w:tcBorders>
            <w:noWrap/>
          </w:tcPr>
          <w:p w:rsidRPr="002070C7" w:rsidR="00A5057C" w:rsidP="006F6C94" w:rsidRDefault="00A5057C" w14:paraId="69ED0611" w14:textId="77777777">
            <w:pPr>
              <w:jc w:val="right"/>
              <w:rPr>
                <w:rFonts w:ascii="Arial" w:hAnsi="Arial" w:eastAsia="Times New Roman" w:cs="Arial"/>
                <w:sz w:val="20"/>
                <w:szCs w:val="20"/>
                <w:lang w:eastAsia="en-GB"/>
              </w:rPr>
            </w:pPr>
          </w:p>
        </w:tc>
      </w:tr>
      <w:tr w:rsidRPr="002070C7" w:rsidR="00A5057C" w:rsidTr="006F6C94" w14:paraId="00E3FADF" w14:textId="77777777">
        <w:trPr>
          <w:trHeight w:val="300"/>
        </w:trPr>
        <w:tc>
          <w:tcPr>
            <w:tcW w:w="6804" w:type="dxa"/>
            <w:tcBorders>
              <w:left w:val="nil"/>
              <w:bottom w:val="single" w:color="auto" w:sz="4" w:space="0"/>
              <w:right w:val="nil"/>
            </w:tcBorders>
            <w:noWrap/>
          </w:tcPr>
          <w:p w:rsidRPr="002070C7" w:rsidR="00A5057C" w:rsidP="006F6C94" w:rsidRDefault="00A5057C" w14:paraId="5DB57394" w14:textId="77777777">
            <w:pPr>
              <w:ind w:left="171" w:firstLine="77" w:firstLineChars="35"/>
              <w:rPr>
                <w:rFonts w:ascii="Arial" w:hAnsi="Arial" w:eastAsia="Times New Roman" w:cs="Arial"/>
                <w:sz w:val="20"/>
                <w:szCs w:val="20"/>
              </w:rPr>
            </w:pPr>
            <w:r w:rsidRPr="002070C7">
              <w:t>j. Odjeljak 10. – Pokazatelj OTC izvedenica, uključujući društva kćeri za osiguranje</w:t>
            </w:r>
          </w:p>
        </w:tc>
        <w:tc>
          <w:tcPr>
            <w:tcW w:w="2745" w:type="dxa"/>
            <w:tcBorders>
              <w:left w:val="nil"/>
              <w:right w:val="nil"/>
            </w:tcBorders>
            <w:noWrap/>
          </w:tcPr>
          <w:p w:rsidRPr="002070C7" w:rsidR="00A5057C" w:rsidP="006F6C94" w:rsidRDefault="00A5057C" w14:paraId="151FD2BB" w14:textId="77777777">
            <w:pPr>
              <w:jc w:val="right"/>
              <w:rPr>
                <w:rFonts w:ascii="Arial" w:hAnsi="Arial" w:eastAsia="Times New Roman" w:cs="Arial"/>
                <w:sz w:val="20"/>
                <w:szCs w:val="20"/>
                <w:lang w:eastAsia="en-GB"/>
              </w:rPr>
            </w:pPr>
          </w:p>
        </w:tc>
      </w:tr>
      <w:tr w:rsidRPr="002070C7" w:rsidR="00A5057C" w:rsidTr="006F6C94" w14:paraId="40DAA900" w14:textId="77777777">
        <w:trPr>
          <w:trHeight w:val="300"/>
        </w:trPr>
        <w:tc>
          <w:tcPr>
            <w:tcW w:w="6804" w:type="dxa"/>
            <w:tcBorders>
              <w:left w:val="nil"/>
              <w:bottom w:val="single" w:color="auto" w:sz="4" w:space="0"/>
              <w:right w:val="nil"/>
            </w:tcBorders>
            <w:noWrap/>
          </w:tcPr>
          <w:p w:rsidRPr="002070C7" w:rsidR="00A5057C" w:rsidP="006F6C94" w:rsidRDefault="00A5057C" w14:paraId="451BF38F" w14:textId="77777777">
            <w:pPr>
              <w:ind w:firstLine="220" w:firstLineChars="100"/>
              <w:rPr>
                <w:rFonts w:ascii="Arial" w:hAnsi="Arial" w:eastAsia="Times New Roman" w:cs="Arial"/>
                <w:sz w:val="20"/>
                <w:szCs w:val="20"/>
              </w:rPr>
            </w:pPr>
            <w:r w:rsidRPr="002070C7">
              <w:t>k. Odjeljak 11. – Pokazatelj vrijednosnih papira namijenjenih trgovanju i raspoloživih za prodaju</w:t>
            </w:r>
          </w:p>
        </w:tc>
        <w:tc>
          <w:tcPr>
            <w:tcW w:w="2745" w:type="dxa"/>
            <w:tcBorders>
              <w:left w:val="nil"/>
              <w:right w:val="nil"/>
            </w:tcBorders>
            <w:noWrap/>
          </w:tcPr>
          <w:p w:rsidRPr="002070C7" w:rsidR="00A5057C" w:rsidP="006F6C94" w:rsidRDefault="00A5057C" w14:paraId="5C5B97C8" w14:textId="77777777">
            <w:pPr>
              <w:jc w:val="right"/>
              <w:rPr>
                <w:rFonts w:ascii="Arial" w:hAnsi="Arial" w:eastAsia="Times New Roman" w:cs="Arial"/>
                <w:sz w:val="20"/>
                <w:szCs w:val="20"/>
                <w:lang w:eastAsia="en-GB"/>
              </w:rPr>
            </w:pPr>
          </w:p>
        </w:tc>
      </w:tr>
      <w:tr w:rsidRPr="002070C7" w:rsidR="00A5057C" w:rsidTr="006F6C94" w14:paraId="1FC80AEB" w14:textId="77777777">
        <w:trPr>
          <w:trHeight w:val="300"/>
        </w:trPr>
        <w:tc>
          <w:tcPr>
            <w:tcW w:w="6804" w:type="dxa"/>
            <w:tcBorders>
              <w:left w:val="nil"/>
              <w:bottom w:val="single" w:color="auto" w:sz="4" w:space="0"/>
              <w:right w:val="nil"/>
            </w:tcBorders>
            <w:noWrap/>
          </w:tcPr>
          <w:p w:rsidRPr="002070C7" w:rsidR="00A5057C" w:rsidP="006F6C94" w:rsidRDefault="00A5057C" w14:paraId="1F923A92" w14:textId="77777777">
            <w:pPr>
              <w:ind w:firstLine="220" w:firstLineChars="100"/>
              <w:rPr>
                <w:rFonts w:ascii="Arial" w:hAnsi="Arial" w:eastAsia="Times New Roman" w:cs="Arial"/>
                <w:sz w:val="20"/>
                <w:szCs w:val="20"/>
              </w:rPr>
            </w:pPr>
            <w:r w:rsidRPr="002070C7">
              <w:t>l. Odjeljak 12. – Imovina razine 3, uključujući društva kćeri za osiguranje</w:t>
            </w:r>
          </w:p>
        </w:tc>
        <w:tc>
          <w:tcPr>
            <w:tcW w:w="2745" w:type="dxa"/>
            <w:tcBorders>
              <w:left w:val="nil"/>
              <w:right w:val="nil"/>
            </w:tcBorders>
            <w:noWrap/>
          </w:tcPr>
          <w:p w:rsidRPr="002070C7" w:rsidR="00A5057C" w:rsidP="006F6C94" w:rsidRDefault="00A5057C" w14:paraId="47DDB726" w14:textId="77777777">
            <w:pPr>
              <w:jc w:val="right"/>
              <w:rPr>
                <w:rFonts w:ascii="Arial" w:hAnsi="Arial" w:eastAsia="Times New Roman" w:cs="Arial"/>
                <w:sz w:val="20"/>
                <w:szCs w:val="20"/>
                <w:lang w:eastAsia="en-GB"/>
              </w:rPr>
            </w:pPr>
          </w:p>
        </w:tc>
      </w:tr>
      <w:tr w:rsidRPr="002070C7" w:rsidR="00A5057C" w:rsidTr="006F6C94" w14:paraId="2C432062" w14:textId="77777777">
        <w:trPr>
          <w:trHeight w:val="300"/>
        </w:trPr>
        <w:tc>
          <w:tcPr>
            <w:tcW w:w="6804" w:type="dxa"/>
            <w:tcBorders>
              <w:left w:val="nil"/>
              <w:bottom w:val="single" w:color="auto" w:sz="4" w:space="0"/>
              <w:right w:val="nil"/>
            </w:tcBorders>
            <w:noWrap/>
          </w:tcPr>
          <w:p w:rsidRPr="002070C7" w:rsidR="00A5057C" w:rsidP="006F6C94" w:rsidRDefault="00A5057C" w14:paraId="5857923E" w14:textId="77777777">
            <w:pPr>
              <w:ind w:firstLine="220" w:firstLineChars="100"/>
              <w:rPr>
                <w:rFonts w:ascii="Arial" w:hAnsi="Arial" w:eastAsia="Times New Roman" w:cs="Arial"/>
                <w:sz w:val="20"/>
                <w:szCs w:val="20"/>
              </w:rPr>
            </w:pPr>
            <w:r w:rsidRPr="002070C7">
              <w:t>m. Odjeljak 13. – Pokazatelj međudržavnih potraživanja</w:t>
            </w:r>
          </w:p>
        </w:tc>
        <w:tc>
          <w:tcPr>
            <w:tcW w:w="2745" w:type="dxa"/>
            <w:tcBorders>
              <w:left w:val="nil"/>
              <w:right w:val="nil"/>
            </w:tcBorders>
            <w:noWrap/>
          </w:tcPr>
          <w:p w:rsidRPr="002070C7" w:rsidR="00A5057C" w:rsidP="006F6C94" w:rsidRDefault="00A5057C" w14:paraId="32922932" w14:textId="77777777">
            <w:pPr>
              <w:jc w:val="right"/>
              <w:rPr>
                <w:rFonts w:ascii="Arial" w:hAnsi="Arial" w:eastAsia="Times New Roman" w:cs="Arial"/>
                <w:sz w:val="20"/>
                <w:szCs w:val="20"/>
                <w:lang w:eastAsia="en-GB"/>
              </w:rPr>
            </w:pPr>
          </w:p>
        </w:tc>
      </w:tr>
      <w:tr w:rsidRPr="002070C7" w:rsidR="00A5057C" w:rsidTr="006F6C94" w14:paraId="2319872A" w14:textId="77777777">
        <w:trPr>
          <w:trHeight w:val="300"/>
        </w:trPr>
        <w:tc>
          <w:tcPr>
            <w:tcW w:w="6804" w:type="dxa"/>
            <w:tcBorders>
              <w:left w:val="nil"/>
              <w:bottom w:val="single" w:color="auto" w:sz="4" w:space="0"/>
              <w:right w:val="nil"/>
            </w:tcBorders>
            <w:noWrap/>
          </w:tcPr>
          <w:p w:rsidRPr="002070C7" w:rsidR="00A5057C" w:rsidP="006F6C94" w:rsidRDefault="00A5057C" w14:paraId="263E1271" w14:textId="77777777">
            <w:pPr>
              <w:ind w:firstLine="220" w:firstLineChars="100"/>
              <w:rPr>
                <w:rFonts w:ascii="Arial" w:hAnsi="Arial" w:eastAsia="Times New Roman" w:cs="Arial"/>
                <w:sz w:val="20"/>
                <w:szCs w:val="20"/>
              </w:rPr>
            </w:pPr>
            <w:r w:rsidRPr="002070C7">
              <w:t>n. Odjeljak 14. – Pokazatelj međudržavnih obveza</w:t>
            </w:r>
          </w:p>
        </w:tc>
        <w:tc>
          <w:tcPr>
            <w:tcW w:w="2745" w:type="dxa"/>
            <w:tcBorders>
              <w:left w:val="nil"/>
              <w:right w:val="nil"/>
            </w:tcBorders>
            <w:noWrap/>
          </w:tcPr>
          <w:p w:rsidRPr="002070C7" w:rsidR="00A5057C" w:rsidP="006F6C94" w:rsidRDefault="00A5057C" w14:paraId="36562D6D" w14:textId="77777777">
            <w:pPr>
              <w:jc w:val="right"/>
              <w:rPr>
                <w:rFonts w:ascii="Arial" w:hAnsi="Arial" w:eastAsia="Times New Roman" w:cs="Arial"/>
                <w:sz w:val="20"/>
                <w:szCs w:val="20"/>
                <w:lang w:eastAsia="en-GB"/>
              </w:rPr>
            </w:pPr>
          </w:p>
        </w:tc>
      </w:tr>
      <w:tr w:rsidRPr="002070C7" w:rsidR="00A5057C" w:rsidTr="006F6C94" w14:paraId="74831256" w14:textId="77777777">
        <w:trPr>
          <w:trHeight w:val="300"/>
        </w:trPr>
        <w:tc>
          <w:tcPr>
            <w:tcW w:w="6804" w:type="dxa"/>
            <w:tcBorders>
              <w:left w:val="nil"/>
              <w:bottom w:val="single" w:color="auto" w:sz="4" w:space="0"/>
              <w:right w:val="nil"/>
            </w:tcBorders>
            <w:noWrap/>
          </w:tcPr>
          <w:p w:rsidRPr="002070C7" w:rsidR="00A5057C" w:rsidP="006F6C94" w:rsidRDefault="00A5057C" w14:paraId="2563248F" w14:textId="77777777">
            <w:pPr>
              <w:ind w:firstLine="220" w:firstLineChars="100"/>
              <w:rPr>
                <w:rFonts w:ascii="Arial" w:hAnsi="Arial" w:eastAsia="Times New Roman" w:cs="Arial"/>
                <w:sz w:val="20"/>
                <w:szCs w:val="20"/>
              </w:rPr>
            </w:pPr>
            <w:r w:rsidRPr="002070C7">
              <w:t>o. Ostali odjeljci</w:t>
            </w:r>
          </w:p>
        </w:tc>
        <w:tc>
          <w:tcPr>
            <w:tcW w:w="2745" w:type="dxa"/>
            <w:tcBorders>
              <w:left w:val="nil"/>
              <w:right w:val="nil"/>
            </w:tcBorders>
            <w:noWrap/>
          </w:tcPr>
          <w:p w:rsidRPr="002070C7" w:rsidR="00A5057C" w:rsidP="006F6C94" w:rsidRDefault="00A5057C" w14:paraId="677E54AB" w14:textId="77777777">
            <w:pPr>
              <w:jc w:val="right"/>
              <w:rPr>
                <w:rFonts w:ascii="Arial" w:hAnsi="Arial" w:eastAsia="Times New Roman" w:cs="Arial"/>
                <w:sz w:val="20"/>
                <w:szCs w:val="20"/>
                <w:lang w:eastAsia="en-GB"/>
              </w:rPr>
            </w:pPr>
          </w:p>
        </w:tc>
      </w:tr>
      <w:tr w:rsidRPr="002070C7" w:rsidR="00A5057C" w:rsidTr="006F6C94" w14:paraId="4E01584C" w14:textId="77777777">
        <w:trPr>
          <w:trHeight w:val="300"/>
        </w:trPr>
        <w:tc>
          <w:tcPr>
            <w:tcW w:w="6804" w:type="dxa"/>
            <w:tcBorders>
              <w:left w:val="nil"/>
              <w:bottom w:val="single" w:color="auto" w:sz="4" w:space="0"/>
              <w:right w:val="nil"/>
            </w:tcBorders>
            <w:noWrap/>
          </w:tcPr>
          <w:p w:rsidRPr="002070C7" w:rsidR="00A5057C" w:rsidP="006F6C94" w:rsidRDefault="00A5057C" w14:paraId="636374DC" w14:textId="77777777">
            <w:pPr>
              <w:ind w:firstLine="220" w:firstLineChars="100"/>
              <w:rPr>
                <w:rFonts w:ascii="Arial" w:hAnsi="Arial" w:eastAsia="Times New Roman" w:cs="Arial"/>
                <w:sz w:val="20"/>
                <w:szCs w:val="20"/>
              </w:rPr>
            </w:pPr>
            <w:r w:rsidRPr="002070C7">
              <w:t>(1) Stavka 1.a – Opće informacije koje dostavlja nadzorno tijelo</w:t>
            </w:r>
          </w:p>
        </w:tc>
        <w:tc>
          <w:tcPr>
            <w:tcW w:w="2745" w:type="dxa"/>
            <w:tcBorders>
              <w:left w:val="nil"/>
              <w:right w:val="nil"/>
            </w:tcBorders>
            <w:noWrap/>
          </w:tcPr>
          <w:p w:rsidRPr="002070C7" w:rsidR="00A5057C" w:rsidP="006F6C94" w:rsidRDefault="00A5057C" w14:paraId="7987136E" w14:textId="77777777">
            <w:pPr>
              <w:jc w:val="right"/>
              <w:rPr>
                <w:rFonts w:ascii="Arial" w:hAnsi="Arial" w:eastAsia="Times New Roman" w:cs="Arial"/>
                <w:sz w:val="20"/>
                <w:szCs w:val="20"/>
                <w:lang w:eastAsia="en-GB"/>
              </w:rPr>
            </w:pPr>
          </w:p>
        </w:tc>
      </w:tr>
      <w:tr w:rsidRPr="002070C7" w:rsidR="00A5057C" w:rsidTr="006F6C94" w14:paraId="239E61CD" w14:textId="77777777">
        <w:trPr>
          <w:trHeight w:val="300"/>
        </w:trPr>
        <w:tc>
          <w:tcPr>
            <w:tcW w:w="6804" w:type="dxa"/>
            <w:tcBorders>
              <w:left w:val="nil"/>
              <w:bottom w:val="single" w:color="auto" w:sz="4" w:space="0"/>
              <w:right w:val="nil"/>
            </w:tcBorders>
            <w:noWrap/>
          </w:tcPr>
          <w:p w:rsidRPr="002070C7" w:rsidR="00A5057C" w:rsidP="006F6C94" w:rsidRDefault="00A5057C" w14:paraId="24A546D5" w14:textId="77777777">
            <w:pPr>
              <w:ind w:firstLine="220" w:firstLineChars="100"/>
              <w:rPr>
                <w:rFonts w:ascii="Arial" w:hAnsi="Arial" w:eastAsia="Times New Roman" w:cs="Arial"/>
                <w:sz w:val="20"/>
                <w:szCs w:val="20"/>
              </w:rPr>
            </w:pPr>
            <w:r w:rsidRPr="002070C7">
              <w:t>(2) Stavka 1.b – Opće informacije koje dostavlja izvještajna institucija</w:t>
            </w:r>
          </w:p>
        </w:tc>
        <w:tc>
          <w:tcPr>
            <w:tcW w:w="2745" w:type="dxa"/>
            <w:tcBorders>
              <w:left w:val="nil"/>
              <w:right w:val="nil"/>
            </w:tcBorders>
            <w:noWrap/>
          </w:tcPr>
          <w:p w:rsidRPr="002070C7" w:rsidR="00A5057C" w:rsidP="006F6C94" w:rsidRDefault="00A5057C" w14:paraId="739B3071" w14:textId="77777777">
            <w:pPr>
              <w:jc w:val="right"/>
              <w:rPr>
                <w:rFonts w:ascii="Arial" w:hAnsi="Arial" w:eastAsia="Times New Roman" w:cs="Arial"/>
                <w:sz w:val="20"/>
                <w:szCs w:val="20"/>
                <w:lang w:eastAsia="en-GB"/>
              </w:rPr>
            </w:pPr>
          </w:p>
        </w:tc>
      </w:tr>
      <w:tr w:rsidRPr="002070C7" w:rsidR="00A5057C" w:rsidTr="006F6C94" w14:paraId="2FABF0A8" w14:textId="77777777">
        <w:trPr>
          <w:trHeight w:val="300"/>
        </w:trPr>
        <w:tc>
          <w:tcPr>
            <w:tcW w:w="6804" w:type="dxa"/>
            <w:tcBorders>
              <w:left w:val="nil"/>
              <w:bottom w:val="single" w:color="auto" w:sz="4" w:space="0"/>
              <w:right w:val="nil"/>
            </w:tcBorders>
            <w:noWrap/>
          </w:tcPr>
          <w:p w:rsidRPr="002070C7" w:rsidR="00A5057C" w:rsidP="006F6C94" w:rsidRDefault="00A5057C" w14:paraId="0E1ACDF7" w14:textId="77777777">
            <w:pPr>
              <w:ind w:firstLine="220" w:firstLineChars="100"/>
              <w:rPr>
                <w:rFonts w:ascii="Arial" w:hAnsi="Arial" w:eastAsia="Times New Roman" w:cs="Arial"/>
                <w:sz w:val="20"/>
                <w:szCs w:val="20"/>
              </w:rPr>
            </w:pPr>
            <w:r w:rsidRPr="002070C7">
              <w:t>(3) Odjeljak 15. – Pokazatelji dodatnih podataka</w:t>
            </w:r>
          </w:p>
        </w:tc>
        <w:tc>
          <w:tcPr>
            <w:tcW w:w="2745" w:type="dxa"/>
            <w:tcBorders>
              <w:left w:val="nil"/>
              <w:right w:val="nil"/>
            </w:tcBorders>
            <w:noWrap/>
          </w:tcPr>
          <w:p w:rsidRPr="002070C7" w:rsidR="00A5057C" w:rsidP="006F6C94" w:rsidRDefault="00A5057C" w14:paraId="355C4410" w14:textId="77777777">
            <w:pPr>
              <w:jc w:val="right"/>
              <w:rPr>
                <w:rFonts w:ascii="Arial" w:hAnsi="Arial" w:eastAsia="Times New Roman" w:cs="Arial"/>
                <w:sz w:val="20"/>
                <w:szCs w:val="20"/>
                <w:lang w:eastAsia="en-GB"/>
              </w:rPr>
            </w:pPr>
          </w:p>
        </w:tc>
      </w:tr>
      <w:tr w:rsidRPr="002070C7" w:rsidR="00A5057C" w:rsidTr="006F6C94" w14:paraId="3D9BEDD4" w14:textId="77777777">
        <w:trPr>
          <w:trHeight w:val="300"/>
        </w:trPr>
        <w:tc>
          <w:tcPr>
            <w:tcW w:w="6804" w:type="dxa"/>
            <w:tcBorders>
              <w:left w:val="nil"/>
              <w:bottom w:val="single" w:color="auto" w:sz="4" w:space="0"/>
              <w:right w:val="nil"/>
            </w:tcBorders>
            <w:noWrap/>
          </w:tcPr>
          <w:p w:rsidRPr="002070C7" w:rsidR="00A5057C" w:rsidP="006F6C94" w:rsidRDefault="00A5057C" w14:paraId="723C2483" w14:textId="77777777">
            <w:pPr>
              <w:ind w:firstLine="220" w:firstLineChars="100"/>
              <w:rPr>
                <w:rFonts w:ascii="Arial" w:hAnsi="Arial" w:eastAsia="Times New Roman" w:cs="Arial"/>
                <w:sz w:val="20"/>
                <w:szCs w:val="20"/>
              </w:rPr>
            </w:pPr>
            <w:r w:rsidRPr="002070C7">
              <w:t>(4) Odjeljak 16. – Dodatne stavke</w:t>
            </w:r>
          </w:p>
        </w:tc>
        <w:tc>
          <w:tcPr>
            <w:tcW w:w="2745" w:type="dxa"/>
            <w:tcBorders>
              <w:left w:val="nil"/>
              <w:right w:val="nil"/>
            </w:tcBorders>
            <w:noWrap/>
          </w:tcPr>
          <w:p w:rsidRPr="002070C7" w:rsidR="00A5057C" w:rsidP="006F6C94" w:rsidRDefault="00A5057C" w14:paraId="08519A5F" w14:textId="77777777">
            <w:pPr>
              <w:jc w:val="right"/>
              <w:rPr>
                <w:rFonts w:ascii="Arial" w:hAnsi="Arial" w:eastAsia="Times New Roman" w:cs="Arial"/>
                <w:sz w:val="20"/>
                <w:szCs w:val="20"/>
                <w:lang w:eastAsia="en-GB"/>
              </w:rPr>
            </w:pPr>
          </w:p>
        </w:tc>
      </w:tr>
      <w:tr w:rsidRPr="002070C7" w:rsidR="00A5057C" w:rsidTr="006F6C94" w14:paraId="7B66CD93" w14:textId="77777777">
        <w:trPr>
          <w:trHeight w:val="300"/>
        </w:trPr>
        <w:tc>
          <w:tcPr>
            <w:tcW w:w="6804" w:type="dxa"/>
            <w:tcBorders>
              <w:left w:val="nil"/>
              <w:bottom w:val="single" w:color="auto" w:sz="4" w:space="0"/>
              <w:right w:val="nil"/>
            </w:tcBorders>
            <w:noWrap/>
          </w:tcPr>
          <w:p w:rsidRPr="002070C7" w:rsidR="00A5057C" w:rsidP="006F6C94" w:rsidRDefault="00A5057C" w14:paraId="21FFA427" w14:textId="77777777">
            <w:pPr>
              <w:ind w:firstLine="220" w:firstLineChars="100"/>
              <w:rPr>
                <w:rFonts w:ascii="Arial" w:hAnsi="Arial" w:eastAsia="Times New Roman" w:cs="Arial"/>
                <w:sz w:val="20"/>
                <w:szCs w:val="20"/>
              </w:rPr>
            </w:pPr>
            <w:r w:rsidRPr="002070C7">
              <w:t>(5) Odjeljak 17. – Stavke koje se odnose na veličinu</w:t>
            </w:r>
          </w:p>
        </w:tc>
        <w:tc>
          <w:tcPr>
            <w:tcW w:w="2745" w:type="dxa"/>
            <w:tcBorders>
              <w:left w:val="nil"/>
              <w:right w:val="nil"/>
            </w:tcBorders>
            <w:noWrap/>
          </w:tcPr>
          <w:p w:rsidRPr="002070C7" w:rsidR="00A5057C" w:rsidP="006F6C94" w:rsidRDefault="00A5057C" w14:paraId="6749203E" w14:textId="77777777">
            <w:pPr>
              <w:jc w:val="right"/>
              <w:rPr>
                <w:rFonts w:ascii="Arial" w:hAnsi="Arial" w:eastAsia="Times New Roman" w:cs="Arial"/>
                <w:sz w:val="20"/>
                <w:szCs w:val="20"/>
                <w:lang w:eastAsia="en-GB"/>
              </w:rPr>
            </w:pPr>
          </w:p>
        </w:tc>
      </w:tr>
      <w:tr w:rsidRPr="002070C7" w:rsidR="00A5057C" w:rsidTr="006F6C94" w14:paraId="52EC223A" w14:textId="77777777">
        <w:trPr>
          <w:trHeight w:val="300"/>
        </w:trPr>
        <w:tc>
          <w:tcPr>
            <w:tcW w:w="6804" w:type="dxa"/>
            <w:tcBorders>
              <w:left w:val="nil"/>
              <w:bottom w:val="single" w:color="auto" w:sz="4" w:space="0"/>
              <w:right w:val="nil"/>
            </w:tcBorders>
            <w:noWrap/>
          </w:tcPr>
          <w:p w:rsidRPr="002070C7" w:rsidR="00A5057C" w:rsidP="006F6C94" w:rsidRDefault="00A5057C" w14:paraId="31E9858D" w14:textId="77777777">
            <w:pPr>
              <w:ind w:firstLine="220" w:firstLineChars="100"/>
              <w:rPr>
                <w:rFonts w:ascii="Arial" w:hAnsi="Arial" w:eastAsia="Times New Roman" w:cs="Arial"/>
                <w:sz w:val="20"/>
                <w:szCs w:val="20"/>
              </w:rPr>
            </w:pPr>
            <w:r w:rsidRPr="002070C7">
              <w:t>(6) Odjeljak 18. – Stavke koje se odnose na povezanost</w:t>
            </w:r>
          </w:p>
        </w:tc>
        <w:tc>
          <w:tcPr>
            <w:tcW w:w="2745" w:type="dxa"/>
            <w:tcBorders>
              <w:left w:val="nil"/>
              <w:right w:val="nil"/>
            </w:tcBorders>
            <w:noWrap/>
          </w:tcPr>
          <w:p w:rsidRPr="002070C7" w:rsidR="00A5057C" w:rsidP="006F6C94" w:rsidRDefault="00A5057C" w14:paraId="66B54385" w14:textId="77777777">
            <w:pPr>
              <w:jc w:val="right"/>
              <w:rPr>
                <w:rFonts w:ascii="Arial" w:hAnsi="Arial" w:eastAsia="Times New Roman" w:cs="Arial"/>
                <w:sz w:val="20"/>
                <w:szCs w:val="20"/>
                <w:lang w:eastAsia="en-GB"/>
              </w:rPr>
            </w:pPr>
          </w:p>
        </w:tc>
      </w:tr>
      <w:tr w:rsidRPr="002070C7" w:rsidR="00A5057C" w:rsidTr="006F6C94" w14:paraId="0251EFB3" w14:textId="77777777">
        <w:trPr>
          <w:trHeight w:val="300"/>
        </w:trPr>
        <w:tc>
          <w:tcPr>
            <w:tcW w:w="6804" w:type="dxa"/>
            <w:tcBorders>
              <w:left w:val="nil"/>
              <w:bottom w:val="single" w:color="auto" w:sz="4" w:space="0"/>
              <w:right w:val="nil"/>
            </w:tcBorders>
            <w:noWrap/>
          </w:tcPr>
          <w:p w:rsidRPr="002070C7" w:rsidR="00A5057C" w:rsidP="006F6C94" w:rsidRDefault="00A5057C" w14:paraId="47E9EDE7" w14:textId="77777777">
            <w:pPr>
              <w:ind w:firstLine="220" w:firstLineChars="100"/>
              <w:rPr>
                <w:rFonts w:ascii="Arial" w:hAnsi="Arial" w:eastAsia="Times New Roman" w:cs="Arial"/>
                <w:sz w:val="20"/>
                <w:szCs w:val="20"/>
              </w:rPr>
            </w:pPr>
            <w:r w:rsidRPr="002070C7">
              <w:t>(7) Odjeljak 19. – Stavke koje se odnose na zamjenjivost / infrastrukturu financijske institucije Stavke</w:t>
            </w:r>
          </w:p>
        </w:tc>
        <w:tc>
          <w:tcPr>
            <w:tcW w:w="2745" w:type="dxa"/>
            <w:tcBorders>
              <w:left w:val="nil"/>
              <w:right w:val="nil"/>
            </w:tcBorders>
            <w:noWrap/>
          </w:tcPr>
          <w:p w:rsidRPr="002070C7" w:rsidR="00A5057C" w:rsidP="006F6C94" w:rsidRDefault="00A5057C" w14:paraId="745880CB" w14:textId="77777777">
            <w:pPr>
              <w:jc w:val="right"/>
              <w:rPr>
                <w:rFonts w:ascii="Arial" w:hAnsi="Arial" w:eastAsia="Times New Roman" w:cs="Arial"/>
                <w:sz w:val="20"/>
                <w:szCs w:val="20"/>
                <w:lang w:eastAsia="en-GB"/>
              </w:rPr>
            </w:pPr>
          </w:p>
        </w:tc>
      </w:tr>
      <w:tr w:rsidRPr="002070C7" w:rsidR="00A5057C" w:rsidTr="006F6C94" w14:paraId="5293DA61" w14:textId="77777777">
        <w:trPr>
          <w:trHeight w:val="300"/>
        </w:trPr>
        <w:tc>
          <w:tcPr>
            <w:tcW w:w="6804" w:type="dxa"/>
            <w:tcBorders>
              <w:left w:val="nil"/>
              <w:bottom w:val="single" w:color="auto" w:sz="4" w:space="0"/>
              <w:right w:val="nil"/>
            </w:tcBorders>
            <w:noWrap/>
          </w:tcPr>
          <w:p w:rsidRPr="002070C7" w:rsidR="00A5057C" w:rsidP="006F6C94" w:rsidRDefault="00A5057C" w14:paraId="1C65548F" w14:textId="77777777">
            <w:pPr>
              <w:ind w:firstLine="220" w:firstLineChars="100"/>
              <w:rPr>
                <w:rFonts w:ascii="Arial" w:hAnsi="Arial" w:eastAsia="Times New Roman" w:cs="Arial"/>
                <w:sz w:val="20"/>
                <w:szCs w:val="20"/>
              </w:rPr>
            </w:pPr>
            <w:r w:rsidRPr="002070C7">
              <w:t>(8) Odjeljak 20. – Stavke koje se odnose na složenost</w:t>
            </w:r>
          </w:p>
        </w:tc>
        <w:tc>
          <w:tcPr>
            <w:tcW w:w="2745" w:type="dxa"/>
            <w:tcBorders>
              <w:left w:val="nil"/>
              <w:right w:val="nil"/>
            </w:tcBorders>
            <w:noWrap/>
          </w:tcPr>
          <w:p w:rsidRPr="002070C7" w:rsidR="00A5057C" w:rsidP="006F6C94" w:rsidRDefault="00A5057C" w14:paraId="7669C412" w14:textId="77777777">
            <w:pPr>
              <w:jc w:val="right"/>
              <w:rPr>
                <w:rFonts w:ascii="Arial" w:hAnsi="Arial" w:eastAsia="Times New Roman" w:cs="Arial"/>
                <w:sz w:val="20"/>
                <w:szCs w:val="20"/>
                <w:lang w:eastAsia="en-GB"/>
              </w:rPr>
            </w:pPr>
          </w:p>
        </w:tc>
      </w:tr>
      <w:tr w:rsidRPr="002070C7" w:rsidR="00A5057C" w:rsidTr="006F6C94" w14:paraId="524C4FA3" w14:textId="77777777">
        <w:trPr>
          <w:trHeight w:val="300"/>
        </w:trPr>
        <w:tc>
          <w:tcPr>
            <w:tcW w:w="6804" w:type="dxa"/>
            <w:tcBorders>
              <w:left w:val="nil"/>
              <w:bottom w:val="single" w:color="auto" w:sz="4" w:space="0"/>
              <w:right w:val="nil"/>
            </w:tcBorders>
            <w:noWrap/>
          </w:tcPr>
          <w:p w:rsidRPr="002070C7" w:rsidR="00A5057C" w:rsidP="006F6C94" w:rsidRDefault="00A5057C" w14:paraId="0D2D8E30" w14:textId="77777777">
            <w:pPr>
              <w:ind w:firstLine="220" w:firstLineChars="100"/>
              <w:rPr>
                <w:rFonts w:ascii="Arial" w:hAnsi="Arial" w:eastAsia="Times New Roman" w:cs="Arial"/>
                <w:sz w:val="20"/>
                <w:szCs w:val="20"/>
              </w:rPr>
            </w:pPr>
            <w:r w:rsidRPr="002070C7">
              <w:t>(9) Odjeljak 21. – Stavke međudržavnih aktivnosti</w:t>
            </w:r>
          </w:p>
        </w:tc>
        <w:tc>
          <w:tcPr>
            <w:tcW w:w="2745" w:type="dxa"/>
            <w:tcBorders>
              <w:left w:val="nil"/>
              <w:right w:val="nil"/>
            </w:tcBorders>
            <w:noWrap/>
          </w:tcPr>
          <w:p w:rsidRPr="002070C7" w:rsidR="00A5057C" w:rsidP="006F6C94" w:rsidRDefault="00A5057C" w14:paraId="27B47DD6" w14:textId="77777777">
            <w:pPr>
              <w:jc w:val="right"/>
              <w:rPr>
                <w:rFonts w:ascii="Arial" w:hAnsi="Arial" w:eastAsia="Times New Roman" w:cs="Arial"/>
                <w:sz w:val="20"/>
                <w:szCs w:val="20"/>
                <w:lang w:eastAsia="en-GB"/>
              </w:rPr>
            </w:pPr>
          </w:p>
        </w:tc>
      </w:tr>
      <w:tr w:rsidRPr="002070C7" w:rsidR="00A5057C" w:rsidTr="006F6C94" w14:paraId="6CE19D20" w14:textId="77777777">
        <w:trPr>
          <w:trHeight w:val="300"/>
        </w:trPr>
        <w:tc>
          <w:tcPr>
            <w:tcW w:w="6804" w:type="dxa"/>
            <w:tcBorders>
              <w:left w:val="nil"/>
              <w:bottom w:val="single" w:color="auto" w:sz="4" w:space="0"/>
              <w:right w:val="nil"/>
            </w:tcBorders>
            <w:noWrap/>
          </w:tcPr>
          <w:p w:rsidRPr="002070C7" w:rsidR="00A5057C" w:rsidP="006F6C94" w:rsidRDefault="00A5057C" w14:paraId="5497F256" w14:textId="77777777">
            <w:pPr>
              <w:ind w:firstLine="220" w:firstLineChars="100"/>
              <w:rPr>
                <w:rFonts w:ascii="Arial" w:hAnsi="Arial" w:eastAsia="Times New Roman" w:cs="Arial"/>
                <w:sz w:val="20"/>
                <w:szCs w:val="20"/>
              </w:rPr>
            </w:pPr>
            <w:r w:rsidRPr="002070C7">
              <w:t>(10) Odjeljak 22. – Pokazatelji dodatnih podataka</w:t>
            </w:r>
          </w:p>
        </w:tc>
        <w:tc>
          <w:tcPr>
            <w:tcW w:w="2745" w:type="dxa"/>
            <w:tcBorders>
              <w:left w:val="nil"/>
              <w:right w:val="nil"/>
            </w:tcBorders>
            <w:noWrap/>
          </w:tcPr>
          <w:p w:rsidRPr="002070C7" w:rsidR="00A5057C" w:rsidP="006F6C94" w:rsidRDefault="00A5057C" w14:paraId="6438AA14" w14:textId="77777777">
            <w:pPr>
              <w:jc w:val="right"/>
              <w:rPr>
                <w:rFonts w:ascii="Arial" w:hAnsi="Arial" w:eastAsia="Times New Roman" w:cs="Arial"/>
                <w:sz w:val="20"/>
                <w:szCs w:val="20"/>
                <w:lang w:eastAsia="en-GB"/>
              </w:rPr>
            </w:pPr>
          </w:p>
        </w:tc>
      </w:tr>
      <w:tr w:rsidRPr="002070C7" w:rsidR="00A5057C" w:rsidTr="006F6C94" w14:paraId="2C12B079" w14:textId="77777777">
        <w:trPr>
          <w:trHeight w:val="300"/>
        </w:trPr>
        <w:tc>
          <w:tcPr>
            <w:tcW w:w="6804" w:type="dxa"/>
            <w:tcBorders>
              <w:left w:val="nil"/>
              <w:bottom w:val="single" w:color="auto" w:sz="4" w:space="0"/>
              <w:right w:val="nil"/>
            </w:tcBorders>
            <w:noWrap/>
          </w:tcPr>
          <w:p w:rsidRPr="002070C7" w:rsidR="00A5057C" w:rsidP="006F6C94" w:rsidRDefault="00A5057C" w14:paraId="2655C8FE" w14:textId="77777777">
            <w:pPr>
              <w:rPr>
                <w:b/>
                <w:bCs/>
              </w:rPr>
            </w:pPr>
          </w:p>
        </w:tc>
        <w:tc>
          <w:tcPr>
            <w:tcW w:w="2745" w:type="dxa"/>
            <w:tcBorders>
              <w:left w:val="nil"/>
              <w:right w:val="nil"/>
            </w:tcBorders>
            <w:noWrap/>
          </w:tcPr>
          <w:p w:rsidRPr="002070C7" w:rsidR="00A5057C" w:rsidP="006F6C94" w:rsidRDefault="00A5057C" w14:paraId="440C6F32" w14:textId="77777777">
            <w:pPr>
              <w:jc w:val="center"/>
              <w:rPr>
                <w:b/>
                <w:bCs/>
              </w:rPr>
            </w:pPr>
          </w:p>
        </w:tc>
      </w:tr>
      <w:tr w:rsidRPr="002070C7" w:rsidR="00A5057C" w:rsidTr="006F6C94" w14:paraId="36B9396C" w14:textId="77777777">
        <w:trPr>
          <w:trHeight w:val="300"/>
        </w:trPr>
        <w:tc>
          <w:tcPr>
            <w:tcW w:w="6804" w:type="dxa"/>
            <w:tcBorders>
              <w:left w:val="nil"/>
              <w:bottom w:val="single" w:color="auto" w:sz="4" w:space="0"/>
              <w:right w:val="nil"/>
            </w:tcBorders>
            <w:noWrap/>
          </w:tcPr>
          <w:p w:rsidRPr="002070C7" w:rsidR="00A5057C" w:rsidP="006F6C94" w:rsidRDefault="00A5057C" w14:paraId="6408ED98" w14:textId="77777777">
            <w:pPr>
              <w:rPr>
                <w:rFonts w:ascii="Arial" w:hAnsi="Arial" w:eastAsia="Times New Roman" w:cs="Arial"/>
                <w:sz w:val="20"/>
                <w:szCs w:val="20"/>
              </w:rPr>
            </w:pPr>
            <w:r w:rsidRPr="002070C7">
              <w:rPr>
                <w:b/>
              </w:rPr>
              <w:t>Odjeljak 24. – Vrijednosti pokazatelja (stara metodologija)</w:t>
            </w:r>
          </w:p>
        </w:tc>
        <w:tc>
          <w:tcPr>
            <w:tcW w:w="2745" w:type="dxa"/>
            <w:tcBorders>
              <w:left w:val="nil"/>
              <w:right w:val="nil"/>
            </w:tcBorders>
            <w:noWrap/>
          </w:tcPr>
          <w:p w:rsidRPr="002070C7" w:rsidR="00A5057C" w:rsidP="006F6C94" w:rsidRDefault="00A5057C" w14:paraId="458FBFAD" w14:textId="77777777">
            <w:pPr>
              <w:jc w:val="center"/>
              <w:rPr>
                <w:rFonts w:ascii="Arial" w:hAnsi="Arial" w:eastAsia="Times New Roman" w:cs="Arial"/>
                <w:sz w:val="20"/>
                <w:szCs w:val="20"/>
              </w:rPr>
            </w:pPr>
            <w:r w:rsidRPr="002070C7">
              <w:rPr>
                <w:b/>
              </w:rPr>
              <w:t>Vrijednost pokazatelja u valuti izvješćivanja</w:t>
            </w:r>
          </w:p>
        </w:tc>
      </w:tr>
      <w:tr w:rsidRPr="002070C7" w:rsidR="00A5057C" w:rsidTr="006F6C94" w14:paraId="610656B1" w14:textId="77777777">
        <w:trPr>
          <w:trHeight w:val="300"/>
        </w:trPr>
        <w:tc>
          <w:tcPr>
            <w:tcW w:w="6804" w:type="dxa"/>
            <w:tcBorders>
              <w:left w:val="nil"/>
              <w:bottom w:val="single" w:color="auto" w:sz="4" w:space="0"/>
              <w:right w:val="nil"/>
            </w:tcBorders>
            <w:noWrap/>
          </w:tcPr>
          <w:p w:rsidRPr="002070C7" w:rsidR="00A5057C" w:rsidP="006F6C94" w:rsidRDefault="00A5057C" w14:paraId="7ADCBB73" w14:textId="77777777">
            <w:pPr>
              <w:ind w:firstLine="220" w:firstLineChars="100"/>
              <w:rPr>
                <w:rFonts w:ascii="Arial" w:hAnsi="Arial" w:eastAsia="Times New Roman" w:cs="Arial"/>
                <w:sz w:val="20"/>
                <w:szCs w:val="20"/>
              </w:rPr>
            </w:pPr>
            <w:r w:rsidRPr="002070C7">
              <w:t>a. Odjeljak 2. – Pokazatelj ukupnih izloženosti</w:t>
            </w:r>
          </w:p>
        </w:tc>
        <w:tc>
          <w:tcPr>
            <w:tcW w:w="2745" w:type="dxa"/>
            <w:tcBorders>
              <w:left w:val="nil"/>
              <w:right w:val="nil"/>
            </w:tcBorders>
            <w:noWrap/>
          </w:tcPr>
          <w:p w:rsidRPr="002070C7" w:rsidR="00A5057C" w:rsidP="006F6C94" w:rsidRDefault="00A5057C" w14:paraId="0110151B" w14:textId="77777777">
            <w:pPr>
              <w:jc w:val="right"/>
              <w:rPr>
                <w:rFonts w:ascii="Arial" w:hAnsi="Arial" w:eastAsia="Times New Roman" w:cs="Arial"/>
                <w:sz w:val="20"/>
                <w:szCs w:val="20"/>
                <w:lang w:eastAsia="en-GB"/>
              </w:rPr>
            </w:pPr>
          </w:p>
        </w:tc>
      </w:tr>
      <w:tr w:rsidRPr="002070C7" w:rsidR="00A5057C" w:rsidTr="006F6C94" w14:paraId="5A40D749" w14:textId="77777777">
        <w:trPr>
          <w:trHeight w:val="300"/>
        </w:trPr>
        <w:tc>
          <w:tcPr>
            <w:tcW w:w="6804" w:type="dxa"/>
            <w:tcBorders>
              <w:left w:val="nil"/>
              <w:bottom w:val="single" w:color="auto" w:sz="4" w:space="0"/>
              <w:right w:val="nil"/>
            </w:tcBorders>
            <w:noWrap/>
          </w:tcPr>
          <w:p w:rsidRPr="002070C7" w:rsidR="00A5057C" w:rsidP="006F6C94" w:rsidRDefault="00A5057C" w14:paraId="4B38B2BF" w14:textId="77777777">
            <w:pPr>
              <w:ind w:firstLine="220" w:firstLineChars="100"/>
              <w:rPr>
                <w:rFonts w:ascii="Arial" w:hAnsi="Arial" w:eastAsia="Times New Roman" w:cs="Arial"/>
                <w:sz w:val="20"/>
                <w:szCs w:val="20"/>
              </w:rPr>
            </w:pPr>
            <w:r w:rsidRPr="002070C7">
              <w:t>b. Odjeljak 18. – Pokazatelj imovine unutar financijskog sustava</w:t>
            </w:r>
          </w:p>
        </w:tc>
        <w:tc>
          <w:tcPr>
            <w:tcW w:w="2745" w:type="dxa"/>
            <w:tcBorders>
              <w:left w:val="nil"/>
              <w:right w:val="nil"/>
            </w:tcBorders>
            <w:noWrap/>
          </w:tcPr>
          <w:p w:rsidRPr="002070C7" w:rsidR="00A5057C" w:rsidP="006F6C94" w:rsidRDefault="00A5057C" w14:paraId="592E24A6" w14:textId="77777777">
            <w:pPr>
              <w:jc w:val="right"/>
              <w:rPr>
                <w:rFonts w:ascii="Arial" w:hAnsi="Arial" w:eastAsia="Times New Roman" w:cs="Arial"/>
                <w:sz w:val="20"/>
                <w:szCs w:val="20"/>
                <w:lang w:eastAsia="en-GB"/>
              </w:rPr>
            </w:pPr>
          </w:p>
        </w:tc>
      </w:tr>
      <w:tr w:rsidRPr="002070C7" w:rsidR="00A5057C" w:rsidTr="006F6C94" w14:paraId="715B630F" w14:textId="77777777">
        <w:trPr>
          <w:trHeight w:val="300"/>
        </w:trPr>
        <w:tc>
          <w:tcPr>
            <w:tcW w:w="6804" w:type="dxa"/>
            <w:tcBorders>
              <w:left w:val="nil"/>
              <w:bottom w:val="single" w:color="auto" w:sz="4" w:space="0"/>
              <w:right w:val="nil"/>
            </w:tcBorders>
            <w:noWrap/>
          </w:tcPr>
          <w:p w:rsidRPr="002070C7" w:rsidR="00A5057C" w:rsidP="006F6C94" w:rsidRDefault="00A5057C" w14:paraId="048FE357" w14:textId="77777777">
            <w:pPr>
              <w:ind w:firstLine="220" w:firstLineChars="100"/>
              <w:rPr>
                <w:rFonts w:ascii="Arial" w:hAnsi="Arial" w:eastAsia="Times New Roman" w:cs="Arial"/>
                <w:sz w:val="20"/>
                <w:szCs w:val="20"/>
              </w:rPr>
            </w:pPr>
            <w:r w:rsidRPr="002070C7">
              <w:t>c. Odjeljak 18. – Pokazatelj obveza unutar financijskog sustava</w:t>
            </w:r>
          </w:p>
        </w:tc>
        <w:tc>
          <w:tcPr>
            <w:tcW w:w="2745" w:type="dxa"/>
            <w:tcBorders>
              <w:left w:val="nil"/>
              <w:right w:val="nil"/>
            </w:tcBorders>
            <w:noWrap/>
          </w:tcPr>
          <w:p w:rsidRPr="002070C7" w:rsidR="00A5057C" w:rsidP="006F6C94" w:rsidRDefault="00A5057C" w14:paraId="1F112F96" w14:textId="77777777">
            <w:pPr>
              <w:jc w:val="right"/>
              <w:rPr>
                <w:rFonts w:ascii="Arial" w:hAnsi="Arial" w:eastAsia="Times New Roman" w:cs="Arial"/>
                <w:sz w:val="20"/>
                <w:szCs w:val="20"/>
                <w:lang w:eastAsia="en-GB"/>
              </w:rPr>
            </w:pPr>
          </w:p>
        </w:tc>
      </w:tr>
      <w:tr w:rsidRPr="002070C7" w:rsidR="00A5057C" w:rsidTr="006F6C94" w14:paraId="60C4AC92" w14:textId="77777777">
        <w:trPr>
          <w:trHeight w:val="300"/>
        </w:trPr>
        <w:tc>
          <w:tcPr>
            <w:tcW w:w="6804" w:type="dxa"/>
            <w:tcBorders>
              <w:left w:val="nil"/>
              <w:bottom w:val="single" w:color="auto" w:sz="4" w:space="0"/>
              <w:right w:val="nil"/>
            </w:tcBorders>
            <w:noWrap/>
          </w:tcPr>
          <w:p w:rsidRPr="002070C7" w:rsidR="00A5057C" w:rsidP="006F6C94" w:rsidRDefault="00A5057C" w14:paraId="59F420EC" w14:textId="77777777">
            <w:pPr>
              <w:ind w:firstLine="220" w:firstLineChars="100"/>
              <w:rPr>
                <w:rFonts w:ascii="Arial" w:hAnsi="Arial" w:eastAsia="Times New Roman" w:cs="Arial"/>
                <w:sz w:val="20"/>
                <w:szCs w:val="20"/>
              </w:rPr>
            </w:pPr>
            <w:r w:rsidRPr="002070C7">
              <w:t>d. Odjeljak 18. – Pokazatelj vrijednosnih papira u optjecaju</w:t>
            </w:r>
          </w:p>
        </w:tc>
        <w:tc>
          <w:tcPr>
            <w:tcW w:w="2745" w:type="dxa"/>
            <w:tcBorders>
              <w:left w:val="nil"/>
              <w:right w:val="nil"/>
            </w:tcBorders>
            <w:noWrap/>
          </w:tcPr>
          <w:p w:rsidRPr="002070C7" w:rsidR="00A5057C" w:rsidP="006F6C94" w:rsidRDefault="00A5057C" w14:paraId="059FDBEC" w14:textId="77777777">
            <w:pPr>
              <w:jc w:val="right"/>
              <w:rPr>
                <w:rFonts w:ascii="Arial" w:hAnsi="Arial" w:eastAsia="Times New Roman" w:cs="Arial"/>
                <w:sz w:val="20"/>
                <w:szCs w:val="20"/>
                <w:lang w:eastAsia="en-GB"/>
              </w:rPr>
            </w:pPr>
          </w:p>
        </w:tc>
      </w:tr>
      <w:tr w:rsidRPr="002070C7" w:rsidR="00A5057C" w:rsidTr="006F6C94" w14:paraId="0BE03E44" w14:textId="77777777">
        <w:trPr>
          <w:trHeight w:val="300"/>
        </w:trPr>
        <w:tc>
          <w:tcPr>
            <w:tcW w:w="6804" w:type="dxa"/>
            <w:tcBorders>
              <w:left w:val="nil"/>
              <w:bottom w:val="single" w:color="auto" w:sz="4" w:space="0"/>
              <w:right w:val="nil"/>
            </w:tcBorders>
            <w:noWrap/>
          </w:tcPr>
          <w:p w:rsidRPr="002070C7" w:rsidR="00A5057C" w:rsidP="006F6C94" w:rsidRDefault="00A5057C" w14:paraId="741D53F3" w14:textId="77777777">
            <w:pPr>
              <w:ind w:firstLine="220" w:firstLineChars="100"/>
              <w:rPr>
                <w:rFonts w:ascii="Arial" w:hAnsi="Arial" w:eastAsia="Times New Roman" w:cs="Arial"/>
                <w:sz w:val="20"/>
                <w:szCs w:val="20"/>
              </w:rPr>
            </w:pPr>
            <w:r w:rsidRPr="002070C7">
              <w:t>e. Odjeljak 6. – Pokazatelj platnog prometa</w:t>
            </w:r>
          </w:p>
        </w:tc>
        <w:tc>
          <w:tcPr>
            <w:tcW w:w="2745" w:type="dxa"/>
            <w:tcBorders>
              <w:left w:val="nil"/>
              <w:right w:val="nil"/>
            </w:tcBorders>
            <w:noWrap/>
          </w:tcPr>
          <w:p w:rsidRPr="002070C7" w:rsidR="00A5057C" w:rsidP="006F6C94" w:rsidRDefault="00A5057C" w14:paraId="242A753C" w14:textId="77777777">
            <w:pPr>
              <w:jc w:val="right"/>
              <w:rPr>
                <w:rFonts w:ascii="Arial" w:hAnsi="Arial" w:eastAsia="Times New Roman" w:cs="Arial"/>
                <w:sz w:val="20"/>
                <w:szCs w:val="20"/>
                <w:lang w:eastAsia="en-GB"/>
              </w:rPr>
            </w:pPr>
          </w:p>
        </w:tc>
      </w:tr>
      <w:tr w:rsidRPr="002070C7" w:rsidR="00A5057C" w:rsidTr="006F6C94" w14:paraId="0039076A" w14:textId="77777777">
        <w:trPr>
          <w:trHeight w:val="300"/>
        </w:trPr>
        <w:tc>
          <w:tcPr>
            <w:tcW w:w="6804" w:type="dxa"/>
            <w:tcBorders>
              <w:left w:val="nil"/>
              <w:bottom w:val="single" w:color="auto" w:sz="4" w:space="0"/>
              <w:right w:val="nil"/>
            </w:tcBorders>
            <w:noWrap/>
          </w:tcPr>
          <w:p w:rsidRPr="002070C7" w:rsidR="00A5057C" w:rsidP="006F6C94" w:rsidRDefault="00A5057C" w14:paraId="34C16469" w14:textId="77777777">
            <w:pPr>
              <w:ind w:firstLine="220" w:firstLineChars="100"/>
              <w:rPr>
                <w:rFonts w:ascii="Arial" w:hAnsi="Arial" w:eastAsia="Times New Roman" w:cs="Arial"/>
                <w:sz w:val="20"/>
                <w:szCs w:val="20"/>
              </w:rPr>
            </w:pPr>
            <w:r w:rsidRPr="002070C7">
              <w:t>f. Odjeljak 7. – Pokazatelj imovine pod skrbništvom</w:t>
            </w:r>
          </w:p>
        </w:tc>
        <w:tc>
          <w:tcPr>
            <w:tcW w:w="2745" w:type="dxa"/>
            <w:tcBorders>
              <w:left w:val="nil"/>
              <w:right w:val="nil"/>
            </w:tcBorders>
            <w:noWrap/>
          </w:tcPr>
          <w:p w:rsidRPr="002070C7" w:rsidR="00A5057C" w:rsidP="006F6C94" w:rsidRDefault="00A5057C" w14:paraId="7A35E256" w14:textId="77777777">
            <w:pPr>
              <w:jc w:val="right"/>
              <w:rPr>
                <w:rFonts w:ascii="Arial" w:hAnsi="Arial" w:eastAsia="Times New Roman" w:cs="Arial"/>
                <w:sz w:val="20"/>
                <w:szCs w:val="20"/>
                <w:lang w:eastAsia="en-GB"/>
              </w:rPr>
            </w:pPr>
          </w:p>
        </w:tc>
      </w:tr>
      <w:tr w:rsidRPr="002070C7" w:rsidR="00A5057C" w:rsidTr="006F6C94" w14:paraId="50E6F82E" w14:textId="77777777">
        <w:trPr>
          <w:trHeight w:val="300"/>
        </w:trPr>
        <w:tc>
          <w:tcPr>
            <w:tcW w:w="6804" w:type="dxa"/>
            <w:tcBorders>
              <w:left w:val="nil"/>
              <w:bottom w:val="single" w:color="auto" w:sz="4" w:space="0"/>
              <w:right w:val="nil"/>
            </w:tcBorders>
            <w:noWrap/>
          </w:tcPr>
          <w:p w:rsidRPr="002070C7" w:rsidR="00A5057C" w:rsidP="006F6C94" w:rsidRDefault="00A5057C" w14:paraId="26DE1EE3" w14:textId="77777777">
            <w:pPr>
              <w:ind w:firstLine="220" w:firstLineChars="100"/>
              <w:rPr>
                <w:rFonts w:ascii="Arial" w:hAnsi="Arial" w:eastAsia="Times New Roman" w:cs="Arial"/>
                <w:sz w:val="20"/>
                <w:szCs w:val="20"/>
              </w:rPr>
            </w:pPr>
            <w:r w:rsidRPr="002070C7">
              <w:t>g. Odjeljak 8. – Pokazatelj usluga provedbe ponude odnosno prodaje</w:t>
            </w:r>
          </w:p>
        </w:tc>
        <w:tc>
          <w:tcPr>
            <w:tcW w:w="2745" w:type="dxa"/>
            <w:tcBorders>
              <w:left w:val="nil"/>
              <w:right w:val="nil"/>
            </w:tcBorders>
            <w:noWrap/>
          </w:tcPr>
          <w:p w:rsidRPr="002070C7" w:rsidR="00A5057C" w:rsidP="006F6C94" w:rsidRDefault="00A5057C" w14:paraId="3253B8D8" w14:textId="77777777">
            <w:pPr>
              <w:jc w:val="right"/>
              <w:rPr>
                <w:rFonts w:ascii="Arial" w:hAnsi="Arial" w:eastAsia="Times New Roman" w:cs="Arial"/>
                <w:sz w:val="20"/>
                <w:szCs w:val="20"/>
                <w:lang w:eastAsia="en-GB"/>
              </w:rPr>
            </w:pPr>
          </w:p>
        </w:tc>
      </w:tr>
      <w:tr w:rsidRPr="002070C7" w:rsidR="00A5057C" w:rsidTr="006F6C94" w14:paraId="6E8E63DA" w14:textId="77777777">
        <w:trPr>
          <w:trHeight w:val="300"/>
        </w:trPr>
        <w:tc>
          <w:tcPr>
            <w:tcW w:w="6804" w:type="dxa"/>
            <w:tcBorders>
              <w:left w:val="nil"/>
              <w:bottom w:val="single" w:color="auto" w:sz="4" w:space="0"/>
              <w:right w:val="nil"/>
            </w:tcBorders>
            <w:noWrap/>
          </w:tcPr>
          <w:p w:rsidRPr="002070C7" w:rsidR="00A5057C" w:rsidP="006F6C94" w:rsidRDefault="00A5057C" w14:paraId="47CBE204" w14:textId="77777777">
            <w:pPr>
              <w:ind w:firstLine="220" w:firstLineChars="100"/>
              <w:rPr>
                <w:rFonts w:ascii="Arial" w:hAnsi="Arial" w:eastAsia="Times New Roman" w:cs="Arial"/>
                <w:sz w:val="20"/>
                <w:szCs w:val="20"/>
              </w:rPr>
            </w:pPr>
            <w:r w:rsidRPr="002070C7">
              <w:t>h. Odjeljak 20. – Pokazatelj OTC izvedenica</w:t>
            </w:r>
          </w:p>
        </w:tc>
        <w:tc>
          <w:tcPr>
            <w:tcW w:w="2745" w:type="dxa"/>
            <w:tcBorders>
              <w:left w:val="nil"/>
              <w:right w:val="nil"/>
            </w:tcBorders>
            <w:noWrap/>
          </w:tcPr>
          <w:p w:rsidRPr="002070C7" w:rsidR="00A5057C" w:rsidP="006F6C94" w:rsidRDefault="00A5057C" w14:paraId="73AA7D1B" w14:textId="77777777">
            <w:pPr>
              <w:jc w:val="right"/>
              <w:rPr>
                <w:rFonts w:ascii="Arial" w:hAnsi="Arial" w:eastAsia="Times New Roman" w:cs="Arial"/>
                <w:sz w:val="20"/>
                <w:szCs w:val="20"/>
                <w:lang w:eastAsia="en-GB"/>
              </w:rPr>
            </w:pPr>
          </w:p>
        </w:tc>
      </w:tr>
      <w:tr w:rsidRPr="002070C7" w:rsidR="00A5057C" w:rsidTr="006F6C94" w14:paraId="4924D1E1" w14:textId="77777777">
        <w:trPr>
          <w:trHeight w:val="300"/>
        </w:trPr>
        <w:tc>
          <w:tcPr>
            <w:tcW w:w="6804" w:type="dxa"/>
            <w:tcBorders>
              <w:left w:val="nil"/>
              <w:bottom w:val="single" w:color="auto" w:sz="4" w:space="0"/>
              <w:right w:val="nil"/>
            </w:tcBorders>
            <w:noWrap/>
          </w:tcPr>
          <w:p w:rsidRPr="002070C7" w:rsidR="00A5057C" w:rsidP="006F6C94" w:rsidRDefault="00A5057C" w14:paraId="67998386" w14:textId="77777777">
            <w:pPr>
              <w:ind w:firstLine="220" w:firstLineChars="100"/>
              <w:rPr>
                <w:rFonts w:ascii="Arial" w:hAnsi="Arial" w:eastAsia="Times New Roman" w:cs="Arial"/>
                <w:sz w:val="20"/>
                <w:szCs w:val="20"/>
              </w:rPr>
            </w:pPr>
            <w:r w:rsidRPr="002070C7">
              <w:t>i. Odjeljak 11. – Pokazatelj vrijednosnih papira namijenjenih trgovanju i vrijednosnih papira raspoloživih za prodaju</w:t>
            </w:r>
          </w:p>
        </w:tc>
        <w:tc>
          <w:tcPr>
            <w:tcW w:w="2745" w:type="dxa"/>
            <w:tcBorders>
              <w:left w:val="nil"/>
              <w:right w:val="nil"/>
            </w:tcBorders>
            <w:noWrap/>
          </w:tcPr>
          <w:p w:rsidRPr="002070C7" w:rsidR="00A5057C" w:rsidP="006F6C94" w:rsidRDefault="00A5057C" w14:paraId="0757AA16" w14:textId="77777777">
            <w:pPr>
              <w:jc w:val="right"/>
              <w:rPr>
                <w:rFonts w:ascii="Arial" w:hAnsi="Arial" w:eastAsia="Times New Roman" w:cs="Arial"/>
                <w:sz w:val="20"/>
                <w:szCs w:val="20"/>
                <w:lang w:eastAsia="en-GB"/>
              </w:rPr>
            </w:pPr>
          </w:p>
        </w:tc>
      </w:tr>
      <w:tr w:rsidRPr="002070C7" w:rsidR="00A5057C" w:rsidTr="006F6C94" w14:paraId="633B5F59" w14:textId="77777777">
        <w:trPr>
          <w:trHeight w:val="300"/>
        </w:trPr>
        <w:tc>
          <w:tcPr>
            <w:tcW w:w="6804" w:type="dxa"/>
            <w:tcBorders>
              <w:left w:val="nil"/>
              <w:bottom w:val="single" w:color="auto" w:sz="4" w:space="0"/>
              <w:right w:val="nil"/>
            </w:tcBorders>
            <w:noWrap/>
          </w:tcPr>
          <w:p w:rsidRPr="002070C7" w:rsidR="00A5057C" w:rsidP="006F6C94" w:rsidRDefault="00A5057C" w14:paraId="24946DF2" w14:textId="77777777">
            <w:pPr>
              <w:ind w:firstLine="220" w:firstLineChars="100"/>
              <w:rPr>
                <w:rFonts w:ascii="Arial" w:hAnsi="Arial" w:eastAsia="Times New Roman" w:cs="Arial"/>
                <w:sz w:val="20"/>
                <w:szCs w:val="20"/>
              </w:rPr>
            </w:pPr>
            <w:r w:rsidRPr="002070C7">
              <w:t>j. Odjeljak 20. – Pokazatelj imovine 3. razine</w:t>
            </w:r>
          </w:p>
        </w:tc>
        <w:tc>
          <w:tcPr>
            <w:tcW w:w="2745" w:type="dxa"/>
            <w:tcBorders>
              <w:left w:val="nil"/>
              <w:right w:val="nil"/>
            </w:tcBorders>
            <w:noWrap/>
          </w:tcPr>
          <w:p w:rsidRPr="002070C7" w:rsidR="00A5057C" w:rsidP="006F6C94" w:rsidRDefault="00A5057C" w14:paraId="6D4AA225" w14:textId="77777777">
            <w:pPr>
              <w:jc w:val="right"/>
              <w:rPr>
                <w:rFonts w:ascii="Arial" w:hAnsi="Arial" w:eastAsia="Times New Roman" w:cs="Arial"/>
                <w:sz w:val="20"/>
                <w:szCs w:val="20"/>
                <w:lang w:eastAsia="en-GB"/>
              </w:rPr>
            </w:pPr>
          </w:p>
        </w:tc>
      </w:tr>
      <w:tr w:rsidRPr="002070C7" w:rsidR="00A5057C" w:rsidTr="006F6C94" w14:paraId="09FA38D6" w14:textId="77777777">
        <w:trPr>
          <w:trHeight w:val="300"/>
        </w:trPr>
        <w:tc>
          <w:tcPr>
            <w:tcW w:w="6804" w:type="dxa"/>
            <w:tcBorders>
              <w:left w:val="nil"/>
              <w:bottom w:val="single" w:color="auto" w:sz="4" w:space="0"/>
              <w:right w:val="nil"/>
            </w:tcBorders>
            <w:noWrap/>
          </w:tcPr>
          <w:p w:rsidRPr="002070C7" w:rsidR="00A5057C" w:rsidP="006F6C94" w:rsidRDefault="00A5057C" w14:paraId="77C5C78C" w14:textId="77777777">
            <w:pPr>
              <w:ind w:firstLine="220" w:firstLineChars="100"/>
              <w:rPr>
                <w:rFonts w:ascii="Arial" w:hAnsi="Arial" w:eastAsia="Times New Roman" w:cs="Arial"/>
                <w:sz w:val="20"/>
                <w:szCs w:val="20"/>
              </w:rPr>
            </w:pPr>
            <w:r w:rsidRPr="002070C7">
              <w:t>k. Odjeljak 13. – Pokazatelj međudržavnih potraživanja</w:t>
            </w:r>
          </w:p>
        </w:tc>
        <w:tc>
          <w:tcPr>
            <w:tcW w:w="2745" w:type="dxa"/>
            <w:tcBorders>
              <w:left w:val="nil"/>
              <w:right w:val="nil"/>
            </w:tcBorders>
            <w:noWrap/>
          </w:tcPr>
          <w:p w:rsidRPr="002070C7" w:rsidR="00A5057C" w:rsidP="006F6C94" w:rsidRDefault="00A5057C" w14:paraId="79854D7A" w14:textId="77777777">
            <w:pPr>
              <w:jc w:val="right"/>
              <w:rPr>
                <w:rFonts w:ascii="Arial" w:hAnsi="Arial" w:eastAsia="Times New Roman" w:cs="Arial"/>
                <w:sz w:val="20"/>
                <w:szCs w:val="20"/>
                <w:lang w:eastAsia="en-GB"/>
              </w:rPr>
            </w:pPr>
          </w:p>
        </w:tc>
      </w:tr>
      <w:tr w:rsidRPr="002070C7" w:rsidR="00A5057C" w:rsidTr="006F6C94" w14:paraId="44654596" w14:textId="77777777">
        <w:trPr>
          <w:trHeight w:val="300"/>
        </w:trPr>
        <w:tc>
          <w:tcPr>
            <w:tcW w:w="6804" w:type="dxa"/>
            <w:tcBorders>
              <w:left w:val="nil"/>
              <w:bottom w:val="single" w:color="auto" w:sz="4" w:space="0"/>
              <w:right w:val="nil"/>
            </w:tcBorders>
            <w:noWrap/>
          </w:tcPr>
          <w:p w:rsidRPr="002070C7" w:rsidR="00A5057C" w:rsidP="006F6C94" w:rsidRDefault="00A5057C" w14:paraId="5F63126D" w14:textId="77777777">
            <w:pPr>
              <w:ind w:firstLine="220" w:firstLineChars="100"/>
              <w:rPr>
                <w:rFonts w:ascii="Arial" w:hAnsi="Arial" w:eastAsia="Times New Roman" w:cs="Arial"/>
                <w:sz w:val="20"/>
                <w:szCs w:val="20"/>
              </w:rPr>
            </w:pPr>
            <w:r w:rsidRPr="002070C7">
              <w:t>l. Odjeljak 21. – Pokazatelj međudržavnih obveza</w:t>
            </w:r>
          </w:p>
        </w:tc>
        <w:tc>
          <w:tcPr>
            <w:tcW w:w="2745" w:type="dxa"/>
            <w:tcBorders>
              <w:left w:val="nil"/>
              <w:right w:val="nil"/>
            </w:tcBorders>
            <w:noWrap/>
          </w:tcPr>
          <w:p w:rsidRPr="002070C7" w:rsidR="00A5057C" w:rsidP="006F6C94" w:rsidRDefault="00A5057C" w14:paraId="76C6D1A3" w14:textId="77777777">
            <w:pPr>
              <w:jc w:val="right"/>
              <w:rPr>
                <w:rFonts w:ascii="Arial" w:hAnsi="Arial" w:eastAsia="Times New Roman" w:cs="Arial"/>
                <w:sz w:val="20"/>
                <w:szCs w:val="20"/>
                <w:lang w:eastAsia="en-GB"/>
              </w:rPr>
            </w:pPr>
          </w:p>
        </w:tc>
      </w:tr>
    </w:tbl>
    <w:p w:rsidRPr="002070C7" w:rsidR="00A5057C" w:rsidP="00A5057C" w:rsidRDefault="00A5057C" w14:paraId="7C2B7091" w14:textId="77777777">
      <w:pPr>
        <w:widowControl w:val="0"/>
        <w:tabs>
          <w:tab w:val="left" w:pos="1116"/>
        </w:tabs>
        <w:autoSpaceDE w:val="0"/>
        <w:spacing w:before="10"/>
      </w:pPr>
    </w:p>
    <w:p w:rsidRPr="002070C7" w:rsidR="00A5057C" w:rsidP="00A5057C" w:rsidRDefault="00A5057C" w14:paraId="298A6C27" w14:textId="77777777">
      <w:pPr>
        <w:pStyle w:val="BodyText"/>
        <w:spacing w:line="20" w:lineRule="exact"/>
        <w:rPr>
          <w:sz w:val="2"/>
        </w:rPr>
      </w:pPr>
    </w:p>
    <w:p w:rsidRPr="00AE7BA8" w:rsidR="00B43E07" w:rsidP="00AF2BCB" w:rsidRDefault="00B43E07" w14:paraId="2BAE8127" w14:textId="5FE21A2A">
      <w:pPr>
        <w:pStyle w:val="TableParagraph"/>
        <w:spacing w:before="11"/>
        <w:ind w:left="381"/>
      </w:pPr>
    </w:p>
    <w:bookmarkEnd w:id="9"/>
    <w:bookmarkEnd w:id="8"/>
    <w:bookmarkEnd w:id="7"/>
    <w:bookmarkEnd w:id="6"/>
    <w:bookmarkEnd w:id="5"/>
    <w:bookmarkEnd w:id="4"/>
    <w:bookmarkEnd w:id="3"/>
    <w:bookmarkEnd w:id="2"/>
    <w:bookmarkEnd w:id="1"/>
    <w:bookmarkEnd w:id="0"/>
    <w:p w:rsidRPr="00AE7BA8" w:rsidR="00B43E07" w:rsidP="00F9329F" w:rsidRDefault="00B43E07" w14:paraId="609D9107" w14:textId="34CF2015">
      <w:pPr>
        <w:pStyle w:val="TableParagraph"/>
        <w:spacing w:before="11"/>
      </w:pPr>
    </w:p>
    <w:sectPr w:rsidRPr="00AE7BA8" w:rsidR="00B43E07"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31EA" w14:textId="77777777" w:rsidR="00B67C43" w:rsidRDefault="00B67C43" w:rsidP="00A00E34">
      <w:r>
        <w:separator/>
      </w:r>
    </w:p>
    <w:p w14:paraId="0221CAF5" w14:textId="77777777" w:rsidR="00B67C43" w:rsidRDefault="00B67C43"/>
  </w:endnote>
  <w:endnote w:type="continuationSeparator" w:id="0">
    <w:p w14:paraId="2719551E" w14:textId="77777777" w:rsidR="00B67C43" w:rsidRDefault="00B67C43" w:rsidP="00A00E34">
      <w:r>
        <w:continuationSeparator/>
      </w:r>
    </w:p>
    <w:p w14:paraId="11E32955" w14:textId="77777777" w:rsidR="00B67C43" w:rsidRDefault="00B67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C43" w:rsidP="0017667F" w:rsidRDefault="00B67C43" w14:paraId="142C28E2" w14:textId="77777777">
    <w:pPr>
      <w:pStyle w:val="Footer"/>
      <w:rPr>
        <w:rStyle w:val="PageNumber"/>
        <w:noProof/>
      </w:rPr>
    </w:pPr>
    <w:r>
      <w:rPr>
        <w:rStyle w:val="PageNumber"/>
      </w:rPr>
      <w:fldChar w:fldCharType="begin"/>
    </w:r>
    <w:r>
      <w:rPr>
        <w:rStyle w:val="PageNumber"/>
      </w:rPr>
      <w:instrText xml:space="preserve">PAGE  </w:instrText>
    </w:r>
    <w:r>
      <w:rPr>
        <w:rStyle w:val="PageNumber"/>
      </w:rPr>
      <w:fldChar w:fldCharType="end"/>
    </w:r>
  </w:p>
  <w:p w:rsidR="00B67C43" w:rsidP="00610305" w:rsidRDefault="00B67C43" w14:paraId="7D2916CD"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E7BA8" w:rsidR="00B67C43" w:rsidP="0017667F" w:rsidRDefault="00B67C43" w14:paraId="7C3A9832" w14:textId="6FFEF979">
    <w:pPr>
      <w:pStyle w:val="Footer"/>
      <w:rPr>
        <w:rStyle w:val="PageNumber"/>
        <w:noProof/>
      </w:rPr>
    </w:pPr>
    <w:r w:rsidRPr="00AE7BA8">
      <w:rPr>
        <w:rStyle w:val="PageNumber"/>
      </w:rPr>
      <w:fldChar w:fldCharType="begin"/>
    </w:r>
    <w:r w:rsidRPr="00AE7BA8">
      <w:rPr>
        <w:rStyle w:val="PageNumber"/>
      </w:rPr>
      <w:instrText xml:space="preserve">PAGE  </w:instrText>
    </w:r>
    <w:r w:rsidRPr="00AE7BA8">
      <w:rPr>
        <w:rStyle w:val="PageNumber"/>
      </w:rPr>
      <w:fldChar w:fldCharType="separate"/>
    </w:r>
    <w:r w:rsidR="004D3E07">
      <w:rPr>
        <w:rStyle w:val="PageNumber"/>
        <w:noProof/>
      </w:rPr>
      <w:t>4</w:t>
    </w:r>
    <w:r w:rsidRPr="00AE7BA8">
      <w:rPr>
        <w:rStyle w:val="PageNumber"/>
      </w:rPr>
      <w:fldChar w:fldCharType="end"/>
    </w:r>
  </w:p>
  <w:p w:rsidRPr="00AE7BA8" w:rsidR="00B67C43" w:rsidP="00610305" w:rsidRDefault="00B67C43" w14:paraId="6EEDA3DB" w14:textId="77777777">
    <w:pPr>
      <w:pStyle w:val="Footer"/>
      <w:ind w:right="360"/>
      <w:rPr>
        <w:noProof/>
      </w:rPr>
    </w:pPr>
    <w:r w:rsidRPr="00AE7BA8">
      <w:rPr>
        <w:noProof/>
        <w:lang w:val="en-GB" w:eastAsia="en-GB"/>
      </w:rPr>
      <mc:AlternateContent>
        <mc:Choice Requires="wps">
          <w:drawing>
            <wp:anchor distT="4294967295" distB="4294967295" distL="114300" distR="114300" simplePos="0" relativeHeight="251657728" behindDoc="1" locked="1" layoutInCell="1" allowOverlap="1" wp14:editId="03F879D1" wp14:anchorId="127A96D1">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from="-5.6pt,785.3pt" to="445.1pt,785.3pt" w14:anchorId="18EAF944">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A82E" w14:textId="77777777" w:rsidR="00B67C43" w:rsidRPr="00DB5E8F" w:rsidRDefault="00B67C43">
      <w:pPr>
        <w:rPr>
          <w:sz w:val="12"/>
          <w:szCs w:val="12"/>
        </w:rPr>
      </w:pPr>
      <w:r w:rsidRPr="00DB5E8F">
        <w:rPr>
          <w:sz w:val="12"/>
          <w:szCs w:val="12"/>
        </w:rPr>
        <w:separator/>
      </w:r>
    </w:p>
  </w:footnote>
  <w:footnote w:type="continuationSeparator" w:id="0">
    <w:p w14:paraId="07D533E5" w14:textId="77777777" w:rsidR="00B67C43" w:rsidRDefault="00B67C43" w:rsidP="00A00E34">
      <w:r>
        <w:continuationSeparator/>
      </w:r>
    </w:p>
    <w:p w14:paraId="19347C89" w14:textId="77777777" w:rsidR="00B67C43" w:rsidRDefault="00B67C43"/>
  </w:footnote>
  <w:footnote w:type="continuationNotice" w:id="1">
    <w:p w14:paraId="7338E738" w14:textId="77777777" w:rsidR="00B67C43" w:rsidRDefault="00B67C43"/>
  </w:footnote>
  <w:footnote w:id="2">
    <w:p w14:paraId="2B9C6101" w14:textId="2B4968B2" w:rsidR="00B67C43" w:rsidRPr="00AE7BA8" w:rsidRDefault="00B67C43" w:rsidP="00C92B4B">
      <w:pPr>
        <w:pStyle w:val="FootnoteText"/>
        <w:rPr>
          <w:rFonts w:ascii="Calibri" w:hAnsi="Calibri" w:cs="Calibri"/>
        </w:rPr>
      </w:pPr>
      <w:r w:rsidRPr="00AE7BA8">
        <w:rPr>
          <w:rStyle w:val="FootnoteReference"/>
          <w:rFonts w:ascii="Calibri" w:hAnsi="Calibri" w:cs="Calibri"/>
          <w:sz w:val="18"/>
        </w:rPr>
        <w:footnoteRef/>
      </w:r>
      <w:r w:rsidRPr="00AE7BA8">
        <w:rPr>
          <w:rFonts w:ascii="Calibri" w:hAnsi="Calibri"/>
        </w:rPr>
        <w:t xml:space="preserve"> Uredba (EU) br. 1093/2010 Europskog parlamenta i Vijeća od 24. studenoga 2010. o osnivanju europskog nadzornog tijela (Europskog nadzornog tijela za bankarstvo), kojom se izmjenjuje Odluka br. 716/2009/EZ i stavlja izvan snage Odluka Komisije 2009/78/EZ (SL L 331, 15.12.2010., str. 12.).</w:t>
      </w:r>
    </w:p>
  </w:footnote>
  <w:footnote w:id="3">
    <w:p w14:paraId="3A560CFD" w14:textId="77777777" w:rsidR="00846F9E" w:rsidRPr="002070C7" w:rsidRDefault="00846F9E" w:rsidP="00846F9E">
      <w:pPr>
        <w:pStyle w:val="FootnoteText"/>
      </w:pPr>
      <w:r w:rsidRPr="002070C7">
        <w:rPr>
          <w:rStyle w:val="FootnoteReference"/>
          <w:lang w:val="en-GB"/>
        </w:rPr>
        <w:footnoteRef/>
      </w:r>
      <w:r w:rsidRPr="002070C7">
        <w:t xml:space="preserve"> </w:t>
      </w:r>
      <w:r w:rsidRPr="00846F9E">
        <w:rPr>
          <w:rFonts w:asciiTheme="minorHAnsi" w:hAnsiTheme="minorHAnsi" w:cstheme="minorHAnsi"/>
          <w:sz w:val="20"/>
          <w:szCs w:val="20"/>
        </w:rPr>
        <w:t>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C43" w:rsidRDefault="00B67C43" w14:paraId="41B1516F" w14:textId="12C57839">
    <w:pPr>
      <w:rPr>
        <w:noProof/>
      </w:rPr>
    </w:pPr>
    <w:r>
      <w:ptab w:alignment="center" w:relativeTo="margin" w:leader="none"/>
    </w:r>
    <w:r>
      <w:ptab w:alignment="right" w:relativeTo="margin" w:leader="none"/>
    </w:r>
  </w:p>
  <w:p w:rsidR="00B67C43" w:rsidRDefault="00B67C43" w14:paraId="4A8DE438" w14:textId="77777777">
    <w:pPr>
      <w:rPr>
        <w:noProof/>
      </w:rPr>
    </w:pPr>
  </w:p>
</w:hdr>
</file>

<file path=word/header2.xml><?xml version="1.0" encoding="utf-8"?>
<w:hdr xmlns:a="http://schemas.openxmlformats.org/drawingml/2006/main" xmlns:pic="http://schemas.openxmlformats.org/drawingml/2006/picture" xmlns:a14="http://schemas.microsoft.com/office/drawing/2010/main" xmlns:arto="http://schemas.microsoft.com/office/word/2006/arto"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E7BA8" w:rsidR="00B67C43" w:rsidP="002215B5" w:rsidRDefault="00B67C43" w14:paraId="233A6472" w14:textId="42F4713B">
    <w:pPr>
      <w:pStyle w:val="Runningtitle"/>
      <w:rPr>
        <w:noProof/>
      </w:rPr>
    </w:pPr>
    <w:r w:rsidRPr="00AE7BA8">
      <w:rPr>
        <w:noProof/>
        <w:lang w:val="en-GB" w:eastAsia="en-GB"/>
      </w:rPr>
      <w:drawing>
        <wp:anchor distT="0" distB="0" distL="114300" distR="114300" simplePos="0" relativeHeight="251671040" behindDoc="0" locked="0" layoutInCell="1" allowOverlap="1" wp14:editId="234C082C" wp14:anchorId="427C9B91">
          <wp:simplePos x="0" y="0"/>
          <wp:positionH relativeFrom="column">
            <wp:posOffset>4739392</wp:posOffset>
          </wp:positionH>
          <wp:positionV relativeFrom="page">
            <wp:posOffset>450215</wp:posOffset>
          </wp:positionV>
          <wp:extent cx="1207770" cy="447675"/>
          <wp:effectExtent l="0" t="0" r="0"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r w:rsidRPr="00AE7BA8">
      <w:t>KONAČNO izvješće o EBA-inim smjernicama o pobližem određivanju i objavi</w:t>
    </w:r>
  </w:p>
  <w:p w:rsidRPr="00AE7BA8" w:rsidR="00B67C43" w:rsidP="002215B5" w:rsidRDefault="00B67C43" w14:paraId="122C2463" w14:textId="77777777">
    <w:pPr>
      <w:pStyle w:val="Runningtitle"/>
      <w:rPr>
        <w:noProof/>
      </w:rPr>
    </w:pPr>
    <w:r w:rsidRPr="00AE7BA8">
      <w:t>pokazatelja sistemske važnosti</w:t>
    </w:r>
  </w:p>
  <w:p w:rsidRPr="00AE7BA8" w:rsidR="00B67C43" w:rsidP="002215B5" w:rsidRDefault="00B67C43" w14:paraId="750CEC09" w14:textId="5D2D20C5">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C43" w:rsidP="00E677EF" w:rsidRDefault="00B67C43" w14:paraId="6E4DF7C2" w14:textId="77777777">
    <w:pPr>
      <w:pStyle w:val="Runningtitle"/>
      <w:rPr>
        <w:noProof/>
      </w:rPr>
    </w:pPr>
    <w:r>
      <w:t>ovdje dolazi naslov u stilu „running title”</w:t>
    </w:r>
    <w:r>
      <w:rPr>
        <w:noProof/>
        <w:lang w:val="en-GB" w:eastAsia="en-GB"/>
      </w:rPr>
      <w:drawing>
        <wp:anchor distT="0" distB="0" distL="114300" distR="114300" simplePos="0" relativeHeight="251653632" behindDoc="1" locked="1" layoutInCell="1" allowOverlap="0" wp14:editId="569AD1BD" wp14:anchorId="6E65E8A4">
          <wp:simplePos x="0" y="0"/>
          <wp:positionH relativeFrom="page">
            <wp:posOffset>4702175</wp:posOffset>
          </wp:positionH>
          <wp:positionV relativeFrom="page">
            <wp:posOffset>450215</wp:posOffset>
          </wp:positionV>
          <wp:extent cx="1941830" cy="719455"/>
          <wp:effectExtent l="0" t="0" r="0" b="0"/>
          <wp:wrapNone/>
          <wp:docPr id="1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2270F"/>
    <w:multiLevelType w:val="hybridMultilevel"/>
    <w:tmpl w:val="5B16EA34"/>
    <w:lvl w:ilvl="0" w:tplc="D50E11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15453EDA"/>
    <w:multiLevelType w:val="hybridMultilevel"/>
    <w:tmpl w:val="31527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8"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F008E"/>
    <w:multiLevelType w:val="hybridMultilevel"/>
    <w:tmpl w:val="0CEAE5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2A9A15F4"/>
    <w:multiLevelType w:val="hybridMultilevel"/>
    <w:tmpl w:val="44B2CE44"/>
    <w:lvl w:ilvl="0" w:tplc="67FA7E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5"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35DEC"/>
    <w:multiLevelType w:val="hybridMultilevel"/>
    <w:tmpl w:val="BC245978"/>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684A36"/>
    <w:multiLevelType w:val="hybridMultilevel"/>
    <w:tmpl w:val="95C2B722"/>
    <w:lvl w:ilvl="0" w:tplc="770A29D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904CD"/>
    <w:multiLevelType w:val="hybridMultilevel"/>
    <w:tmpl w:val="7842D9F2"/>
    <w:lvl w:ilvl="0" w:tplc="14AC8834">
      <w:start w:val="1"/>
      <w:numFmt w:val="decimal"/>
      <w:lvlText w:val="%1."/>
      <w:lvlJc w:val="left"/>
      <w:pPr>
        <w:ind w:left="720" w:hanging="360"/>
      </w:pPr>
      <w:rPr>
        <w:rFonts w:hint="default"/>
      </w:rPr>
    </w:lvl>
    <w:lvl w:ilvl="1" w:tplc="CE0E9A62">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7A0A1380"/>
    <w:multiLevelType w:val="hybridMultilevel"/>
    <w:tmpl w:val="9D64AE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5B6DB2"/>
    <w:multiLevelType w:val="hybridMultilevel"/>
    <w:tmpl w:val="38F22D3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15"/>
  </w:num>
  <w:num w:numId="5">
    <w:abstractNumId w:val="22"/>
  </w:num>
  <w:num w:numId="6">
    <w:abstractNumId w:val="1"/>
  </w:num>
  <w:num w:numId="7">
    <w:abstractNumId w:val="21"/>
  </w:num>
  <w:num w:numId="8">
    <w:abstractNumId w:val="19"/>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0"/>
  </w:num>
  <w:num w:numId="16">
    <w:abstractNumId w:val="4"/>
  </w:num>
  <w:num w:numId="17">
    <w:abstractNumId w:val="11"/>
  </w:num>
  <w:num w:numId="18">
    <w:abstractNumId w:val="23"/>
  </w:num>
  <w:num w:numId="19">
    <w:abstractNumId w:val="6"/>
  </w:num>
  <w:num w:numId="20">
    <w:abstractNumId w:val="8"/>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4"/>
  </w:num>
  <w:num w:numId="29">
    <w:abstractNumId w:val="13"/>
  </w:num>
  <w:num w:numId="30">
    <w:abstractNumId w:val="7"/>
  </w:num>
  <w:num w:numId="31">
    <w:abstractNumId w:val="9"/>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0"/>
  </w:num>
  <w:num w:numId="37">
    <w:abstractNumId w:val="5"/>
  </w:num>
  <w:num w:numId="38">
    <w:abstractNumId w:val="17"/>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3"/>
  </w:num>
  <w:num w:numId="47">
    <w:abstractNumId w:val="12"/>
  </w:num>
  <w:num w:numId="48">
    <w:abstractNumId w:val="20"/>
  </w:num>
  <w:num w:numId="49">
    <w:abstractNumId w:val="21"/>
  </w:num>
  <w:num w:numId="5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2BCF"/>
    <w:rsid w:val="00003F50"/>
    <w:rsid w:val="0001213D"/>
    <w:rsid w:val="00013281"/>
    <w:rsid w:val="00021E10"/>
    <w:rsid w:val="000231B7"/>
    <w:rsid w:val="00027CA0"/>
    <w:rsid w:val="00030D65"/>
    <w:rsid w:val="00040129"/>
    <w:rsid w:val="00040592"/>
    <w:rsid w:val="00051823"/>
    <w:rsid w:val="00060F40"/>
    <w:rsid w:val="00062830"/>
    <w:rsid w:val="0007574B"/>
    <w:rsid w:val="000774B3"/>
    <w:rsid w:val="00080FAA"/>
    <w:rsid w:val="000843CD"/>
    <w:rsid w:val="00087EEC"/>
    <w:rsid w:val="000A1C81"/>
    <w:rsid w:val="000A3851"/>
    <w:rsid w:val="000A5345"/>
    <w:rsid w:val="000B1645"/>
    <w:rsid w:val="000B2614"/>
    <w:rsid w:val="000C2B79"/>
    <w:rsid w:val="000C5A8A"/>
    <w:rsid w:val="000C7FD8"/>
    <w:rsid w:val="000D0380"/>
    <w:rsid w:val="000D7A44"/>
    <w:rsid w:val="000E0C27"/>
    <w:rsid w:val="000E6D15"/>
    <w:rsid w:val="000F33D3"/>
    <w:rsid w:val="000F3C24"/>
    <w:rsid w:val="000F607B"/>
    <w:rsid w:val="000F6495"/>
    <w:rsid w:val="000F6FD8"/>
    <w:rsid w:val="001061FA"/>
    <w:rsid w:val="00112BF2"/>
    <w:rsid w:val="0011517F"/>
    <w:rsid w:val="00117062"/>
    <w:rsid w:val="0012173D"/>
    <w:rsid w:val="00121BB0"/>
    <w:rsid w:val="00123603"/>
    <w:rsid w:val="0012686C"/>
    <w:rsid w:val="0013090C"/>
    <w:rsid w:val="00131C5D"/>
    <w:rsid w:val="00132059"/>
    <w:rsid w:val="00132F74"/>
    <w:rsid w:val="0014310A"/>
    <w:rsid w:val="00143427"/>
    <w:rsid w:val="00145D24"/>
    <w:rsid w:val="00145E0A"/>
    <w:rsid w:val="00152832"/>
    <w:rsid w:val="001600FC"/>
    <w:rsid w:val="00160815"/>
    <w:rsid w:val="00172007"/>
    <w:rsid w:val="0017446F"/>
    <w:rsid w:val="0017667F"/>
    <w:rsid w:val="00177CB9"/>
    <w:rsid w:val="001834D4"/>
    <w:rsid w:val="00192287"/>
    <w:rsid w:val="00197E14"/>
    <w:rsid w:val="001A016C"/>
    <w:rsid w:val="001A2A81"/>
    <w:rsid w:val="001A32D5"/>
    <w:rsid w:val="001A47D0"/>
    <w:rsid w:val="001A5BD4"/>
    <w:rsid w:val="001A5ED9"/>
    <w:rsid w:val="001A70A8"/>
    <w:rsid w:val="001B2C0D"/>
    <w:rsid w:val="001B3341"/>
    <w:rsid w:val="001B6017"/>
    <w:rsid w:val="001B7A0B"/>
    <w:rsid w:val="001B7EB3"/>
    <w:rsid w:val="001C1FD9"/>
    <w:rsid w:val="001C5BC2"/>
    <w:rsid w:val="001D0179"/>
    <w:rsid w:val="001E0B2E"/>
    <w:rsid w:val="001E1188"/>
    <w:rsid w:val="001E3599"/>
    <w:rsid w:val="001F1CB9"/>
    <w:rsid w:val="001F7501"/>
    <w:rsid w:val="00205878"/>
    <w:rsid w:val="00213D7B"/>
    <w:rsid w:val="00214DEC"/>
    <w:rsid w:val="00215B80"/>
    <w:rsid w:val="002215B5"/>
    <w:rsid w:val="00224761"/>
    <w:rsid w:val="00224A3F"/>
    <w:rsid w:val="00224D96"/>
    <w:rsid w:val="002306C7"/>
    <w:rsid w:val="00231819"/>
    <w:rsid w:val="002351E9"/>
    <w:rsid w:val="00236329"/>
    <w:rsid w:val="00241BD8"/>
    <w:rsid w:val="002422FB"/>
    <w:rsid w:val="002434B0"/>
    <w:rsid w:val="00254CA9"/>
    <w:rsid w:val="00264891"/>
    <w:rsid w:val="0026681D"/>
    <w:rsid w:val="00267452"/>
    <w:rsid w:val="00273421"/>
    <w:rsid w:val="0027418E"/>
    <w:rsid w:val="00290DA3"/>
    <w:rsid w:val="002A3A19"/>
    <w:rsid w:val="002A6F7C"/>
    <w:rsid w:val="002B19D7"/>
    <w:rsid w:val="002C06C1"/>
    <w:rsid w:val="002C0DCF"/>
    <w:rsid w:val="002C1673"/>
    <w:rsid w:val="002C2703"/>
    <w:rsid w:val="002D1867"/>
    <w:rsid w:val="002F2009"/>
    <w:rsid w:val="002F2269"/>
    <w:rsid w:val="00300924"/>
    <w:rsid w:val="003025A8"/>
    <w:rsid w:val="003129B6"/>
    <w:rsid w:val="00314D6E"/>
    <w:rsid w:val="00315AB3"/>
    <w:rsid w:val="00320E57"/>
    <w:rsid w:val="003221EF"/>
    <w:rsid w:val="00322C23"/>
    <w:rsid w:val="003248A2"/>
    <w:rsid w:val="00341BCB"/>
    <w:rsid w:val="00352A51"/>
    <w:rsid w:val="0035477B"/>
    <w:rsid w:val="00355E53"/>
    <w:rsid w:val="003604AA"/>
    <w:rsid w:val="00362309"/>
    <w:rsid w:val="00363390"/>
    <w:rsid w:val="0036783B"/>
    <w:rsid w:val="00370D44"/>
    <w:rsid w:val="00372BEC"/>
    <w:rsid w:val="00377E7D"/>
    <w:rsid w:val="00392385"/>
    <w:rsid w:val="003953B5"/>
    <w:rsid w:val="003A2221"/>
    <w:rsid w:val="003A3AB0"/>
    <w:rsid w:val="003C34A3"/>
    <w:rsid w:val="003C3DE8"/>
    <w:rsid w:val="003D7A72"/>
    <w:rsid w:val="003E318D"/>
    <w:rsid w:val="003F3AA3"/>
    <w:rsid w:val="00412567"/>
    <w:rsid w:val="004172D1"/>
    <w:rsid w:val="00424530"/>
    <w:rsid w:val="0043577F"/>
    <w:rsid w:val="0043675A"/>
    <w:rsid w:val="00441F85"/>
    <w:rsid w:val="00446D76"/>
    <w:rsid w:val="00452CF3"/>
    <w:rsid w:val="0045301B"/>
    <w:rsid w:val="00454B24"/>
    <w:rsid w:val="00455E0E"/>
    <w:rsid w:val="004637D3"/>
    <w:rsid w:val="0047157B"/>
    <w:rsid w:val="004719B4"/>
    <w:rsid w:val="00471CA1"/>
    <w:rsid w:val="00471CCE"/>
    <w:rsid w:val="00481AC4"/>
    <w:rsid w:val="00482FB6"/>
    <w:rsid w:val="00490251"/>
    <w:rsid w:val="00492D60"/>
    <w:rsid w:val="004955E7"/>
    <w:rsid w:val="004A5B4F"/>
    <w:rsid w:val="004A5D8B"/>
    <w:rsid w:val="004A76C6"/>
    <w:rsid w:val="004B2FC0"/>
    <w:rsid w:val="004B7784"/>
    <w:rsid w:val="004C1B19"/>
    <w:rsid w:val="004C6392"/>
    <w:rsid w:val="004D3523"/>
    <w:rsid w:val="004D3E07"/>
    <w:rsid w:val="004D7668"/>
    <w:rsid w:val="004E405B"/>
    <w:rsid w:val="004F0AB6"/>
    <w:rsid w:val="004F48B1"/>
    <w:rsid w:val="004F63DB"/>
    <w:rsid w:val="005037F2"/>
    <w:rsid w:val="00505C64"/>
    <w:rsid w:val="005105EF"/>
    <w:rsid w:val="0051571A"/>
    <w:rsid w:val="00522627"/>
    <w:rsid w:val="00523895"/>
    <w:rsid w:val="00526B39"/>
    <w:rsid w:val="00532EBE"/>
    <w:rsid w:val="005410AB"/>
    <w:rsid w:val="00543A44"/>
    <w:rsid w:val="005574DA"/>
    <w:rsid w:val="00565691"/>
    <w:rsid w:val="005666A0"/>
    <w:rsid w:val="005706A6"/>
    <w:rsid w:val="00571BB6"/>
    <w:rsid w:val="00574B26"/>
    <w:rsid w:val="00575BA7"/>
    <w:rsid w:val="00582AA7"/>
    <w:rsid w:val="005845C0"/>
    <w:rsid w:val="0058477C"/>
    <w:rsid w:val="0058568F"/>
    <w:rsid w:val="005A11A7"/>
    <w:rsid w:val="005A6911"/>
    <w:rsid w:val="005B3658"/>
    <w:rsid w:val="005B5C09"/>
    <w:rsid w:val="005C3DFF"/>
    <w:rsid w:val="005C498B"/>
    <w:rsid w:val="005D033E"/>
    <w:rsid w:val="005D4005"/>
    <w:rsid w:val="005D40D1"/>
    <w:rsid w:val="005D6612"/>
    <w:rsid w:val="005E167D"/>
    <w:rsid w:val="00600024"/>
    <w:rsid w:val="00600065"/>
    <w:rsid w:val="006017FA"/>
    <w:rsid w:val="006059B2"/>
    <w:rsid w:val="00610305"/>
    <w:rsid w:val="00610419"/>
    <w:rsid w:val="00611DDB"/>
    <w:rsid w:val="00612C7B"/>
    <w:rsid w:val="006209BD"/>
    <w:rsid w:val="006224C1"/>
    <w:rsid w:val="006241B4"/>
    <w:rsid w:val="006269B7"/>
    <w:rsid w:val="006307A5"/>
    <w:rsid w:val="006336C8"/>
    <w:rsid w:val="00633DC7"/>
    <w:rsid w:val="00636E1D"/>
    <w:rsid w:val="00641A7A"/>
    <w:rsid w:val="00645495"/>
    <w:rsid w:val="00655112"/>
    <w:rsid w:val="00663B0A"/>
    <w:rsid w:val="006641F8"/>
    <w:rsid w:val="0066422C"/>
    <w:rsid w:val="00670254"/>
    <w:rsid w:val="00675E42"/>
    <w:rsid w:val="00683BFB"/>
    <w:rsid w:val="006915A4"/>
    <w:rsid w:val="00692AB7"/>
    <w:rsid w:val="00692AD8"/>
    <w:rsid w:val="006973AC"/>
    <w:rsid w:val="006C186D"/>
    <w:rsid w:val="006C211B"/>
    <w:rsid w:val="006C6D8E"/>
    <w:rsid w:val="006D4C7C"/>
    <w:rsid w:val="006D7393"/>
    <w:rsid w:val="006E0D7A"/>
    <w:rsid w:val="006E3CE5"/>
    <w:rsid w:val="006E55E1"/>
    <w:rsid w:val="006F2E13"/>
    <w:rsid w:val="006F445D"/>
    <w:rsid w:val="006F72C6"/>
    <w:rsid w:val="006F7529"/>
    <w:rsid w:val="00703E4E"/>
    <w:rsid w:val="007071C6"/>
    <w:rsid w:val="00711E1C"/>
    <w:rsid w:val="00721D07"/>
    <w:rsid w:val="00721FBA"/>
    <w:rsid w:val="00723921"/>
    <w:rsid w:val="00730352"/>
    <w:rsid w:val="00731463"/>
    <w:rsid w:val="0073336B"/>
    <w:rsid w:val="00734CF5"/>
    <w:rsid w:val="007373D2"/>
    <w:rsid w:val="00740F65"/>
    <w:rsid w:val="00742839"/>
    <w:rsid w:val="00755505"/>
    <w:rsid w:val="0076316D"/>
    <w:rsid w:val="00771BCE"/>
    <w:rsid w:val="00772993"/>
    <w:rsid w:val="007815FB"/>
    <w:rsid w:val="00781A37"/>
    <w:rsid w:val="00781D80"/>
    <w:rsid w:val="007850AB"/>
    <w:rsid w:val="00791EAE"/>
    <w:rsid w:val="007A0054"/>
    <w:rsid w:val="007A44A6"/>
    <w:rsid w:val="007A5353"/>
    <w:rsid w:val="007B2C3F"/>
    <w:rsid w:val="007B3D63"/>
    <w:rsid w:val="007B6077"/>
    <w:rsid w:val="007B69D6"/>
    <w:rsid w:val="007B793D"/>
    <w:rsid w:val="007C08B0"/>
    <w:rsid w:val="007C3A00"/>
    <w:rsid w:val="007C55D0"/>
    <w:rsid w:val="007D2626"/>
    <w:rsid w:val="007F5092"/>
    <w:rsid w:val="007F6B00"/>
    <w:rsid w:val="007F7895"/>
    <w:rsid w:val="00804A88"/>
    <w:rsid w:val="00813BAC"/>
    <w:rsid w:val="00813CD4"/>
    <w:rsid w:val="00817C42"/>
    <w:rsid w:val="00821B9D"/>
    <w:rsid w:val="0084468C"/>
    <w:rsid w:val="00846F9E"/>
    <w:rsid w:val="008552A0"/>
    <w:rsid w:val="008651AA"/>
    <w:rsid w:val="00865492"/>
    <w:rsid w:val="00865A3C"/>
    <w:rsid w:val="00867CB4"/>
    <w:rsid w:val="008708AB"/>
    <w:rsid w:val="00870A33"/>
    <w:rsid w:val="00871962"/>
    <w:rsid w:val="008725EC"/>
    <w:rsid w:val="00874ED5"/>
    <w:rsid w:val="0089205A"/>
    <w:rsid w:val="008A4100"/>
    <w:rsid w:val="008A7288"/>
    <w:rsid w:val="008B6155"/>
    <w:rsid w:val="008C1A94"/>
    <w:rsid w:val="008C567C"/>
    <w:rsid w:val="008C5B82"/>
    <w:rsid w:val="008E297F"/>
    <w:rsid w:val="008F3908"/>
    <w:rsid w:val="009014B6"/>
    <w:rsid w:val="009041D9"/>
    <w:rsid w:val="00907439"/>
    <w:rsid w:val="00907D57"/>
    <w:rsid w:val="00911860"/>
    <w:rsid w:val="0091231C"/>
    <w:rsid w:val="00912882"/>
    <w:rsid w:val="00912895"/>
    <w:rsid w:val="00913422"/>
    <w:rsid w:val="009143A4"/>
    <w:rsid w:val="009210DE"/>
    <w:rsid w:val="009257BE"/>
    <w:rsid w:val="00933C37"/>
    <w:rsid w:val="00943B87"/>
    <w:rsid w:val="00944AD8"/>
    <w:rsid w:val="009549FF"/>
    <w:rsid w:val="00954FC6"/>
    <w:rsid w:val="0096160F"/>
    <w:rsid w:val="009642A9"/>
    <w:rsid w:val="00965B80"/>
    <w:rsid w:val="009730FB"/>
    <w:rsid w:val="00976A15"/>
    <w:rsid w:val="00980519"/>
    <w:rsid w:val="009846C5"/>
    <w:rsid w:val="0099008B"/>
    <w:rsid w:val="00992126"/>
    <w:rsid w:val="00993B1E"/>
    <w:rsid w:val="00993BAA"/>
    <w:rsid w:val="00994F87"/>
    <w:rsid w:val="009A1966"/>
    <w:rsid w:val="009A294D"/>
    <w:rsid w:val="009A5AF6"/>
    <w:rsid w:val="009B7C11"/>
    <w:rsid w:val="009C12C9"/>
    <w:rsid w:val="009C1CE7"/>
    <w:rsid w:val="009D55F7"/>
    <w:rsid w:val="009E300F"/>
    <w:rsid w:val="009E38A2"/>
    <w:rsid w:val="009E697F"/>
    <w:rsid w:val="009E76BE"/>
    <w:rsid w:val="009E79BF"/>
    <w:rsid w:val="009F12DA"/>
    <w:rsid w:val="009F3FE6"/>
    <w:rsid w:val="009F53AF"/>
    <w:rsid w:val="00A00E34"/>
    <w:rsid w:val="00A02BBA"/>
    <w:rsid w:val="00A062C7"/>
    <w:rsid w:val="00A10257"/>
    <w:rsid w:val="00A13558"/>
    <w:rsid w:val="00A14332"/>
    <w:rsid w:val="00A2290D"/>
    <w:rsid w:val="00A23608"/>
    <w:rsid w:val="00A23D22"/>
    <w:rsid w:val="00A25403"/>
    <w:rsid w:val="00A27B9D"/>
    <w:rsid w:val="00A27D88"/>
    <w:rsid w:val="00A304D0"/>
    <w:rsid w:val="00A34A43"/>
    <w:rsid w:val="00A41338"/>
    <w:rsid w:val="00A4361D"/>
    <w:rsid w:val="00A44695"/>
    <w:rsid w:val="00A4607D"/>
    <w:rsid w:val="00A5057C"/>
    <w:rsid w:val="00A53EC9"/>
    <w:rsid w:val="00A725D6"/>
    <w:rsid w:val="00A72C7D"/>
    <w:rsid w:val="00A81586"/>
    <w:rsid w:val="00A92440"/>
    <w:rsid w:val="00AA435E"/>
    <w:rsid w:val="00AA796D"/>
    <w:rsid w:val="00AB104D"/>
    <w:rsid w:val="00AB21B0"/>
    <w:rsid w:val="00AB2476"/>
    <w:rsid w:val="00AB4B80"/>
    <w:rsid w:val="00AC2312"/>
    <w:rsid w:val="00AD0C73"/>
    <w:rsid w:val="00AD3179"/>
    <w:rsid w:val="00AE1A2D"/>
    <w:rsid w:val="00AE5347"/>
    <w:rsid w:val="00AE55F6"/>
    <w:rsid w:val="00AE56DB"/>
    <w:rsid w:val="00AE7BA8"/>
    <w:rsid w:val="00AF0781"/>
    <w:rsid w:val="00AF21F6"/>
    <w:rsid w:val="00AF2BCB"/>
    <w:rsid w:val="00AF4C86"/>
    <w:rsid w:val="00B025DB"/>
    <w:rsid w:val="00B13C87"/>
    <w:rsid w:val="00B1710D"/>
    <w:rsid w:val="00B2771A"/>
    <w:rsid w:val="00B32510"/>
    <w:rsid w:val="00B33222"/>
    <w:rsid w:val="00B3595C"/>
    <w:rsid w:val="00B36D5E"/>
    <w:rsid w:val="00B43E07"/>
    <w:rsid w:val="00B51926"/>
    <w:rsid w:val="00B51BB3"/>
    <w:rsid w:val="00B526A8"/>
    <w:rsid w:val="00B55FAB"/>
    <w:rsid w:val="00B56F17"/>
    <w:rsid w:val="00B65F59"/>
    <w:rsid w:val="00B6734E"/>
    <w:rsid w:val="00B67C43"/>
    <w:rsid w:val="00B76198"/>
    <w:rsid w:val="00B77DC8"/>
    <w:rsid w:val="00B77F65"/>
    <w:rsid w:val="00B82515"/>
    <w:rsid w:val="00B83D9D"/>
    <w:rsid w:val="00B84529"/>
    <w:rsid w:val="00B954E5"/>
    <w:rsid w:val="00B96F7F"/>
    <w:rsid w:val="00BB2111"/>
    <w:rsid w:val="00BC1D4B"/>
    <w:rsid w:val="00BC3450"/>
    <w:rsid w:val="00BC7FD2"/>
    <w:rsid w:val="00BD1538"/>
    <w:rsid w:val="00BD1DD9"/>
    <w:rsid w:val="00BE11DC"/>
    <w:rsid w:val="00BE2989"/>
    <w:rsid w:val="00BF4906"/>
    <w:rsid w:val="00BF4EC0"/>
    <w:rsid w:val="00BF78EE"/>
    <w:rsid w:val="00C03AE7"/>
    <w:rsid w:val="00C05D9D"/>
    <w:rsid w:val="00C12FA8"/>
    <w:rsid w:val="00C35592"/>
    <w:rsid w:val="00C356AF"/>
    <w:rsid w:val="00C41927"/>
    <w:rsid w:val="00C439D6"/>
    <w:rsid w:val="00C43FD9"/>
    <w:rsid w:val="00C44EB2"/>
    <w:rsid w:val="00C47E8F"/>
    <w:rsid w:val="00C57BC4"/>
    <w:rsid w:val="00C60915"/>
    <w:rsid w:val="00C60EEB"/>
    <w:rsid w:val="00C64E27"/>
    <w:rsid w:val="00C84497"/>
    <w:rsid w:val="00C91A9F"/>
    <w:rsid w:val="00C92B4B"/>
    <w:rsid w:val="00C95F54"/>
    <w:rsid w:val="00C964B8"/>
    <w:rsid w:val="00CA1DF9"/>
    <w:rsid w:val="00CB6121"/>
    <w:rsid w:val="00CB6EBB"/>
    <w:rsid w:val="00CD4AF7"/>
    <w:rsid w:val="00CE3517"/>
    <w:rsid w:val="00CE3F04"/>
    <w:rsid w:val="00CF15C6"/>
    <w:rsid w:val="00D01490"/>
    <w:rsid w:val="00D01670"/>
    <w:rsid w:val="00D0474C"/>
    <w:rsid w:val="00D05C26"/>
    <w:rsid w:val="00D062AC"/>
    <w:rsid w:val="00D152E7"/>
    <w:rsid w:val="00D21F91"/>
    <w:rsid w:val="00D251D0"/>
    <w:rsid w:val="00D3796C"/>
    <w:rsid w:val="00D43C43"/>
    <w:rsid w:val="00D44360"/>
    <w:rsid w:val="00D53948"/>
    <w:rsid w:val="00D549B9"/>
    <w:rsid w:val="00D557EE"/>
    <w:rsid w:val="00D56058"/>
    <w:rsid w:val="00D57F4B"/>
    <w:rsid w:val="00D656AD"/>
    <w:rsid w:val="00D6692C"/>
    <w:rsid w:val="00D67A33"/>
    <w:rsid w:val="00D76E91"/>
    <w:rsid w:val="00D823B5"/>
    <w:rsid w:val="00D849AA"/>
    <w:rsid w:val="00D872D1"/>
    <w:rsid w:val="00D873F3"/>
    <w:rsid w:val="00D90F63"/>
    <w:rsid w:val="00DA6122"/>
    <w:rsid w:val="00DB265D"/>
    <w:rsid w:val="00DB2A82"/>
    <w:rsid w:val="00DB4809"/>
    <w:rsid w:val="00DB5E8F"/>
    <w:rsid w:val="00DC3E99"/>
    <w:rsid w:val="00DC5214"/>
    <w:rsid w:val="00DC7C3E"/>
    <w:rsid w:val="00DD247B"/>
    <w:rsid w:val="00DE0FE1"/>
    <w:rsid w:val="00DE30E0"/>
    <w:rsid w:val="00DE46D0"/>
    <w:rsid w:val="00E01044"/>
    <w:rsid w:val="00E21FC7"/>
    <w:rsid w:val="00E22BCE"/>
    <w:rsid w:val="00E255BF"/>
    <w:rsid w:val="00E2590B"/>
    <w:rsid w:val="00E26355"/>
    <w:rsid w:val="00E326FF"/>
    <w:rsid w:val="00E337DC"/>
    <w:rsid w:val="00E35F55"/>
    <w:rsid w:val="00E361B0"/>
    <w:rsid w:val="00E410F0"/>
    <w:rsid w:val="00E5738D"/>
    <w:rsid w:val="00E5771C"/>
    <w:rsid w:val="00E62DB8"/>
    <w:rsid w:val="00E677EF"/>
    <w:rsid w:val="00E859DF"/>
    <w:rsid w:val="00E87041"/>
    <w:rsid w:val="00E90EDD"/>
    <w:rsid w:val="00E94506"/>
    <w:rsid w:val="00E95201"/>
    <w:rsid w:val="00EA13B4"/>
    <w:rsid w:val="00EA16F3"/>
    <w:rsid w:val="00EA1807"/>
    <w:rsid w:val="00EA4947"/>
    <w:rsid w:val="00EC0C41"/>
    <w:rsid w:val="00EC11F0"/>
    <w:rsid w:val="00EC1594"/>
    <w:rsid w:val="00EC3603"/>
    <w:rsid w:val="00ED2521"/>
    <w:rsid w:val="00ED2FB9"/>
    <w:rsid w:val="00ED41FD"/>
    <w:rsid w:val="00ED4A40"/>
    <w:rsid w:val="00ED675F"/>
    <w:rsid w:val="00EE456B"/>
    <w:rsid w:val="00EF35BF"/>
    <w:rsid w:val="00EF43E8"/>
    <w:rsid w:val="00F00C37"/>
    <w:rsid w:val="00F00C8E"/>
    <w:rsid w:val="00F01EA6"/>
    <w:rsid w:val="00F02D51"/>
    <w:rsid w:val="00F033B6"/>
    <w:rsid w:val="00F034AC"/>
    <w:rsid w:val="00F160D2"/>
    <w:rsid w:val="00F221AB"/>
    <w:rsid w:val="00F23DC0"/>
    <w:rsid w:val="00F311CD"/>
    <w:rsid w:val="00F35EC0"/>
    <w:rsid w:val="00F3669D"/>
    <w:rsid w:val="00F42F3F"/>
    <w:rsid w:val="00F4748D"/>
    <w:rsid w:val="00F56DC4"/>
    <w:rsid w:val="00F612B3"/>
    <w:rsid w:val="00F647A3"/>
    <w:rsid w:val="00F653FF"/>
    <w:rsid w:val="00F7064A"/>
    <w:rsid w:val="00F720FF"/>
    <w:rsid w:val="00F747AD"/>
    <w:rsid w:val="00F764A1"/>
    <w:rsid w:val="00F86AD4"/>
    <w:rsid w:val="00F87FF5"/>
    <w:rsid w:val="00F9329F"/>
    <w:rsid w:val="00F942CA"/>
    <w:rsid w:val="00F9452C"/>
    <w:rsid w:val="00FA459D"/>
    <w:rsid w:val="00FA7670"/>
    <w:rsid w:val="00FB28E1"/>
    <w:rsid w:val="00FB43F9"/>
    <w:rsid w:val="00FB7206"/>
    <w:rsid w:val="00FC1255"/>
    <w:rsid w:val="00FC1D72"/>
    <w:rsid w:val="00FE0C92"/>
    <w:rsid w:val="00FE0E60"/>
    <w:rsid w:val="00FE438F"/>
    <w:rsid w:val="00FE5577"/>
    <w:rsid w:val="00FF0C19"/>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6184604"/>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fr-LU"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hr-HR"/>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29"/>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1"/>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hr-HR"/>
    </w:rPr>
  </w:style>
  <w:style w:type="paragraph" w:styleId="CommentSubject">
    <w:name w:val="annotation subject"/>
    <w:basedOn w:val="CommentText"/>
    <w:next w:val="CommentText"/>
    <w:link w:val="CommentSubjectChar"/>
    <w:uiPriority w:val="99"/>
    <w:semiHidden/>
    <w:unhideWhenUsed/>
    <w:rsid w:val="00944AD8"/>
    <w:rPr>
      <w:b/>
      <w:bCs/>
    </w:rPr>
  </w:style>
  <w:style w:type="character" w:customStyle="1" w:styleId="CommentSubjectChar">
    <w:name w:val="Comment Subject Char"/>
    <w:basedOn w:val="CommentTextChar"/>
    <w:link w:val="CommentSubject"/>
    <w:uiPriority w:val="99"/>
    <w:semiHidden/>
    <w:rsid w:val="00944AD8"/>
    <w:rPr>
      <w:b/>
      <w:bCs/>
      <w:sz w:val="20"/>
      <w:szCs w:val="20"/>
      <w:lang w:val="hr-HR"/>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paragraph" w:styleId="BodyText">
    <w:name w:val="Body Text"/>
    <w:basedOn w:val="Normal"/>
    <w:link w:val="BodyTextChar"/>
    <w:uiPriority w:val="1"/>
    <w:rsid w:val="00A5057C"/>
    <w:pPr>
      <w:widowControl w:val="0"/>
      <w:autoSpaceDE w:val="0"/>
      <w:spacing w:after="160" w:line="259" w:lineRule="auto"/>
    </w:pPr>
    <w:rPr>
      <w:rFonts w:eastAsia="Calibri" w:cs="Calibri"/>
      <w:szCs w:val="22"/>
    </w:rPr>
  </w:style>
  <w:style w:type="character" w:customStyle="1" w:styleId="BodyTextChar">
    <w:name w:val="Body Text Char"/>
    <w:basedOn w:val="DefaultParagraphFont"/>
    <w:link w:val="BodyText"/>
    <w:uiPriority w:val="1"/>
    <w:rsid w:val="00A5057C"/>
    <w:rPr>
      <w:rFonts w:eastAsia="Calibri" w:cs="Calibri"/>
      <w:sz w:val="22"/>
      <w:szCs w:val="22"/>
    </w:rPr>
  </w:style>
  <w:style w:type="table" w:customStyle="1" w:styleId="TableGrid1">
    <w:name w:val="Table Grid1"/>
    <w:basedOn w:val="TableNormal"/>
    <w:next w:val="TableGrid"/>
    <w:uiPriority w:val="39"/>
    <w:rsid w:val="00A5057C"/>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AE395-6DD2-4CDF-A778-4822822388B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24</ap:TotalTime>
  <ap:Pages>16</ap:Pages>
  <ap:Words>3554</ap:Words>
  <ap:Characters>23365</ap:Characters>
  <ap:Application>Microsoft Office Word</ap:Application>
  <ap:DocSecurity>0</ap:DocSecurity>
  <ap:Lines>194</ap:Lines>
  <ap:Paragraphs>53</ap:Paragraphs>
  <ap:ScaleCrop>false</ap:ScaleCrop>
  <ap:HeadingPairs>
    <vt:vector baseType="variant" size="4">
      <vt:variant>
        <vt:lpstr>Title</vt:lpstr>
      </vt:variant>
      <vt:variant>
        <vt:i4>1</vt:i4>
      </vt:variant>
      <vt:variant>
        <vt:lpstr>Naslov</vt:lpstr>
      </vt:variant>
      <vt:variant>
        <vt:i4>1</vt:i4>
      </vt:variant>
    </vt:vector>
  </ap:HeadingPairs>
  <ap:TitlesOfParts>
    <vt:vector baseType="lpstr" size="2">
      <vt:lpstr/>
      <vt:lpstr/>
    </vt:vector>
  </ap:TitlesOfParts>
  <ap:Company>CDT</ap:Company>
  <ap:LinksUpToDate>false</ap:LinksUpToDate>
  <ap:CharactersWithSpaces>26866</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13</revision>
  <lastPrinted>2020-11-04T10:23:00.0000000Z</lastPrinted>
  <dcterms:created xsi:type="dcterms:W3CDTF">2020-12-03T14:24:00.0000000Z</dcterms:created>
  <dcterms:modified xsi:type="dcterms:W3CDTF">2024-04-22T07:36:00.0000000Z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c677b52a-678e-4c04-b8f8-ac6900effe05</vt:lpwstr>
  </property>
</Properties>
</file>