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298787969" w:displacedByCustomXml="next" w:id="0"/>
    <w:bookmarkStart w:name="_Toc298788158" w:displacedByCustomXml="next" w:id="1"/>
    <w:bookmarkStart w:name="_Toc298788641" w:displacedByCustomXml="next" w:id="2"/>
    <w:bookmarkStart w:name="_Toc305686691" w:displacedByCustomXml="next" w:id="3"/>
    <w:bookmarkStart w:name="_Toc306350093" w:displacedByCustomXml="next" w:id="4"/>
    <w:bookmarkStart w:name="_Toc306350113" w:displacedByCustomXml="next" w:id="5"/>
    <w:bookmarkStart w:name="_Toc331517265" w:displacedByCustomXml="next" w:id="6"/>
    <w:bookmarkStart w:name="_Toc245891774" w:displacedByCustomXml="next" w:id="7"/>
    <w:bookmarkStart w:name="_Toc238803087" w:displacedByCustomXml="next" w:id="8"/>
    <w:bookmarkStart w:name="_Toc238803888" w:displacedByCustomXml="next" w:id="9"/>
    <w:sdt>
      <w:sdtPr>
        <w:id w:val="1024973533"/>
        <w:docPartObj>
          <w:docPartGallery w:val="Cover Pages"/>
          <w:docPartUnique/>
        </w:docPartObj>
      </w:sdtPr>
      <w:sdtEndPr/>
      <w:sdtContent>
        <w:p w:rsidRPr="008C4546" w:rsidR="00B43E07" w:rsidP="00B43E07" w:rsidRDefault="00B43E07" w14:paraId="05640F5D" w14:textId="77777777">
          <w:pPr>
            <w:rPr>
              <w:lang w:val="en-GB"/>
            </w:rPr>
          </w:pPr>
        </w:p>
        <w:tbl>
          <w:tblPr>
            <w:tblW w:w="0" w:type="auto"/>
            <w:tblCellMar>
              <w:top w:w="85" w:type="dxa"/>
              <w:bottom w:w="85" w:type="dxa"/>
            </w:tblCellMar>
            <w:tblLook w:val="04A0" w:firstRow="1" w:lastRow="0" w:firstColumn="1" w:lastColumn="0" w:noHBand="0" w:noVBand="1"/>
          </w:tblPr>
          <w:tblGrid>
            <w:gridCol w:w="3969"/>
          </w:tblGrid>
          <w:tr w:rsidRPr="008C4546" w:rsidR="005B3658" w:rsidTr="00845378" w14:paraId="3170F2D8" w14:textId="77777777">
            <w:tc>
              <w:tcPr>
                <w:tcW w:w="3969" w:type="dxa"/>
                <w:tcBorders>
                  <w:bottom w:val="single" w:color="A6A6A6" w:themeColor="background1" w:themeShade="A6" w:sz="4" w:space="0"/>
                </w:tcBorders>
                <w:shd w:val="clear" w:color="auto" w:fill="auto"/>
              </w:tcPr>
              <w:p w:rsidRPr="008C4546" w:rsidR="005B3658" w:rsidP="005B3658" w:rsidRDefault="005B3658" w14:paraId="6AAE07DF" w14:textId="40D4C188">
                <w:r w:rsidRPr="008C4546">
                  <w:t>EBA/GL/2020/14</w:t>
                </w:r>
                <w:r w:rsidRPr="00845378" w:rsidR="00845378">
                  <w:t xml:space="preserve"> (Konsolidierte Fassung)</w:t>
                </w:r>
              </w:p>
            </w:tc>
          </w:tr>
          <w:tr w:rsidRPr="008C4546" w:rsidR="005B3658" w:rsidTr="00845378" w14:paraId="70F4DBFA" w14:textId="77777777">
            <w:tc>
              <w:tcPr>
                <w:tcW w:w="3969" w:type="dxa"/>
                <w:tcBorders>
                  <w:top w:val="single" w:color="A6A6A6" w:themeColor="background1" w:themeShade="A6" w:sz="4" w:space="0"/>
                  <w:bottom w:val="single" w:color="A6A6A6" w:themeColor="background1" w:themeShade="A6" w:sz="4" w:space="0"/>
                </w:tcBorders>
                <w:shd w:val="clear" w:color="auto" w:fill="auto"/>
              </w:tcPr>
              <w:p w:rsidRPr="008C4546" w:rsidR="005B3658" w:rsidP="005B3658" w:rsidRDefault="005B3658" w14:paraId="55211379" w14:textId="73FFF2EB">
                <w:r w:rsidRPr="008C4546">
                  <w:rPr>
                    <w:color w:val="000000"/>
                  </w:rPr>
                  <w:t>4. November 2020</w:t>
                </w:r>
              </w:p>
            </w:tc>
          </w:tr>
        </w:tbl>
        <w:p w:rsidRPr="008C4546" w:rsidR="00B43E07" w:rsidP="00B43E07" w:rsidRDefault="00B43E07" w14:paraId="2E2B6714" w14:textId="77777777">
          <w:pPr>
            <w:rPr>
              <w:lang w:val="en-GB"/>
            </w:rPr>
          </w:pPr>
        </w:p>
        <w:tbl>
          <w:tblPr>
            <w:tblStyle w:val="TableGrid"/>
            <w:tblW w:w="0" w:type="auto"/>
            <w:tblBorders>
              <w:bottom w:val="none" w:color="auto" w:sz="0" w:space="0"/>
              <w:insideH w:val="none" w:color="auto" w:sz="0" w:space="0"/>
            </w:tblBorders>
            <w:tblLook w:val="04A0" w:firstRow="1" w:lastRow="0" w:firstColumn="1" w:lastColumn="0" w:noHBand="0" w:noVBand="1"/>
          </w:tblPr>
          <w:tblGrid>
            <w:gridCol w:w="8781"/>
          </w:tblGrid>
          <w:tr w:rsidRPr="008C4546" w:rsidR="00B43E07" w:rsidTr="00993B1E" w14:paraId="598BC7AF" w14:textId="77777777">
            <w:trPr>
              <w:cnfStyle w:val="100000000000" w:firstRow="1" w:lastRow="0" w:firstColumn="0" w:lastColumn="0" w:oddVBand="0" w:evenVBand="0" w:oddHBand="0" w:evenHBand="0" w:firstRowFirstColumn="0" w:firstRowLastColumn="0" w:lastRowFirstColumn="0" w:lastRowLastColumn="0"/>
              <w:trHeight w:val="4073"/>
            </w:trPr>
            <w:tc>
              <w:tcPr>
                <w:tcW w:w="8781"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bottom"/>
              </w:tcPr>
              <w:p w:rsidRPr="00DC3BF4" w:rsidR="000204E9" w:rsidP="000204E9" w:rsidRDefault="000204E9" w14:paraId="5ACE49E0" w14:textId="77777777">
                <w:pPr>
                  <w:pStyle w:val="BodyText"/>
                  <w:tabs>
                    <w:tab w:val="left" w:pos="1802"/>
                  </w:tabs>
                  <w:spacing w:before="100" w:after="60" w:line="276" w:lineRule="auto"/>
                  <w:ind w:left="425" w:right="232"/>
                  <w:jc w:val="both"/>
                  <w:rPr>
                    <w:color w:val="E98E31" w:themeColor="background2"/>
                    <w:spacing w:val="-1"/>
                  </w:rPr>
                </w:pPr>
                <w:r w:rsidRPr="007B541C">
                  <w:rPr>
                    <w:rFonts w:ascii="Wingdings" w:hAnsi="Wingdings" w:eastAsia="Wingdings" w:cs="Wingdings"/>
                    <w:color w:val="E98E31"/>
                    <w:highlight w:val="yellow"/>
                    <w:lang w:val="en-GB"/>
                  </w:rPr>
                  <w:t>Ø</w:t>
                </w:r>
                <w:r w:rsidRPr="007B541C">
                  <w:rPr>
                    <w:rFonts w:eastAsia="MS PGothic" w:cs="Times New Roman"/>
                    <w:color w:val="E98E31"/>
                    <w:highlight w:val="yellow"/>
                    <w:lang w:val="en-GB"/>
                  </w:rPr>
                  <w:t>O</w:t>
                </w:r>
                <w:r w:rsidRPr="00DC3BF4">
                  <w:rPr>
                    <w:color w:val="E98E31" w:themeColor="background2"/>
                    <w:spacing w:val="-1"/>
                  </w:rPr>
                  <w:t xml:space="preserve"> </w:t>
                </w:r>
              </w:p>
              <w:p w:rsidRPr="008C4546" w:rsidR="00B43E07" w:rsidP="00721D07" w:rsidRDefault="00A81586" w14:paraId="6E80AD78" w14:textId="62D2FDF0">
                <w:pPr>
                  <w:pStyle w:val="Contenttitle"/>
                </w:pPr>
                <w:r w:rsidRPr="008C4546">
                  <w:t xml:space="preserve">Leitlinien </w:t>
                </w:r>
              </w:p>
            </w:tc>
          </w:tr>
          <w:tr w:rsidRPr="008C4546" w:rsidR="00B43E07" w:rsidTr="00993B1E" w14:paraId="15A7E3AC" w14:textId="77777777">
            <w:tc>
              <w:tcPr>
                <w:tcW w:w="8781" w:type="dxa"/>
                <w:tcMar>
                  <w:left w:w="0" w:type="dxa"/>
                  <w:right w:w="0" w:type="dxa"/>
                </w:tcMar>
                <w:vAlign w:val="top"/>
              </w:tcPr>
              <w:p w:rsidRPr="008C4546" w:rsidR="00B43E07" w:rsidP="00E410F0" w:rsidRDefault="00B43E07" w14:paraId="0720F01B" w14:textId="502EF582">
                <w:pPr>
                  <w:pStyle w:val="Titlelevel4"/>
                  <w:rPr>
                    <w:lang w:val="de-DE"/>
                  </w:rPr>
                </w:pPr>
                <w:r w:rsidRPr="008C4546">
                  <w:rPr>
                    <w:rFonts w:asciiTheme="majorHAnsi" w:hAnsiTheme="majorHAnsi"/>
                    <w:bCs/>
                    <w:color w:val="2F5773" w:themeColor="text2"/>
                    <w:sz w:val="52"/>
                    <w:szCs w:val="52"/>
                    <w:lang w:val="de-DE"/>
                  </w:rPr>
                  <w:t>zur Festlegung und Offenlegung von Indikatoren für die globale systemische Relevanz</w:t>
                </w:r>
              </w:p>
            </w:tc>
          </w:tr>
        </w:tbl>
        <w:p w:rsidRPr="00845378" w:rsidR="00B43E07" w:rsidP="00B43E07" w:rsidRDefault="00B43E07" w14:paraId="41F2A21B" w14:textId="77777777">
          <w:pPr>
            <w:rPr>
              <w:sz w:val="52"/>
              <w:szCs w:val="52"/>
            </w:rPr>
          </w:pPr>
        </w:p>
        <w:p w:rsidRPr="00845378" w:rsidR="00B43E07" w:rsidP="00B43E07" w:rsidRDefault="00B43E07" w14:paraId="1441AC18" w14:textId="474F6C0C">
          <w:pPr>
            <w:rPr>
              <w:sz w:val="52"/>
              <w:szCs w:val="52"/>
            </w:rPr>
          </w:pPr>
        </w:p>
        <w:p w:rsidRPr="00845378" w:rsidR="00845378" w:rsidP="00B43E07" w:rsidRDefault="00845378" w14:paraId="4CF0D383" w14:textId="4DEF298C">
          <w:pPr>
            <w:rPr>
              <w:sz w:val="52"/>
              <w:szCs w:val="52"/>
            </w:rPr>
          </w:pPr>
        </w:p>
        <w:p w:rsidRPr="00845378" w:rsidR="00845378" w:rsidP="00B43E07" w:rsidRDefault="00845378" w14:paraId="6B19BB58" w14:textId="39C0D2A3">
          <w:pPr>
            <w:rPr>
              <w:sz w:val="52"/>
              <w:szCs w:val="52"/>
            </w:rPr>
          </w:pPr>
        </w:p>
        <w:p w:rsidR="00845378" w:rsidP="00B43E07" w:rsidRDefault="00845378" w14:paraId="355D8418" w14:textId="77777777"/>
        <w:tbl>
          <w:tblPr>
            <w:tblStyle w:val="EBAtable"/>
            <w:tblW w:w="9125" w:type="dxa"/>
            <w:tblLook w:val="04A0" w:firstRow="1" w:lastRow="0" w:firstColumn="1" w:lastColumn="0" w:noHBand="0" w:noVBand="1"/>
          </w:tblPr>
          <w:tblGrid>
            <w:gridCol w:w="824"/>
            <w:gridCol w:w="2190"/>
            <w:gridCol w:w="6111"/>
          </w:tblGrid>
          <w:tr w:rsidRPr="00D13DB3" w:rsidR="00845378" w:rsidTr="005D18C0" w14:paraId="04A864DB" w14:textId="77777777">
            <w:trPr>
              <w:cnfStyle w:val="100000000000" w:firstRow="1" w:lastRow="0" w:firstColumn="0" w:lastColumn="0" w:oddVBand="0" w:evenVBand="0" w:oddHBand="0" w:evenHBand="0" w:firstRowFirstColumn="0" w:firstRowLastColumn="0" w:lastRowFirstColumn="0" w:lastRowLastColumn="0"/>
              <w:trHeight w:val="300"/>
            </w:trPr>
            <w:tc>
              <w:tcPr>
                <w:tcW w:w="3014" w:type="dxa"/>
                <w:gridSpan w:val="2"/>
                <w:tcBorders>
                  <w:top w:val="single" w:color="auto" w:sz="12" w:space="0"/>
                  <w:left w:val="single" w:color="auto" w:sz="12" w:space="0"/>
                </w:tcBorders>
              </w:tcPr>
              <w:p w:rsidRPr="00D13DB3" w:rsidR="00845378" w:rsidP="005D18C0" w:rsidRDefault="00845378" w14:paraId="17614140" w14:textId="77777777">
                <w:pPr>
                  <w:spacing w:before="240" w:after="120" w:line="276" w:lineRule="auto"/>
                  <w:jc w:val="both"/>
                  <w:rPr>
                    <w:rFonts w:eastAsia="MS PGothic" w:cs="Times New Roman"/>
                    <w:lang w:eastAsia="en-GB"/>
                  </w:rPr>
                </w:pPr>
              </w:p>
              <w:p w:rsidRPr="00D13DB3" w:rsidR="00845378" w:rsidP="005D18C0" w:rsidRDefault="00845378" w14:paraId="0910E9D4" w14:textId="77777777">
                <w:pPr>
                  <w:rPr>
                    <w:rFonts w:eastAsia="MS PGothic" w:cs="Times New Roman"/>
                    <w:lang w:val="en-GB" w:eastAsia="en-GB"/>
                  </w:rPr>
                </w:pPr>
              </w:p>
            </w:tc>
            <w:tc>
              <w:tcPr>
                <w:tcW w:w="6111" w:type="dxa"/>
                <w:tcBorders>
                  <w:top w:val="single" w:color="auto" w:sz="12" w:space="0"/>
                  <w:right w:val="single" w:color="auto" w:sz="12" w:space="0"/>
                </w:tcBorders>
              </w:tcPr>
              <w:p w:rsidRPr="00845378" w:rsidR="00845378" w:rsidP="00845378" w:rsidRDefault="00845378" w14:paraId="68E7189E" w14:textId="4C59CF06">
                <w:pPr>
                  <w:rPr>
                    <w:rFonts w:ascii="Calibri" w:hAnsi="Calibri" w:cs="Calibri"/>
                    <w:color w:val="000000"/>
                    <w:szCs w:val="22"/>
                  </w:rPr>
                </w:pPr>
                <w:r>
                  <w:rPr>
                    <w:rFonts w:ascii="Calibri" w:hAnsi="Calibri" w:cs="Calibri"/>
                    <w:color w:val="000000"/>
                    <w:szCs w:val="22"/>
                  </w:rPr>
                  <w:t>Beginn der Anwendung</w:t>
                </w:r>
              </w:p>
            </w:tc>
          </w:tr>
          <w:tr w:rsidRPr="00D13DB3" w:rsidR="00845378" w:rsidTr="005D18C0" w14:paraId="51CA6594" w14:textId="77777777">
            <w:trPr>
              <w:trHeight w:val="300"/>
            </w:trPr>
            <w:tc>
              <w:tcPr>
                <w:tcW w:w="3014" w:type="dxa"/>
                <w:gridSpan w:val="2"/>
                <w:tcBorders>
                  <w:left w:val="single" w:color="auto" w:sz="12" w:space="0"/>
                </w:tcBorders>
              </w:tcPr>
              <w:p w:rsidRPr="00D13DB3" w:rsidR="00845378" w:rsidP="005D18C0" w:rsidRDefault="00845378" w14:paraId="4B31D7E9" w14:textId="77777777">
                <w:pPr>
                  <w:rPr>
                    <w:rFonts w:eastAsia="MS PGothic" w:cs="Times New Roman"/>
                    <w:lang w:val="en-GB" w:eastAsia="en-GB"/>
                  </w:rPr>
                </w:pPr>
                <w:r w:rsidRPr="007B541C">
                  <w:rPr>
                    <w:rFonts w:ascii="Wingdings" w:hAnsi="Wingdings" w:eastAsia="Wingdings" w:cs="Wingdings"/>
                    <w:color w:val="E98E31"/>
                    <w:highlight w:val="yellow"/>
                    <w:lang w:val="en-GB" w:eastAsia="en-GB"/>
                  </w:rPr>
                  <w:t>Ø</w:t>
                </w:r>
                <w:r w:rsidRPr="007B541C">
                  <w:rPr>
                    <w:rFonts w:eastAsia="MS PGothic" w:cs="Times New Roman"/>
                    <w:color w:val="E98E31"/>
                    <w:highlight w:val="yellow"/>
                    <w:lang w:val="en-GB" w:eastAsia="en-GB"/>
                  </w:rPr>
                  <w:t>O</w:t>
                </w:r>
              </w:p>
            </w:tc>
            <w:tc>
              <w:tcPr>
                <w:tcW w:w="6111" w:type="dxa"/>
                <w:tcBorders>
                  <w:right w:val="single" w:color="auto" w:sz="12" w:space="0"/>
                </w:tcBorders>
              </w:tcPr>
              <w:p w:rsidRPr="00D13DB3" w:rsidR="00845378" w:rsidP="005D18C0" w:rsidRDefault="00845378" w14:paraId="5234E1E1" w14:textId="77777777">
                <w:pPr>
                  <w:rPr>
                    <w:rFonts w:eastAsia="MS PGothic" w:cs="Times New Roman"/>
                    <w:lang w:val="en-GB" w:eastAsia="en-GB"/>
                  </w:rPr>
                </w:pPr>
                <w:r>
                  <w:rPr>
                    <w:rFonts w:eastAsia="MS PGothic" w:cs="Times New Roman"/>
                    <w:lang w:val="en-GB" w:eastAsia="en-GB"/>
                  </w:rPr>
                  <w:t>04</w:t>
                </w:r>
                <w:r w:rsidRPr="00D13DB3">
                  <w:rPr>
                    <w:rFonts w:eastAsia="MS PGothic" w:cs="Times New Roman"/>
                    <w:lang w:val="en-GB" w:eastAsia="en-GB"/>
                  </w:rPr>
                  <w:t>.</w:t>
                </w:r>
                <w:r>
                  <w:rPr>
                    <w:rFonts w:eastAsia="MS PGothic" w:cs="Times New Roman"/>
                    <w:lang w:val="en-GB" w:eastAsia="en-GB"/>
                  </w:rPr>
                  <w:t>11</w:t>
                </w:r>
                <w:r w:rsidRPr="00D13DB3">
                  <w:rPr>
                    <w:rFonts w:eastAsia="MS PGothic" w:cs="Times New Roman"/>
                    <w:lang w:val="en-GB" w:eastAsia="en-GB"/>
                  </w:rPr>
                  <w:t>.</w:t>
                </w:r>
                <w:r>
                  <w:rPr>
                    <w:rFonts w:eastAsia="MS PGothic" w:cs="Times New Roman"/>
                    <w:lang w:val="en-GB" w:eastAsia="en-GB"/>
                  </w:rPr>
                  <w:t>2020</w:t>
                </w:r>
              </w:p>
            </w:tc>
          </w:tr>
          <w:tr w:rsidRPr="00D13DB3" w:rsidR="00845378" w:rsidTr="005D18C0" w14:paraId="250492BE" w14:textId="77777777">
            <w:trPr>
              <w:trHeight w:val="300"/>
            </w:trPr>
            <w:tc>
              <w:tcPr>
                <w:tcW w:w="3014" w:type="dxa"/>
                <w:gridSpan w:val="2"/>
                <w:tcBorders>
                  <w:left w:val="single" w:color="auto" w:sz="12" w:space="0"/>
                </w:tcBorders>
              </w:tcPr>
              <w:p w:rsidRPr="00845378" w:rsidR="00845378" w:rsidP="00845378" w:rsidRDefault="00845378" w14:paraId="5CA7CDBC" w14:textId="6EC6FCC1">
                <w:pPr>
                  <w:rPr>
                    <w:rFonts w:ascii="Calibri" w:hAnsi="Calibri" w:cs="Calibri"/>
                    <w:color w:val="000000"/>
                    <w:szCs w:val="22"/>
                  </w:rPr>
                </w:pPr>
                <w:r>
                  <w:rPr>
                    <w:rFonts w:ascii="Calibri" w:hAnsi="Calibri" w:cs="Calibri"/>
                    <w:color w:val="000000"/>
                    <w:szCs w:val="22"/>
                  </w:rPr>
                  <w:t>Geändert durch:</w:t>
                </w:r>
              </w:p>
            </w:tc>
            <w:tc>
              <w:tcPr>
                <w:tcW w:w="6111" w:type="dxa"/>
                <w:tcBorders>
                  <w:right w:val="single" w:color="auto" w:sz="12" w:space="0"/>
                </w:tcBorders>
              </w:tcPr>
              <w:p w:rsidRPr="00D13DB3" w:rsidR="00845378" w:rsidP="005D18C0" w:rsidRDefault="00845378" w14:paraId="2C8C7F83" w14:textId="77777777">
                <w:pPr>
                  <w:rPr>
                    <w:rFonts w:eastAsia="MS PGothic" w:cs="Times New Roman"/>
                    <w:lang w:val="en-GB" w:eastAsia="en-GB"/>
                  </w:rPr>
                </w:pPr>
              </w:p>
            </w:tc>
          </w:tr>
          <w:tr w:rsidRPr="00D13DB3" w:rsidR="00845378" w:rsidTr="005D18C0" w14:paraId="7F94AAF0" w14:textId="77777777">
            <w:trPr>
              <w:trHeight w:val="58"/>
            </w:trPr>
            <w:tc>
              <w:tcPr>
                <w:tcW w:w="824" w:type="dxa"/>
                <w:tcBorders>
                  <w:left w:val="single" w:color="auto" w:sz="12" w:space="0"/>
                  <w:bottom w:val="single" w:color="auto" w:sz="12" w:space="0"/>
                </w:tcBorders>
              </w:tcPr>
              <w:p w:rsidRPr="00D13DB3" w:rsidR="00845378" w:rsidP="005D18C0" w:rsidRDefault="00845378" w14:paraId="3B7E47CF" w14:textId="77777777">
                <w:pPr>
                  <w:rPr>
                    <w:rFonts w:eastAsia="MS PGothic" w:cs="Times New Roman"/>
                    <w:color w:val="E98E31"/>
                    <w:lang w:val="en-GB" w:eastAsia="en-GB"/>
                  </w:rPr>
                </w:pPr>
                <w:r w:rsidRPr="007B541C">
                  <w:rPr>
                    <w:rFonts w:ascii="Wingdings" w:hAnsi="Wingdings" w:eastAsia="Wingdings" w:cs="Wingdings"/>
                    <w:color w:val="E98E31"/>
                    <w:highlight w:val="green"/>
                    <w:lang w:val="en-GB" w:eastAsia="en-GB"/>
                  </w:rPr>
                  <w:t>Ø</w:t>
                </w:r>
                <w:r w:rsidRPr="007B541C">
                  <w:rPr>
                    <w:rFonts w:eastAsia="Wingdings" w:cs="Wingdings"/>
                    <w:color w:val="E98E31"/>
                    <w:highlight w:val="green"/>
                    <w:lang w:val="en-GB" w:eastAsia="en-GB"/>
                  </w:rPr>
                  <w:t>A1</w:t>
                </w:r>
              </w:p>
            </w:tc>
            <w:tc>
              <w:tcPr>
                <w:tcW w:w="2190" w:type="dxa"/>
                <w:tcBorders>
                  <w:bottom w:val="single" w:color="auto" w:sz="12" w:space="0"/>
                </w:tcBorders>
              </w:tcPr>
              <w:p w:rsidRPr="00D13DB3" w:rsidR="00845378" w:rsidP="005D18C0" w:rsidRDefault="00845378" w14:paraId="7695A04B" w14:textId="77777777">
                <w:pPr>
                  <w:rPr>
                    <w:rFonts w:eastAsia="MS PGothic" w:cs="Times New Roman"/>
                  </w:rPr>
                </w:pPr>
                <w:r w:rsidRPr="00D13DB3">
                  <w:rPr>
                    <w:rFonts w:eastAsia="MS PGothic" w:cs="Times New Roman"/>
                  </w:rPr>
                  <w:t>EBA/GL</w:t>
                </w:r>
                <w:r w:rsidRPr="005261FC">
                  <w:t>/2023/10</w:t>
                </w:r>
              </w:p>
            </w:tc>
            <w:tc>
              <w:tcPr>
                <w:tcW w:w="6111" w:type="dxa"/>
                <w:tcBorders>
                  <w:bottom w:val="single" w:color="auto" w:sz="12" w:space="0"/>
                  <w:right w:val="single" w:color="auto" w:sz="12" w:space="0"/>
                </w:tcBorders>
              </w:tcPr>
              <w:p w:rsidRPr="00D13DB3" w:rsidR="00845378" w:rsidP="005D18C0" w:rsidRDefault="00845378" w14:paraId="6533641D" w14:textId="77777777">
                <w:pPr>
                  <w:rPr>
                    <w:rFonts w:eastAsia="MS PGothic" w:cs="Times New Roman"/>
                    <w:lang w:val="en-GB" w:eastAsia="en-GB"/>
                  </w:rPr>
                </w:pPr>
              </w:p>
            </w:tc>
          </w:tr>
        </w:tbl>
        <w:p w:rsidRPr="008C4546" w:rsidR="00845378" w:rsidP="00B43E07" w:rsidRDefault="00845378" w14:paraId="70BA9B02" w14:textId="77777777"/>
        <w:p w:rsidRPr="008C4546" w:rsidR="00B43E07" w:rsidP="00B43E07" w:rsidRDefault="00B43E07" w14:paraId="3673D6BB" w14:textId="77777777">
          <w:r w:rsidRPr="008C4546">
            <w:br w:type="page"/>
          </w:r>
        </w:p>
      </w:sdtContent>
    </w:sdt>
    <w:p w:rsidRPr="008C4546" w:rsidR="00B43E07" w:rsidP="00FA0A8B" w:rsidRDefault="00B43E07" w14:paraId="72D6F5BF" w14:textId="77777777">
      <w:pPr>
        <w:pStyle w:val="Numberedtilelevel1"/>
        <w:numPr>
          <w:ilvl w:val="0"/>
          <w:numId w:val="12"/>
        </w:numPr>
      </w:pPr>
      <w:r w:rsidRPr="008C4546">
        <w:lastRenderedPageBreak/>
        <w:t>Einhaltung und Meldepflichten</w:t>
      </w:r>
    </w:p>
    <w:p w:rsidRPr="008C4546" w:rsidR="00B43E07" w:rsidP="00B43E07" w:rsidRDefault="00B43E07" w14:paraId="3B9E826E" w14:textId="5EE3EC56">
      <w:pPr>
        <w:pStyle w:val="Titlelevel2"/>
      </w:pPr>
      <w:r w:rsidRPr="008C4546">
        <w:t>Status dieser Leitlinien</w:t>
      </w:r>
    </w:p>
    <w:p w:rsidRPr="008C4546" w:rsidR="00B43E07" w:rsidP="00FA0A8B" w:rsidRDefault="00B43E07" w14:paraId="4AFE96B1" w14:textId="13B187BE">
      <w:pPr>
        <w:pStyle w:val="body"/>
        <w:numPr>
          <w:ilvl w:val="0"/>
          <w:numId w:val="10"/>
        </w:numPr>
      </w:pPr>
      <w:r w:rsidRPr="008C4546">
        <w:t>Das vorliegende Dokument enthält Leitlinien, die gemäß Artikel 16 der Verordnung (EU) Nr. 1093/2010 erlassen wurden.</w:t>
      </w:r>
      <w:r w:rsidRPr="008C4546">
        <w:rPr>
          <w:rStyle w:val="FootnoteReference"/>
          <w:lang w:val="en-GB"/>
        </w:rPr>
        <w:footnoteReference w:id="2"/>
      </w:r>
      <w:r w:rsidRPr="008C4546">
        <w:t xml:space="preserve"> Gemäß Artikel 16 Absatz 3 der Verordnung (EU) Nr. 1093/2010 müssen die zuständigen Behörden und Finanzinstitute alle erforderlichen Anstrengungen unternehmen, um diesen Leitlinien nachzukommen.</w:t>
      </w:r>
    </w:p>
    <w:p w:rsidRPr="008C4546" w:rsidR="00B43E07" w:rsidP="00FA0A8B" w:rsidRDefault="00B43E07" w14:paraId="23E7F140" w14:textId="591D7378">
      <w:pPr>
        <w:pStyle w:val="body"/>
        <w:numPr>
          <w:ilvl w:val="0"/>
          <w:numId w:val="10"/>
        </w:numPr>
      </w:pPr>
      <w:r w:rsidRPr="008C4546">
        <w:t>Die Leitlinien legen fest, was nach Ansicht der EBA angemessene Aufsichtspraktiken innerhalb des Europäischen Finanzaufsichtssystems sind oder wie das Unionsrecht in einem bestimmten Bereich anzuwenden ist. Dazu sollten die gemäß Artikel 4 Absatz 2 der Verordnung (EU) Nr. 1093/2010 zuständigen Behörden die an sie gerichteten Leitlinien in geeigneter Weise in ihre Aufsichtspraktiken (z. B. durch Änderung ihres Rechtsrahmens oder ihrer Aufsichtsverfahren) integrieren, einschließlich der Leitlinien in diesem Dokument, die in erster Linie an Institute gerichtet sind.</w:t>
      </w:r>
    </w:p>
    <w:p w:rsidRPr="008C4546" w:rsidR="00B43E07" w:rsidP="00B43E07" w:rsidRDefault="00B43E07" w14:paraId="141EDBC6" w14:textId="77777777">
      <w:pPr>
        <w:pStyle w:val="Titlelevel2"/>
      </w:pPr>
      <w:r w:rsidRPr="008C4546">
        <w:t>Meldepflichten</w:t>
      </w:r>
    </w:p>
    <w:p w:rsidRPr="008C4546" w:rsidR="00B43E07" w:rsidP="00FA0A8B" w:rsidRDefault="00236329" w14:paraId="7EE20541" w14:textId="74F8D1C0">
      <w:pPr>
        <w:pStyle w:val="body"/>
        <w:numPr>
          <w:ilvl w:val="0"/>
          <w:numId w:val="10"/>
        </w:numPr>
      </w:pPr>
      <w:r w:rsidRPr="008C4546">
        <w:t xml:space="preserve">In Übereinstimmung mit Artikel 16 Absatz 3 der Verordnung (EU) Nr. 1093/2010 müssen die zuständigen Behörden die EBA bis zum </w:t>
      </w:r>
      <w:r w:rsidR="00424474">
        <w:t xml:space="preserve">16.02.2021 </w:t>
      </w:r>
      <w:r w:rsidRPr="008C4546">
        <w:t>unterrichten, dass sie diesen Leitlinien nachkommen oder nachzukommen beabsichtigen bzw. andernfalls die Nichteinhaltung begründen. Geht innerhalb der genannten Frist keine Mitteilung ein, geht die EBA davon aus, dass die zuständigen Behörden den Anforderungen nicht nachkommen. Die Mitteilungen sind unter Verwendung des auf der Website der EBA abrufbaren Formulars mit dem Betreff „EBA/GL/2020/14“ zu übermitteln. Die Mitteilungen sollten durch Personen erfolgen, die befugt sind, im Namen ihrer Behörde die Einhaltung bzw. Nichteinhaltung der Leitlinien zu melden. Jegliche Änderungen des Status der Einhaltung müssen der EBA ebenfalls gemeldet werden.</w:t>
      </w:r>
    </w:p>
    <w:p w:rsidRPr="008C4546" w:rsidR="00B43E07" w:rsidP="00FA0A8B" w:rsidRDefault="00B43E07" w14:paraId="3FF09602" w14:textId="563622BD">
      <w:pPr>
        <w:pStyle w:val="body"/>
        <w:numPr>
          <w:ilvl w:val="0"/>
          <w:numId w:val="10"/>
        </w:numPr>
      </w:pPr>
      <w:r w:rsidRPr="008C4546">
        <w:t>Die Mitteilungen werden gemäß Artikel 16 Absatz 3 der EBA-Verordnung auf der Website der EBA veröffentlicht.</w:t>
      </w:r>
    </w:p>
    <w:p w:rsidRPr="008C4546" w:rsidR="00B43E07" w:rsidP="00B43E07" w:rsidRDefault="00B43E07" w14:paraId="0BB7AD43" w14:textId="77777777">
      <w:pPr>
        <w:pStyle w:val="Titlelevel2"/>
      </w:pPr>
      <w:r w:rsidRPr="008C4546">
        <w:br w:type="page"/>
      </w:r>
    </w:p>
    <w:p w:rsidRPr="008C4546" w:rsidR="00B43E07" w:rsidP="00CE3517" w:rsidRDefault="00B43E07" w14:paraId="207E9159" w14:textId="77777777">
      <w:pPr>
        <w:pStyle w:val="Numberedtilelevel1"/>
      </w:pPr>
      <w:r w:rsidRPr="008C4546">
        <w:lastRenderedPageBreak/>
        <w:t>Gegenstand, Anwendungsbereich und Begriffsbestimmungen</w:t>
      </w:r>
    </w:p>
    <w:p w:rsidRPr="008C4546" w:rsidR="00B43E07" w:rsidP="00B43E07" w:rsidRDefault="00B43E07" w14:paraId="329ACB0A" w14:textId="77777777">
      <w:pPr>
        <w:pStyle w:val="Titlelevel2"/>
      </w:pPr>
      <w:r w:rsidRPr="008C4546">
        <w:t>Gegenstand</w:t>
      </w:r>
    </w:p>
    <w:p w:rsidRPr="008C4546" w:rsidR="00DE0FE1" w:rsidP="00FA0A8B" w:rsidRDefault="00DE0FE1" w14:paraId="667A5E79" w14:textId="75DF9FF9">
      <w:pPr>
        <w:pStyle w:val="body"/>
        <w:numPr>
          <w:ilvl w:val="0"/>
          <w:numId w:val="10"/>
        </w:numPr>
      </w:pPr>
      <w:r w:rsidRPr="008C4546">
        <w:t>Diese Leitlinien betreffen:</w:t>
      </w:r>
    </w:p>
    <w:p w:rsidRPr="008C4546" w:rsidR="00DE0FE1" w:rsidP="00FA0A8B" w:rsidRDefault="00DE0FE1" w14:paraId="7F872996" w14:textId="017F20C9">
      <w:pPr>
        <w:pStyle w:val="body"/>
        <w:numPr>
          <w:ilvl w:val="1"/>
          <w:numId w:val="13"/>
        </w:numPr>
      </w:pPr>
      <w:r w:rsidRPr="008C4546">
        <w:t>die Festlegung der Indikatoren, die zur Bestimmung global systemrelevanter Institute (G-SRI), wie in der Verordnung (EU) Nr. 1222/2014 dargelegt, verwendet werden („Indikatoren“); und</w:t>
      </w:r>
    </w:p>
    <w:p w:rsidRPr="008C4546" w:rsidR="00B43E07" w:rsidP="00FA0A8B" w:rsidRDefault="00DE0FE1" w14:paraId="776C11F3" w14:textId="58E74370">
      <w:pPr>
        <w:pStyle w:val="body"/>
        <w:numPr>
          <w:ilvl w:val="1"/>
          <w:numId w:val="13"/>
        </w:numPr>
      </w:pPr>
      <w:r w:rsidRPr="008C4546">
        <w:t>die Meldung der zugrundeliegenden Daten (Indikatoren, zusätzliche Angaben und nachrichtliche Positionen) und die jährliche Offenlegung der sich ergebenden Werte der Indikatoren, die zur Bestimmung von G-SRI verwendet werden.</w:t>
      </w:r>
    </w:p>
    <w:p w:rsidRPr="008C4546" w:rsidR="00B43E07" w:rsidP="00B43E07" w:rsidRDefault="00B43E07" w14:paraId="07F996E2" w14:textId="77777777">
      <w:pPr>
        <w:pStyle w:val="Titlelevel2"/>
      </w:pPr>
      <w:r w:rsidRPr="008C4546">
        <w:t>Anwendungsbereich</w:t>
      </w:r>
    </w:p>
    <w:p w:rsidRPr="008C4546" w:rsidR="00DE0FE1" w:rsidP="00FA0A8B" w:rsidRDefault="00B43E07" w14:paraId="71B629CF" w14:textId="05197A71">
      <w:pPr>
        <w:pStyle w:val="body"/>
        <w:numPr>
          <w:ilvl w:val="0"/>
          <w:numId w:val="10"/>
        </w:numPr>
      </w:pPr>
      <w:r w:rsidRPr="008C4546">
        <w:t>Diese Leitlinien gelten für</w:t>
      </w:r>
    </w:p>
    <w:p w:rsidRPr="008C4546" w:rsidR="00DE0FE1" w:rsidP="00FA0A8B" w:rsidRDefault="000F3C24" w14:paraId="73EAD676" w14:textId="3140197F">
      <w:pPr>
        <w:pStyle w:val="body"/>
        <w:numPr>
          <w:ilvl w:val="0"/>
          <w:numId w:val="14"/>
        </w:numPr>
      </w:pPr>
      <w:r w:rsidRPr="008C4546">
        <w:t>Gruppen, die von einem EU-Mutterinstitut, einer EU-Mutterfinanzholdinggesellschaft oder einer gemischten EU-Mutterfinanzholdinggesellschaft geleitet werden, und</w:t>
      </w:r>
    </w:p>
    <w:p w:rsidRPr="008C4546" w:rsidR="00B43E07" w:rsidP="00FA0A8B" w:rsidRDefault="00DE0FE1" w14:paraId="0D1E1C78" w14:textId="031EF3C2">
      <w:pPr>
        <w:pStyle w:val="body"/>
        <w:numPr>
          <w:ilvl w:val="0"/>
          <w:numId w:val="14"/>
        </w:numPr>
      </w:pPr>
      <w:r w:rsidRPr="008C4546">
        <w:t>Institute, die keine Tochterunternehmen eines EU-Mutterinstituts, einer EU-Mutterfinanzholdinggesellschaft oder einer gemischten EU-Mutterfinanzholdinggesellschaft sind,</w:t>
      </w:r>
    </w:p>
    <w:p w:rsidRPr="008C4546" w:rsidR="00B43E07" w:rsidP="00DE0FE1" w:rsidRDefault="003A2221" w14:paraId="5736DC31" w14:textId="54A8D23B">
      <w:pPr>
        <w:pStyle w:val="body"/>
      </w:pPr>
      <w:r w:rsidRPr="008C4546">
        <w:t>die bei Anwendung eines angemessenen Wechselkurses, der den von der Europäischen Zentralbank am Ende des Geschäftsjahres veröffentlichten Referenzwechselkurs sowie internationale Standards berücksichtigt, jeweils (einschließlich Versicherungstochtergesellschaften) eine Risikomessgröße für die Verschuldungsquote von über 200 Mrd. EUR auf konsolidierter Basis oder Einzelbasis aufweisen („relevante Unternehmen“).</w:t>
      </w:r>
    </w:p>
    <w:p w:rsidRPr="008C4546" w:rsidR="00B43E07" w:rsidP="00B43E07" w:rsidRDefault="00B43E07" w14:paraId="6EAA3145" w14:textId="77777777">
      <w:pPr>
        <w:pStyle w:val="Titlelevel2"/>
      </w:pPr>
      <w:r w:rsidRPr="008C4546">
        <w:t>Adressaten</w:t>
      </w:r>
    </w:p>
    <w:p w:rsidRPr="008C4546" w:rsidR="00B43E07" w:rsidP="00FA0A8B" w:rsidRDefault="00DE0FE1" w14:paraId="12310C5F" w14:textId="42F50B99">
      <w:pPr>
        <w:pStyle w:val="body"/>
        <w:numPr>
          <w:ilvl w:val="0"/>
          <w:numId w:val="10"/>
        </w:numPr>
      </w:pPr>
      <w:r w:rsidRPr="008C4546">
        <w:t>Diese Leitlinien sind an zuständige Behörden im Sinne von Artikel 4 Absatz 2 Ziffer i der Verordnung (EU) Nr. 1093/2010 und an Finanzinstitute, für die diese Leitlinien gelten, gerichtet. Benannte Behörden im Sinne von Artikel 131 Absatz 1 der Richtlinie 2013/36/EU, bei denen es sich nicht um zuständige Behörden handelt, werden ermutigt, diese Leitlinien anzuwenden. Sowohl die zuständigen als auch benannten Behörden werden in diesen Leitlinien als „relevante Behörden“ bezeichnet.</w:t>
      </w:r>
    </w:p>
    <w:p w:rsidRPr="008C4546" w:rsidR="00DE0FE1" w:rsidP="00FA0A8B" w:rsidRDefault="00DE0FE1" w14:paraId="52A8B3D5" w14:textId="77777777">
      <w:pPr>
        <w:pStyle w:val="ListParagraph"/>
        <w:numPr>
          <w:ilvl w:val="0"/>
          <w:numId w:val="10"/>
        </w:numPr>
      </w:pPr>
      <w:r w:rsidRPr="008C4546">
        <w:br w:type="page"/>
      </w:r>
    </w:p>
    <w:p w:rsidRPr="008C4546" w:rsidR="00B43E07" w:rsidP="00CE3517" w:rsidRDefault="00B43E07" w14:paraId="25D099DB" w14:textId="77777777">
      <w:pPr>
        <w:pStyle w:val="Numberedtilelevel1"/>
      </w:pPr>
      <w:r w:rsidRPr="008C4546">
        <w:lastRenderedPageBreak/>
        <w:t>Umsetzung</w:t>
      </w:r>
    </w:p>
    <w:p w:rsidRPr="008C4546" w:rsidR="00B43E07" w:rsidP="00B43E07" w:rsidRDefault="00B43E07" w14:paraId="4EAB2FB0" w14:textId="77777777">
      <w:pPr>
        <w:pStyle w:val="Titlelevel2"/>
      </w:pPr>
      <w:r w:rsidRPr="008C4546">
        <w:t>Geltungsbeginn</w:t>
      </w:r>
    </w:p>
    <w:p w:rsidRPr="008C4546" w:rsidR="00B43E07" w:rsidP="00FA0A8B" w:rsidRDefault="00DE0FE1" w14:paraId="18515792" w14:textId="7B7ADC11">
      <w:pPr>
        <w:pStyle w:val="body"/>
        <w:numPr>
          <w:ilvl w:val="0"/>
          <w:numId w:val="15"/>
        </w:numPr>
      </w:pPr>
      <w:r w:rsidRPr="008C4546">
        <w:t>Diese Leitlinien gelten ab dem</w:t>
      </w:r>
      <w:r w:rsidR="00424474">
        <w:t xml:space="preserve"> 16.12.2020.</w:t>
      </w:r>
    </w:p>
    <w:p w:rsidRPr="008C4546" w:rsidR="00B43E07" w:rsidP="00B43E07" w:rsidRDefault="00B43E07" w14:paraId="4AB150AF" w14:textId="64BC8239">
      <w:pPr>
        <w:pStyle w:val="Titlelevel2"/>
      </w:pPr>
      <w:r w:rsidRPr="008C4546">
        <w:t>Aufhebung</w:t>
      </w:r>
    </w:p>
    <w:p w:rsidRPr="008C4546" w:rsidR="00B43E07" w:rsidP="00A41338" w:rsidRDefault="00BD1538" w14:paraId="0F71334D" w14:textId="7A7E5567">
      <w:r w:rsidRPr="008C4546">
        <w:t>Die überarbeiteten Leitlinien zur weiteren Festlegung der Indikatoren für die globale systemische Relevanz und deren Offenlegung vom 29. Februar 2016 (EBA/GL/2016/01) werden</w:t>
      </w:r>
      <w:r w:rsidR="00B73992">
        <w:t xml:space="preserve"> hiermit</w:t>
      </w:r>
      <w:r w:rsidRPr="008C4546">
        <w:t xml:space="preserve"> aufgehoben.</w:t>
      </w:r>
    </w:p>
    <w:p w:rsidRPr="008C4546" w:rsidR="00BD1538" w:rsidP="00B43E07" w:rsidRDefault="00BD1538" w14:paraId="30F30A96" w14:textId="77777777">
      <w:pPr>
        <w:pStyle w:val="body"/>
        <w:rPr>
          <w:lang w:val="en-GB"/>
        </w:rPr>
        <w:sectPr w:rsidRPr="008C4546" w:rsidR="00BD1538" w:rsidSect="0073023F">
          <w:headerReference w:type="even" r:id="rId12"/>
          <w:headerReference w:type="default" r:id="rId13"/>
          <w:footerReference w:type="even" r:id="rId14"/>
          <w:footerReference w:type="default" r:id="rId15"/>
          <w:headerReference w:type="first" r:id="rId16"/>
          <w:pgSz w:w="11900" w:h="16840"/>
          <w:pgMar w:top="2268" w:right="1418" w:bottom="1134" w:left="1701" w:header="709" w:footer="397" w:gutter="0"/>
          <w:cols w:space="708"/>
          <w:docGrid w:linePitch="299"/>
        </w:sectPr>
      </w:pPr>
    </w:p>
    <w:p w:rsidRPr="008C4546" w:rsidR="00B43E07" w:rsidP="00FA0A8B" w:rsidRDefault="00BD1538" w14:paraId="4D344DEC" w14:textId="3CE1317D">
      <w:pPr>
        <w:pStyle w:val="Numberedtilelevel1"/>
        <w:ind w:right="1116"/>
        <w:jc w:val="both"/>
      </w:pPr>
      <w:r w:rsidRPr="008C4546">
        <w:lastRenderedPageBreak/>
        <w:t>Festlegung der zugrundeliegenden Daten und Indikatoren, die zur Bestimmung von G-SRI verwendet werden</w:t>
      </w:r>
    </w:p>
    <w:p w:rsidR="000204E9" w:rsidP="000204E9" w:rsidRDefault="000204E9" w14:paraId="53EEA710" w14:textId="058BFBBE">
      <w:pPr>
        <w:pStyle w:val="body"/>
        <w:ind w:right="1116"/>
        <w:rPr>
          <w:iCs/>
        </w:rPr>
      </w:pPr>
      <w:r w:rsidRPr="007B541C">
        <w:rPr>
          <w:spacing w:val="-1"/>
          <w:highlight w:val="green"/>
        </w:rPr>
        <w:sym w:font="Wingdings" w:char="F0DA"/>
      </w:r>
      <w:r w:rsidRPr="007B541C">
        <w:rPr>
          <w:spacing w:val="-1"/>
          <w:highlight w:val="green"/>
        </w:rPr>
        <w:t>A1</w:t>
      </w:r>
    </w:p>
    <w:p w:rsidRPr="0018120C" w:rsidR="00B43E07" w:rsidP="00FA0A8B" w:rsidRDefault="0018120C" w14:paraId="50643877" w14:textId="0292C726">
      <w:pPr>
        <w:pStyle w:val="body"/>
        <w:numPr>
          <w:ilvl w:val="0"/>
          <w:numId w:val="15"/>
        </w:numPr>
        <w:ind w:right="1116"/>
        <w:rPr>
          <w:iCs/>
        </w:rPr>
      </w:pPr>
      <w:r w:rsidRPr="0018120C">
        <w:rPr>
          <w:iCs/>
        </w:rPr>
        <w:t>Die relevanten Behörden und relevanten Unternehmen sollten die Anweisungen und Spezifikationen für die im Anhang aufgeführten Datenelemente befolgen, die unter dem Link ‚Reporting instructions‘ auf der EBA-Website in der Rubrik „G-SII“ aufgeführt sind</w:t>
      </w:r>
      <w:r w:rsidRPr="0018120C">
        <w:rPr>
          <w:rStyle w:val="FootnoteReference"/>
          <w:iCs/>
        </w:rPr>
        <w:footnoteReference w:id="3"/>
      </w:r>
      <w:r w:rsidRPr="0018120C">
        <w:rPr>
          <w:iCs/>
        </w:rPr>
        <w:t>.</w:t>
      </w:r>
    </w:p>
    <w:p w:rsidRPr="0018120C" w:rsidR="00FF3644" w:rsidP="00FA0A8B" w:rsidRDefault="0018120C" w14:paraId="6FFE68F4" w14:textId="77777777">
      <w:pPr>
        <w:pStyle w:val="body"/>
        <w:numPr>
          <w:ilvl w:val="0"/>
          <w:numId w:val="15"/>
        </w:numPr>
        <w:ind w:right="1116"/>
        <w:rPr>
          <w:iCs/>
        </w:rPr>
      </w:pPr>
      <w:r w:rsidRPr="00FF3644">
        <w:rPr>
          <w:iCs/>
        </w:rPr>
        <w:t xml:space="preserve">Die relevanten Behörden sollten die zusätzlichen Angaben (Abschnitte 15 und 16 des Anhangs zu diesen Leitlinien) heranziehen, um ihr aufsichtliches Ermessen gemäß Artikel 131 Absatz 10 der Richtlinie 2013/36/EU zu stützen. Außerdem sollten sie die nachrichtlichen Positionen (Abschnitte 17 bis 22 des Anhangs) berücksichtigen, um die Qualität der Daten zu erhöhen und künftige Verbesserungen an der Ermittlungsmethode zu erleichtern. Die nachrichtlichen Positionen sollten ggf. von relevanten Unternehmen mit ausführlichen Anmerkungen zur Datenqualität und </w:t>
      </w:r>
      <w:r w:rsidRPr="00FF3644">
        <w:rPr>
          <w:iCs/>
        </w:rPr>
        <w:noBreakHyphen/>
        <w:t>verfügbarkeit ergänzt werden</w:t>
      </w:r>
      <w:r w:rsidRPr="00FF3644" w:rsidR="003A2221">
        <w:rPr>
          <w:iCs/>
        </w:rPr>
        <w:t>.</w:t>
      </w:r>
    </w:p>
    <w:p w:rsidRPr="00FF3644" w:rsidR="00FF3644" w:rsidP="00FA0A8B" w:rsidRDefault="00FF3644" w14:paraId="168F8750" w14:textId="7341BFE4">
      <w:pPr>
        <w:pStyle w:val="body"/>
        <w:ind w:left="426" w:right="1138" w:hanging="426"/>
        <w:sectPr w:rsidRPr="00FF3644" w:rsidR="00FF3644">
          <w:footnotePr>
            <w:numStart w:val="5"/>
          </w:footnotePr>
          <w:pgSz w:w="11910" w:h="16840"/>
          <w:pgMar w:top="1400" w:right="280" w:bottom="1140" w:left="1300" w:header="709" w:footer="914" w:gutter="0"/>
          <w:cols w:space="720"/>
        </w:sectPr>
      </w:pPr>
      <w:r w:rsidRPr="00FF3644">
        <w:t>10a.</w:t>
      </w:r>
      <w:r w:rsidR="00FA0A8B">
        <w:tab/>
      </w:r>
      <w:r w:rsidRPr="00FF3644">
        <w:rPr>
          <w:iCs/>
        </w:rPr>
        <w:t>Gemäß Artikel 131 Absatz 2 Buchstabe a der Richtlinie 2013/36/EU, der eine zusätzliche Ermittlungsmethode vorschreibt, die grenzüberschreitende Tätigkeiten im Rahmen des einheitlichen Abwicklungsmechanismus (SRM) ausschließt, und im Einklang mit der internationalen Vereinbarung des Basler Ausschusses vom 31. Mai 2022, die Fortschritte bei der Entwicklung der Europäischen Bankenunion anzuerkennen, sollten Datenpositionen, die für die Berechnung der angepassten grenzüberschreitenden SRM-Indikatoren von Instituten mit Sitz in Mitgliedstaaten, die dem einheitlichen Abwicklungsmechanismus angehören, relevant sind, als Teil der grenzüberschreitenden Tätigkeitsindikatoren, und als solche gemäß Abschnitt 12 offengelegt und nicht als zusätzliche Angaben und nachrichtliche Positionen für die G-SRI-Methode zur Ermittlung und Einstufung in eine Teilkategorie betrachtet werden</w:t>
      </w:r>
      <w:r w:rsidRPr="00FF3644">
        <w:t>.</w:t>
      </w:r>
    </w:p>
    <w:p w:rsidRPr="008C4546" w:rsidR="00B43E07" w:rsidP="00BD1538" w:rsidRDefault="00BD1538" w14:paraId="6CDBC73A" w14:textId="0437A60A">
      <w:pPr>
        <w:pStyle w:val="Numberedtilelevel1"/>
        <w:jc w:val="both"/>
      </w:pPr>
      <w:r w:rsidRPr="008C4546">
        <w:lastRenderedPageBreak/>
        <w:t>Anforderungen an die Bericht</w:t>
      </w:r>
      <w:r w:rsidR="00FA0A8B">
        <w:softHyphen/>
      </w:r>
      <w:r w:rsidRPr="008C4546">
        <w:t>ers</w:t>
      </w:r>
      <w:r w:rsidRPr="008C4546" w:rsidR="00B32B76">
        <w:t>tattung</w:t>
      </w:r>
      <w:r w:rsidRPr="008C4546">
        <w:t xml:space="preserve"> und Offenlegung durch relevante Institute</w:t>
      </w:r>
    </w:p>
    <w:p w:rsidRPr="008C4546" w:rsidR="0007574B" w:rsidP="00FA0A8B" w:rsidRDefault="0018120C" w14:paraId="107B3895" w14:textId="445FBB74">
      <w:pPr>
        <w:pStyle w:val="body"/>
        <w:numPr>
          <w:ilvl w:val="0"/>
          <w:numId w:val="15"/>
        </w:numPr>
      </w:pPr>
      <w:r w:rsidRPr="0018120C">
        <w:rPr>
          <w:iCs/>
        </w:rPr>
        <w:t>Die relevanten Behörden sollten sicherstellen, dass sie alle im Anhang zu diesen Leitlinien genannten Daten von relevanten Unternehmen, die die in Absatz 6 dieser Richtlinien dargelegten Kriterien erfüllen, am 31. Dezember jedes Jahres erfassen</w:t>
      </w:r>
      <w:r w:rsidRPr="008C4546" w:rsidR="003A2221">
        <w:t>.</w:t>
      </w:r>
    </w:p>
    <w:p w:rsidR="0007574B" w:rsidP="00FA0A8B" w:rsidRDefault="0018120C" w14:paraId="623657F6" w14:textId="12AEB290">
      <w:pPr>
        <w:pStyle w:val="body"/>
        <w:numPr>
          <w:ilvl w:val="0"/>
          <w:numId w:val="15"/>
        </w:numPr>
        <w:rPr>
          <w:iCs/>
        </w:rPr>
      </w:pPr>
      <w:r w:rsidRPr="0018120C">
        <w:rPr>
          <w:iCs/>
        </w:rPr>
        <w:t>Die relevanten Behörden sollten sicherstellen, dass die relevanten Unternehmen auf ihren Websites jährlich die in den Abschnitten 1 bis 14 des Anhangs zu diesen Leitlinien angegebenen Indikatorwerte sowie, wenn die zusätzliche Ermittlungsmethode des SRM erforderlich ist, die Punkte e, f und g des Abschnitts 21 sowie alle anderen Punkte des Abschnitts 21, die sich auf grenzüberschreitende Tätigkeiten des SRM beziehen und für die Berechnung dieser Methode durch die jeweils zuständige Behörde als relevant angesehen werden könnten, offenlegen</w:t>
      </w:r>
      <w:r w:rsidRPr="0018120C" w:rsidR="003A2221">
        <w:rPr>
          <w:iCs/>
        </w:rPr>
        <w:t>.</w:t>
      </w:r>
    </w:p>
    <w:p w:rsidRPr="0018120C" w:rsidR="000204E9" w:rsidP="000204E9" w:rsidRDefault="000204E9" w14:paraId="5305020C" w14:textId="755CC881">
      <w:pPr>
        <w:pStyle w:val="BodyText"/>
        <w:tabs>
          <w:tab w:val="left" w:pos="1802"/>
        </w:tabs>
        <w:spacing w:before="100" w:after="60" w:line="276" w:lineRule="auto"/>
        <w:ind w:right="232"/>
        <w:jc w:val="both"/>
        <w:rPr>
          <w:iCs/>
        </w:rPr>
      </w:pPr>
      <w:r w:rsidRPr="007B541C">
        <w:rPr>
          <w:spacing w:val="-1"/>
          <w:highlight w:val="yellow"/>
        </w:rPr>
        <w:sym w:font="Wingdings" w:char="F0DA"/>
      </w:r>
      <w:r w:rsidRPr="007B541C">
        <w:rPr>
          <w:spacing w:val="-1"/>
          <w:highlight w:val="yellow"/>
        </w:rPr>
        <w:t>O</w:t>
      </w:r>
    </w:p>
    <w:p w:rsidR="0007574B" w:rsidP="00FA0A8B" w:rsidRDefault="0007574B" w14:paraId="59D95C2C" w14:textId="1F606D56">
      <w:pPr>
        <w:pStyle w:val="body"/>
        <w:numPr>
          <w:ilvl w:val="0"/>
          <w:numId w:val="15"/>
        </w:numPr>
      </w:pPr>
      <w:r w:rsidRPr="008C4546">
        <w:t>Bei der Meldung und Offenlegung der Informationen gemäß den Absätzen 11 und 12 sollten die relevanten Unternehmen die elektronische Vorlage verwenden und die jährlichen Anweisungen befolgen, die zu diesem Zweck auf der Website der EBA veröffentlicht werden.</w:t>
      </w:r>
    </w:p>
    <w:p w:rsidRPr="008C4546" w:rsidR="000204E9" w:rsidP="000204E9" w:rsidRDefault="000204E9" w14:paraId="514F4752" w14:textId="696FEEC7">
      <w:pPr>
        <w:pStyle w:val="body"/>
      </w:pPr>
      <w:r w:rsidRPr="007B541C">
        <w:rPr>
          <w:spacing w:val="-1"/>
          <w:highlight w:val="green"/>
        </w:rPr>
        <w:sym w:font="Wingdings" w:char="F0DA"/>
      </w:r>
      <w:r w:rsidRPr="007B541C">
        <w:rPr>
          <w:spacing w:val="-1"/>
          <w:highlight w:val="green"/>
        </w:rPr>
        <w:t>A1</w:t>
      </w:r>
    </w:p>
    <w:p w:rsidR="006C6D8E" w:rsidP="00FA0A8B" w:rsidRDefault="0018120C" w14:paraId="5F511C1E" w14:textId="5074A1DE">
      <w:pPr>
        <w:pStyle w:val="body"/>
        <w:numPr>
          <w:ilvl w:val="0"/>
          <w:numId w:val="15"/>
        </w:numPr>
        <w:rPr>
          <w:iCs/>
        </w:rPr>
      </w:pPr>
      <w:r w:rsidRPr="0018120C">
        <w:rPr>
          <w:iCs/>
        </w:rPr>
        <w:t>Die relevanten Unternehmen sollten den zuständigen Behörden die in Absatz 11 genannten Informationen übermitteln und die in Absatz 12 genannten Informationen jährlich spätestens vier Monate nach dem Ende jedes Geschäftsjahres offenlegen, beginnend mit dem zweiten aufeinanderfolgenden Ende des Geschäftsjahres, an dem der in Absatz 6 dieser Leitlinien festgelegte Schwellenwert überschritten wurde. Dabei sollten die relevanten Unternehmen ihre Rechtsträgerkennung (LEI) angeben</w:t>
      </w:r>
      <w:r w:rsidRPr="0018120C" w:rsidR="0007574B">
        <w:rPr>
          <w:iCs/>
        </w:rPr>
        <w:t>.</w:t>
      </w:r>
    </w:p>
    <w:p w:rsidRPr="0018120C" w:rsidR="000204E9" w:rsidP="000204E9" w:rsidRDefault="000204E9" w14:paraId="2572A647" w14:textId="23975FC3">
      <w:pPr>
        <w:pStyle w:val="BodyText"/>
        <w:tabs>
          <w:tab w:val="left" w:pos="1802"/>
        </w:tabs>
        <w:spacing w:before="100" w:after="60" w:line="276" w:lineRule="auto"/>
        <w:ind w:right="232"/>
        <w:jc w:val="both"/>
        <w:rPr>
          <w:iCs/>
        </w:rPr>
      </w:pPr>
      <w:r w:rsidRPr="007B541C">
        <w:rPr>
          <w:spacing w:val="-1"/>
          <w:highlight w:val="yellow"/>
        </w:rPr>
        <w:sym w:font="Wingdings" w:char="F0DA"/>
      </w:r>
      <w:r w:rsidRPr="007B541C">
        <w:rPr>
          <w:spacing w:val="-1"/>
          <w:highlight w:val="yellow"/>
        </w:rPr>
        <w:t>O</w:t>
      </w:r>
    </w:p>
    <w:p w:rsidRPr="008C4546" w:rsidR="0007574B" w:rsidP="00FA0A8B" w:rsidRDefault="003A2221" w14:paraId="02B1DBBB" w14:textId="35B7F7D9">
      <w:pPr>
        <w:pStyle w:val="body"/>
        <w:numPr>
          <w:ilvl w:val="0"/>
          <w:numId w:val="15"/>
        </w:numPr>
      </w:pPr>
      <w:r w:rsidRPr="008C4546">
        <w:t>Die relevanten Behörden können den relevanten Unternehmen, deren Geschäftsjahresende nicht auf den 31. Dezember fällt, gestatten, diese Informationen ausgehend von ihrer Lage zu einem so nah wie möglich am 31. Dezember liegenden Zeitpunkt zu melden und offenzulegen. In jedem Fall sollte die Offenlegung der Informationen spätestens bis zum 31. Juli erfolgen.</w:t>
      </w:r>
    </w:p>
    <w:p w:rsidRPr="008C4546" w:rsidR="00B43E07" w:rsidP="00FA0A8B" w:rsidRDefault="003A2221" w14:paraId="0BE8B0EA" w14:textId="3AD888C3">
      <w:pPr>
        <w:pStyle w:val="body"/>
        <w:numPr>
          <w:ilvl w:val="0"/>
          <w:numId w:val="15"/>
        </w:numPr>
      </w:pPr>
      <w:r w:rsidRPr="008C4546">
        <w:t>Die relevanten Behörden sollten bei Bedarf sicherstellen, dass die gemeldeten und offengelegten Daten mit denen identisch sind, die beim Baseler Ausschuss für Bankenaufsicht eingereicht werden.</w:t>
      </w:r>
    </w:p>
    <w:p w:rsidRPr="008C4546" w:rsidR="006C6D8E" w:rsidP="006C6D8E" w:rsidRDefault="006C6D8E" w14:paraId="304AED26" w14:textId="0684F911">
      <w:pPr>
        <w:pStyle w:val="body"/>
      </w:pPr>
    </w:p>
    <w:p w:rsidRPr="008C4546" w:rsidR="006C6D8E" w:rsidP="006C6D8E" w:rsidRDefault="006C6D8E" w14:paraId="3653C3DD" w14:textId="77777777">
      <w:pPr>
        <w:pStyle w:val="body"/>
        <w:sectPr w:rsidRPr="008C4546" w:rsidR="006C6D8E" w:rsidSect="0073023F">
          <w:pgSz w:w="11900" w:h="16840"/>
          <w:pgMar w:top="2268" w:right="1418" w:bottom="1134" w:left="1701" w:header="709" w:footer="397" w:gutter="0"/>
          <w:cols w:space="708"/>
          <w:docGrid w:linePitch="299"/>
        </w:sectPr>
      </w:pPr>
    </w:p>
    <w:p w:rsidRPr="008C4546" w:rsidR="00B43E07" w:rsidP="006C6D8E" w:rsidRDefault="006C6D8E" w14:paraId="78D7CAE2" w14:textId="0D9CA5B9">
      <w:pPr>
        <w:pStyle w:val="Numberedtilelevel1"/>
        <w:jc w:val="both"/>
      </w:pPr>
      <w:r w:rsidRPr="008C4546">
        <w:lastRenderedPageBreak/>
        <w:t>Informationen an die EBA</w:t>
      </w:r>
    </w:p>
    <w:p w:rsidRPr="008C4546" w:rsidR="006C6D8E" w:rsidP="00FA0A8B" w:rsidRDefault="003A2221" w14:paraId="0966C959" w14:textId="52E7A3EF">
      <w:pPr>
        <w:pStyle w:val="body"/>
        <w:numPr>
          <w:ilvl w:val="0"/>
          <w:numId w:val="15"/>
        </w:numPr>
      </w:pPr>
      <w:r w:rsidRPr="008C4546">
        <w:t>Die relevanten Behörden sollten der EBA alle Daten, einschließlich der zusätzlichen Angaben und der nachrichtlichen Positionen, die in Übereinstimmung mit diesen Leitlinien erfasst wurden, bereitstellen, damit sie auf der Website der EBA zusammengetragen werden können. Relevante Unternehmen sollten ihre LEI angeben. Die EBA veröffentlicht die zusätzlichen Angaben und nachrichtlichen Positionen nicht.</w:t>
      </w:r>
    </w:p>
    <w:p w:rsidRPr="008C4546" w:rsidR="006C6D8E" w:rsidP="00B43E07" w:rsidRDefault="006C6D8E" w14:paraId="001293F4" w14:textId="77777777">
      <w:pPr>
        <w:pStyle w:val="body"/>
        <w:rPr>
          <w:lang w:eastAsia="en-GB"/>
        </w:rPr>
        <w:sectPr w:rsidRPr="008C4546" w:rsidR="006C6D8E" w:rsidSect="000F33D3">
          <w:pgSz w:w="11900" w:h="16840"/>
          <w:pgMar w:top="2268" w:right="1418" w:bottom="1134" w:left="1701" w:header="709" w:footer="709" w:gutter="0"/>
          <w:cols w:space="708"/>
          <w:docGrid w:linePitch="299"/>
        </w:sectPr>
      </w:pPr>
    </w:p>
    <w:p w:rsidRPr="008C4546" w:rsidR="006C6D8E" w:rsidP="006C6D8E" w:rsidRDefault="006C6D8E" w14:paraId="6FBD395E" w14:textId="77777777">
      <w:pPr>
        <w:pStyle w:val="Contenttitle"/>
      </w:pPr>
      <w:r w:rsidRPr="008C4546">
        <w:lastRenderedPageBreak/>
        <w:t>Anhang</w:t>
      </w:r>
    </w:p>
    <w:tbl>
      <w:tblPr>
        <w:tblStyle w:val="TableGrid1"/>
        <w:tblW w:w="9549" w:type="dxa"/>
        <w:tblLook w:val="04A0" w:firstRow="1" w:lastRow="0" w:firstColumn="1" w:lastColumn="0" w:noHBand="0" w:noVBand="1"/>
      </w:tblPr>
      <w:tblGrid>
        <w:gridCol w:w="6804"/>
        <w:gridCol w:w="2745"/>
      </w:tblGrid>
      <w:tr w:rsidRPr="00C32842" w:rsidR="0018120C" w:rsidTr="00E13391" w14:paraId="48325133" w14:textId="77777777">
        <w:trPr>
          <w:trHeight w:val="420"/>
        </w:trPr>
        <w:tc>
          <w:tcPr>
            <w:tcW w:w="9549" w:type="dxa"/>
            <w:gridSpan w:val="2"/>
            <w:tcBorders>
              <w:top w:val="nil"/>
              <w:left w:val="nil"/>
              <w:bottom w:val="nil"/>
              <w:right w:val="nil"/>
            </w:tcBorders>
            <w:noWrap/>
            <w:hideMark/>
          </w:tcPr>
          <w:p w:rsidR="000204E9" w:rsidP="00E13391" w:rsidRDefault="000204E9" w14:paraId="1C3474CF" w14:textId="2371E4FE">
            <w:pPr>
              <w:keepNext/>
              <w:keepLines/>
              <w:spacing w:before="47"/>
              <w:outlineLvl w:val="5"/>
              <w:rPr>
                <w:rFonts w:ascii="Arial" w:hAnsi="Arial"/>
                <w:b/>
                <w:i/>
                <w:caps/>
                <w:color w:val="172B39" w:themeColor="accent1" w:themeShade="80"/>
                <w:sz w:val="24"/>
              </w:rPr>
            </w:pPr>
            <w:r w:rsidRPr="007B541C">
              <w:rPr>
                <w:spacing w:val="-1"/>
                <w:highlight w:val="green"/>
              </w:rPr>
              <w:sym w:font="Wingdings" w:char="F0DA"/>
            </w:r>
            <w:r w:rsidRPr="007B541C">
              <w:rPr>
                <w:spacing w:val="-1"/>
                <w:highlight w:val="green"/>
              </w:rPr>
              <w:t>A1</w:t>
            </w:r>
            <w:r w:rsidRPr="00C32842" w:rsidR="0018120C">
              <w:rPr>
                <w:rFonts w:ascii="Arial" w:hAnsi="Arial"/>
                <w:b/>
                <w:i/>
                <w:caps/>
                <w:color w:val="172B39" w:themeColor="accent1" w:themeShade="80"/>
                <w:sz w:val="24"/>
              </w:rPr>
              <w:t> </w:t>
            </w:r>
          </w:p>
          <w:p w:rsidRPr="00C32842" w:rsidR="0018120C" w:rsidP="00E13391" w:rsidRDefault="0018120C" w14:paraId="097AD461" w14:textId="47BF97EF">
            <w:pPr>
              <w:keepNext/>
              <w:keepLines/>
              <w:spacing w:before="47"/>
              <w:outlineLvl w:val="5"/>
              <w:rPr>
                <w:rFonts w:ascii="Arial" w:hAnsi="Arial" w:eastAsia="Times New Roman" w:cs="Arial"/>
                <w:b/>
                <w:bCs/>
                <w:sz w:val="24"/>
                <w:szCs w:val="24"/>
              </w:rPr>
            </w:pPr>
            <w:r w:rsidRPr="00C32842">
              <w:rPr>
                <w:rFonts w:asciiTheme="majorHAnsi" w:hAnsiTheme="majorHAnsi"/>
                <w:b/>
                <w:i/>
                <w:caps/>
              </w:rPr>
              <w:t>Allgemeine Bankdaten</w:t>
            </w:r>
            <w:r w:rsidRPr="00C32842">
              <w:rPr>
                <w:rFonts w:ascii="Arial" w:hAnsi="Arial"/>
                <w:i/>
                <w:caps/>
                <w:color w:val="172B39" w:themeColor="accent1" w:themeShade="80"/>
                <w:sz w:val="20"/>
              </w:rPr>
              <w:t> </w:t>
            </w:r>
            <w:r w:rsidRPr="00C32842">
              <w:rPr>
                <w:rFonts w:ascii="Arial" w:hAnsi="Arial"/>
                <w:sz w:val="20"/>
              </w:rPr>
              <w:t> </w:t>
            </w:r>
          </w:p>
        </w:tc>
      </w:tr>
      <w:tr w:rsidRPr="00C32842" w:rsidR="0018120C" w:rsidTr="00E13391" w14:paraId="422163C8" w14:textId="77777777">
        <w:trPr>
          <w:trHeight w:val="300"/>
        </w:trPr>
        <w:tc>
          <w:tcPr>
            <w:tcW w:w="6804" w:type="dxa"/>
            <w:tcBorders>
              <w:top w:val="nil"/>
              <w:left w:val="nil"/>
              <w:bottom w:val="single" w:color="auto" w:sz="4" w:space="0"/>
              <w:right w:val="nil"/>
            </w:tcBorders>
            <w:noWrap/>
          </w:tcPr>
          <w:p w:rsidRPr="00C32842" w:rsidR="0018120C" w:rsidP="00E13391" w:rsidRDefault="0018120C" w14:paraId="4D61E1B3" w14:textId="77777777">
            <w:pPr>
              <w:rPr>
                <w:rFonts w:ascii="Arial" w:hAnsi="Arial" w:eastAsia="Times New Roman" w:cs="Arial"/>
                <w:b/>
                <w:bCs/>
                <w:sz w:val="20"/>
                <w:szCs w:val="20"/>
                <w:lang w:eastAsia="en-GB"/>
              </w:rPr>
            </w:pPr>
          </w:p>
        </w:tc>
        <w:tc>
          <w:tcPr>
            <w:tcW w:w="2745" w:type="dxa"/>
            <w:tcBorders>
              <w:top w:val="nil"/>
              <w:left w:val="nil"/>
              <w:bottom w:val="single" w:color="auto" w:sz="4" w:space="0"/>
              <w:right w:val="nil"/>
            </w:tcBorders>
            <w:noWrap/>
          </w:tcPr>
          <w:p w:rsidRPr="00C32842" w:rsidR="0018120C" w:rsidP="00E13391" w:rsidRDefault="0018120C" w14:paraId="3F1C7781" w14:textId="77777777">
            <w:pPr>
              <w:jc w:val="center"/>
              <w:rPr>
                <w:rFonts w:ascii="Arial" w:hAnsi="Arial" w:eastAsia="Times New Roman" w:cs="Arial"/>
                <w:b/>
                <w:bCs/>
                <w:sz w:val="20"/>
                <w:szCs w:val="20"/>
                <w:lang w:eastAsia="en-GB"/>
              </w:rPr>
            </w:pPr>
          </w:p>
        </w:tc>
      </w:tr>
      <w:tr w:rsidRPr="00C32842" w:rsidR="0018120C" w:rsidTr="00E13391" w14:paraId="46382C19" w14:textId="77777777">
        <w:trPr>
          <w:trHeight w:val="300"/>
        </w:trPr>
        <w:tc>
          <w:tcPr>
            <w:tcW w:w="6804" w:type="dxa"/>
            <w:tcBorders>
              <w:top w:val="single" w:color="auto" w:sz="4" w:space="0"/>
              <w:left w:val="nil"/>
              <w:bottom w:val="single" w:color="auto" w:sz="4" w:space="0"/>
              <w:right w:val="nil"/>
            </w:tcBorders>
            <w:noWrap/>
            <w:hideMark/>
          </w:tcPr>
          <w:p w:rsidRPr="00C32842" w:rsidR="0018120C" w:rsidP="00E13391" w:rsidRDefault="0018120C" w14:paraId="15FDDA48" w14:textId="77777777">
            <w:pPr>
              <w:rPr>
                <w:rFonts w:ascii="Arial" w:hAnsi="Arial" w:eastAsia="Times New Roman" w:cs="Arial"/>
                <w:b/>
                <w:bCs/>
                <w:sz w:val="20"/>
                <w:szCs w:val="20"/>
              </w:rPr>
            </w:pPr>
            <w:r w:rsidRPr="00C32842">
              <w:rPr>
                <w:rFonts w:ascii="Arial" w:hAnsi="Arial"/>
                <w:b/>
                <w:sz w:val="20"/>
              </w:rPr>
              <w:t>Abschnitt 1 – Allgemeine Informationen</w:t>
            </w:r>
          </w:p>
        </w:tc>
        <w:tc>
          <w:tcPr>
            <w:tcW w:w="2745" w:type="dxa"/>
            <w:tcBorders>
              <w:top w:val="single" w:color="auto" w:sz="4" w:space="0"/>
              <w:left w:val="nil"/>
              <w:right w:val="nil"/>
            </w:tcBorders>
            <w:noWrap/>
            <w:hideMark/>
          </w:tcPr>
          <w:p w:rsidRPr="00C32842" w:rsidR="0018120C" w:rsidP="00E13391" w:rsidRDefault="0018120C" w14:paraId="46ABC1D7" w14:textId="77777777">
            <w:pPr>
              <w:jc w:val="center"/>
              <w:rPr>
                <w:rFonts w:ascii="Arial" w:hAnsi="Arial" w:eastAsia="Times New Roman" w:cs="Arial"/>
                <w:b/>
                <w:bCs/>
                <w:sz w:val="20"/>
                <w:szCs w:val="20"/>
              </w:rPr>
            </w:pPr>
            <w:r w:rsidRPr="00C32842">
              <w:rPr>
                <w:rFonts w:ascii="Arial" w:hAnsi="Arial"/>
                <w:b/>
                <w:sz w:val="20"/>
              </w:rPr>
              <w:t>Antwort</w:t>
            </w:r>
          </w:p>
        </w:tc>
      </w:tr>
      <w:tr w:rsidRPr="00C32842" w:rsidR="0018120C" w:rsidTr="00E13391" w14:paraId="54B45B09" w14:textId="77777777">
        <w:trPr>
          <w:gridAfter w:val="1"/>
          <w:wAfter w:w="2745" w:type="dxa"/>
          <w:trHeight w:val="300"/>
        </w:trPr>
        <w:tc>
          <w:tcPr>
            <w:tcW w:w="6804" w:type="dxa"/>
            <w:tcBorders>
              <w:top w:val="single" w:color="auto" w:sz="4" w:space="0"/>
              <w:left w:val="nil"/>
              <w:bottom w:val="single" w:color="auto" w:sz="4" w:space="0"/>
              <w:right w:val="nil"/>
            </w:tcBorders>
            <w:noWrap/>
            <w:hideMark/>
          </w:tcPr>
          <w:p w:rsidRPr="00C32842" w:rsidR="0018120C" w:rsidP="00E13391" w:rsidRDefault="0018120C" w14:paraId="7400907F" w14:textId="77777777">
            <w:pPr>
              <w:ind w:firstLine="200" w:firstLineChars="100"/>
              <w:rPr>
                <w:rFonts w:ascii="Arial" w:hAnsi="Arial" w:eastAsia="Times New Roman" w:cs="Arial"/>
                <w:sz w:val="20"/>
                <w:szCs w:val="20"/>
              </w:rPr>
            </w:pPr>
            <w:r w:rsidRPr="00C32842">
              <w:rPr>
                <w:rFonts w:ascii="Arial" w:hAnsi="Arial"/>
                <w:sz w:val="20"/>
              </w:rPr>
              <w:t>a. Allgemeine, von der zuständigen nationalen Aufsichtsbehörde bereitgestellte Angaben:</w:t>
            </w:r>
          </w:p>
        </w:tc>
      </w:tr>
      <w:tr w:rsidRPr="00C32842" w:rsidR="0018120C" w:rsidTr="00E13391" w14:paraId="2B6D9E7E" w14:textId="77777777">
        <w:trPr>
          <w:trHeight w:val="300"/>
        </w:trPr>
        <w:tc>
          <w:tcPr>
            <w:tcW w:w="6804" w:type="dxa"/>
            <w:tcBorders>
              <w:left w:val="nil"/>
              <w:right w:val="nil"/>
            </w:tcBorders>
            <w:noWrap/>
            <w:hideMark/>
          </w:tcPr>
          <w:p w:rsidRPr="00C32842" w:rsidR="0018120C" w:rsidP="00E13391" w:rsidRDefault="0018120C" w14:paraId="26154EB3" w14:textId="77777777">
            <w:pPr>
              <w:ind w:firstLine="400" w:firstLineChars="200"/>
              <w:rPr>
                <w:rFonts w:ascii="Arial" w:hAnsi="Arial" w:eastAsia="Times New Roman" w:cs="Arial"/>
                <w:sz w:val="20"/>
                <w:szCs w:val="20"/>
              </w:rPr>
            </w:pPr>
            <w:r w:rsidRPr="00C32842">
              <w:rPr>
                <w:rFonts w:ascii="Arial" w:hAnsi="Arial"/>
                <w:sz w:val="20"/>
                <w:lang w:eastAsia="en-GB"/>
              </w:rPr>
              <w:t xml:space="preserve">(1) </w:t>
            </w:r>
            <w:r w:rsidRPr="00C32842">
              <w:rPr>
                <w:rFonts w:ascii="Arial" w:hAnsi="Arial"/>
                <w:sz w:val="20"/>
              </w:rPr>
              <w:t>Ländercode</w:t>
            </w:r>
          </w:p>
        </w:tc>
        <w:tc>
          <w:tcPr>
            <w:tcW w:w="2745" w:type="dxa"/>
            <w:tcBorders>
              <w:left w:val="nil"/>
              <w:bottom w:val="single" w:color="auto" w:sz="4" w:space="0"/>
              <w:right w:val="nil"/>
            </w:tcBorders>
            <w:noWrap/>
            <w:hideMark/>
          </w:tcPr>
          <w:p w:rsidRPr="00C32842" w:rsidR="0018120C" w:rsidP="00E13391" w:rsidRDefault="0018120C" w14:paraId="1A78E81F" w14:textId="77777777">
            <w:pPr>
              <w:jc w:val="center"/>
              <w:rPr>
                <w:rFonts w:ascii="Arial" w:hAnsi="Arial" w:eastAsia="Times New Roman" w:cs="Arial"/>
                <w:sz w:val="20"/>
                <w:szCs w:val="20"/>
              </w:rPr>
            </w:pPr>
            <w:r w:rsidRPr="00C32842">
              <w:rPr>
                <w:rFonts w:ascii="Arial" w:hAnsi="Arial"/>
                <w:sz w:val="20"/>
              </w:rPr>
              <w:t> </w:t>
            </w:r>
          </w:p>
        </w:tc>
      </w:tr>
      <w:tr w:rsidRPr="00C32842" w:rsidR="0018120C" w:rsidTr="00E13391" w14:paraId="49BAA135" w14:textId="77777777">
        <w:trPr>
          <w:trHeight w:val="300"/>
        </w:trPr>
        <w:tc>
          <w:tcPr>
            <w:tcW w:w="6804" w:type="dxa"/>
            <w:tcBorders>
              <w:left w:val="nil"/>
              <w:right w:val="nil"/>
            </w:tcBorders>
            <w:noWrap/>
            <w:hideMark/>
          </w:tcPr>
          <w:p w:rsidRPr="00C32842" w:rsidR="0018120C" w:rsidP="00E13391" w:rsidRDefault="0018120C" w14:paraId="27660837" w14:textId="77777777">
            <w:pPr>
              <w:ind w:firstLine="400" w:firstLineChars="200"/>
              <w:rPr>
                <w:rFonts w:ascii="Arial" w:hAnsi="Arial" w:eastAsia="Times New Roman" w:cs="Arial"/>
                <w:sz w:val="20"/>
                <w:szCs w:val="20"/>
              </w:rPr>
            </w:pPr>
            <w:r w:rsidRPr="00C32842">
              <w:rPr>
                <w:rFonts w:ascii="Arial" w:hAnsi="Arial"/>
                <w:sz w:val="20"/>
                <w:lang w:eastAsia="en-GB"/>
              </w:rPr>
              <w:t xml:space="preserve">(2) </w:t>
            </w:r>
            <w:r w:rsidRPr="00C32842">
              <w:rPr>
                <w:rFonts w:ascii="Arial" w:hAnsi="Arial"/>
                <w:sz w:val="20"/>
              </w:rPr>
              <w:t>Name der Bank</w:t>
            </w:r>
          </w:p>
        </w:tc>
        <w:tc>
          <w:tcPr>
            <w:tcW w:w="2745" w:type="dxa"/>
            <w:tcBorders>
              <w:left w:val="nil"/>
              <w:bottom w:val="single" w:color="auto" w:sz="4" w:space="0"/>
              <w:right w:val="nil"/>
            </w:tcBorders>
            <w:hideMark/>
          </w:tcPr>
          <w:p w:rsidRPr="00C32842" w:rsidR="0018120C" w:rsidP="00E13391" w:rsidRDefault="0018120C" w14:paraId="1055E18D" w14:textId="77777777">
            <w:pPr>
              <w:jc w:val="center"/>
              <w:rPr>
                <w:rFonts w:ascii="Arial" w:hAnsi="Arial" w:eastAsia="Times New Roman" w:cs="Arial"/>
                <w:sz w:val="20"/>
                <w:szCs w:val="20"/>
              </w:rPr>
            </w:pPr>
            <w:r w:rsidRPr="00C32842">
              <w:rPr>
                <w:rFonts w:ascii="Arial" w:hAnsi="Arial"/>
                <w:sz w:val="20"/>
              </w:rPr>
              <w:t> </w:t>
            </w:r>
          </w:p>
        </w:tc>
      </w:tr>
      <w:tr w:rsidRPr="00C32842" w:rsidR="0018120C" w:rsidTr="00E13391" w14:paraId="2DE3C612" w14:textId="77777777">
        <w:trPr>
          <w:trHeight w:val="300"/>
        </w:trPr>
        <w:tc>
          <w:tcPr>
            <w:tcW w:w="6804" w:type="dxa"/>
            <w:tcBorders>
              <w:left w:val="nil"/>
              <w:right w:val="nil"/>
            </w:tcBorders>
            <w:noWrap/>
            <w:hideMark/>
          </w:tcPr>
          <w:p w:rsidRPr="00C32842" w:rsidR="0018120C" w:rsidP="00E13391" w:rsidRDefault="0018120C" w14:paraId="17C756EE" w14:textId="77777777">
            <w:pPr>
              <w:ind w:firstLine="400" w:firstLineChars="200"/>
              <w:rPr>
                <w:rFonts w:ascii="Arial" w:hAnsi="Arial" w:eastAsia="Times New Roman" w:cs="Arial"/>
                <w:sz w:val="20"/>
                <w:szCs w:val="20"/>
              </w:rPr>
            </w:pPr>
            <w:r w:rsidRPr="00C32842">
              <w:rPr>
                <w:rFonts w:ascii="Arial" w:hAnsi="Arial"/>
                <w:sz w:val="20"/>
                <w:lang w:eastAsia="en-GB"/>
              </w:rPr>
              <w:t xml:space="preserve">(3) </w:t>
            </w:r>
            <w:r w:rsidRPr="00C32842">
              <w:rPr>
                <w:rFonts w:ascii="Arial" w:hAnsi="Arial"/>
                <w:sz w:val="20"/>
              </w:rPr>
              <w:t>Datum der Meldung (JJJJ-MM-TT)</w:t>
            </w:r>
          </w:p>
        </w:tc>
        <w:tc>
          <w:tcPr>
            <w:tcW w:w="2745" w:type="dxa"/>
            <w:tcBorders>
              <w:left w:val="nil"/>
              <w:bottom w:val="single" w:color="auto" w:sz="4" w:space="0"/>
              <w:right w:val="nil"/>
            </w:tcBorders>
            <w:noWrap/>
            <w:hideMark/>
          </w:tcPr>
          <w:p w:rsidRPr="00C32842" w:rsidR="0018120C" w:rsidP="00E13391" w:rsidRDefault="0018120C" w14:paraId="555EB8C8" w14:textId="77777777">
            <w:pPr>
              <w:jc w:val="center"/>
              <w:rPr>
                <w:rFonts w:ascii="Arial" w:hAnsi="Arial" w:eastAsia="Times New Roman" w:cs="Arial"/>
                <w:sz w:val="20"/>
                <w:szCs w:val="20"/>
                <w:lang w:eastAsia="en-GB"/>
              </w:rPr>
            </w:pPr>
          </w:p>
        </w:tc>
      </w:tr>
      <w:tr w:rsidRPr="00C32842" w:rsidR="0018120C" w:rsidTr="00E13391" w14:paraId="513312B3" w14:textId="77777777">
        <w:trPr>
          <w:trHeight w:val="300"/>
        </w:trPr>
        <w:tc>
          <w:tcPr>
            <w:tcW w:w="6804" w:type="dxa"/>
            <w:tcBorders>
              <w:left w:val="nil"/>
              <w:right w:val="nil"/>
            </w:tcBorders>
            <w:noWrap/>
            <w:hideMark/>
          </w:tcPr>
          <w:p w:rsidRPr="00C32842" w:rsidR="0018120C" w:rsidP="00E13391" w:rsidRDefault="0018120C" w14:paraId="16326C38" w14:textId="77777777">
            <w:pPr>
              <w:ind w:firstLine="400" w:firstLineChars="200"/>
              <w:rPr>
                <w:rFonts w:ascii="Arial" w:hAnsi="Arial" w:eastAsia="Times New Roman" w:cs="Arial"/>
                <w:sz w:val="20"/>
                <w:szCs w:val="20"/>
              </w:rPr>
            </w:pPr>
            <w:r w:rsidRPr="00C32842">
              <w:rPr>
                <w:rFonts w:ascii="Arial" w:hAnsi="Arial"/>
                <w:sz w:val="20"/>
                <w:lang w:eastAsia="en-GB"/>
              </w:rPr>
              <w:t xml:space="preserve">(4) </w:t>
            </w:r>
            <w:r w:rsidRPr="00C32842">
              <w:rPr>
                <w:rFonts w:ascii="Arial" w:hAnsi="Arial"/>
                <w:sz w:val="20"/>
              </w:rPr>
              <w:t>Meldewährung</w:t>
            </w:r>
          </w:p>
        </w:tc>
        <w:tc>
          <w:tcPr>
            <w:tcW w:w="2745" w:type="dxa"/>
            <w:tcBorders>
              <w:left w:val="nil"/>
              <w:bottom w:val="single" w:color="auto" w:sz="4" w:space="0"/>
              <w:right w:val="nil"/>
            </w:tcBorders>
            <w:noWrap/>
            <w:hideMark/>
          </w:tcPr>
          <w:p w:rsidRPr="00C32842" w:rsidR="0018120C" w:rsidP="00E13391" w:rsidRDefault="0018120C" w14:paraId="276E655B" w14:textId="77777777">
            <w:pPr>
              <w:jc w:val="center"/>
              <w:rPr>
                <w:rFonts w:ascii="Arial" w:hAnsi="Arial" w:eastAsia="Times New Roman" w:cs="Arial"/>
                <w:sz w:val="20"/>
                <w:szCs w:val="20"/>
                <w:lang w:eastAsia="en-GB"/>
              </w:rPr>
            </w:pPr>
          </w:p>
        </w:tc>
      </w:tr>
      <w:tr w:rsidRPr="00C32842" w:rsidR="0018120C" w:rsidTr="00E13391" w14:paraId="5765177D" w14:textId="77777777">
        <w:trPr>
          <w:trHeight w:val="300"/>
        </w:trPr>
        <w:tc>
          <w:tcPr>
            <w:tcW w:w="6804" w:type="dxa"/>
            <w:tcBorders>
              <w:left w:val="nil"/>
              <w:right w:val="nil"/>
            </w:tcBorders>
            <w:noWrap/>
            <w:hideMark/>
          </w:tcPr>
          <w:p w:rsidRPr="00C32842" w:rsidR="0018120C" w:rsidP="00E13391" w:rsidRDefault="0018120C" w14:paraId="2F61312C" w14:textId="77777777">
            <w:pPr>
              <w:ind w:firstLine="400" w:firstLineChars="200"/>
              <w:rPr>
                <w:rFonts w:ascii="Arial" w:hAnsi="Arial" w:eastAsia="Times New Roman" w:cs="Arial"/>
                <w:sz w:val="20"/>
                <w:szCs w:val="20"/>
              </w:rPr>
            </w:pPr>
            <w:r w:rsidRPr="00C32842">
              <w:rPr>
                <w:rFonts w:ascii="Arial" w:hAnsi="Arial"/>
                <w:sz w:val="20"/>
                <w:lang w:eastAsia="en-GB"/>
              </w:rPr>
              <w:t xml:space="preserve">(5) </w:t>
            </w:r>
            <w:r w:rsidRPr="00C32842">
              <w:rPr>
                <w:rFonts w:ascii="Arial" w:hAnsi="Arial"/>
                <w:sz w:val="20"/>
              </w:rPr>
              <w:t>Euro-Umrechnungskurs</w:t>
            </w:r>
          </w:p>
        </w:tc>
        <w:tc>
          <w:tcPr>
            <w:tcW w:w="2745" w:type="dxa"/>
            <w:tcBorders>
              <w:left w:val="nil"/>
              <w:bottom w:val="single" w:color="auto" w:sz="4" w:space="0"/>
              <w:right w:val="nil"/>
            </w:tcBorders>
            <w:noWrap/>
            <w:hideMark/>
          </w:tcPr>
          <w:p w:rsidRPr="00C32842" w:rsidR="0018120C" w:rsidP="00E13391" w:rsidRDefault="0018120C" w14:paraId="3EA83E26" w14:textId="77777777">
            <w:pPr>
              <w:rPr>
                <w:rFonts w:ascii="Arial" w:hAnsi="Arial" w:eastAsia="Times New Roman" w:cs="Arial"/>
                <w:sz w:val="20"/>
                <w:szCs w:val="20"/>
              </w:rPr>
            </w:pPr>
            <w:r w:rsidRPr="00C32842">
              <w:rPr>
                <w:rFonts w:ascii="Arial" w:hAnsi="Arial"/>
                <w:sz w:val="20"/>
              </w:rPr>
              <w:t> </w:t>
            </w:r>
          </w:p>
        </w:tc>
      </w:tr>
      <w:tr w:rsidRPr="00C32842" w:rsidR="0018120C" w:rsidTr="00E13391" w14:paraId="492EEBA3" w14:textId="77777777">
        <w:trPr>
          <w:trHeight w:val="300"/>
        </w:trPr>
        <w:tc>
          <w:tcPr>
            <w:tcW w:w="6804" w:type="dxa"/>
            <w:tcBorders>
              <w:left w:val="nil"/>
              <w:right w:val="nil"/>
            </w:tcBorders>
            <w:noWrap/>
            <w:hideMark/>
          </w:tcPr>
          <w:p w:rsidRPr="00C32842" w:rsidR="0018120C" w:rsidP="00E13391" w:rsidRDefault="0018120C" w14:paraId="5C42EE86" w14:textId="77777777">
            <w:pPr>
              <w:ind w:firstLine="400" w:firstLineChars="200"/>
              <w:rPr>
                <w:rFonts w:ascii="Arial" w:hAnsi="Arial" w:eastAsia="Times New Roman" w:cs="Arial"/>
                <w:sz w:val="20"/>
                <w:szCs w:val="20"/>
              </w:rPr>
            </w:pPr>
            <w:r w:rsidRPr="00C32842">
              <w:rPr>
                <w:rFonts w:ascii="Arial" w:hAnsi="Arial"/>
                <w:sz w:val="20"/>
                <w:lang w:eastAsia="en-GB"/>
              </w:rPr>
              <w:t xml:space="preserve">(6) </w:t>
            </w:r>
            <w:r w:rsidRPr="00C32842">
              <w:rPr>
                <w:rFonts w:ascii="Arial" w:hAnsi="Arial"/>
                <w:sz w:val="20"/>
              </w:rPr>
              <w:t>Datum der Übermittlung (JJJJ-MM-TT</w:t>
            </w:r>
          </w:p>
        </w:tc>
        <w:tc>
          <w:tcPr>
            <w:tcW w:w="2745" w:type="dxa"/>
            <w:tcBorders>
              <w:left w:val="nil"/>
              <w:bottom w:val="single" w:color="auto" w:sz="4" w:space="0"/>
              <w:right w:val="nil"/>
            </w:tcBorders>
            <w:noWrap/>
            <w:hideMark/>
          </w:tcPr>
          <w:p w:rsidRPr="00C32842" w:rsidR="0018120C" w:rsidP="00E13391" w:rsidRDefault="0018120C" w14:paraId="0EC57BE6" w14:textId="77777777">
            <w:pPr>
              <w:jc w:val="center"/>
              <w:rPr>
                <w:rFonts w:ascii="Arial" w:hAnsi="Arial" w:eastAsia="Times New Roman" w:cs="Arial"/>
                <w:sz w:val="20"/>
                <w:szCs w:val="20"/>
              </w:rPr>
            </w:pPr>
            <w:r w:rsidRPr="00C32842">
              <w:rPr>
                <w:rFonts w:ascii="Arial" w:hAnsi="Arial"/>
                <w:sz w:val="20"/>
              </w:rPr>
              <w:t> </w:t>
            </w:r>
          </w:p>
        </w:tc>
      </w:tr>
      <w:tr w:rsidRPr="00C32842" w:rsidR="0018120C" w:rsidTr="00E13391" w14:paraId="7A135D67" w14:textId="77777777">
        <w:trPr>
          <w:trHeight w:val="300"/>
        </w:trPr>
        <w:tc>
          <w:tcPr>
            <w:tcW w:w="6804" w:type="dxa"/>
            <w:tcBorders>
              <w:left w:val="nil"/>
              <w:right w:val="nil"/>
            </w:tcBorders>
            <w:noWrap/>
            <w:hideMark/>
          </w:tcPr>
          <w:p w:rsidRPr="00C32842" w:rsidR="0018120C" w:rsidP="00E13391" w:rsidRDefault="0018120C" w14:paraId="2812B830" w14:textId="77777777">
            <w:pPr>
              <w:ind w:firstLine="200" w:firstLineChars="100"/>
              <w:rPr>
                <w:rFonts w:ascii="Arial" w:hAnsi="Arial" w:eastAsia="Times New Roman" w:cs="Arial"/>
                <w:sz w:val="20"/>
                <w:szCs w:val="20"/>
              </w:rPr>
            </w:pPr>
            <w:r w:rsidRPr="00C32842">
              <w:rPr>
                <w:rFonts w:ascii="Arial" w:hAnsi="Arial"/>
                <w:sz w:val="20"/>
              </w:rPr>
              <w:t>b. Allgemeine, vom meldenden Institut bereitgestellte Angaben:</w:t>
            </w:r>
          </w:p>
        </w:tc>
        <w:tc>
          <w:tcPr>
            <w:tcW w:w="2745" w:type="dxa"/>
            <w:tcBorders>
              <w:left w:val="nil"/>
              <w:bottom w:val="single" w:color="auto" w:sz="4" w:space="0"/>
              <w:right w:val="nil"/>
            </w:tcBorders>
            <w:noWrap/>
            <w:hideMark/>
          </w:tcPr>
          <w:p w:rsidRPr="00C32842" w:rsidR="0018120C" w:rsidP="00E13391" w:rsidRDefault="0018120C" w14:paraId="7130D975" w14:textId="77777777">
            <w:pPr>
              <w:ind w:firstLine="200" w:firstLineChars="100"/>
              <w:rPr>
                <w:rFonts w:ascii="Arial" w:hAnsi="Arial" w:eastAsia="Times New Roman" w:cs="Arial"/>
                <w:sz w:val="20"/>
                <w:szCs w:val="20"/>
              </w:rPr>
            </w:pPr>
            <w:r w:rsidRPr="00C32842">
              <w:rPr>
                <w:rFonts w:ascii="Arial" w:hAnsi="Arial"/>
                <w:sz w:val="20"/>
              </w:rPr>
              <w:t> </w:t>
            </w:r>
          </w:p>
        </w:tc>
      </w:tr>
      <w:tr w:rsidRPr="00C32842" w:rsidR="0018120C" w:rsidTr="00E13391" w14:paraId="730A8115" w14:textId="77777777">
        <w:trPr>
          <w:trHeight w:val="300"/>
        </w:trPr>
        <w:tc>
          <w:tcPr>
            <w:tcW w:w="6804" w:type="dxa"/>
            <w:tcBorders>
              <w:left w:val="nil"/>
              <w:right w:val="nil"/>
            </w:tcBorders>
            <w:noWrap/>
            <w:hideMark/>
          </w:tcPr>
          <w:p w:rsidRPr="00C32842" w:rsidR="0018120C" w:rsidP="00E13391" w:rsidRDefault="0018120C" w14:paraId="53F33B04" w14:textId="77777777">
            <w:pPr>
              <w:ind w:firstLine="400" w:firstLineChars="200"/>
              <w:rPr>
                <w:rFonts w:ascii="Arial" w:hAnsi="Arial" w:eastAsia="Times New Roman" w:cs="Arial"/>
                <w:sz w:val="20"/>
                <w:szCs w:val="20"/>
              </w:rPr>
            </w:pPr>
            <w:r w:rsidRPr="00C32842">
              <w:rPr>
                <w:rFonts w:ascii="Arial" w:hAnsi="Arial"/>
                <w:sz w:val="20"/>
                <w:lang w:eastAsia="en-GB"/>
              </w:rPr>
              <w:t xml:space="preserve">(1) </w:t>
            </w:r>
            <w:r w:rsidRPr="00C32842">
              <w:rPr>
                <w:rFonts w:ascii="Arial" w:hAnsi="Arial"/>
                <w:sz w:val="20"/>
              </w:rPr>
              <w:t>Meldende Abteilung</w:t>
            </w:r>
          </w:p>
        </w:tc>
        <w:tc>
          <w:tcPr>
            <w:tcW w:w="2745" w:type="dxa"/>
            <w:tcBorders>
              <w:left w:val="nil"/>
              <w:bottom w:val="single" w:color="auto" w:sz="4" w:space="0"/>
              <w:right w:val="nil"/>
            </w:tcBorders>
            <w:noWrap/>
            <w:hideMark/>
          </w:tcPr>
          <w:p w:rsidRPr="00C32842" w:rsidR="0018120C" w:rsidP="00E13391" w:rsidRDefault="0018120C" w14:paraId="352BF95F" w14:textId="77777777">
            <w:pPr>
              <w:jc w:val="center"/>
              <w:rPr>
                <w:rFonts w:ascii="Arial" w:hAnsi="Arial" w:eastAsia="Times New Roman" w:cs="Arial"/>
                <w:sz w:val="20"/>
                <w:szCs w:val="20"/>
              </w:rPr>
            </w:pPr>
            <w:r w:rsidRPr="00C32842">
              <w:rPr>
                <w:rFonts w:ascii="Arial" w:hAnsi="Arial"/>
                <w:sz w:val="20"/>
              </w:rPr>
              <w:t> </w:t>
            </w:r>
          </w:p>
        </w:tc>
      </w:tr>
      <w:tr w:rsidRPr="00C32842" w:rsidR="0018120C" w:rsidTr="00E13391" w14:paraId="219A3887" w14:textId="77777777">
        <w:trPr>
          <w:trHeight w:val="300"/>
        </w:trPr>
        <w:tc>
          <w:tcPr>
            <w:tcW w:w="6804" w:type="dxa"/>
            <w:tcBorders>
              <w:left w:val="nil"/>
              <w:right w:val="nil"/>
            </w:tcBorders>
            <w:noWrap/>
            <w:hideMark/>
          </w:tcPr>
          <w:p w:rsidRPr="00C32842" w:rsidR="0018120C" w:rsidP="00E13391" w:rsidRDefault="0018120C" w14:paraId="7506FF15" w14:textId="77777777">
            <w:pPr>
              <w:ind w:firstLine="400" w:firstLineChars="200"/>
              <w:rPr>
                <w:rFonts w:ascii="Arial" w:hAnsi="Arial" w:eastAsia="Times New Roman" w:cs="Arial"/>
                <w:sz w:val="20"/>
                <w:szCs w:val="20"/>
              </w:rPr>
            </w:pPr>
            <w:r w:rsidRPr="00C32842">
              <w:rPr>
                <w:rFonts w:ascii="Arial" w:hAnsi="Arial"/>
                <w:sz w:val="20"/>
                <w:lang w:eastAsia="en-GB"/>
              </w:rPr>
              <w:t xml:space="preserve">(2) </w:t>
            </w:r>
            <w:r w:rsidRPr="00C32842">
              <w:rPr>
                <w:rFonts w:ascii="Arial" w:hAnsi="Arial"/>
                <w:sz w:val="20"/>
              </w:rPr>
              <w:t>Rechnungslegungsstandard</w:t>
            </w:r>
          </w:p>
        </w:tc>
        <w:tc>
          <w:tcPr>
            <w:tcW w:w="2745" w:type="dxa"/>
            <w:tcBorders>
              <w:left w:val="nil"/>
              <w:bottom w:val="single" w:color="auto" w:sz="4" w:space="0"/>
              <w:right w:val="nil"/>
            </w:tcBorders>
            <w:hideMark/>
          </w:tcPr>
          <w:p w:rsidRPr="00C32842" w:rsidR="0018120C" w:rsidP="00E13391" w:rsidRDefault="0018120C" w14:paraId="2874BD98" w14:textId="77777777">
            <w:pPr>
              <w:jc w:val="center"/>
              <w:rPr>
                <w:rFonts w:ascii="Arial" w:hAnsi="Arial" w:eastAsia="Times New Roman" w:cs="Arial"/>
                <w:sz w:val="20"/>
                <w:szCs w:val="20"/>
              </w:rPr>
            </w:pPr>
            <w:r w:rsidRPr="00C32842">
              <w:rPr>
                <w:rFonts w:ascii="Arial" w:hAnsi="Arial"/>
                <w:sz w:val="20"/>
              </w:rPr>
              <w:t> </w:t>
            </w:r>
          </w:p>
        </w:tc>
      </w:tr>
      <w:tr w:rsidRPr="00C32842" w:rsidR="0018120C" w:rsidTr="00E13391" w14:paraId="42A81672" w14:textId="77777777">
        <w:trPr>
          <w:trHeight w:val="300"/>
        </w:trPr>
        <w:tc>
          <w:tcPr>
            <w:tcW w:w="6804" w:type="dxa"/>
            <w:tcBorders>
              <w:left w:val="nil"/>
              <w:right w:val="nil"/>
            </w:tcBorders>
            <w:noWrap/>
            <w:hideMark/>
          </w:tcPr>
          <w:p w:rsidRPr="00C32842" w:rsidR="0018120C" w:rsidP="00E13391" w:rsidRDefault="0018120C" w14:paraId="34775162" w14:textId="77777777">
            <w:pPr>
              <w:ind w:firstLine="400" w:firstLineChars="200"/>
              <w:rPr>
                <w:rFonts w:ascii="Arial" w:hAnsi="Arial" w:eastAsia="Times New Roman" w:cs="Arial"/>
                <w:sz w:val="20"/>
                <w:szCs w:val="20"/>
              </w:rPr>
            </w:pPr>
            <w:r w:rsidRPr="00C32842">
              <w:rPr>
                <w:rFonts w:ascii="Arial" w:hAnsi="Arial"/>
                <w:sz w:val="20"/>
                <w:lang w:eastAsia="en-GB"/>
              </w:rPr>
              <w:t xml:space="preserve">(3) </w:t>
            </w:r>
            <w:r w:rsidRPr="00C32842">
              <w:rPr>
                <w:rFonts w:ascii="Arial" w:hAnsi="Arial"/>
                <w:sz w:val="20"/>
              </w:rPr>
              <w:t>Datum der Offenlegung (JJJJ-MM-TT)</w:t>
            </w:r>
          </w:p>
        </w:tc>
        <w:tc>
          <w:tcPr>
            <w:tcW w:w="2745" w:type="dxa"/>
            <w:tcBorders>
              <w:left w:val="nil"/>
              <w:bottom w:val="single" w:color="auto" w:sz="4" w:space="0"/>
              <w:right w:val="nil"/>
            </w:tcBorders>
            <w:noWrap/>
            <w:hideMark/>
          </w:tcPr>
          <w:p w:rsidRPr="00C32842" w:rsidR="0018120C" w:rsidP="00E13391" w:rsidRDefault="0018120C" w14:paraId="6079FB3C" w14:textId="77777777">
            <w:pPr>
              <w:jc w:val="center"/>
              <w:rPr>
                <w:rFonts w:ascii="Arial" w:hAnsi="Arial" w:eastAsia="Times New Roman" w:cs="Arial"/>
                <w:sz w:val="20"/>
                <w:szCs w:val="20"/>
              </w:rPr>
            </w:pPr>
            <w:r w:rsidRPr="00C32842">
              <w:rPr>
                <w:rFonts w:ascii="Arial" w:hAnsi="Arial"/>
                <w:sz w:val="20"/>
              </w:rPr>
              <w:t> </w:t>
            </w:r>
          </w:p>
        </w:tc>
      </w:tr>
      <w:tr w:rsidRPr="00C32842" w:rsidR="0018120C" w:rsidTr="00E13391" w14:paraId="3CE3CF91" w14:textId="77777777">
        <w:trPr>
          <w:trHeight w:val="300"/>
        </w:trPr>
        <w:tc>
          <w:tcPr>
            <w:tcW w:w="6804" w:type="dxa"/>
            <w:tcBorders>
              <w:left w:val="nil"/>
              <w:right w:val="nil"/>
            </w:tcBorders>
            <w:noWrap/>
            <w:hideMark/>
          </w:tcPr>
          <w:p w:rsidRPr="00C32842" w:rsidR="0018120C" w:rsidP="00E13391" w:rsidRDefault="0018120C" w14:paraId="4571F199" w14:textId="77777777">
            <w:pPr>
              <w:ind w:firstLine="400" w:firstLineChars="200"/>
              <w:rPr>
                <w:rFonts w:ascii="Arial" w:hAnsi="Arial" w:eastAsia="Times New Roman" w:cs="Arial"/>
                <w:sz w:val="20"/>
                <w:szCs w:val="20"/>
              </w:rPr>
            </w:pPr>
            <w:r w:rsidRPr="00C32842">
              <w:rPr>
                <w:rFonts w:ascii="Arial" w:hAnsi="Arial"/>
                <w:sz w:val="20"/>
                <w:lang w:eastAsia="en-GB"/>
              </w:rPr>
              <w:t xml:space="preserve">(4) </w:t>
            </w:r>
            <w:r w:rsidRPr="00C32842">
              <w:rPr>
                <w:rFonts w:ascii="Arial" w:hAnsi="Arial"/>
                <w:sz w:val="20"/>
              </w:rPr>
              <w:t>Sprache der Offenlegung</w:t>
            </w:r>
          </w:p>
        </w:tc>
        <w:tc>
          <w:tcPr>
            <w:tcW w:w="2745" w:type="dxa"/>
            <w:tcBorders>
              <w:left w:val="nil"/>
              <w:bottom w:val="single" w:color="auto" w:sz="4" w:space="0"/>
              <w:right w:val="nil"/>
            </w:tcBorders>
            <w:hideMark/>
          </w:tcPr>
          <w:p w:rsidRPr="00C32842" w:rsidR="0018120C" w:rsidP="00E13391" w:rsidRDefault="0018120C" w14:paraId="3F4E60C9" w14:textId="77777777">
            <w:pPr>
              <w:jc w:val="center"/>
              <w:rPr>
                <w:rFonts w:ascii="Arial" w:hAnsi="Arial" w:eastAsia="Times New Roman" w:cs="Arial"/>
                <w:sz w:val="20"/>
                <w:szCs w:val="20"/>
              </w:rPr>
            </w:pPr>
            <w:r w:rsidRPr="00C32842">
              <w:rPr>
                <w:rFonts w:ascii="Arial" w:hAnsi="Arial"/>
                <w:sz w:val="20"/>
              </w:rPr>
              <w:t> </w:t>
            </w:r>
          </w:p>
        </w:tc>
      </w:tr>
      <w:tr w:rsidRPr="00C32842" w:rsidR="0018120C" w:rsidTr="00E13391" w14:paraId="7C697EC0" w14:textId="77777777">
        <w:trPr>
          <w:trHeight w:val="300"/>
        </w:trPr>
        <w:tc>
          <w:tcPr>
            <w:tcW w:w="6804" w:type="dxa"/>
            <w:tcBorders>
              <w:left w:val="nil"/>
              <w:bottom w:val="single" w:color="auto" w:sz="4" w:space="0"/>
              <w:right w:val="nil"/>
            </w:tcBorders>
            <w:noWrap/>
            <w:hideMark/>
          </w:tcPr>
          <w:p w:rsidRPr="00C32842" w:rsidR="0018120C" w:rsidP="00E13391" w:rsidRDefault="0018120C" w14:paraId="0A9ED1A2" w14:textId="77777777">
            <w:pPr>
              <w:ind w:firstLine="400" w:firstLineChars="200"/>
              <w:rPr>
                <w:rFonts w:ascii="Arial" w:hAnsi="Arial" w:eastAsia="Times New Roman" w:cs="Arial"/>
                <w:sz w:val="20"/>
                <w:szCs w:val="20"/>
              </w:rPr>
            </w:pPr>
            <w:r w:rsidRPr="00C32842">
              <w:rPr>
                <w:rFonts w:ascii="Arial" w:hAnsi="Arial"/>
                <w:sz w:val="20"/>
                <w:lang w:eastAsia="en-GB"/>
              </w:rPr>
              <w:t xml:space="preserve">(5) </w:t>
            </w:r>
            <w:r w:rsidRPr="00C32842">
              <w:rPr>
                <w:rFonts w:ascii="Arial" w:hAnsi="Arial"/>
                <w:sz w:val="20"/>
              </w:rPr>
              <w:t>Webadresse der Offenlegung</w:t>
            </w:r>
          </w:p>
        </w:tc>
        <w:tc>
          <w:tcPr>
            <w:tcW w:w="2745" w:type="dxa"/>
            <w:tcBorders>
              <w:left w:val="nil"/>
              <w:bottom w:val="single" w:color="auto" w:sz="4" w:space="0"/>
              <w:right w:val="nil"/>
            </w:tcBorders>
            <w:noWrap/>
            <w:hideMark/>
          </w:tcPr>
          <w:p w:rsidRPr="00C32842" w:rsidR="0018120C" w:rsidP="00E13391" w:rsidRDefault="0018120C" w14:paraId="09DCF32B" w14:textId="77777777">
            <w:pPr>
              <w:jc w:val="center"/>
              <w:rPr>
                <w:rFonts w:ascii="Arial" w:hAnsi="Arial" w:eastAsia="Times New Roman" w:cs="Arial"/>
                <w:color w:val="0000FF"/>
                <w:sz w:val="20"/>
                <w:szCs w:val="20"/>
                <w:u w:val="single"/>
                <w:lang w:eastAsia="en-GB"/>
              </w:rPr>
            </w:pPr>
          </w:p>
        </w:tc>
      </w:tr>
      <w:tr w:rsidRPr="00C32842" w:rsidR="0018120C" w:rsidTr="00E13391" w14:paraId="1A87C287" w14:textId="77777777">
        <w:trPr>
          <w:trHeight w:val="300"/>
        </w:trPr>
        <w:tc>
          <w:tcPr>
            <w:tcW w:w="6804" w:type="dxa"/>
            <w:tcBorders>
              <w:left w:val="nil"/>
              <w:bottom w:val="single" w:color="auto" w:sz="4" w:space="0"/>
              <w:right w:val="nil"/>
            </w:tcBorders>
            <w:noWrap/>
            <w:hideMark/>
          </w:tcPr>
          <w:p w:rsidRPr="00C32842" w:rsidR="0018120C" w:rsidP="00E13391" w:rsidRDefault="0018120C" w14:paraId="76308C8C" w14:textId="77777777">
            <w:pPr>
              <w:ind w:firstLine="400" w:firstLineChars="200"/>
              <w:rPr>
                <w:rFonts w:ascii="Arial" w:hAnsi="Arial" w:eastAsia="Times New Roman" w:cs="Arial"/>
                <w:sz w:val="20"/>
                <w:szCs w:val="20"/>
              </w:rPr>
            </w:pPr>
            <w:r w:rsidRPr="00C32842">
              <w:rPr>
                <w:rFonts w:ascii="Arial" w:hAnsi="Arial"/>
                <w:sz w:val="20"/>
                <w:lang w:eastAsia="en-GB"/>
              </w:rPr>
              <w:t xml:space="preserve">(6) </w:t>
            </w:r>
            <w:r w:rsidRPr="00C32842">
              <w:rPr>
                <w:rFonts w:ascii="Arial" w:hAnsi="Arial"/>
                <w:sz w:val="20"/>
              </w:rPr>
              <w:t>Unternehmenskennung (LEI)</w:t>
            </w:r>
          </w:p>
        </w:tc>
        <w:tc>
          <w:tcPr>
            <w:tcW w:w="2745" w:type="dxa"/>
            <w:tcBorders>
              <w:left w:val="nil"/>
              <w:bottom w:val="single" w:color="auto" w:sz="4" w:space="0"/>
              <w:right w:val="nil"/>
            </w:tcBorders>
            <w:hideMark/>
          </w:tcPr>
          <w:p w:rsidRPr="00C32842" w:rsidR="0018120C" w:rsidP="00E13391" w:rsidRDefault="0018120C" w14:paraId="3F8CE05A" w14:textId="77777777">
            <w:pPr>
              <w:jc w:val="center"/>
              <w:rPr>
                <w:rFonts w:ascii="Arial" w:hAnsi="Arial" w:eastAsia="Times New Roman" w:cs="Arial"/>
                <w:sz w:val="20"/>
                <w:szCs w:val="20"/>
              </w:rPr>
            </w:pPr>
            <w:r w:rsidRPr="00C32842">
              <w:rPr>
                <w:rFonts w:ascii="Arial" w:hAnsi="Arial"/>
                <w:sz w:val="20"/>
              </w:rPr>
              <w:t> </w:t>
            </w:r>
          </w:p>
        </w:tc>
      </w:tr>
      <w:tr w:rsidRPr="00C32842" w:rsidR="0018120C" w:rsidTr="00E13391" w14:paraId="500BF4B8" w14:textId="77777777">
        <w:trPr>
          <w:trHeight w:val="300"/>
        </w:trPr>
        <w:tc>
          <w:tcPr>
            <w:tcW w:w="6804" w:type="dxa"/>
            <w:tcBorders>
              <w:left w:val="nil"/>
              <w:bottom w:val="nil"/>
              <w:right w:val="nil"/>
            </w:tcBorders>
            <w:noWrap/>
          </w:tcPr>
          <w:p w:rsidRPr="00C32842" w:rsidR="0018120C" w:rsidP="00E13391" w:rsidRDefault="0018120C" w14:paraId="653E62BF" w14:textId="77777777">
            <w:pPr>
              <w:ind w:firstLine="400" w:firstLineChars="200"/>
              <w:rPr>
                <w:rFonts w:ascii="Arial" w:hAnsi="Arial" w:eastAsia="Times New Roman" w:cs="Arial"/>
                <w:sz w:val="20"/>
                <w:szCs w:val="20"/>
                <w:lang w:eastAsia="en-GB"/>
              </w:rPr>
            </w:pPr>
          </w:p>
        </w:tc>
        <w:tc>
          <w:tcPr>
            <w:tcW w:w="2745" w:type="dxa"/>
            <w:tcBorders>
              <w:left w:val="nil"/>
              <w:bottom w:val="nil"/>
              <w:right w:val="nil"/>
            </w:tcBorders>
          </w:tcPr>
          <w:p w:rsidRPr="00C32842" w:rsidR="0018120C" w:rsidP="00E13391" w:rsidRDefault="0018120C" w14:paraId="255F31F3" w14:textId="77777777">
            <w:pPr>
              <w:jc w:val="center"/>
              <w:rPr>
                <w:rFonts w:ascii="Arial" w:hAnsi="Arial" w:eastAsia="Times New Roman" w:cs="Arial"/>
                <w:sz w:val="20"/>
                <w:szCs w:val="20"/>
                <w:lang w:eastAsia="en-GB"/>
              </w:rPr>
            </w:pPr>
          </w:p>
        </w:tc>
      </w:tr>
      <w:tr w:rsidRPr="00C32842" w:rsidR="0018120C" w:rsidTr="00E13391" w14:paraId="7588447C" w14:textId="77777777">
        <w:trPr>
          <w:trHeight w:val="300"/>
        </w:trPr>
        <w:tc>
          <w:tcPr>
            <w:tcW w:w="6804" w:type="dxa"/>
            <w:tcBorders>
              <w:top w:val="nil"/>
              <w:left w:val="nil"/>
              <w:bottom w:val="nil"/>
              <w:right w:val="nil"/>
            </w:tcBorders>
            <w:noWrap/>
          </w:tcPr>
          <w:p w:rsidRPr="00C32842" w:rsidR="0018120C" w:rsidP="00E13391" w:rsidRDefault="0018120C" w14:paraId="75B80E95" w14:textId="77777777">
            <w:pPr>
              <w:keepNext/>
              <w:keepLines/>
              <w:spacing w:before="47"/>
              <w:outlineLvl w:val="5"/>
              <w:rPr>
                <w:rFonts w:ascii="Arial" w:hAnsi="Arial" w:eastAsia="Times New Roman" w:cs="Arial"/>
                <w:i/>
                <w:iCs/>
                <w:caps/>
                <w:color w:val="172B39" w:themeColor="accent1" w:themeShade="80"/>
                <w:sz w:val="20"/>
                <w:szCs w:val="20"/>
              </w:rPr>
            </w:pPr>
            <w:r w:rsidRPr="00C32842">
              <w:rPr>
                <w:rFonts w:asciiTheme="majorHAnsi" w:hAnsiTheme="majorHAnsi"/>
                <w:b/>
                <w:i/>
                <w:caps/>
              </w:rPr>
              <w:t>Größenindikatoren</w:t>
            </w:r>
          </w:p>
        </w:tc>
        <w:tc>
          <w:tcPr>
            <w:tcW w:w="2745" w:type="dxa"/>
            <w:tcBorders>
              <w:top w:val="nil"/>
              <w:left w:val="nil"/>
              <w:bottom w:val="nil"/>
              <w:right w:val="nil"/>
            </w:tcBorders>
          </w:tcPr>
          <w:p w:rsidRPr="00C32842" w:rsidR="0018120C" w:rsidP="00E13391" w:rsidRDefault="0018120C" w14:paraId="31145EDE" w14:textId="77777777">
            <w:pPr>
              <w:jc w:val="center"/>
              <w:rPr>
                <w:rFonts w:ascii="Arial" w:hAnsi="Arial" w:eastAsia="Times New Roman" w:cs="Arial"/>
                <w:sz w:val="20"/>
                <w:szCs w:val="20"/>
                <w:lang w:eastAsia="en-GB"/>
              </w:rPr>
            </w:pPr>
          </w:p>
        </w:tc>
      </w:tr>
      <w:tr w:rsidRPr="00C32842" w:rsidR="0018120C" w:rsidTr="00E13391" w14:paraId="6664F9C8" w14:textId="77777777">
        <w:trPr>
          <w:trHeight w:val="300"/>
        </w:trPr>
        <w:tc>
          <w:tcPr>
            <w:tcW w:w="6804" w:type="dxa"/>
            <w:tcBorders>
              <w:top w:val="nil"/>
              <w:left w:val="nil"/>
              <w:bottom w:val="single" w:color="auto" w:sz="4" w:space="0"/>
              <w:right w:val="nil"/>
            </w:tcBorders>
            <w:noWrap/>
          </w:tcPr>
          <w:p w:rsidRPr="00C32842" w:rsidR="0018120C" w:rsidP="00E13391" w:rsidRDefault="0018120C" w14:paraId="07B84116" w14:textId="77777777">
            <w:pPr>
              <w:ind w:firstLine="400" w:firstLineChars="200"/>
              <w:rPr>
                <w:rFonts w:ascii="Arial" w:hAnsi="Arial" w:eastAsia="Times New Roman" w:cs="Arial"/>
                <w:sz w:val="20"/>
                <w:szCs w:val="20"/>
                <w:lang w:eastAsia="en-GB"/>
              </w:rPr>
            </w:pPr>
          </w:p>
        </w:tc>
        <w:tc>
          <w:tcPr>
            <w:tcW w:w="2745" w:type="dxa"/>
            <w:tcBorders>
              <w:top w:val="nil"/>
              <w:left w:val="nil"/>
              <w:bottom w:val="single" w:color="auto" w:sz="4" w:space="0"/>
              <w:right w:val="nil"/>
            </w:tcBorders>
          </w:tcPr>
          <w:p w:rsidRPr="00C32842" w:rsidR="0018120C" w:rsidP="00E13391" w:rsidRDefault="0018120C" w14:paraId="42A59C2B" w14:textId="77777777">
            <w:pPr>
              <w:jc w:val="center"/>
              <w:rPr>
                <w:rFonts w:ascii="Arial" w:hAnsi="Arial" w:eastAsia="Times New Roman" w:cs="Arial"/>
                <w:sz w:val="20"/>
                <w:szCs w:val="20"/>
                <w:lang w:eastAsia="en-GB"/>
              </w:rPr>
            </w:pPr>
          </w:p>
        </w:tc>
      </w:tr>
      <w:tr w:rsidRPr="00C32842" w:rsidR="0018120C" w:rsidTr="00E13391" w14:paraId="1BF9F731" w14:textId="77777777">
        <w:trPr>
          <w:trHeight w:val="300"/>
        </w:trPr>
        <w:tc>
          <w:tcPr>
            <w:tcW w:w="6804" w:type="dxa"/>
            <w:tcBorders>
              <w:left w:val="nil"/>
              <w:right w:val="nil"/>
            </w:tcBorders>
            <w:noWrap/>
          </w:tcPr>
          <w:p w:rsidRPr="00C32842" w:rsidR="0018120C" w:rsidP="00E13391" w:rsidRDefault="0018120C" w14:paraId="4ACF5788" w14:textId="77777777">
            <w:pPr>
              <w:rPr>
                <w:rFonts w:ascii="Arial" w:hAnsi="Arial" w:eastAsia="Times New Roman" w:cs="Arial"/>
                <w:sz w:val="20"/>
                <w:szCs w:val="20"/>
              </w:rPr>
            </w:pPr>
            <w:r w:rsidRPr="00C32842">
              <w:rPr>
                <w:rFonts w:ascii="Arial" w:hAnsi="Arial"/>
                <w:b/>
                <w:sz w:val="20"/>
              </w:rPr>
              <w:t>Abschnitt 2 – Gesamtrisikoposition</w:t>
            </w:r>
          </w:p>
        </w:tc>
        <w:tc>
          <w:tcPr>
            <w:tcW w:w="2745" w:type="dxa"/>
            <w:tcBorders>
              <w:left w:val="nil"/>
              <w:right w:val="nil"/>
            </w:tcBorders>
            <w:noWrap/>
          </w:tcPr>
          <w:p w:rsidRPr="00C32842" w:rsidR="0018120C" w:rsidP="00E13391" w:rsidRDefault="0018120C" w14:paraId="0F5DC923" w14:textId="77777777">
            <w:pPr>
              <w:ind w:firstLine="201" w:firstLineChars="100"/>
              <w:jc w:val="center"/>
              <w:rPr>
                <w:rFonts w:ascii="Arial" w:hAnsi="Arial" w:eastAsia="Times New Roman" w:cs="Arial"/>
                <w:sz w:val="20"/>
                <w:szCs w:val="20"/>
              </w:rPr>
            </w:pPr>
            <w:r w:rsidRPr="00C32842">
              <w:rPr>
                <w:rFonts w:ascii="Arial" w:hAnsi="Arial"/>
                <w:b/>
                <w:sz w:val="20"/>
              </w:rPr>
              <w:t>Betrag</w:t>
            </w:r>
          </w:p>
        </w:tc>
      </w:tr>
      <w:tr w:rsidRPr="00C32842" w:rsidR="0018120C" w:rsidTr="00E13391" w14:paraId="3490578F" w14:textId="77777777">
        <w:trPr>
          <w:trHeight w:val="300"/>
        </w:trPr>
        <w:tc>
          <w:tcPr>
            <w:tcW w:w="6804" w:type="dxa"/>
            <w:tcBorders>
              <w:left w:val="nil"/>
              <w:right w:val="nil"/>
            </w:tcBorders>
            <w:noWrap/>
            <w:hideMark/>
          </w:tcPr>
          <w:p w:rsidRPr="00C32842" w:rsidR="0018120C" w:rsidP="00E13391" w:rsidRDefault="0018120C" w14:paraId="5F8CE479" w14:textId="77777777">
            <w:pPr>
              <w:ind w:firstLine="200" w:firstLineChars="100"/>
              <w:rPr>
                <w:rFonts w:ascii="Arial" w:hAnsi="Arial" w:eastAsia="Times New Roman" w:cs="Arial"/>
                <w:sz w:val="20"/>
                <w:szCs w:val="20"/>
              </w:rPr>
            </w:pPr>
            <w:r w:rsidRPr="00C32842">
              <w:rPr>
                <w:rFonts w:ascii="Arial" w:hAnsi="Arial"/>
                <w:sz w:val="20"/>
              </w:rPr>
              <w:t>a. Derivate</w:t>
            </w:r>
          </w:p>
        </w:tc>
        <w:tc>
          <w:tcPr>
            <w:tcW w:w="2745" w:type="dxa"/>
            <w:tcBorders>
              <w:left w:val="nil"/>
              <w:right w:val="nil"/>
            </w:tcBorders>
            <w:noWrap/>
            <w:hideMark/>
          </w:tcPr>
          <w:p w:rsidRPr="00C32842" w:rsidR="0018120C" w:rsidP="00E13391" w:rsidRDefault="0018120C" w14:paraId="3B25CF59" w14:textId="77777777">
            <w:pPr>
              <w:ind w:firstLine="200" w:firstLineChars="100"/>
              <w:rPr>
                <w:rFonts w:ascii="Arial" w:hAnsi="Arial" w:eastAsia="Times New Roman" w:cs="Arial"/>
                <w:sz w:val="20"/>
                <w:szCs w:val="20"/>
              </w:rPr>
            </w:pPr>
            <w:r w:rsidRPr="00C32842">
              <w:rPr>
                <w:rFonts w:ascii="Arial" w:hAnsi="Arial"/>
                <w:sz w:val="20"/>
              </w:rPr>
              <w:t> </w:t>
            </w:r>
          </w:p>
        </w:tc>
      </w:tr>
      <w:tr w:rsidRPr="00C32842" w:rsidR="0018120C" w:rsidTr="00E13391" w14:paraId="7888FC07" w14:textId="77777777">
        <w:trPr>
          <w:trHeight w:val="300"/>
        </w:trPr>
        <w:tc>
          <w:tcPr>
            <w:tcW w:w="6804" w:type="dxa"/>
            <w:tcBorders>
              <w:left w:val="nil"/>
              <w:right w:val="nil"/>
            </w:tcBorders>
            <w:noWrap/>
            <w:hideMark/>
          </w:tcPr>
          <w:p w:rsidRPr="00C32842" w:rsidR="0018120C" w:rsidP="00E13391" w:rsidRDefault="0018120C" w14:paraId="207BD4B4" w14:textId="77777777">
            <w:pPr>
              <w:ind w:firstLine="400" w:firstLineChars="200"/>
              <w:rPr>
                <w:rFonts w:ascii="Arial" w:hAnsi="Arial" w:eastAsia="Times New Roman" w:cs="Arial"/>
                <w:sz w:val="20"/>
                <w:szCs w:val="20"/>
              </w:rPr>
            </w:pPr>
            <w:r w:rsidRPr="00C32842">
              <w:rPr>
                <w:rFonts w:ascii="Arial" w:hAnsi="Arial"/>
                <w:sz w:val="20"/>
                <w:lang w:eastAsia="en-GB"/>
              </w:rPr>
              <w:t xml:space="preserve">(1) </w:t>
            </w:r>
            <w:r w:rsidRPr="00C32842">
              <w:rPr>
                <w:rFonts w:ascii="Arial" w:hAnsi="Arial"/>
                <w:sz w:val="20"/>
              </w:rPr>
              <w:t>Gegenparteien-Risiken aus Derivatekontrakten</w:t>
            </w:r>
          </w:p>
        </w:tc>
        <w:tc>
          <w:tcPr>
            <w:tcW w:w="2745" w:type="dxa"/>
            <w:tcBorders>
              <w:left w:val="nil"/>
              <w:right w:val="nil"/>
            </w:tcBorders>
            <w:noWrap/>
            <w:hideMark/>
          </w:tcPr>
          <w:p w:rsidRPr="00C32842" w:rsidR="0018120C" w:rsidP="00E13391" w:rsidRDefault="0018120C" w14:paraId="499BC95E"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2ECC1F9A" w14:textId="77777777">
        <w:trPr>
          <w:trHeight w:val="300"/>
        </w:trPr>
        <w:tc>
          <w:tcPr>
            <w:tcW w:w="6804" w:type="dxa"/>
            <w:tcBorders>
              <w:left w:val="nil"/>
              <w:right w:val="nil"/>
            </w:tcBorders>
            <w:noWrap/>
            <w:hideMark/>
          </w:tcPr>
          <w:p w:rsidRPr="00C32842" w:rsidR="0018120C" w:rsidP="00E13391" w:rsidRDefault="0018120C" w14:paraId="3A39936D" w14:textId="77777777">
            <w:pPr>
              <w:ind w:firstLine="400" w:firstLineChars="200"/>
              <w:rPr>
                <w:rFonts w:ascii="Arial" w:hAnsi="Arial" w:eastAsia="Times New Roman" w:cs="Arial"/>
                <w:sz w:val="20"/>
                <w:szCs w:val="20"/>
              </w:rPr>
            </w:pPr>
            <w:r w:rsidRPr="00C32842">
              <w:rPr>
                <w:rFonts w:ascii="Arial" w:hAnsi="Arial"/>
                <w:sz w:val="20"/>
                <w:lang w:eastAsia="en-GB"/>
              </w:rPr>
              <w:t xml:space="preserve">(2) </w:t>
            </w:r>
            <w:r w:rsidRPr="00C32842">
              <w:rPr>
                <w:rFonts w:ascii="Arial" w:hAnsi="Arial"/>
                <w:sz w:val="20"/>
              </w:rPr>
              <w:t>Nominalwert von Kreditderivaten (Obergrenze)</w:t>
            </w:r>
          </w:p>
        </w:tc>
        <w:tc>
          <w:tcPr>
            <w:tcW w:w="2745" w:type="dxa"/>
            <w:tcBorders>
              <w:left w:val="nil"/>
              <w:right w:val="nil"/>
            </w:tcBorders>
            <w:noWrap/>
            <w:hideMark/>
          </w:tcPr>
          <w:p w:rsidRPr="00C32842" w:rsidR="0018120C" w:rsidP="00E13391" w:rsidRDefault="0018120C" w14:paraId="4DD9923D"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4D501379" w14:textId="77777777">
        <w:trPr>
          <w:trHeight w:val="300"/>
        </w:trPr>
        <w:tc>
          <w:tcPr>
            <w:tcW w:w="6804" w:type="dxa"/>
            <w:tcBorders>
              <w:left w:val="nil"/>
              <w:right w:val="nil"/>
            </w:tcBorders>
            <w:noWrap/>
            <w:hideMark/>
          </w:tcPr>
          <w:p w:rsidRPr="00C32842" w:rsidR="0018120C" w:rsidP="00E13391" w:rsidRDefault="0018120C" w14:paraId="67E530EF" w14:textId="77777777">
            <w:pPr>
              <w:ind w:firstLine="400" w:firstLineChars="200"/>
              <w:rPr>
                <w:rFonts w:ascii="Arial" w:hAnsi="Arial" w:eastAsia="Times New Roman" w:cs="Arial"/>
                <w:sz w:val="20"/>
                <w:szCs w:val="20"/>
              </w:rPr>
            </w:pPr>
            <w:r w:rsidRPr="00C32842">
              <w:rPr>
                <w:rFonts w:ascii="Arial" w:hAnsi="Arial"/>
                <w:sz w:val="20"/>
                <w:lang w:eastAsia="en-GB"/>
              </w:rPr>
              <w:t xml:space="preserve">(3) </w:t>
            </w:r>
            <w:r w:rsidRPr="00C32842">
              <w:rPr>
                <w:rFonts w:ascii="Arial" w:hAnsi="Arial"/>
                <w:sz w:val="20"/>
              </w:rPr>
              <w:t>Potenzielle zukünftige Risikopositionen aus Derivatekontrakten</w:t>
            </w:r>
          </w:p>
        </w:tc>
        <w:tc>
          <w:tcPr>
            <w:tcW w:w="2745" w:type="dxa"/>
            <w:tcBorders>
              <w:left w:val="nil"/>
              <w:right w:val="nil"/>
            </w:tcBorders>
            <w:noWrap/>
            <w:hideMark/>
          </w:tcPr>
          <w:p w:rsidRPr="00C32842" w:rsidR="0018120C" w:rsidP="00E13391" w:rsidRDefault="0018120C" w14:paraId="5E93206E"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1EC840E7" w14:textId="77777777">
        <w:trPr>
          <w:trHeight w:val="300"/>
        </w:trPr>
        <w:tc>
          <w:tcPr>
            <w:tcW w:w="6804" w:type="dxa"/>
            <w:tcBorders>
              <w:left w:val="nil"/>
              <w:right w:val="nil"/>
            </w:tcBorders>
            <w:noWrap/>
            <w:hideMark/>
          </w:tcPr>
          <w:p w:rsidRPr="00C32842" w:rsidR="0018120C" w:rsidP="00E13391" w:rsidRDefault="0018120C" w14:paraId="1407D7EF" w14:textId="77777777">
            <w:pPr>
              <w:ind w:firstLine="200" w:firstLineChars="100"/>
              <w:rPr>
                <w:rFonts w:ascii="Arial" w:hAnsi="Arial" w:eastAsia="Times New Roman" w:cs="Arial"/>
                <w:sz w:val="20"/>
                <w:szCs w:val="20"/>
              </w:rPr>
            </w:pPr>
            <w:r w:rsidRPr="00C32842">
              <w:rPr>
                <w:rFonts w:ascii="Arial" w:hAnsi="Arial"/>
                <w:sz w:val="20"/>
              </w:rPr>
              <w:t>b. Wertpapierfinanzierungsgeschäfte (SFT)</w:t>
            </w:r>
          </w:p>
        </w:tc>
        <w:tc>
          <w:tcPr>
            <w:tcW w:w="2745" w:type="dxa"/>
            <w:tcBorders>
              <w:left w:val="nil"/>
              <w:right w:val="nil"/>
            </w:tcBorders>
            <w:noWrap/>
            <w:hideMark/>
          </w:tcPr>
          <w:p w:rsidRPr="00C32842" w:rsidR="0018120C" w:rsidP="00E13391" w:rsidRDefault="0018120C" w14:paraId="0BF3B089" w14:textId="77777777">
            <w:pPr>
              <w:ind w:firstLine="200" w:firstLineChars="100"/>
              <w:rPr>
                <w:rFonts w:ascii="Arial" w:hAnsi="Arial" w:eastAsia="Times New Roman" w:cs="Arial"/>
                <w:sz w:val="20"/>
                <w:szCs w:val="20"/>
              </w:rPr>
            </w:pPr>
            <w:r w:rsidRPr="00C32842">
              <w:rPr>
                <w:rFonts w:ascii="Arial" w:hAnsi="Arial"/>
                <w:sz w:val="20"/>
              </w:rPr>
              <w:t> </w:t>
            </w:r>
          </w:p>
        </w:tc>
      </w:tr>
      <w:tr w:rsidRPr="00C32842" w:rsidR="0018120C" w:rsidTr="00E13391" w14:paraId="23F2D66F" w14:textId="77777777">
        <w:trPr>
          <w:trHeight w:val="300"/>
        </w:trPr>
        <w:tc>
          <w:tcPr>
            <w:tcW w:w="6804" w:type="dxa"/>
            <w:tcBorders>
              <w:left w:val="nil"/>
              <w:right w:val="nil"/>
            </w:tcBorders>
            <w:noWrap/>
            <w:hideMark/>
          </w:tcPr>
          <w:p w:rsidRPr="00C32842" w:rsidR="0018120C" w:rsidP="00E13391" w:rsidRDefault="0018120C" w14:paraId="036E9C30" w14:textId="77777777">
            <w:pPr>
              <w:ind w:firstLine="400" w:firstLineChars="200"/>
              <w:rPr>
                <w:rFonts w:ascii="Arial" w:hAnsi="Arial" w:eastAsia="Times New Roman" w:cs="Arial"/>
                <w:sz w:val="20"/>
                <w:szCs w:val="20"/>
              </w:rPr>
            </w:pPr>
            <w:r w:rsidRPr="00C32842">
              <w:rPr>
                <w:rFonts w:ascii="Arial" w:hAnsi="Arial"/>
                <w:sz w:val="20"/>
                <w:lang w:eastAsia="en-GB"/>
              </w:rPr>
              <w:t xml:space="preserve">(1) </w:t>
            </w:r>
            <w:r w:rsidRPr="00C32842">
              <w:rPr>
                <w:rFonts w:ascii="Arial" w:hAnsi="Arial"/>
                <w:sz w:val="20"/>
              </w:rPr>
              <w:t>Angepasster Bruttowert von SFT</w:t>
            </w:r>
          </w:p>
        </w:tc>
        <w:tc>
          <w:tcPr>
            <w:tcW w:w="2745" w:type="dxa"/>
            <w:tcBorders>
              <w:left w:val="nil"/>
              <w:right w:val="nil"/>
            </w:tcBorders>
            <w:noWrap/>
            <w:hideMark/>
          </w:tcPr>
          <w:p w:rsidRPr="00C32842" w:rsidR="0018120C" w:rsidP="00E13391" w:rsidRDefault="0018120C" w14:paraId="456A8EBE"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6EAA5E09" w14:textId="77777777">
        <w:trPr>
          <w:trHeight w:val="300"/>
        </w:trPr>
        <w:tc>
          <w:tcPr>
            <w:tcW w:w="6804" w:type="dxa"/>
            <w:tcBorders>
              <w:left w:val="nil"/>
              <w:right w:val="nil"/>
            </w:tcBorders>
            <w:noWrap/>
            <w:hideMark/>
          </w:tcPr>
          <w:p w:rsidRPr="00C32842" w:rsidR="0018120C" w:rsidP="00E13391" w:rsidRDefault="0018120C" w14:paraId="361917C6" w14:textId="77777777">
            <w:pPr>
              <w:ind w:firstLine="400" w:firstLineChars="200"/>
              <w:rPr>
                <w:rFonts w:ascii="Arial" w:hAnsi="Arial" w:eastAsia="Times New Roman" w:cs="Arial"/>
                <w:sz w:val="20"/>
                <w:szCs w:val="20"/>
              </w:rPr>
            </w:pPr>
            <w:r w:rsidRPr="00C32842">
              <w:rPr>
                <w:rFonts w:ascii="Arial" w:hAnsi="Arial"/>
                <w:sz w:val="20"/>
                <w:lang w:eastAsia="en-GB"/>
              </w:rPr>
              <w:t xml:space="preserve">(2) </w:t>
            </w:r>
            <w:r w:rsidRPr="00C32842">
              <w:rPr>
                <w:rFonts w:ascii="Arial" w:hAnsi="Arial"/>
                <w:sz w:val="20"/>
              </w:rPr>
              <w:t>Gegenparteien-Risiken aus SFT</w:t>
            </w:r>
          </w:p>
        </w:tc>
        <w:tc>
          <w:tcPr>
            <w:tcW w:w="2745" w:type="dxa"/>
            <w:tcBorders>
              <w:left w:val="nil"/>
              <w:right w:val="nil"/>
            </w:tcBorders>
            <w:noWrap/>
            <w:hideMark/>
          </w:tcPr>
          <w:p w:rsidRPr="00C32842" w:rsidR="0018120C" w:rsidP="00E13391" w:rsidRDefault="0018120C" w14:paraId="7BB1CA49"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392F637C" w14:textId="77777777">
        <w:trPr>
          <w:trHeight w:val="300"/>
        </w:trPr>
        <w:tc>
          <w:tcPr>
            <w:tcW w:w="6804" w:type="dxa"/>
            <w:tcBorders>
              <w:left w:val="nil"/>
              <w:right w:val="nil"/>
            </w:tcBorders>
            <w:noWrap/>
            <w:hideMark/>
          </w:tcPr>
          <w:p w:rsidRPr="00C32842" w:rsidR="0018120C" w:rsidP="00E13391" w:rsidRDefault="0018120C" w14:paraId="18E66181" w14:textId="77777777">
            <w:pPr>
              <w:ind w:firstLine="200" w:firstLineChars="100"/>
              <w:rPr>
                <w:rFonts w:ascii="Arial" w:hAnsi="Arial" w:eastAsia="Times New Roman" w:cs="Arial"/>
                <w:sz w:val="20"/>
                <w:szCs w:val="20"/>
              </w:rPr>
            </w:pPr>
            <w:r w:rsidRPr="00C32842">
              <w:rPr>
                <w:rFonts w:ascii="Arial" w:hAnsi="Arial"/>
                <w:sz w:val="20"/>
              </w:rPr>
              <w:t>c. Sonstige Vermögenswerte</w:t>
            </w:r>
          </w:p>
        </w:tc>
        <w:tc>
          <w:tcPr>
            <w:tcW w:w="2745" w:type="dxa"/>
            <w:tcBorders>
              <w:left w:val="nil"/>
              <w:right w:val="nil"/>
            </w:tcBorders>
            <w:noWrap/>
            <w:hideMark/>
          </w:tcPr>
          <w:p w:rsidRPr="00C32842" w:rsidR="0018120C" w:rsidP="00E13391" w:rsidRDefault="0018120C" w14:paraId="59374A6F"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747320D0" w14:textId="77777777">
        <w:trPr>
          <w:trHeight w:val="300"/>
        </w:trPr>
        <w:tc>
          <w:tcPr>
            <w:tcW w:w="6804" w:type="dxa"/>
            <w:tcBorders>
              <w:left w:val="nil"/>
              <w:right w:val="nil"/>
            </w:tcBorders>
            <w:noWrap/>
            <w:hideMark/>
          </w:tcPr>
          <w:p w:rsidRPr="00C32842" w:rsidR="0018120C" w:rsidP="00E13391" w:rsidRDefault="0018120C" w14:paraId="6A0859BF" w14:textId="77777777">
            <w:pPr>
              <w:ind w:firstLine="200" w:firstLineChars="100"/>
              <w:rPr>
                <w:rFonts w:ascii="Arial" w:hAnsi="Arial" w:eastAsia="Times New Roman" w:cs="Arial"/>
                <w:sz w:val="20"/>
                <w:szCs w:val="20"/>
              </w:rPr>
            </w:pPr>
            <w:r w:rsidRPr="00C32842">
              <w:rPr>
                <w:rFonts w:ascii="Arial" w:hAnsi="Arial"/>
                <w:sz w:val="20"/>
              </w:rPr>
              <w:t>d. Bruttonnominalwert außerbilanzieller Positionen</w:t>
            </w:r>
          </w:p>
        </w:tc>
        <w:tc>
          <w:tcPr>
            <w:tcW w:w="2745" w:type="dxa"/>
            <w:tcBorders>
              <w:left w:val="nil"/>
              <w:right w:val="nil"/>
            </w:tcBorders>
            <w:noWrap/>
            <w:hideMark/>
          </w:tcPr>
          <w:p w:rsidRPr="00C32842" w:rsidR="0018120C" w:rsidP="00E13391" w:rsidRDefault="0018120C" w14:paraId="5D67DC16" w14:textId="77777777">
            <w:pPr>
              <w:ind w:firstLine="200" w:firstLineChars="100"/>
              <w:rPr>
                <w:rFonts w:ascii="Arial" w:hAnsi="Arial" w:eastAsia="Times New Roman" w:cs="Arial"/>
                <w:sz w:val="20"/>
                <w:szCs w:val="20"/>
              </w:rPr>
            </w:pPr>
            <w:r w:rsidRPr="00C32842">
              <w:rPr>
                <w:rFonts w:ascii="Arial" w:hAnsi="Arial"/>
                <w:sz w:val="20"/>
              </w:rPr>
              <w:t> </w:t>
            </w:r>
          </w:p>
        </w:tc>
      </w:tr>
      <w:tr w:rsidRPr="00C32842" w:rsidR="0018120C" w:rsidTr="00E13391" w14:paraId="448E6521" w14:textId="77777777">
        <w:trPr>
          <w:trHeight w:val="300"/>
        </w:trPr>
        <w:tc>
          <w:tcPr>
            <w:tcW w:w="6804" w:type="dxa"/>
            <w:tcBorders>
              <w:left w:val="nil"/>
              <w:right w:val="nil"/>
            </w:tcBorders>
            <w:noWrap/>
            <w:hideMark/>
          </w:tcPr>
          <w:p w:rsidRPr="00C32842" w:rsidR="0018120C" w:rsidP="00E13391" w:rsidRDefault="0018120C" w14:paraId="7FBED02F" w14:textId="77777777">
            <w:pPr>
              <w:ind w:firstLine="400" w:firstLineChars="200"/>
              <w:rPr>
                <w:rFonts w:ascii="Arial" w:hAnsi="Arial" w:eastAsia="Times New Roman" w:cs="Arial"/>
                <w:sz w:val="20"/>
                <w:szCs w:val="20"/>
              </w:rPr>
            </w:pPr>
            <w:r w:rsidRPr="00C32842">
              <w:rPr>
                <w:rFonts w:ascii="Arial" w:hAnsi="Arial"/>
                <w:sz w:val="20"/>
                <w:lang w:eastAsia="en-GB"/>
              </w:rPr>
              <w:t xml:space="preserve">(1) </w:t>
            </w:r>
            <w:r w:rsidRPr="00C32842">
              <w:rPr>
                <w:rFonts w:ascii="Arial" w:hAnsi="Arial"/>
                <w:sz w:val="20"/>
              </w:rPr>
              <w:t>Positionen mit einem CCF von 0 % (CCF = Kreditumrechnungsfaktor)</w:t>
            </w:r>
          </w:p>
        </w:tc>
        <w:tc>
          <w:tcPr>
            <w:tcW w:w="2745" w:type="dxa"/>
            <w:tcBorders>
              <w:left w:val="nil"/>
              <w:right w:val="nil"/>
            </w:tcBorders>
            <w:noWrap/>
            <w:hideMark/>
          </w:tcPr>
          <w:p w:rsidRPr="00C32842" w:rsidR="0018120C" w:rsidP="00E13391" w:rsidRDefault="0018120C" w14:paraId="56458865"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41F9F3E1" w14:textId="77777777">
        <w:trPr>
          <w:trHeight w:val="300"/>
        </w:trPr>
        <w:tc>
          <w:tcPr>
            <w:tcW w:w="6804" w:type="dxa"/>
            <w:tcBorders>
              <w:left w:val="nil"/>
              <w:right w:val="nil"/>
            </w:tcBorders>
            <w:noWrap/>
            <w:hideMark/>
          </w:tcPr>
          <w:p w:rsidRPr="00C32842" w:rsidR="0018120C" w:rsidP="00E13391" w:rsidRDefault="0018120C" w14:paraId="25CA860C" w14:textId="77777777">
            <w:pPr>
              <w:ind w:firstLine="400" w:firstLineChars="200"/>
              <w:rPr>
                <w:rFonts w:ascii="Arial" w:hAnsi="Arial" w:eastAsia="Times New Roman" w:cs="Arial"/>
                <w:sz w:val="20"/>
                <w:szCs w:val="20"/>
              </w:rPr>
            </w:pPr>
            <w:r w:rsidRPr="00C32842">
              <w:rPr>
                <w:rFonts w:ascii="Arial" w:hAnsi="Arial"/>
                <w:sz w:val="20"/>
                <w:lang w:eastAsia="en-GB"/>
              </w:rPr>
              <w:t xml:space="preserve">(2) </w:t>
            </w:r>
            <w:r w:rsidRPr="00C32842">
              <w:rPr>
                <w:rFonts w:ascii="Arial" w:hAnsi="Arial"/>
                <w:sz w:val="20"/>
              </w:rPr>
              <w:t>Positionen mit einem CCF von 20 %</w:t>
            </w:r>
          </w:p>
        </w:tc>
        <w:tc>
          <w:tcPr>
            <w:tcW w:w="2745" w:type="dxa"/>
            <w:tcBorders>
              <w:left w:val="nil"/>
              <w:right w:val="nil"/>
            </w:tcBorders>
            <w:noWrap/>
            <w:hideMark/>
          </w:tcPr>
          <w:p w:rsidRPr="00C32842" w:rsidR="0018120C" w:rsidP="00E13391" w:rsidRDefault="0018120C" w14:paraId="658532C7"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02B75AC4" w14:textId="77777777">
        <w:trPr>
          <w:trHeight w:val="300"/>
        </w:trPr>
        <w:tc>
          <w:tcPr>
            <w:tcW w:w="6804" w:type="dxa"/>
            <w:tcBorders>
              <w:left w:val="nil"/>
              <w:right w:val="nil"/>
            </w:tcBorders>
            <w:noWrap/>
            <w:hideMark/>
          </w:tcPr>
          <w:p w:rsidRPr="00C32842" w:rsidR="0018120C" w:rsidP="00E13391" w:rsidRDefault="0018120C" w14:paraId="2D0DD4AF" w14:textId="77777777">
            <w:pPr>
              <w:ind w:firstLine="400" w:firstLineChars="200"/>
              <w:rPr>
                <w:rFonts w:ascii="Arial" w:hAnsi="Arial" w:eastAsia="Times New Roman" w:cs="Arial"/>
                <w:sz w:val="20"/>
                <w:szCs w:val="20"/>
              </w:rPr>
            </w:pPr>
            <w:r w:rsidRPr="00C32842">
              <w:rPr>
                <w:rFonts w:ascii="Arial" w:hAnsi="Arial"/>
                <w:sz w:val="20"/>
                <w:lang w:eastAsia="en-GB"/>
              </w:rPr>
              <w:t xml:space="preserve">(3) </w:t>
            </w:r>
            <w:r w:rsidRPr="00C32842">
              <w:rPr>
                <w:rFonts w:ascii="Arial" w:hAnsi="Arial"/>
                <w:sz w:val="20"/>
              </w:rPr>
              <w:t>Positionen mit einem CCF von 50 %</w:t>
            </w:r>
          </w:p>
        </w:tc>
        <w:tc>
          <w:tcPr>
            <w:tcW w:w="2745" w:type="dxa"/>
            <w:tcBorders>
              <w:left w:val="nil"/>
              <w:right w:val="nil"/>
            </w:tcBorders>
            <w:noWrap/>
            <w:hideMark/>
          </w:tcPr>
          <w:p w:rsidRPr="00C32842" w:rsidR="0018120C" w:rsidP="00E13391" w:rsidRDefault="0018120C" w14:paraId="06A4FE2B"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520CA5E3" w14:textId="77777777">
        <w:trPr>
          <w:trHeight w:val="300"/>
        </w:trPr>
        <w:tc>
          <w:tcPr>
            <w:tcW w:w="6804" w:type="dxa"/>
            <w:tcBorders>
              <w:left w:val="nil"/>
              <w:right w:val="nil"/>
            </w:tcBorders>
            <w:noWrap/>
            <w:hideMark/>
          </w:tcPr>
          <w:p w:rsidRPr="00C32842" w:rsidR="0018120C" w:rsidP="00E13391" w:rsidRDefault="0018120C" w14:paraId="4F21CBF2" w14:textId="77777777">
            <w:pPr>
              <w:ind w:firstLine="400" w:firstLineChars="200"/>
              <w:rPr>
                <w:rFonts w:ascii="Arial" w:hAnsi="Arial" w:eastAsia="Times New Roman" w:cs="Arial"/>
                <w:sz w:val="20"/>
                <w:szCs w:val="20"/>
              </w:rPr>
            </w:pPr>
            <w:r w:rsidRPr="00C32842">
              <w:rPr>
                <w:rFonts w:ascii="Arial" w:hAnsi="Arial"/>
                <w:sz w:val="20"/>
                <w:lang w:eastAsia="en-GB"/>
              </w:rPr>
              <w:t xml:space="preserve">(4) </w:t>
            </w:r>
            <w:r w:rsidRPr="00C32842">
              <w:rPr>
                <w:rFonts w:ascii="Arial" w:hAnsi="Arial"/>
                <w:sz w:val="20"/>
              </w:rPr>
              <w:t>Positionen mit einem CCF von 100 %</w:t>
            </w:r>
          </w:p>
        </w:tc>
        <w:tc>
          <w:tcPr>
            <w:tcW w:w="2745" w:type="dxa"/>
            <w:tcBorders>
              <w:left w:val="nil"/>
              <w:right w:val="nil"/>
            </w:tcBorders>
            <w:noWrap/>
            <w:hideMark/>
          </w:tcPr>
          <w:p w:rsidRPr="00C32842" w:rsidR="0018120C" w:rsidP="00E13391" w:rsidRDefault="0018120C" w14:paraId="5E99EC57"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2B965A44" w14:textId="77777777">
        <w:trPr>
          <w:trHeight w:val="300"/>
        </w:trPr>
        <w:tc>
          <w:tcPr>
            <w:tcW w:w="6804" w:type="dxa"/>
            <w:tcBorders>
              <w:left w:val="nil"/>
              <w:right w:val="nil"/>
            </w:tcBorders>
            <w:noWrap/>
            <w:hideMark/>
          </w:tcPr>
          <w:p w:rsidRPr="00C32842" w:rsidR="0018120C" w:rsidP="00E13391" w:rsidRDefault="0018120C" w14:paraId="4A44DEF7" w14:textId="77777777">
            <w:pPr>
              <w:ind w:firstLine="200" w:firstLineChars="100"/>
              <w:rPr>
                <w:rFonts w:ascii="Arial" w:hAnsi="Arial" w:eastAsia="Times New Roman" w:cs="Arial"/>
                <w:sz w:val="20"/>
                <w:szCs w:val="20"/>
              </w:rPr>
            </w:pPr>
            <w:r w:rsidRPr="00C32842">
              <w:rPr>
                <w:rFonts w:ascii="Arial" w:hAnsi="Arial"/>
                <w:sz w:val="20"/>
              </w:rPr>
              <w:t>e. Regulatorische Anpassungen</w:t>
            </w:r>
          </w:p>
        </w:tc>
        <w:tc>
          <w:tcPr>
            <w:tcW w:w="2745" w:type="dxa"/>
            <w:tcBorders>
              <w:left w:val="nil"/>
              <w:right w:val="nil"/>
            </w:tcBorders>
            <w:noWrap/>
            <w:hideMark/>
          </w:tcPr>
          <w:p w:rsidRPr="00C32842" w:rsidR="0018120C" w:rsidP="00E13391" w:rsidRDefault="0018120C" w14:paraId="4F2A79FA"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77CDC7A9" w14:textId="77777777">
        <w:trPr>
          <w:trHeight w:val="300"/>
        </w:trPr>
        <w:tc>
          <w:tcPr>
            <w:tcW w:w="6804" w:type="dxa"/>
            <w:tcBorders>
              <w:left w:val="nil"/>
              <w:right w:val="nil"/>
            </w:tcBorders>
            <w:noWrap/>
          </w:tcPr>
          <w:p w:rsidRPr="00C32842" w:rsidR="0018120C" w:rsidP="00E13391" w:rsidRDefault="0018120C" w14:paraId="4211B281" w14:textId="77777777">
            <w:pPr>
              <w:ind w:left="171" w:firstLine="28" w:firstLineChars="14"/>
              <w:rPr>
                <w:rFonts w:ascii="Arial" w:hAnsi="Arial" w:eastAsia="Times New Roman" w:cs="Arial"/>
                <w:sz w:val="20"/>
                <w:szCs w:val="20"/>
              </w:rPr>
            </w:pPr>
            <w:r w:rsidRPr="00C32842">
              <w:rPr>
                <w:rFonts w:ascii="Arial" w:hAnsi="Arial"/>
                <w:sz w:val="20"/>
              </w:rPr>
              <w:t>f. Gesamtrisikopositionen vor den regulatorischen Anpassungen (Summe aus den Positionen 2.a) Unterpunkte 1 bis 2.c, dem 0,1-</w:t>
            </w:r>
            <w:r w:rsidRPr="00C32842">
              <w:rPr>
                <w:rFonts w:ascii="Arial" w:hAnsi="Arial"/>
                <w:sz w:val="20"/>
              </w:rPr>
              <w:lastRenderedPageBreak/>
              <w:t>Fachen von 2.d Unterpunkt (1), dem 0,2-Fachen von 2.d Unterpunkt (2), dem 0,5-Fachen von 2.d Unterpunkt (3) sowie 2.d Unterpunkt (4)</w:t>
            </w:r>
          </w:p>
        </w:tc>
        <w:tc>
          <w:tcPr>
            <w:tcW w:w="2745" w:type="dxa"/>
            <w:tcBorders>
              <w:left w:val="nil"/>
              <w:right w:val="nil"/>
            </w:tcBorders>
            <w:noWrap/>
          </w:tcPr>
          <w:p w:rsidRPr="00C32842" w:rsidR="0018120C" w:rsidP="00E13391" w:rsidRDefault="0018120C" w14:paraId="3BF9C380" w14:textId="77777777">
            <w:pPr>
              <w:jc w:val="right"/>
              <w:rPr>
                <w:rFonts w:ascii="Arial" w:hAnsi="Arial" w:eastAsia="Times New Roman" w:cs="Arial"/>
                <w:sz w:val="20"/>
                <w:szCs w:val="20"/>
                <w:lang w:eastAsia="en-GB"/>
              </w:rPr>
            </w:pPr>
          </w:p>
        </w:tc>
      </w:tr>
      <w:tr w:rsidRPr="00C32842" w:rsidR="0018120C" w:rsidTr="00E13391" w14:paraId="1A364FF8" w14:textId="77777777">
        <w:trPr>
          <w:trHeight w:val="300"/>
        </w:trPr>
        <w:tc>
          <w:tcPr>
            <w:tcW w:w="6804" w:type="dxa"/>
            <w:tcBorders>
              <w:left w:val="nil"/>
              <w:right w:val="nil"/>
            </w:tcBorders>
            <w:noWrap/>
          </w:tcPr>
          <w:p w:rsidRPr="00C32842" w:rsidR="0018120C" w:rsidP="00E13391" w:rsidRDefault="0018120C" w14:paraId="2C718725" w14:textId="77777777">
            <w:pPr>
              <w:ind w:left="171" w:firstLine="28" w:firstLineChars="14"/>
              <w:rPr>
                <w:rFonts w:ascii="Arial" w:hAnsi="Arial" w:eastAsia="Times New Roman" w:cs="Arial"/>
                <w:sz w:val="20"/>
                <w:szCs w:val="20"/>
              </w:rPr>
            </w:pPr>
            <w:r w:rsidRPr="00C32842">
              <w:rPr>
                <w:rFonts w:ascii="Arial" w:hAnsi="Arial"/>
                <w:sz w:val="20"/>
              </w:rPr>
              <w:t>g. Nicht unter Position 2.f fallende Risikopositionen von Versicherungstochtergesellschaften nach Abzug der gruppeninternen Risikopositionen:</w:t>
            </w:r>
          </w:p>
        </w:tc>
        <w:tc>
          <w:tcPr>
            <w:tcW w:w="2745" w:type="dxa"/>
            <w:tcBorders>
              <w:left w:val="nil"/>
              <w:right w:val="nil"/>
            </w:tcBorders>
            <w:noWrap/>
          </w:tcPr>
          <w:p w:rsidRPr="00C32842" w:rsidR="0018120C" w:rsidP="00E13391" w:rsidRDefault="0018120C" w14:paraId="1A5A6DE3" w14:textId="77777777">
            <w:pPr>
              <w:jc w:val="right"/>
              <w:rPr>
                <w:rFonts w:ascii="Arial" w:hAnsi="Arial" w:eastAsia="Times New Roman" w:cs="Arial"/>
                <w:sz w:val="20"/>
                <w:szCs w:val="20"/>
                <w:lang w:eastAsia="en-GB"/>
              </w:rPr>
            </w:pPr>
          </w:p>
        </w:tc>
      </w:tr>
      <w:tr w:rsidRPr="00C32842" w:rsidR="0018120C" w:rsidTr="00E13391" w14:paraId="203C05AC" w14:textId="77777777">
        <w:trPr>
          <w:trHeight w:val="300"/>
        </w:trPr>
        <w:tc>
          <w:tcPr>
            <w:tcW w:w="6804" w:type="dxa"/>
            <w:tcBorders>
              <w:left w:val="nil"/>
              <w:right w:val="nil"/>
            </w:tcBorders>
            <w:noWrap/>
          </w:tcPr>
          <w:p w:rsidRPr="00C32842" w:rsidR="0018120C" w:rsidP="00E13391" w:rsidRDefault="0018120C" w14:paraId="30A6A0E8" w14:textId="77777777">
            <w:pPr>
              <w:ind w:left="720" w:firstLine="28" w:firstLineChars="14"/>
              <w:rPr>
                <w:rFonts w:ascii="Arial" w:hAnsi="Arial" w:eastAsia="Times New Roman" w:cs="Arial"/>
                <w:sz w:val="20"/>
                <w:szCs w:val="20"/>
              </w:rPr>
            </w:pPr>
            <w:r w:rsidRPr="00C32842">
              <w:rPr>
                <w:rFonts w:ascii="Arial" w:hAnsi="Arial"/>
                <w:sz w:val="20"/>
                <w:lang w:eastAsia="en-GB"/>
              </w:rPr>
              <w:t xml:space="preserve">(1) </w:t>
            </w:r>
            <w:r w:rsidRPr="00C32842">
              <w:rPr>
                <w:rFonts w:ascii="Arial" w:hAnsi="Arial"/>
                <w:sz w:val="20"/>
              </w:rPr>
              <w:t>Bilanzielle und außerbilanzielle Vermögenswerte von Versicherungstochtergesellschaften</w:t>
            </w:r>
          </w:p>
        </w:tc>
        <w:tc>
          <w:tcPr>
            <w:tcW w:w="2745" w:type="dxa"/>
            <w:tcBorders>
              <w:left w:val="nil"/>
              <w:right w:val="nil"/>
            </w:tcBorders>
            <w:noWrap/>
          </w:tcPr>
          <w:p w:rsidRPr="00C32842" w:rsidR="0018120C" w:rsidP="00E13391" w:rsidRDefault="0018120C" w14:paraId="0377A686" w14:textId="77777777">
            <w:pPr>
              <w:jc w:val="right"/>
              <w:rPr>
                <w:rFonts w:ascii="Arial" w:hAnsi="Arial" w:eastAsia="Times New Roman" w:cs="Arial"/>
                <w:sz w:val="20"/>
                <w:szCs w:val="20"/>
                <w:lang w:eastAsia="en-GB"/>
              </w:rPr>
            </w:pPr>
          </w:p>
        </w:tc>
      </w:tr>
      <w:tr w:rsidRPr="00C32842" w:rsidR="0018120C" w:rsidTr="00E13391" w14:paraId="360BFDC6" w14:textId="77777777">
        <w:trPr>
          <w:trHeight w:val="300"/>
        </w:trPr>
        <w:tc>
          <w:tcPr>
            <w:tcW w:w="6804" w:type="dxa"/>
            <w:tcBorders>
              <w:left w:val="nil"/>
              <w:right w:val="nil"/>
            </w:tcBorders>
            <w:noWrap/>
          </w:tcPr>
          <w:p w:rsidRPr="00C32842" w:rsidR="0018120C" w:rsidP="00E13391" w:rsidRDefault="0018120C" w14:paraId="39B26AA8" w14:textId="77777777">
            <w:pPr>
              <w:ind w:left="720" w:firstLine="28" w:firstLineChars="14"/>
              <w:rPr>
                <w:rFonts w:ascii="Arial" w:hAnsi="Arial" w:eastAsia="Times New Roman" w:cs="Arial"/>
                <w:sz w:val="20"/>
                <w:szCs w:val="20"/>
              </w:rPr>
            </w:pPr>
            <w:r w:rsidRPr="00C32842">
              <w:rPr>
                <w:rFonts w:ascii="Arial" w:hAnsi="Arial"/>
                <w:sz w:val="20"/>
                <w:lang w:eastAsia="en-GB"/>
              </w:rPr>
              <w:t xml:space="preserve">(2) </w:t>
            </w:r>
            <w:r w:rsidRPr="00C32842">
              <w:rPr>
                <w:rFonts w:ascii="Arial" w:hAnsi="Arial"/>
                <w:sz w:val="20"/>
              </w:rPr>
              <w:t>Potenzielle zukünftige Risikopositionen aus Derivatekontrakten für Versicherungstochtergesellschaften</w:t>
            </w:r>
          </w:p>
        </w:tc>
        <w:tc>
          <w:tcPr>
            <w:tcW w:w="2745" w:type="dxa"/>
            <w:tcBorders>
              <w:left w:val="nil"/>
              <w:right w:val="nil"/>
            </w:tcBorders>
            <w:noWrap/>
          </w:tcPr>
          <w:p w:rsidRPr="00C32842" w:rsidR="0018120C" w:rsidP="00E13391" w:rsidRDefault="0018120C" w14:paraId="0CB27A56" w14:textId="77777777">
            <w:pPr>
              <w:jc w:val="right"/>
              <w:rPr>
                <w:rFonts w:ascii="Arial" w:hAnsi="Arial" w:eastAsia="Times New Roman" w:cs="Arial"/>
                <w:sz w:val="20"/>
                <w:szCs w:val="20"/>
                <w:lang w:eastAsia="en-GB"/>
              </w:rPr>
            </w:pPr>
          </w:p>
        </w:tc>
      </w:tr>
      <w:tr w:rsidRPr="00C32842" w:rsidR="0018120C" w:rsidTr="00E13391" w14:paraId="40A4902C" w14:textId="77777777">
        <w:trPr>
          <w:trHeight w:val="300"/>
        </w:trPr>
        <w:tc>
          <w:tcPr>
            <w:tcW w:w="6804" w:type="dxa"/>
            <w:tcBorders>
              <w:left w:val="nil"/>
              <w:right w:val="nil"/>
            </w:tcBorders>
            <w:noWrap/>
          </w:tcPr>
          <w:p w:rsidRPr="00C32842" w:rsidR="0018120C" w:rsidP="00E13391" w:rsidRDefault="0018120C" w14:paraId="0513682E" w14:textId="77777777">
            <w:pPr>
              <w:ind w:left="720" w:firstLine="28" w:firstLineChars="14"/>
              <w:rPr>
                <w:rFonts w:ascii="Arial" w:hAnsi="Arial" w:eastAsia="Times New Roman" w:cs="Arial"/>
                <w:sz w:val="20"/>
                <w:szCs w:val="20"/>
              </w:rPr>
            </w:pPr>
            <w:r w:rsidRPr="00C32842">
              <w:rPr>
                <w:rFonts w:ascii="Arial" w:hAnsi="Arial"/>
                <w:sz w:val="20"/>
                <w:lang w:eastAsia="en-GB"/>
              </w:rPr>
              <w:t xml:space="preserve">(3) </w:t>
            </w:r>
            <w:r w:rsidRPr="00C32842">
              <w:rPr>
                <w:rFonts w:ascii="Arial" w:hAnsi="Arial"/>
                <w:sz w:val="20"/>
              </w:rPr>
              <w:t>Investitionswert in Bezug auf die konsolidierten Unternehmen</w:t>
            </w:r>
          </w:p>
        </w:tc>
        <w:tc>
          <w:tcPr>
            <w:tcW w:w="2745" w:type="dxa"/>
            <w:tcBorders>
              <w:left w:val="nil"/>
              <w:right w:val="nil"/>
            </w:tcBorders>
            <w:noWrap/>
          </w:tcPr>
          <w:p w:rsidRPr="00C32842" w:rsidR="0018120C" w:rsidP="00E13391" w:rsidRDefault="0018120C" w14:paraId="5490589E" w14:textId="77777777">
            <w:pPr>
              <w:jc w:val="right"/>
              <w:rPr>
                <w:rFonts w:ascii="Arial" w:hAnsi="Arial" w:eastAsia="Times New Roman" w:cs="Arial"/>
                <w:sz w:val="20"/>
                <w:szCs w:val="20"/>
                <w:lang w:eastAsia="en-GB"/>
              </w:rPr>
            </w:pPr>
          </w:p>
        </w:tc>
      </w:tr>
      <w:tr w:rsidRPr="00C32842" w:rsidR="0018120C" w:rsidTr="00E13391" w14:paraId="41712D9E" w14:textId="77777777">
        <w:trPr>
          <w:trHeight w:val="300"/>
        </w:trPr>
        <w:tc>
          <w:tcPr>
            <w:tcW w:w="6804" w:type="dxa"/>
            <w:tcBorders>
              <w:left w:val="nil"/>
              <w:right w:val="nil"/>
            </w:tcBorders>
            <w:noWrap/>
          </w:tcPr>
          <w:p w:rsidRPr="00C32842" w:rsidR="0018120C" w:rsidP="00E13391" w:rsidRDefault="0018120C" w14:paraId="043BBB9C" w14:textId="77777777">
            <w:pPr>
              <w:ind w:left="171"/>
              <w:rPr>
                <w:rFonts w:ascii="Arial" w:hAnsi="Arial" w:eastAsia="Times New Roman" w:cs="Arial"/>
                <w:sz w:val="20"/>
                <w:szCs w:val="20"/>
              </w:rPr>
            </w:pPr>
            <w:r w:rsidRPr="00C32842">
              <w:rPr>
                <w:rFonts w:ascii="Arial" w:hAnsi="Arial"/>
                <w:sz w:val="20"/>
              </w:rPr>
              <w:t>h. Unter Position 2 f erfasste gruppeninterne Risikopositionen gegenüber Versicherungstochtergesellschaften, gemeldet unter Position 2 g.</w:t>
            </w:r>
          </w:p>
        </w:tc>
        <w:tc>
          <w:tcPr>
            <w:tcW w:w="2745" w:type="dxa"/>
            <w:tcBorders>
              <w:left w:val="nil"/>
              <w:right w:val="nil"/>
            </w:tcBorders>
            <w:noWrap/>
          </w:tcPr>
          <w:p w:rsidRPr="00C32842" w:rsidR="0018120C" w:rsidP="00E13391" w:rsidRDefault="0018120C" w14:paraId="0298F810" w14:textId="77777777">
            <w:pPr>
              <w:jc w:val="right"/>
              <w:rPr>
                <w:rFonts w:ascii="Arial" w:hAnsi="Arial" w:eastAsia="Times New Roman" w:cs="Arial"/>
                <w:sz w:val="20"/>
                <w:szCs w:val="20"/>
                <w:lang w:eastAsia="en-GB"/>
              </w:rPr>
            </w:pPr>
          </w:p>
        </w:tc>
      </w:tr>
      <w:tr w:rsidRPr="00C32842" w:rsidR="0018120C" w:rsidTr="00E13391" w14:paraId="05BA2069" w14:textId="77777777">
        <w:trPr>
          <w:trHeight w:val="300"/>
        </w:trPr>
        <w:tc>
          <w:tcPr>
            <w:tcW w:w="6804" w:type="dxa"/>
            <w:tcBorders>
              <w:left w:val="nil"/>
              <w:bottom w:val="single" w:color="auto" w:sz="4" w:space="0"/>
              <w:right w:val="nil"/>
            </w:tcBorders>
            <w:noWrap/>
          </w:tcPr>
          <w:p w:rsidRPr="00C32842" w:rsidR="0018120C" w:rsidP="00E13391" w:rsidRDefault="0018120C" w14:paraId="2DEFDBE5" w14:textId="77777777">
            <w:pPr>
              <w:ind w:left="171"/>
              <w:rPr>
                <w:rFonts w:ascii="Arial" w:hAnsi="Arial" w:eastAsia="Times New Roman" w:cs="Arial"/>
                <w:sz w:val="20"/>
                <w:szCs w:val="20"/>
              </w:rPr>
            </w:pPr>
            <w:r w:rsidRPr="00C32842">
              <w:rPr>
                <w:rFonts w:ascii="Arial" w:hAnsi="Arial"/>
                <w:sz w:val="20"/>
              </w:rPr>
              <w:t>I. Indikator für die Gesamtrisikoposition, einschließlich Versicherungstochtergesellschaften (Summe aus den Positionen 2.f, 2.g Unterpunkt (1) bis 2.g. Unterpunkt (2) minus 2.g Unterpunkt (3) bis 2.h.)</w:t>
            </w:r>
          </w:p>
        </w:tc>
        <w:tc>
          <w:tcPr>
            <w:tcW w:w="2745" w:type="dxa"/>
            <w:tcBorders>
              <w:left w:val="nil"/>
              <w:bottom w:val="single" w:color="auto" w:sz="4" w:space="0"/>
              <w:right w:val="nil"/>
            </w:tcBorders>
            <w:noWrap/>
          </w:tcPr>
          <w:p w:rsidRPr="00C32842" w:rsidR="0018120C" w:rsidP="00E13391" w:rsidRDefault="0018120C" w14:paraId="65D3B455" w14:textId="77777777">
            <w:pPr>
              <w:jc w:val="right"/>
              <w:rPr>
                <w:rFonts w:ascii="Arial" w:hAnsi="Arial" w:eastAsia="Times New Roman" w:cs="Arial"/>
                <w:sz w:val="20"/>
                <w:szCs w:val="20"/>
                <w:lang w:eastAsia="en-GB"/>
              </w:rPr>
            </w:pPr>
          </w:p>
        </w:tc>
      </w:tr>
      <w:tr w:rsidRPr="00C32842" w:rsidR="0018120C" w:rsidTr="00E13391" w14:paraId="1A113199" w14:textId="77777777">
        <w:trPr>
          <w:trHeight w:val="403"/>
        </w:trPr>
        <w:tc>
          <w:tcPr>
            <w:tcW w:w="9549" w:type="dxa"/>
            <w:gridSpan w:val="2"/>
            <w:tcBorders>
              <w:left w:val="nil"/>
              <w:right w:val="nil"/>
            </w:tcBorders>
            <w:noWrap/>
            <w:hideMark/>
          </w:tcPr>
          <w:p w:rsidRPr="00C32842" w:rsidR="0018120C" w:rsidP="00E13391" w:rsidRDefault="0018120C" w14:paraId="507A1577" w14:textId="77777777">
            <w:pPr>
              <w:keepNext/>
              <w:keepLines/>
              <w:spacing w:before="47"/>
              <w:outlineLvl w:val="5"/>
              <w:rPr>
                <w:rFonts w:ascii="Arial" w:hAnsi="Arial" w:eastAsia="Times New Roman" w:cs="Arial"/>
                <w:b/>
                <w:bCs/>
                <w:i/>
                <w:iCs/>
                <w:caps/>
                <w:color w:val="172B39" w:themeColor="accent1" w:themeShade="80"/>
                <w:sz w:val="20"/>
                <w:szCs w:val="20"/>
                <w:lang w:eastAsia="en-GB"/>
              </w:rPr>
            </w:pPr>
          </w:p>
          <w:p w:rsidRPr="00C32842" w:rsidR="0018120C" w:rsidP="00E13391" w:rsidRDefault="0018120C" w14:paraId="76964E58" w14:textId="77777777">
            <w:pPr>
              <w:keepNext/>
              <w:keepLines/>
              <w:spacing w:before="47"/>
              <w:outlineLvl w:val="5"/>
              <w:rPr>
                <w:rFonts w:ascii="Arial" w:hAnsi="Arial" w:eastAsia="Times New Roman" w:cs="Arial"/>
                <w:i/>
                <w:iCs/>
                <w:caps/>
                <w:color w:val="172B39" w:themeColor="accent1" w:themeShade="80"/>
                <w:sz w:val="20"/>
                <w:szCs w:val="20"/>
              </w:rPr>
            </w:pPr>
            <w:r w:rsidRPr="00C32842">
              <w:rPr>
                <w:rFonts w:ascii="Arial" w:hAnsi="Arial"/>
                <w:b/>
                <w:i/>
                <w:caps/>
                <w:color w:val="172B39" w:themeColor="accent1" w:themeShade="80"/>
                <w:sz w:val="24"/>
              </w:rPr>
              <w:t> </w:t>
            </w:r>
            <w:r w:rsidRPr="00C32842">
              <w:rPr>
                <w:rFonts w:asciiTheme="majorHAnsi" w:hAnsiTheme="majorHAnsi"/>
                <w:b/>
                <w:i/>
                <w:caps/>
              </w:rPr>
              <w:t>Indikatoren für Verflechtungen</w:t>
            </w:r>
          </w:p>
          <w:p w:rsidRPr="00C32842" w:rsidR="0018120C" w:rsidP="00E13391" w:rsidRDefault="0018120C" w14:paraId="7F48772F" w14:textId="77777777">
            <w:pPr>
              <w:rPr>
                <w:rFonts w:ascii="Arial" w:hAnsi="Arial" w:eastAsia="Times New Roman" w:cs="Arial"/>
                <w:b/>
                <w:bCs/>
                <w:sz w:val="24"/>
                <w:szCs w:val="24"/>
              </w:rPr>
            </w:pPr>
            <w:r w:rsidRPr="00C32842">
              <w:rPr>
                <w:rFonts w:ascii="Arial" w:hAnsi="Arial"/>
                <w:b/>
                <w:sz w:val="24"/>
              </w:rPr>
              <w:t> </w:t>
            </w:r>
          </w:p>
        </w:tc>
      </w:tr>
      <w:tr w:rsidRPr="00C32842" w:rsidR="0018120C" w:rsidTr="00E13391" w14:paraId="77F004E9" w14:textId="77777777">
        <w:trPr>
          <w:trHeight w:val="300"/>
        </w:trPr>
        <w:tc>
          <w:tcPr>
            <w:tcW w:w="6804" w:type="dxa"/>
            <w:tcBorders>
              <w:left w:val="nil"/>
              <w:bottom w:val="single" w:color="auto" w:sz="4" w:space="0"/>
              <w:right w:val="nil"/>
            </w:tcBorders>
            <w:noWrap/>
            <w:hideMark/>
          </w:tcPr>
          <w:p w:rsidRPr="00C32842" w:rsidR="0018120C" w:rsidP="00E13391" w:rsidRDefault="0018120C" w14:paraId="20A8873C" w14:textId="77777777">
            <w:pPr>
              <w:rPr>
                <w:rFonts w:ascii="Arial" w:hAnsi="Arial" w:eastAsia="Times New Roman" w:cs="Arial"/>
                <w:b/>
                <w:bCs/>
                <w:sz w:val="20"/>
                <w:szCs w:val="20"/>
              </w:rPr>
            </w:pPr>
            <w:r w:rsidRPr="00C32842">
              <w:rPr>
                <w:rFonts w:ascii="Arial" w:hAnsi="Arial"/>
                <w:b/>
                <w:sz w:val="20"/>
              </w:rPr>
              <w:t>Abschnitt 3 – Vermögenswerte innerhalb des Finanzsystems</w:t>
            </w:r>
          </w:p>
        </w:tc>
        <w:tc>
          <w:tcPr>
            <w:tcW w:w="2745" w:type="dxa"/>
            <w:tcBorders>
              <w:left w:val="nil"/>
              <w:bottom w:val="single" w:color="auto" w:sz="4" w:space="0"/>
              <w:right w:val="nil"/>
            </w:tcBorders>
            <w:hideMark/>
          </w:tcPr>
          <w:p w:rsidRPr="00C32842" w:rsidR="0018120C" w:rsidP="00E13391" w:rsidRDefault="0018120C" w14:paraId="7C58DBAA" w14:textId="77777777">
            <w:pPr>
              <w:jc w:val="center"/>
              <w:rPr>
                <w:rFonts w:ascii="Arial" w:hAnsi="Arial" w:eastAsia="Times New Roman" w:cs="Arial"/>
                <w:b/>
                <w:bCs/>
                <w:sz w:val="20"/>
                <w:szCs w:val="20"/>
              </w:rPr>
            </w:pPr>
            <w:r w:rsidRPr="00C32842">
              <w:rPr>
                <w:rFonts w:ascii="Arial" w:hAnsi="Arial"/>
                <w:b/>
                <w:sz w:val="20"/>
              </w:rPr>
              <w:t>Betrag</w:t>
            </w:r>
          </w:p>
        </w:tc>
      </w:tr>
      <w:tr w:rsidRPr="00C32842" w:rsidR="0018120C" w:rsidTr="00E13391" w14:paraId="5BCFF737" w14:textId="77777777">
        <w:trPr>
          <w:trHeight w:val="300"/>
        </w:trPr>
        <w:tc>
          <w:tcPr>
            <w:tcW w:w="6804" w:type="dxa"/>
            <w:tcBorders>
              <w:left w:val="nil"/>
              <w:right w:val="nil"/>
            </w:tcBorders>
            <w:noWrap/>
            <w:hideMark/>
          </w:tcPr>
          <w:p w:rsidRPr="00C32842" w:rsidR="0018120C" w:rsidP="00E13391" w:rsidRDefault="0018120C" w14:paraId="4DF95E19" w14:textId="77777777">
            <w:pPr>
              <w:ind w:firstLine="200" w:firstLineChars="100"/>
              <w:rPr>
                <w:rFonts w:ascii="Arial" w:hAnsi="Arial" w:eastAsia="Times New Roman" w:cs="Arial"/>
                <w:sz w:val="20"/>
                <w:szCs w:val="20"/>
              </w:rPr>
            </w:pPr>
            <w:r w:rsidRPr="00C32842">
              <w:rPr>
                <w:rFonts w:ascii="Arial" w:hAnsi="Arial"/>
                <w:sz w:val="20"/>
              </w:rPr>
              <w:t>a. Bei anderen Finanzinstituten hinterlegte oder diesen geliehene Geldmittel</w:t>
            </w:r>
          </w:p>
        </w:tc>
        <w:tc>
          <w:tcPr>
            <w:tcW w:w="2745" w:type="dxa"/>
            <w:tcBorders>
              <w:left w:val="nil"/>
              <w:right w:val="nil"/>
            </w:tcBorders>
            <w:noWrap/>
            <w:hideMark/>
          </w:tcPr>
          <w:p w:rsidRPr="00C32842" w:rsidR="0018120C" w:rsidP="00E13391" w:rsidRDefault="0018120C" w14:paraId="729BBDDF"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72005A33" w14:textId="77777777">
        <w:trPr>
          <w:trHeight w:val="300"/>
        </w:trPr>
        <w:tc>
          <w:tcPr>
            <w:tcW w:w="6804" w:type="dxa"/>
            <w:tcBorders>
              <w:left w:val="nil"/>
              <w:bottom w:val="single" w:color="auto" w:sz="4" w:space="0"/>
              <w:right w:val="nil"/>
            </w:tcBorders>
            <w:noWrap/>
            <w:hideMark/>
          </w:tcPr>
          <w:p w:rsidRPr="00C32842" w:rsidR="0018120C" w:rsidP="00E13391" w:rsidRDefault="0018120C" w14:paraId="544BE5B3" w14:textId="77777777">
            <w:pPr>
              <w:ind w:firstLine="400" w:firstLineChars="200"/>
              <w:rPr>
                <w:rFonts w:ascii="Arial" w:hAnsi="Arial" w:eastAsia="Times New Roman" w:cs="Arial"/>
                <w:sz w:val="20"/>
                <w:szCs w:val="20"/>
              </w:rPr>
            </w:pPr>
            <w:r w:rsidRPr="00C32842">
              <w:rPr>
                <w:rFonts w:ascii="Arial" w:hAnsi="Arial"/>
                <w:sz w:val="20"/>
                <w:lang w:eastAsia="en-GB"/>
              </w:rPr>
              <w:t xml:space="preserve">(1) </w:t>
            </w:r>
            <w:r w:rsidRPr="00C32842">
              <w:rPr>
                <w:rFonts w:ascii="Arial" w:hAnsi="Arial"/>
                <w:sz w:val="20"/>
              </w:rPr>
              <w:t xml:space="preserve">Einlagenzertifikate </w:t>
            </w:r>
          </w:p>
        </w:tc>
        <w:tc>
          <w:tcPr>
            <w:tcW w:w="2745" w:type="dxa"/>
            <w:tcBorders>
              <w:left w:val="nil"/>
              <w:right w:val="nil"/>
            </w:tcBorders>
            <w:noWrap/>
            <w:hideMark/>
          </w:tcPr>
          <w:p w:rsidRPr="00C32842" w:rsidR="0018120C" w:rsidP="00E13391" w:rsidRDefault="0018120C" w14:paraId="7EB7F35E"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6DA4CB13" w14:textId="77777777">
        <w:trPr>
          <w:gridAfter w:val="1"/>
          <w:wAfter w:w="2745" w:type="dxa"/>
          <w:trHeight w:val="300"/>
        </w:trPr>
        <w:tc>
          <w:tcPr>
            <w:tcW w:w="6804" w:type="dxa"/>
            <w:tcBorders>
              <w:left w:val="nil"/>
              <w:right w:val="nil"/>
            </w:tcBorders>
            <w:noWrap/>
            <w:hideMark/>
          </w:tcPr>
          <w:p w:rsidRPr="00C32842" w:rsidR="0018120C" w:rsidP="00E13391" w:rsidRDefault="0018120C" w14:paraId="12915CE0" w14:textId="77777777">
            <w:pPr>
              <w:ind w:left="171" w:firstLine="28" w:firstLineChars="14"/>
              <w:rPr>
                <w:rFonts w:ascii="Arial" w:hAnsi="Arial" w:eastAsia="Times New Roman" w:cs="Arial"/>
                <w:sz w:val="20"/>
                <w:szCs w:val="20"/>
              </w:rPr>
            </w:pPr>
            <w:r w:rsidRPr="00C32842">
              <w:rPr>
                <w:rFonts w:ascii="Arial" w:hAnsi="Arial"/>
                <w:sz w:val="20"/>
              </w:rPr>
              <w:t>b. Nicht in Anspruch genommener Teil der verbindlich zugesagten Kreditlinien, die anderen Finanzinstituten eingeräumt wurden</w:t>
            </w:r>
          </w:p>
        </w:tc>
      </w:tr>
      <w:tr w:rsidRPr="00C32842" w:rsidR="0018120C" w:rsidTr="00E13391" w14:paraId="2292A6D4" w14:textId="77777777">
        <w:trPr>
          <w:trHeight w:val="300"/>
        </w:trPr>
        <w:tc>
          <w:tcPr>
            <w:tcW w:w="6804" w:type="dxa"/>
            <w:tcBorders>
              <w:left w:val="nil"/>
              <w:right w:val="nil"/>
            </w:tcBorders>
            <w:noWrap/>
            <w:hideMark/>
          </w:tcPr>
          <w:p w:rsidRPr="00C32842" w:rsidR="0018120C" w:rsidP="00E13391" w:rsidRDefault="0018120C" w14:paraId="660F7F9A" w14:textId="77777777">
            <w:pPr>
              <w:ind w:firstLine="200" w:firstLineChars="100"/>
              <w:rPr>
                <w:rFonts w:ascii="Arial" w:hAnsi="Arial" w:eastAsia="Times New Roman" w:cs="Arial"/>
                <w:sz w:val="20"/>
                <w:szCs w:val="20"/>
              </w:rPr>
            </w:pPr>
            <w:r w:rsidRPr="00C32842">
              <w:rPr>
                <w:rFonts w:ascii="Arial" w:hAnsi="Arial"/>
                <w:sz w:val="20"/>
              </w:rPr>
              <w:t>c. Von anderen Finanzinstituten emittierte Wertpapierbestände:</w:t>
            </w:r>
          </w:p>
        </w:tc>
        <w:tc>
          <w:tcPr>
            <w:tcW w:w="2745" w:type="dxa"/>
            <w:tcBorders>
              <w:left w:val="nil"/>
              <w:right w:val="nil"/>
            </w:tcBorders>
            <w:noWrap/>
            <w:hideMark/>
          </w:tcPr>
          <w:p w:rsidRPr="00C32842" w:rsidR="0018120C" w:rsidP="00E13391" w:rsidRDefault="0018120C" w14:paraId="7B9F1FC4" w14:textId="77777777">
            <w:pPr>
              <w:ind w:firstLine="200" w:firstLineChars="100"/>
              <w:rPr>
                <w:rFonts w:ascii="Arial" w:hAnsi="Arial" w:eastAsia="Times New Roman" w:cs="Arial"/>
                <w:sz w:val="20"/>
                <w:szCs w:val="20"/>
              </w:rPr>
            </w:pPr>
            <w:r w:rsidRPr="00C32842">
              <w:rPr>
                <w:rFonts w:ascii="Arial" w:hAnsi="Arial"/>
                <w:sz w:val="20"/>
              </w:rPr>
              <w:t> </w:t>
            </w:r>
          </w:p>
        </w:tc>
      </w:tr>
      <w:tr w:rsidRPr="00C32842" w:rsidR="0018120C" w:rsidTr="00E13391" w14:paraId="6CC6F786" w14:textId="77777777">
        <w:trPr>
          <w:trHeight w:val="300"/>
        </w:trPr>
        <w:tc>
          <w:tcPr>
            <w:tcW w:w="6804" w:type="dxa"/>
            <w:tcBorders>
              <w:left w:val="nil"/>
              <w:right w:val="nil"/>
            </w:tcBorders>
            <w:noWrap/>
            <w:hideMark/>
          </w:tcPr>
          <w:p w:rsidRPr="00C32842" w:rsidR="0018120C" w:rsidP="00E13391" w:rsidRDefault="0018120C" w14:paraId="6F16D9F8" w14:textId="77777777">
            <w:pPr>
              <w:ind w:firstLine="400" w:firstLineChars="200"/>
              <w:rPr>
                <w:rFonts w:ascii="Arial" w:hAnsi="Arial" w:eastAsia="Times New Roman" w:cs="Arial"/>
                <w:sz w:val="20"/>
                <w:szCs w:val="20"/>
              </w:rPr>
            </w:pPr>
            <w:r w:rsidRPr="00C32842">
              <w:rPr>
                <w:rFonts w:ascii="Arial" w:hAnsi="Arial"/>
                <w:sz w:val="20"/>
                <w:lang w:eastAsia="en-GB"/>
              </w:rPr>
              <w:t xml:space="preserve">(1) </w:t>
            </w:r>
            <w:r w:rsidRPr="00C32842">
              <w:rPr>
                <w:rFonts w:ascii="Arial" w:hAnsi="Arial"/>
                <w:sz w:val="20"/>
              </w:rPr>
              <w:t>Besicherte Schuldverschreibungen</w:t>
            </w:r>
          </w:p>
        </w:tc>
        <w:tc>
          <w:tcPr>
            <w:tcW w:w="2745" w:type="dxa"/>
            <w:tcBorders>
              <w:left w:val="nil"/>
              <w:right w:val="nil"/>
            </w:tcBorders>
            <w:noWrap/>
            <w:hideMark/>
          </w:tcPr>
          <w:p w:rsidRPr="00C32842" w:rsidR="0018120C" w:rsidP="00E13391" w:rsidRDefault="0018120C" w14:paraId="5AB4FFD2"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65549379" w14:textId="77777777">
        <w:trPr>
          <w:trHeight w:val="300"/>
        </w:trPr>
        <w:tc>
          <w:tcPr>
            <w:tcW w:w="6804" w:type="dxa"/>
            <w:tcBorders>
              <w:left w:val="nil"/>
              <w:right w:val="nil"/>
            </w:tcBorders>
            <w:noWrap/>
            <w:hideMark/>
          </w:tcPr>
          <w:p w:rsidRPr="00C32842" w:rsidR="0018120C" w:rsidP="00E13391" w:rsidRDefault="0018120C" w14:paraId="2812C086" w14:textId="77777777">
            <w:pPr>
              <w:ind w:firstLine="400" w:firstLineChars="200"/>
              <w:rPr>
                <w:rFonts w:ascii="Arial" w:hAnsi="Arial" w:eastAsia="Times New Roman" w:cs="Arial"/>
                <w:sz w:val="20"/>
                <w:szCs w:val="20"/>
              </w:rPr>
            </w:pPr>
            <w:r w:rsidRPr="00C32842">
              <w:rPr>
                <w:rFonts w:ascii="Arial" w:hAnsi="Arial"/>
                <w:sz w:val="20"/>
                <w:lang w:eastAsia="en-GB"/>
              </w:rPr>
              <w:t xml:space="preserve">(2) </w:t>
            </w:r>
            <w:r w:rsidRPr="00C32842">
              <w:rPr>
                <w:rFonts w:ascii="Arial" w:hAnsi="Arial"/>
                <w:sz w:val="20"/>
              </w:rPr>
              <w:t>Vorrangige, unbesicherte Schuldverschreibungen</w:t>
            </w:r>
          </w:p>
        </w:tc>
        <w:tc>
          <w:tcPr>
            <w:tcW w:w="2745" w:type="dxa"/>
            <w:tcBorders>
              <w:left w:val="nil"/>
              <w:right w:val="nil"/>
            </w:tcBorders>
            <w:noWrap/>
            <w:hideMark/>
          </w:tcPr>
          <w:p w:rsidRPr="00C32842" w:rsidR="0018120C" w:rsidP="00E13391" w:rsidRDefault="0018120C" w14:paraId="72709D6F"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64F75014" w14:textId="77777777">
        <w:trPr>
          <w:trHeight w:val="300"/>
        </w:trPr>
        <w:tc>
          <w:tcPr>
            <w:tcW w:w="6804" w:type="dxa"/>
            <w:tcBorders>
              <w:left w:val="nil"/>
              <w:right w:val="nil"/>
            </w:tcBorders>
            <w:noWrap/>
            <w:hideMark/>
          </w:tcPr>
          <w:p w:rsidRPr="00C32842" w:rsidR="0018120C" w:rsidP="00E13391" w:rsidRDefault="0018120C" w14:paraId="78AA7560" w14:textId="77777777">
            <w:pPr>
              <w:ind w:firstLine="400" w:firstLineChars="200"/>
              <w:rPr>
                <w:rFonts w:ascii="Arial" w:hAnsi="Arial" w:eastAsia="Times New Roman" w:cs="Arial"/>
                <w:sz w:val="20"/>
                <w:szCs w:val="20"/>
              </w:rPr>
            </w:pPr>
            <w:r w:rsidRPr="00C32842">
              <w:rPr>
                <w:rFonts w:ascii="Arial" w:hAnsi="Arial"/>
                <w:sz w:val="20"/>
                <w:lang w:eastAsia="en-GB"/>
              </w:rPr>
              <w:t xml:space="preserve">(3) </w:t>
            </w:r>
            <w:r w:rsidRPr="00C32842">
              <w:rPr>
                <w:rFonts w:ascii="Arial" w:hAnsi="Arial"/>
                <w:sz w:val="20"/>
              </w:rPr>
              <w:t>Nachrangige Schuldverschreibungen</w:t>
            </w:r>
          </w:p>
        </w:tc>
        <w:tc>
          <w:tcPr>
            <w:tcW w:w="2745" w:type="dxa"/>
            <w:tcBorders>
              <w:left w:val="nil"/>
              <w:right w:val="nil"/>
            </w:tcBorders>
            <w:noWrap/>
            <w:hideMark/>
          </w:tcPr>
          <w:p w:rsidRPr="00C32842" w:rsidR="0018120C" w:rsidP="00E13391" w:rsidRDefault="0018120C" w14:paraId="3E65DDB5"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4FF8AD24" w14:textId="77777777">
        <w:trPr>
          <w:trHeight w:val="300"/>
        </w:trPr>
        <w:tc>
          <w:tcPr>
            <w:tcW w:w="6804" w:type="dxa"/>
            <w:tcBorders>
              <w:left w:val="nil"/>
              <w:right w:val="nil"/>
            </w:tcBorders>
            <w:noWrap/>
            <w:hideMark/>
          </w:tcPr>
          <w:p w:rsidRPr="00C32842" w:rsidR="0018120C" w:rsidP="00E13391" w:rsidRDefault="0018120C" w14:paraId="7EC7FB9C" w14:textId="77777777">
            <w:pPr>
              <w:ind w:firstLine="400" w:firstLineChars="200"/>
              <w:rPr>
                <w:rFonts w:ascii="Arial" w:hAnsi="Arial" w:eastAsia="Times New Roman" w:cs="Arial"/>
                <w:sz w:val="20"/>
                <w:szCs w:val="20"/>
              </w:rPr>
            </w:pPr>
            <w:r w:rsidRPr="00C32842">
              <w:rPr>
                <w:rFonts w:ascii="Arial" w:hAnsi="Arial"/>
                <w:sz w:val="20"/>
                <w:lang w:eastAsia="en-GB"/>
              </w:rPr>
              <w:t xml:space="preserve">(4) </w:t>
            </w:r>
            <w:r w:rsidRPr="00C32842">
              <w:rPr>
                <w:rFonts w:ascii="Arial" w:hAnsi="Arial"/>
                <w:sz w:val="20"/>
              </w:rPr>
              <w:t xml:space="preserve">Geldmarktpapiere </w:t>
            </w:r>
          </w:p>
        </w:tc>
        <w:tc>
          <w:tcPr>
            <w:tcW w:w="2745" w:type="dxa"/>
            <w:tcBorders>
              <w:left w:val="nil"/>
              <w:right w:val="nil"/>
            </w:tcBorders>
            <w:noWrap/>
            <w:hideMark/>
          </w:tcPr>
          <w:p w:rsidRPr="00C32842" w:rsidR="0018120C" w:rsidP="00E13391" w:rsidRDefault="0018120C" w14:paraId="590C8289"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34EF7518" w14:textId="77777777">
        <w:trPr>
          <w:trHeight w:val="300"/>
        </w:trPr>
        <w:tc>
          <w:tcPr>
            <w:tcW w:w="6804" w:type="dxa"/>
            <w:tcBorders>
              <w:left w:val="nil"/>
              <w:bottom w:val="single" w:color="auto" w:sz="4" w:space="0"/>
              <w:right w:val="nil"/>
            </w:tcBorders>
            <w:noWrap/>
            <w:hideMark/>
          </w:tcPr>
          <w:p w:rsidRPr="00C32842" w:rsidR="0018120C" w:rsidP="00E13391" w:rsidRDefault="0018120C" w14:paraId="12172316" w14:textId="77777777">
            <w:pPr>
              <w:ind w:firstLine="400" w:firstLineChars="200"/>
              <w:rPr>
                <w:rFonts w:ascii="Arial" w:hAnsi="Arial" w:eastAsia="Times New Roman" w:cs="Arial"/>
                <w:sz w:val="20"/>
                <w:szCs w:val="20"/>
              </w:rPr>
            </w:pPr>
            <w:r w:rsidRPr="00C32842">
              <w:rPr>
                <w:rFonts w:ascii="Arial" w:hAnsi="Arial"/>
                <w:sz w:val="20"/>
                <w:lang w:eastAsia="en-GB"/>
              </w:rPr>
              <w:t xml:space="preserve">(5) </w:t>
            </w:r>
            <w:r w:rsidRPr="00C32842">
              <w:rPr>
                <w:rFonts w:ascii="Arial" w:hAnsi="Arial"/>
                <w:sz w:val="20"/>
              </w:rPr>
              <w:t>Eigenkapitalinstrumente</w:t>
            </w:r>
          </w:p>
        </w:tc>
        <w:tc>
          <w:tcPr>
            <w:tcW w:w="2745" w:type="dxa"/>
            <w:tcBorders>
              <w:left w:val="nil"/>
              <w:right w:val="nil"/>
            </w:tcBorders>
            <w:noWrap/>
            <w:hideMark/>
          </w:tcPr>
          <w:p w:rsidRPr="00C32842" w:rsidR="0018120C" w:rsidP="00E13391" w:rsidRDefault="0018120C" w14:paraId="1CA9B0C7"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228C9EA0" w14:textId="77777777">
        <w:trPr>
          <w:trHeight w:val="300"/>
        </w:trPr>
        <w:tc>
          <w:tcPr>
            <w:tcW w:w="6804" w:type="dxa"/>
            <w:tcBorders>
              <w:left w:val="nil"/>
              <w:bottom w:val="single" w:color="auto" w:sz="4" w:space="0"/>
              <w:right w:val="nil"/>
            </w:tcBorders>
            <w:noWrap/>
          </w:tcPr>
          <w:p w:rsidRPr="00C32842" w:rsidR="0018120C" w:rsidP="00E13391" w:rsidRDefault="0018120C" w14:paraId="616BF967" w14:textId="77777777">
            <w:pPr>
              <w:ind w:left="313" w:firstLine="86" w:firstLineChars="43"/>
              <w:rPr>
                <w:rFonts w:ascii="Arial" w:hAnsi="Arial" w:eastAsia="Times New Roman" w:cs="Arial"/>
                <w:sz w:val="20"/>
                <w:szCs w:val="20"/>
              </w:rPr>
            </w:pPr>
            <w:r w:rsidRPr="00C32842">
              <w:rPr>
                <w:rFonts w:ascii="Arial" w:hAnsi="Arial"/>
                <w:sz w:val="20"/>
                <w:lang w:eastAsia="en-GB"/>
              </w:rPr>
              <w:t xml:space="preserve">(6) </w:t>
            </w:r>
            <w:r w:rsidRPr="00C32842">
              <w:rPr>
                <w:rFonts w:ascii="Arial" w:hAnsi="Arial"/>
                <w:sz w:val="20"/>
              </w:rPr>
              <w:t>Entgegenzusetzende Short-Positionen der spezifischen Eigenkapitalinstrumente enthalten in Position 3 c Unterpunkt (5)</w:t>
            </w:r>
          </w:p>
        </w:tc>
        <w:tc>
          <w:tcPr>
            <w:tcW w:w="2745" w:type="dxa"/>
            <w:tcBorders>
              <w:left w:val="nil"/>
              <w:right w:val="nil"/>
            </w:tcBorders>
            <w:noWrap/>
          </w:tcPr>
          <w:p w:rsidRPr="00C32842" w:rsidR="0018120C" w:rsidP="00E13391" w:rsidRDefault="0018120C" w14:paraId="064BBC8A" w14:textId="77777777">
            <w:pPr>
              <w:jc w:val="right"/>
              <w:rPr>
                <w:rFonts w:ascii="Arial" w:hAnsi="Arial" w:eastAsia="Times New Roman" w:cs="Arial"/>
                <w:sz w:val="20"/>
                <w:szCs w:val="20"/>
                <w:lang w:eastAsia="en-GB"/>
              </w:rPr>
            </w:pPr>
          </w:p>
        </w:tc>
      </w:tr>
      <w:tr w:rsidRPr="00C32842" w:rsidR="0018120C" w:rsidTr="00E13391" w14:paraId="3E83D718" w14:textId="77777777">
        <w:trPr>
          <w:trHeight w:val="300"/>
        </w:trPr>
        <w:tc>
          <w:tcPr>
            <w:tcW w:w="6804" w:type="dxa"/>
            <w:tcBorders>
              <w:left w:val="nil"/>
              <w:bottom w:val="single" w:color="auto" w:sz="4" w:space="0"/>
              <w:right w:val="nil"/>
            </w:tcBorders>
            <w:noWrap/>
          </w:tcPr>
          <w:p w:rsidRPr="00C32842" w:rsidR="0018120C" w:rsidP="00E13391" w:rsidRDefault="0018120C" w14:paraId="07AE2536" w14:textId="77777777">
            <w:pPr>
              <w:ind w:firstLine="171"/>
              <w:rPr>
                <w:rFonts w:ascii="Arial" w:hAnsi="Arial" w:eastAsia="Times New Roman" w:cs="Arial"/>
                <w:sz w:val="20"/>
                <w:szCs w:val="20"/>
              </w:rPr>
            </w:pPr>
            <w:r w:rsidRPr="00C32842">
              <w:rPr>
                <w:rFonts w:ascii="Arial" w:hAnsi="Arial"/>
                <w:sz w:val="20"/>
              </w:rPr>
              <w:t>d. Aktuelle positive Nettorisikoposition aus Wertpapierfinanzierungsgeschäften mit anderen Finanzinstituten</w:t>
            </w:r>
          </w:p>
        </w:tc>
        <w:tc>
          <w:tcPr>
            <w:tcW w:w="2745" w:type="dxa"/>
            <w:tcBorders>
              <w:left w:val="nil"/>
              <w:right w:val="nil"/>
            </w:tcBorders>
            <w:noWrap/>
          </w:tcPr>
          <w:p w:rsidRPr="00C32842" w:rsidR="0018120C" w:rsidP="00E13391" w:rsidRDefault="0018120C" w14:paraId="3ED64E3A" w14:textId="77777777">
            <w:pPr>
              <w:jc w:val="right"/>
              <w:rPr>
                <w:rFonts w:ascii="Arial" w:hAnsi="Arial" w:eastAsia="Times New Roman" w:cs="Arial"/>
                <w:sz w:val="20"/>
                <w:szCs w:val="20"/>
                <w:lang w:eastAsia="en-GB"/>
              </w:rPr>
            </w:pPr>
          </w:p>
        </w:tc>
      </w:tr>
      <w:tr w:rsidRPr="00C32842" w:rsidR="0018120C" w:rsidTr="00E13391" w14:paraId="32749D97" w14:textId="77777777">
        <w:trPr>
          <w:trHeight w:val="300"/>
        </w:trPr>
        <w:tc>
          <w:tcPr>
            <w:tcW w:w="6804" w:type="dxa"/>
            <w:tcBorders>
              <w:left w:val="nil"/>
              <w:bottom w:val="single" w:color="auto" w:sz="4" w:space="0"/>
              <w:right w:val="nil"/>
            </w:tcBorders>
            <w:noWrap/>
          </w:tcPr>
          <w:p w:rsidRPr="00C32842" w:rsidR="0018120C" w:rsidP="00E13391" w:rsidRDefault="0018120C" w14:paraId="62DF8D42" w14:textId="77777777">
            <w:pPr>
              <w:ind w:left="171"/>
              <w:rPr>
                <w:rFonts w:ascii="Arial" w:hAnsi="Arial" w:eastAsia="Times New Roman" w:cs="Arial"/>
                <w:sz w:val="20"/>
                <w:szCs w:val="20"/>
              </w:rPr>
            </w:pPr>
            <w:r w:rsidRPr="00C32842">
              <w:rPr>
                <w:rFonts w:ascii="Arial" w:hAnsi="Arial"/>
                <w:sz w:val="20"/>
              </w:rPr>
              <w:t>e. Außerbörslich gehandelte (OTC-)Derivate mit anderen Finanzinstituten mit einem positiven beizulegenden Nettozeitwert</w:t>
            </w:r>
          </w:p>
        </w:tc>
        <w:tc>
          <w:tcPr>
            <w:tcW w:w="2745" w:type="dxa"/>
            <w:tcBorders>
              <w:left w:val="nil"/>
              <w:right w:val="nil"/>
            </w:tcBorders>
            <w:noWrap/>
          </w:tcPr>
          <w:p w:rsidRPr="00C32842" w:rsidR="0018120C" w:rsidP="00E13391" w:rsidRDefault="0018120C" w14:paraId="353AF924" w14:textId="77777777">
            <w:pPr>
              <w:jc w:val="right"/>
              <w:rPr>
                <w:rFonts w:ascii="Arial" w:hAnsi="Arial" w:eastAsia="Times New Roman" w:cs="Arial"/>
                <w:sz w:val="20"/>
                <w:szCs w:val="20"/>
                <w:lang w:eastAsia="en-GB"/>
              </w:rPr>
            </w:pPr>
          </w:p>
        </w:tc>
      </w:tr>
      <w:tr w:rsidRPr="00C32842" w:rsidR="0018120C" w:rsidTr="00E13391" w14:paraId="76DFFAC3" w14:textId="77777777">
        <w:trPr>
          <w:trHeight w:val="300"/>
        </w:trPr>
        <w:tc>
          <w:tcPr>
            <w:tcW w:w="6804" w:type="dxa"/>
            <w:tcBorders>
              <w:left w:val="nil"/>
              <w:bottom w:val="single" w:color="auto" w:sz="4" w:space="0"/>
              <w:right w:val="nil"/>
            </w:tcBorders>
            <w:noWrap/>
          </w:tcPr>
          <w:p w:rsidRPr="00C32842" w:rsidR="0018120C" w:rsidP="00E13391" w:rsidRDefault="0018120C" w14:paraId="3ECE7695" w14:textId="77777777">
            <w:pPr>
              <w:ind w:left="313" w:firstLine="86" w:firstLineChars="43"/>
              <w:rPr>
                <w:rFonts w:ascii="Arial" w:hAnsi="Arial" w:eastAsia="Times New Roman" w:cs="Arial"/>
                <w:sz w:val="20"/>
                <w:szCs w:val="20"/>
              </w:rPr>
            </w:pPr>
            <w:r w:rsidRPr="00C32842">
              <w:rPr>
                <w:rFonts w:ascii="Arial" w:hAnsi="Arial"/>
                <w:sz w:val="20"/>
                <w:lang w:eastAsia="en-GB"/>
              </w:rPr>
              <w:t xml:space="preserve">(1) </w:t>
            </w:r>
            <w:r w:rsidRPr="00C32842">
              <w:rPr>
                <w:rFonts w:ascii="Arial" w:hAnsi="Arial"/>
                <w:sz w:val="20"/>
              </w:rPr>
              <w:t>Positiver beizulegender Nettozeitwert</w:t>
            </w:r>
          </w:p>
        </w:tc>
        <w:tc>
          <w:tcPr>
            <w:tcW w:w="2745" w:type="dxa"/>
            <w:tcBorders>
              <w:left w:val="nil"/>
              <w:right w:val="nil"/>
            </w:tcBorders>
            <w:noWrap/>
          </w:tcPr>
          <w:p w:rsidRPr="00C32842" w:rsidR="0018120C" w:rsidP="00E13391" w:rsidRDefault="0018120C" w14:paraId="11A80BF9" w14:textId="77777777">
            <w:pPr>
              <w:jc w:val="right"/>
              <w:rPr>
                <w:rFonts w:ascii="Arial" w:hAnsi="Arial" w:eastAsia="Times New Roman" w:cs="Arial"/>
                <w:sz w:val="20"/>
                <w:szCs w:val="20"/>
                <w:lang w:eastAsia="en-GB"/>
              </w:rPr>
            </w:pPr>
          </w:p>
        </w:tc>
      </w:tr>
      <w:tr w:rsidRPr="00C32842" w:rsidR="0018120C" w:rsidTr="00E13391" w14:paraId="6259BC09" w14:textId="77777777">
        <w:trPr>
          <w:trHeight w:val="300"/>
        </w:trPr>
        <w:tc>
          <w:tcPr>
            <w:tcW w:w="6804" w:type="dxa"/>
            <w:tcBorders>
              <w:left w:val="nil"/>
              <w:bottom w:val="single" w:color="auto" w:sz="4" w:space="0"/>
              <w:right w:val="nil"/>
            </w:tcBorders>
            <w:noWrap/>
          </w:tcPr>
          <w:p w:rsidRPr="00C32842" w:rsidR="0018120C" w:rsidP="00E13391" w:rsidRDefault="0018120C" w14:paraId="09A40A99" w14:textId="77777777">
            <w:pPr>
              <w:ind w:left="313" w:firstLine="86" w:firstLineChars="43"/>
              <w:rPr>
                <w:rFonts w:ascii="Arial" w:hAnsi="Arial" w:eastAsia="Times New Roman" w:cs="Arial"/>
                <w:sz w:val="20"/>
                <w:szCs w:val="20"/>
              </w:rPr>
            </w:pPr>
            <w:r w:rsidRPr="00C32842">
              <w:rPr>
                <w:rFonts w:ascii="Arial" w:hAnsi="Arial"/>
                <w:sz w:val="20"/>
                <w:lang w:eastAsia="en-GB"/>
              </w:rPr>
              <w:t xml:space="preserve">(2) </w:t>
            </w:r>
            <w:r w:rsidRPr="00C32842">
              <w:rPr>
                <w:rFonts w:ascii="Arial" w:hAnsi="Arial"/>
                <w:sz w:val="20"/>
              </w:rPr>
              <w:t>Potenzielle zukünftige Forderungen</w:t>
            </w:r>
          </w:p>
        </w:tc>
        <w:tc>
          <w:tcPr>
            <w:tcW w:w="2745" w:type="dxa"/>
            <w:tcBorders>
              <w:left w:val="nil"/>
              <w:right w:val="nil"/>
            </w:tcBorders>
            <w:noWrap/>
          </w:tcPr>
          <w:p w:rsidRPr="00C32842" w:rsidR="0018120C" w:rsidP="00E13391" w:rsidRDefault="0018120C" w14:paraId="75373784" w14:textId="77777777">
            <w:pPr>
              <w:jc w:val="right"/>
              <w:rPr>
                <w:rFonts w:ascii="Arial" w:hAnsi="Arial" w:eastAsia="Times New Roman" w:cs="Arial"/>
                <w:sz w:val="20"/>
                <w:szCs w:val="20"/>
                <w:lang w:eastAsia="en-GB"/>
              </w:rPr>
            </w:pPr>
          </w:p>
        </w:tc>
      </w:tr>
      <w:tr w:rsidRPr="00C32842" w:rsidR="0018120C" w:rsidTr="00E13391" w14:paraId="4A1A03AB" w14:textId="77777777">
        <w:trPr>
          <w:gridAfter w:val="1"/>
          <w:wAfter w:w="2745" w:type="dxa"/>
          <w:trHeight w:val="450"/>
        </w:trPr>
        <w:tc>
          <w:tcPr>
            <w:tcW w:w="6804" w:type="dxa"/>
            <w:vMerge w:val="restart"/>
            <w:tcBorders>
              <w:left w:val="nil"/>
              <w:right w:val="nil"/>
            </w:tcBorders>
            <w:hideMark/>
          </w:tcPr>
          <w:p w:rsidRPr="00C32842" w:rsidR="0018120C" w:rsidP="00E13391" w:rsidRDefault="0018120C" w14:paraId="278F937E" w14:textId="77777777">
            <w:pPr>
              <w:ind w:left="171" w:firstLine="28" w:firstLineChars="14"/>
              <w:rPr>
                <w:rFonts w:ascii="Arial" w:hAnsi="Arial" w:eastAsia="Times New Roman" w:cs="Arial"/>
                <w:sz w:val="20"/>
                <w:szCs w:val="20"/>
              </w:rPr>
            </w:pPr>
            <w:r w:rsidRPr="00C32842">
              <w:rPr>
                <w:rFonts w:ascii="Arial" w:hAnsi="Arial"/>
                <w:sz w:val="20"/>
              </w:rPr>
              <w:t>f. Indikator für Vermögenswerte innerhalb des Finanzsystems (Summe aus den Positionen 3.a), 3.b) bis 3.c) Unterpunkt (5), 3.d), 3 e) Unterpunkt (1) und 3.e) Unterpunkt (2), abzüglich Position 3.c) Unterpunkt (6))</w:t>
            </w:r>
          </w:p>
        </w:tc>
      </w:tr>
      <w:tr w:rsidRPr="00C32842" w:rsidR="0018120C" w:rsidTr="00E13391" w14:paraId="4C71CE4D" w14:textId="77777777">
        <w:trPr>
          <w:gridAfter w:val="1"/>
          <w:wAfter w:w="2745" w:type="dxa"/>
          <w:trHeight w:val="450"/>
        </w:trPr>
        <w:tc>
          <w:tcPr>
            <w:tcW w:w="6804" w:type="dxa"/>
            <w:vMerge/>
            <w:tcBorders>
              <w:left w:val="nil"/>
              <w:right w:val="nil"/>
            </w:tcBorders>
            <w:hideMark/>
          </w:tcPr>
          <w:p w:rsidRPr="00C32842" w:rsidR="0018120C" w:rsidP="00E13391" w:rsidRDefault="0018120C" w14:paraId="630B881E" w14:textId="77777777">
            <w:pPr>
              <w:rPr>
                <w:rFonts w:ascii="Arial" w:hAnsi="Arial" w:eastAsia="Times New Roman" w:cs="Arial"/>
                <w:sz w:val="20"/>
                <w:szCs w:val="20"/>
                <w:lang w:eastAsia="en-GB"/>
              </w:rPr>
            </w:pPr>
          </w:p>
        </w:tc>
      </w:tr>
      <w:tr w:rsidRPr="00C32842" w:rsidR="0018120C" w:rsidTr="00E13391" w14:paraId="3FB55BFE" w14:textId="77777777">
        <w:trPr>
          <w:trHeight w:val="300"/>
        </w:trPr>
        <w:tc>
          <w:tcPr>
            <w:tcW w:w="6804" w:type="dxa"/>
            <w:tcBorders>
              <w:left w:val="nil"/>
              <w:bottom w:val="nil"/>
              <w:right w:val="nil"/>
            </w:tcBorders>
            <w:noWrap/>
          </w:tcPr>
          <w:p w:rsidRPr="00C32842" w:rsidR="0018120C" w:rsidP="00E13391" w:rsidRDefault="0018120C" w14:paraId="45042CED"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C32842" w:rsidR="0018120C" w:rsidP="00E13391" w:rsidRDefault="0018120C" w14:paraId="4C3C487A" w14:textId="77777777">
            <w:pPr>
              <w:jc w:val="center"/>
              <w:rPr>
                <w:rFonts w:ascii="Arial" w:hAnsi="Arial" w:eastAsia="Times New Roman" w:cs="Arial"/>
                <w:b/>
                <w:bCs/>
                <w:sz w:val="20"/>
                <w:szCs w:val="20"/>
                <w:lang w:eastAsia="en-GB"/>
              </w:rPr>
            </w:pPr>
          </w:p>
        </w:tc>
      </w:tr>
      <w:tr w:rsidRPr="00C32842" w:rsidR="0018120C" w:rsidTr="00E13391" w14:paraId="536546A9" w14:textId="77777777">
        <w:trPr>
          <w:trHeight w:val="300"/>
        </w:trPr>
        <w:tc>
          <w:tcPr>
            <w:tcW w:w="6804" w:type="dxa"/>
            <w:tcBorders>
              <w:top w:val="nil"/>
              <w:left w:val="nil"/>
              <w:bottom w:val="single" w:color="auto" w:sz="4" w:space="0"/>
              <w:right w:val="nil"/>
            </w:tcBorders>
            <w:noWrap/>
            <w:hideMark/>
          </w:tcPr>
          <w:p w:rsidRPr="00C32842" w:rsidR="0018120C" w:rsidP="00E13391" w:rsidRDefault="0018120C" w14:paraId="2B96F9CA" w14:textId="77777777">
            <w:pPr>
              <w:rPr>
                <w:rFonts w:ascii="Arial" w:hAnsi="Arial" w:eastAsia="Times New Roman" w:cs="Arial"/>
                <w:b/>
                <w:bCs/>
                <w:sz w:val="20"/>
                <w:szCs w:val="20"/>
              </w:rPr>
            </w:pPr>
            <w:r w:rsidRPr="00C32842">
              <w:rPr>
                <w:rFonts w:ascii="Arial" w:hAnsi="Arial"/>
                <w:b/>
                <w:sz w:val="20"/>
              </w:rPr>
              <w:t>Abschnitt 4 – Verbindlichkeiten innerhalb des Finanzsystems</w:t>
            </w:r>
          </w:p>
        </w:tc>
        <w:tc>
          <w:tcPr>
            <w:tcW w:w="2745" w:type="dxa"/>
            <w:tcBorders>
              <w:top w:val="nil"/>
              <w:left w:val="nil"/>
              <w:right w:val="nil"/>
            </w:tcBorders>
            <w:hideMark/>
          </w:tcPr>
          <w:p w:rsidRPr="00C32842" w:rsidR="0018120C" w:rsidP="00E13391" w:rsidRDefault="0018120C" w14:paraId="59F97E0B" w14:textId="77777777">
            <w:pPr>
              <w:jc w:val="center"/>
              <w:rPr>
                <w:rFonts w:ascii="Arial" w:hAnsi="Arial" w:eastAsia="Times New Roman" w:cs="Arial"/>
                <w:b/>
                <w:bCs/>
                <w:sz w:val="20"/>
                <w:szCs w:val="20"/>
              </w:rPr>
            </w:pPr>
            <w:r w:rsidRPr="00C32842">
              <w:rPr>
                <w:rFonts w:ascii="Arial" w:hAnsi="Arial"/>
                <w:b/>
                <w:sz w:val="20"/>
              </w:rPr>
              <w:t>Betrag</w:t>
            </w:r>
          </w:p>
        </w:tc>
      </w:tr>
      <w:tr w:rsidRPr="00C32842" w:rsidR="0018120C" w:rsidTr="00E13391" w14:paraId="1A97ECB2" w14:textId="77777777">
        <w:trPr>
          <w:gridAfter w:val="1"/>
          <w:wAfter w:w="2745" w:type="dxa"/>
          <w:trHeight w:val="300"/>
        </w:trPr>
        <w:tc>
          <w:tcPr>
            <w:tcW w:w="6804" w:type="dxa"/>
            <w:tcBorders>
              <w:left w:val="nil"/>
              <w:right w:val="nil"/>
            </w:tcBorders>
            <w:noWrap/>
            <w:hideMark/>
          </w:tcPr>
          <w:p w:rsidRPr="00C32842" w:rsidR="0018120C" w:rsidP="00E13391" w:rsidRDefault="0018120C" w14:paraId="6F5492FD" w14:textId="77777777">
            <w:pPr>
              <w:ind w:left="171" w:firstLine="28" w:firstLineChars="14"/>
              <w:rPr>
                <w:rFonts w:ascii="Arial" w:hAnsi="Arial" w:eastAsia="Times New Roman" w:cs="Arial"/>
                <w:sz w:val="20"/>
                <w:szCs w:val="20"/>
              </w:rPr>
            </w:pPr>
            <w:r w:rsidRPr="00C32842">
              <w:rPr>
                <w:rFonts w:ascii="Arial" w:hAnsi="Arial"/>
                <w:sz w:val="20"/>
              </w:rPr>
              <w:t>a. Von anderen Finanzinstituten hinterlegte oder von diesen geliehene Geldmittel</w:t>
            </w:r>
          </w:p>
        </w:tc>
      </w:tr>
      <w:tr w:rsidRPr="00C32842" w:rsidR="0018120C" w:rsidTr="00E13391" w14:paraId="5B3FA417" w14:textId="77777777">
        <w:trPr>
          <w:trHeight w:val="300"/>
        </w:trPr>
        <w:tc>
          <w:tcPr>
            <w:tcW w:w="6804" w:type="dxa"/>
            <w:tcBorders>
              <w:left w:val="nil"/>
              <w:right w:val="nil"/>
            </w:tcBorders>
            <w:noWrap/>
            <w:hideMark/>
          </w:tcPr>
          <w:p w:rsidRPr="00C32842" w:rsidR="0018120C" w:rsidP="00E13391" w:rsidRDefault="0018120C" w14:paraId="51603B02" w14:textId="77777777">
            <w:pPr>
              <w:ind w:firstLine="400" w:firstLineChars="200"/>
              <w:rPr>
                <w:rFonts w:ascii="Arial" w:hAnsi="Arial" w:eastAsia="Times New Roman" w:cs="Arial"/>
                <w:sz w:val="20"/>
                <w:szCs w:val="20"/>
              </w:rPr>
            </w:pPr>
            <w:r w:rsidRPr="00C32842">
              <w:rPr>
                <w:rFonts w:ascii="Arial" w:hAnsi="Arial"/>
                <w:sz w:val="20"/>
                <w:lang w:eastAsia="en-GB"/>
              </w:rPr>
              <w:t xml:space="preserve">(1) </w:t>
            </w:r>
            <w:r w:rsidRPr="00C32842">
              <w:rPr>
                <w:rFonts w:ascii="Arial" w:hAnsi="Arial"/>
                <w:sz w:val="20"/>
              </w:rPr>
              <w:t>Einlagen durch Verwahrstellen</w:t>
            </w:r>
          </w:p>
        </w:tc>
        <w:tc>
          <w:tcPr>
            <w:tcW w:w="2745" w:type="dxa"/>
            <w:tcBorders>
              <w:left w:val="nil"/>
              <w:right w:val="nil"/>
            </w:tcBorders>
            <w:noWrap/>
            <w:hideMark/>
          </w:tcPr>
          <w:p w:rsidRPr="00C32842" w:rsidR="0018120C" w:rsidP="00E13391" w:rsidRDefault="0018120C" w14:paraId="73C4AD77"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7F5289AC" w14:textId="77777777">
        <w:trPr>
          <w:trHeight w:val="300"/>
        </w:trPr>
        <w:tc>
          <w:tcPr>
            <w:tcW w:w="6804" w:type="dxa"/>
            <w:tcBorders>
              <w:left w:val="nil"/>
              <w:right w:val="nil"/>
            </w:tcBorders>
            <w:noWrap/>
            <w:hideMark/>
          </w:tcPr>
          <w:p w:rsidRPr="00C32842" w:rsidR="0018120C" w:rsidP="00E13391" w:rsidRDefault="0018120C" w14:paraId="3386FBEB" w14:textId="77777777">
            <w:pPr>
              <w:ind w:firstLine="400" w:firstLineChars="200"/>
              <w:rPr>
                <w:rFonts w:ascii="Arial" w:hAnsi="Arial" w:eastAsia="Times New Roman" w:cs="Arial"/>
                <w:sz w:val="20"/>
                <w:szCs w:val="20"/>
              </w:rPr>
            </w:pPr>
            <w:r w:rsidRPr="00C32842">
              <w:rPr>
                <w:rFonts w:ascii="Arial" w:hAnsi="Arial"/>
                <w:sz w:val="20"/>
                <w:lang w:eastAsia="en-GB"/>
              </w:rPr>
              <w:t xml:space="preserve">(2) </w:t>
            </w:r>
            <w:r w:rsidRPr="00C32842">
              <w:rPr>
                <w:rFonts w:ascii="Arial" w:hAnsi="Arial"/>
                <w:sz w:val="20"/>
              </w:rPr>
              <w:t>Einlagen durch Finanzinstitute, die keine Verwahrstellen sind</w:t>
            </w:r>
          </w:p>
        </w:tc>
        <w:tc>
          <w:tcPr>
            <w:tcW w:w="2745" w:type="dxa"/>
            <w:tcBorders>
              <w:left w:val="nil"/>
              <w:right w:val="nil"/>
            </w:tcBorders>
            <w:noWrap/>
            <w:hideMark/>
          </w:tcPr>
          <w:p w:rsidRPr="00C32842" w:rsidR="0018120C" w:rsidP="00E13391" w:rsidRDefault="0018120C" w14:paraId="5C7B3FFC"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55ACAE6B" w14:textId="77777777">
        <w:trPr>
          <w:trHeight w:val="300"/>
        </w:trPr>
        <w:tc>
          <w:tcPr>
            <w:tcW w:w="6804" w:type="dxa"/>
            <w:tcBorders>
              <w:left w:val="nil"/>
              <w:right w:val="nil"/>
            </w:tcBorders>
            <w:noWrap/>
            <w:hideMark/>
          </w:tcPr>
          <w:p w:rsidRPr="00C32842" w:rsidR="0018120C" w:rsidP="00E13391" w:rsidRDefault="0018120C" w14:paraId="1C78979A" w14:textId="77777777">
            <w:pPr>
              <w:ind w:firstLine="400" w:firstLineChars="200"/>
              <w:rPr>
                <w:rFonts w:ascii="Arial" w:hAnsi="Arial" w:eastAsia="Times New Roman" w:cs="Arial"/>
                <w:sz w:val="20"/>
                <w:szCs w:val="20"/>
              </w:rPr>
            </w:pPr>
            <w:r w:rsidRPr="00C32842">
              <w:rPr>
                <w:rFonts w:ascii="Arial" w:hAnsi="Arial"/>
                <w:sz w:val="20"/>
                <w:lang w:eastAsia="en-GB"/>
              </w:rPr>
              <w:t xml:space="preserve">(3) </w:t>
            </w:r>
            <w:r w:rsidRPr="00C32842">
              <w:rPr>
                <w:rFonts w:ascii="Arial" w:hAnsi="Arial"/>
                <w:sz w:val="20"/>
              </w:rPr>
              <w:t>Von anderen Finanzinstituten gewährte Darlehen</w:t>
            </w:r>
          </w:p>
        </w:tc>
        <w:tc>
          <w:tcPr>
            <w:tcW w:w="2745" w:type="dxa"/>
            <w:tcBorders>
              <w:left w:val="nil"/>
              <w:right w:val="nil"/>
            </w:tcBorders>
            <w:noWrap/>
            <w:hideMark/>
          </w:tcPr>
          <w:p w:rsidRPr="00C32842" w:rsidR="0018120C" w:rsidP="00E13391" w:rsidRDefault="0018120C" w14:paraId="595CBC32"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65EFC3CD" w14:textId="77777777">
        <w:trPr>
          <w:trHeight w:val="300"/>
        </w:trPr>
        <w:tc>
          <w:tcPr>
            <w:tcW w:w="6804" w:type="dxa"/>
            <w:tcBorders>
              <w:left w:val="nil"/>
              <w:right w:val="nil"/>
            </w:tcBorders>
            <w:noWrap/>
          </w:tcPr>
          <w:p w:rsidRPr="00C32842" w:rsidR="0018120C" w:rsidP="00E13391" w:rsidRDefault="0018120C" w14:paraId="5CAC1A0F" w14:textId="77777777">
            <w:pPr>
              <w:ind w:left="171"/>
              <w:rPr>
                <w:rFonts w:ascii="Arial" w:hAnsi="Arial" w:eastAsia="Times New Roman" w:cs="Arial"/>
                <w:sz w:val="20"/>
                <w:szCs w:val="20"/>
              </w:rPr>
            </w:pPr>
            <w:r w:rsidRPr="00C32842">
              <w:rPr>
                <w:rFonts w:ascii="Arial" w:hAnsi="Arial"/>
                <w:sz w:val="20"/>
              </w:rPr>
              <w:lastRenderedPageBreak/>
              <w:t>b. Nicht in Anspruch genommener Teil der verbindlich zugesagten Kreditlinien, die von anderen Finanzinstituten eingeräumt wurden</w:t>
            </w:r>
          </w:p>
        </w:tc>
        <w:tc>
          <w:tcPr>
            <w:tcW w:w="2745" w:type="dxa"/>
            <w:tcBorders>
              <w:left w:val="nil"/>
              <w:right w:val="nil"/>
            </w:tcBorders>
            <w:noWrap/>
          </w:tcPr>
          <w:p w:rsidRPr="00C32842" w:rsidR="0018120C" w:rsidP="00E13391" w:rsidRDefault="0018120C" w14:paraId="51708D76" w14:textId="77777777">
            <w:pPr>
              <w:jc w:val="right"/>
              <w:rPr>
                <w:rFonts w:ascii="Arial" w:hAnsi="Arial" w:eastAsia="Times New Roman" w:cs="Arial"/>
                <w:sz w:val="20"/>
                <w:szCs w:val="20"/>
                <w:lang w:eastAsia="en-GB"/>
              </w:rPr>
            </w:pPr>
          </w:p>
        </w:tc>
      </w:tr>
      <w:tr w:rsidRPr="00C32842" w:rsidR="0018120C" w:rsidTr="00E13391" w14:paraId="23B931D1" w14:textId="77777777">
        <w:trPr>
          <w:trHeight w:val="300"/>
        </w:trPr>
        <w:tc>
          <w:tcPr>
            <w:tcW w:w="6804" w:type="dxa"/>
            <w:tcBorders>
              <w:left w:val="nil"/>
              <w:right w:val="nil"/>
            </w:tcBorders>
            <w:noWrap/>
          </w:tcPr>
          <w:p w:rsidRPr="00C32842" w:rsidR="0018120C" w:rsidP="00E13391" w:rsidRDefault="0018120C" w14:paraId="3A378ACE" w14:textId="77777777">
            <w:pPr>
              <w:ind w:left="171"/>
              <w:rPr>
                <w:rFonts w:ascii="Arial" w:hAnsi="Arial" w:eastAsia="Times New Roman" w:cs="Arial"/>
                <w:sz w:val="20"/>
                <w:szCs w:val="20"/>
              </w:rPr>
            </w:pPr>
            <w:r w:rsidRPr="00C32842">
              <w:rPr>
                <w:rFonts w:ascii="Arial" w:hAnsi="Arial"/>
                <w:sz w:val="20"/>
              </w:rPr>
              <w:t>c. Aktuelle negative Nettorisikoposition aus Wertpapierfinanzierungsgeschäften mit anderen Finanzinstituten</w:t>
            </w:r>
          </w:p>
        </w:tc>
        <w:tc>
          <w:tcPr>
            <w:tcW w:w="2745" w:type="dxa"/>
            <w:tcBorders>
              <w:left w:val="nil"/>
              <w:right w:val="nil"/>
            </w:tcBorders>
            <w:noWrap/>
          </w:tcPr>
          <w:p w:rsidRPr="00C32842" w:rsidR="0018120C" w:rsidP="00E13391" w:rsidRDefault="0018120C" w14:paraId="7FD4D9EC" w14:textId="77777777">
            <w:pPr>
              <w:jc w:val="right"/>
              <w:rPr>
                <w:rFonts w:ascii="Arial" w:hAnsi="Arial" w:eastAsia="Times New Roman" w:cs="Arial"/>
                <w:sz w:val="20"/>
                <w:szCs w:val="20"/>
                <w:lang w:eastAsia="en-GB"/>
              </w:rPr>
            </w:pPr>
          </w:p>
        </w:tc>
      </w:tr>
      <w:tr w:rsidRPr="00C32842" w:rsidR="0018120C" w:rsidTr="00E13391" w14:paraId="42EE073F" w14:textId="77777777">
        <w:trPr>
          <w:trHeight w:val="300"/>
        </w:trPr>
        <w:tc>
          <w:tcPr>
            <w:tcW w:w="6804" w:type="dxa"/>
            <w:tcBorders>
              <w:left w:val="nil"/>
              <w:bottom w:val="single" w:color="auto" w:sz="4" w:space="0"/>
              <w:right w:val="nil"/>
            </w:tcBorders>
            <w:noWrap/>
          </w:tcPr>
          <w:p w:rsidRPr="00C32842" w:rsidR="0018120C" w:rsidP="00E13391" w:rsidRDefault="0018120C" w14:paraId="12B8D4CD" w14:textId="77777777">
            <w:pPr>
              <w:ind w:left="171"/>
              <w:rPr>
                <w:rFonts w:ascii="Arial" w:hAnsi="Arial" w:eastAsia="Times New Roman" w:cs="Arial"/>
                <w:sz w:val="20"/>
                <w:szCs w:val="20"/>
              </w:rPr>
            </w:pPr>
            <w:r w:rsidRPr="00C32842">
              <w:rPr>
                <w:rFonts w:ascii="Arial" w:hAnsi="Arial"/>
                <w:sz w:val="20"/>
              </w:rPr>
              <w:t>d. Außerbörslich gehandelte (OTC-)Derivate mit anderen Finanzinstituten mit einem negativen beizulegenden Nettozeitwert:</w:t>
            </w:r>
          </w:p>
        </w:tc>
        <w:tc>
          <w:tcPr>
            <w:tcW w:w="2745" w:type="dxa"/>
            <w:tcBorders>
              <w:left w:val="nil"/>
              <w:bottom w:val="single" w:color="auto" w:sz="4" w:space="0"/>
              <w:right w:val="nil"/>
            </w:tcBorders>
            <w:noWrap/>
          </w:tcPr>
          <w:p w:rsidRPr="00C32842" w:rsidR="0018120C" w:rsidP="00E13391" w:rsidRDefault="0018120C" w14:paraId="57C886F3" w14:textId="77777777">
            <w:pPr>
              <w:jc w:val="right"/>
              <w:rPr>
                <w:rFonts w:ascii="Arial" w:hAnsi="Arial" w:eastAsia="Times New Roman" w:cs="Arial"/>
                <w:sz w:val="20"/>
                <w:szCs w:val="20"/>
                <w:lang w:eastAsia="en-GB"/>
              </w:rPr>
            </w:pPr>
          </w:p>
        </w:tc>
      </w:tr>
      <w:tr w:rsidRPr="00C32842" w:rsidR="0018120C" w:rsidTr="00E13391" w14:paraId="22C4BF5E" w14:textId="77777777">
        <w:trPr>
          <w:trHeight w:val="300"/>
        </w:trPr>
        <w:tc>
          <w:tcPr>
            <w:tcW w:w="6804" w:type="dxa"/>
            <w:tcBorders>
              <w:left w:val="nil"/>
              <w:right w:val="nil"/>
            </w:tcBorders>
            <w:noWrap/>
            <w:hideMark/>
          </w:tcPr>
          <w:p w:rsidRPr="00C32842" w:rsidR="0018120C" w:rsidP="00E13391" w:rsidRDefault="0018120C" w14:paraId="4098D61A" w14:textId="77777777">
            <w:pPr>
              <w:ind w:firstLine="400" w:firstLineChars="200"/>
              <w:rPr>
                <w:rFonts w:ascii="Arial" w:hAnsi="Arial" w:eastAsia="Times New Roman" w:cs="Arial"/>
                <w:sz w:val="20"/>
                <w:szCs w:val="20"/>
              </w:rPr>
            </w:pPr>
            <w:r w:rsidRPr="00C32842">
              <w:rPr>
                <w:rFonts w:ascii="Arial" w:hAnsi="Arial"/>
                <w:sz w:val="20"/>
                <w:lang w:eastAsia="en-GB"/>
              </w:rPr>
              <w:t xml:space="preserve">(1) </w:t>
            </w:r>
            <w:r w:rsidRPr="00C32842">
              <w:rPr>
                <w:rFonts w:ascii="Arial" w:hAnsi="Arial"/>
                <w:sz w:val="20"/>
              </w:rPr>
              <w:t>Negativer beizulegender Nettozeitwert</w:t>
            </w:r>
          </w:p>
        </w:tc>
        <w:tc>
          <w:tcPr>
            <w:tcW w:w="2745" w:type="dxa"/>
            <w:tcBorders>
              <w:left w:val="nil"/>
              <w:right w:val="nil"/>
            </w:tcBorders>
            <w:noWrap/>
            <w:hideMark/>
          </w:tcPr>
          <w:p w:rsidRPr="00C32842" w:rsidR="0018120C" w:rsidP="00E13391" w:rsidRDefault="0018120C" w14:paraId="425A7199"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5039B8BB" w14:textId="77777777">
        <w:trPr>
          <w:trHeight w:val="300"/>
        </w:trPr>
        <w:tc>
          <w:tcPr>
            <w:tcW w:w="6804" w:type="dxa"/>
            <w:tcBorders>
              <w:left w:val="nil"/>
              <w:right w:val="nil"/>
            </w:tcBorders>
            <w:noWrap/>
            <w:hideMark/>
          </w:tcPr>
          <w:p w:rsidRPr="00C32842" w:rsidR="0018120C" w:rsidP="00E13391" w:rsidRDefault="0018120C" w14:paraId="70EE493E" w14:textId="77777777">
            <w:pPr>
              <w:ind w:firstLine="400" w:firstLineChars="200"/>
              <w:rPr>
                <w:rFonts w:ascii="Arial" w:hAnsi="Arial" w:eastAsia="Times New Roman" w:cs="Arial"/>
                <w:sz w:val="20"/>
                <w:szCs w:val="20"/>
              </w:rPr>
            </w:pPr>
            <w:r w:rsidRPr="00C32842">
              <w:rPr>
                <w:rFonts w:ascii="Arial" w:hAnsi="Arial"/>
                <w:sz w:val="20"/>
                <w:lang w:eastAsia="en-GB"/>
              </w:rPr>
              <w:t xml:space="preserve">(2) </w:t>
            </w:r>
            <w:r w:rsidRPr="00C32842">
              <w:rPr>
                <w:rFonts w:ascii="Arial" w:hAnsi="Arial"/>
                <w:sz w:val="20"/>
              </w:rPr>
              <w:t>Potenzielle zukünftige Forderungen</w:t>
            </w:r>
          </w:p>
        </w:tc>
        <w:tc>
          <w:tcPr>
            <w:tcW w:w="2745" w:type="dxa"/>
            <w:tcBorders>
              <w:left w:val="nil"/>
              <w:right w:val="nil"/>
            </w:tcBorders>
            <w:noWrap/>
            <w:hideMark/>
          </w:tcPr>
          <w:p w:rsidRPr="00C32842" w:rsidR="0018120C" w:rsidP="00E13391" w:rsidRDefault="0018120C" w14:paraId="007CD666"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51B0679A" w14:textId="77777777">
        <w:trPr>
          <w:trHeight w:val="300"/>
        </w:trPr>
        <w:tc>
          <w:tcPr>
            <w:tcW w:w="6804" w:type="dxa"/>
            <w:tcBorders>
              <w:left w:val="nil"/>
              <w:bottom w:val="single" w:color="auto" w:sz="4" w:space="0"/>
              <w:right w:val="nil"/>
            </w:tcBorders>
            <w:noWrap/>
          </w:tcPr>
          <w:p w:rsidRPr="00C32842" w:rsidR="0018120C" w:rsidP="00E13391" w:rsidRDefault="0018120C" w14:paraId="5170C82F" w14:textId="77777777">
            <w:pPr>
              <w:ind w:left="171"/>
              <w:rPr>
                <w:rFonts w:ascii="Arial" w:hAnsi="Arial" w:eastAsia="Times New Roman" w:cs="Arial"/>
                <w:sz w:val="20"/>
                <w:szCs w:val="20"/>
              </w:rPr>
            </w:pPr>
            <w:r w:rsidRPr="00C32842">
              <w:rPr>
                <w:rFonts w:ascii="Arial" w:hAnsi="Arial"/>
                <w:sz w:val="20"/>
              </w:rPr>
              <w:t>e. Indikator für Verbindlichkeiten innerhalb des Finanzsystems, einschließlich Versicherungstochtergesellschaften (Summe aus den Positionen 4.a) Unterpunkt (1) bis 4.d Unterpunkt (2))</w:t>
            </w:r>
          </w:p>
        </w:tc>
        <w:tc>
          <w:tcPr>
            <w:tcW w:w="2745" w:type="dxa"/>
            <w:tcBorders>
              <w:left w:val="nil"/>
              <w:bottom w:val="single" w:color="auto" w:sz="4" w:space="0"/>
              <w:right w:val="nil"/>
            </w:tcBorders>
            <w:noWrap/>
          </w:tcPr>
          <w:p w:rsidRPr="00C32842" w:rsidR="0018120C" w:rsidP="00E13391" w:rsidRDefault="0018120C" w14:paraId="6EBC87BE" w14:textId="77777777">
            <w:pPr>
              <w:jc w:val="right"/>
              <w:rPr>
                <w:rFonts w:ascii="Arial" w:hAnsi="Arial" w:eastAsia="Times New Roman" w:cs="Arial"/>
                <w:sz w:val="20"/>
                <w:szCs w:val="20"/>
                <w:lang w:eastAsia="en-GB"/>
              </w:rPr>
            </w:pPr>
          </w:p>
        </w:tc>
      </w:tr>
      <w:tr w:rsidRPr="00C32842" w:rsidR="0018120C" w:rsidTr="00E13391" w14:paraId="0C21DD2C" w14:textId="77777777">
        <w:trPr>
          <w:trHeight w:val="300"/>
        </w:trPr>
        <w:tc>
          <w:tcPr>
            <w:tcW w:w="6804" w:type="dxa"/>
            <w:tcBorders>
              <w:left w:val="nil"/>
              <w:bottom w:val="nil"/>
              <w:right w:val="nil"/>
            </w:tcBorders>
            <w:noWrap/>
          </w:tcPr>
          <w:p w:rsidRPr="00C32842" w:rsidR="0018120C" w:rsidP="00E13391" w:rsidRDefault="0018120C" w14:paraId="77836837"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C32842" w:rsidR="0018120C" w:rsidP="00E13391" w:rsidRDefault="0018120C" w14:paraId="07420E0E" w14:textId="77777777">
            <w:pPr>
              <w:jc w:val="center"/>
              <w:rPr>
                <w:rFonts w:ascii="Arial" w:hAnsi="Arial" w:eastAsia="Times New Roman" w:cs="Arial"/>
                <w:b/>
                <w:bCs/>
                <w:sz w:val="20"/>
                <w:szCs w:val="20"/>
                <w:lang w:eastAsia="en-GB"/>
              </w:rPr>
            </w:pPr>
          </w:p>
        </w:tc>
      </w:tr>
      <w:tr w:rsidRPr="00C32842" w:rsidR="0018120C" w:rsidTr="00E13391" w14:paraId="1B1099D1" w14:textId="77777777">
        <w:trPr>
          <w:trHeight w:val="300"/>
        </w:trPr>
        <w:tc>
          <w:tcPr>
            <w:tcW w:w="6804" w:type="dxa"/>
            <w:tcBorders>
              <w:top w:val="nil"/>
              <w:left w:val="nil"/>
              <w:right w:val="nil"/>
            </w:tcBorders>
            <w:noWrap/>
            <w:hideMark/>
          </w:tcPr>
          <w:p w:rsidRPr="00C32842" w:rsidR="0018120C" w:rsidP="00E13391" w:rsidRDefault="0018120C" w14:paraId="0A2E894D" w14:textId="77777777">
            <w:pPr>
              <w:rPr>
                <w:rFonts w:ascii="Arial" w:hAnsi="Arial" w:eastAsia="Times New Roman" w:cs="Arial"/>
                <w:b/>
                <w:bCs/>
                <w:sz w:val="20"/>
                <w:szCs w:val="20"/>
              </w:rPr>
            </w:pPr>
            <w:r w:rsidRPr="00C32842">
              <w:rPr>
                <w:rFonts w:ascii="Arial" w:hAnsi="Arial"/>
                <w:b/>
                <w:sz w:val="20"/>
              </w:rPr>
              <w:t>Abschnitt 5 – Ausstehende Wertpapiere</w:t>
            </w:r>
          </w:p>
        </w:tc>
        <w:tc>
          <w:tcPr>
            <w:tcW w:w="2745" w:type="dxa"/>
            <w:tcBorders>
              <w:top w:val="nil"/>
              <w:left w:val="nil"/>
              <w:right w:val="nil"/>
            </w:tcBorders>
            <w:hideMark/>
          </w:tcPr>
          <w:p w:rsidRPr="00C32842" w:rsidR="0018120C" w:rsidP="00E13391" w:rsidRDefault="0018120C" w14:paraId="3655F7CF" w14:textId="77777777">
            <w:pPr>
              <w:jc w:val="center"/>
              <w:rPr>
                <w:rFonts w:ascii="Arial" w:hAnsi="Arial" w:eastAsia="Times New Roman" w:cs="Arial"/>
                <w:b/>
                <w:bCs/>
                <w:sz w:val="20"/>
                <w:szCs w:val="20"/>
              </w:rPr>
            </w:pPr>
            <w:r w:rsidRPr="00C32842">
              <w:rPr>
                <w:rFonts w:ascii="Arial" w:hAnsi="Arial"/>
                <w:b/>
                <w:sz w:val="20"/>
              </w:rPr>
              <w:t>Betrag</w:t>
            </w:r>
          </w:p>
        </w:tc>
      </w:tr>
      <w:tr w:rsidRPr="00C32842" w:rsidR="0018120C" w:rsidTr="00E13391" w14:paraId="3A311D30" w14:textId="77777777">
        <w:trPr>
          <w:trHeight w:val="300"/>
        </w:trPr>
        <w:tc>
          <w:tcPr>
            <w:tcW w:w="6804" w:type="dxa"/>
            <w:tcBorders>
              <w:left w:val="nil"/>
              <w:right w:val="nil"/>
            </w:tcBorders>
            <w:noWrap/>
            <w:hideMark/>
          </w:tcPr>
          <w:p w:rsidRPr="00C32842" w:rsidR="0018120C" w:rsidP="00E13391" w:rsidRDefault="0018120C" w14:paraId="66E9A3B1" w14:textId="77777777">
            <w:pPr>
              <w:ind w:firstLine="200" w:firstLineChars="100"/>
              <w:rPr>
                <w:rFonts w:ascii="Arial" w:hAnsi="Arial" w:eastAsia="Times New Roman" w:cs="Arial"/>
                <w:sz w:val="20"/>
                <w:szCs w:val="20"/>
              </w:rPr>
            </w:pPr>
            <w:r w:rsidRPr="00C32842">
              <w:rPr>
                <w:rFonts w:ascii="Arial" w:hAnsi="Arial"/>
                <w:sz w:val="20"/>
              </w:rPr>
              <w:t>a. Besicherte Schuldverschreibungen</w:t>
            </w:r>
          </w:p>
        </w:tc>
        <w:tc>
          <w:tcPr>
            <w:tcW w:w="2745" w:type="dxa"/>
            <w:tcBorders>
              <w:left w:val="nil"/>
              <w:right w:val="nil"/>
            </w:tcBorders>
            <w:noWrap/>
            <w:hideMark/>
          </w:tcPr>
          <w:p w:rsidRPr="00C32842" w:rsidR="0018120C" w:rsidP="00E13391" w:rsidRDefault="0018120C" w14:paraId="2C39A30E"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5B8DF2C2" w14:textId="77777777">
        <w:trPr>
          <w:trHeight w:val="300"/>
        </w:trPr>
        <w:tc>
          <w:tcPr>
            <w:tcW w:w="6804" w:type="dxa"/>
            <w:tcBorders>
              <w:left w:val="nil"/>
              <w:right w:val="nil"/>
            </w:tcBorders>
            <w:noWrap/>
            <w:hideMark/>
          </w:tcPr>
          <w:p w:rsidRPr="00C32842" w:rsidR="0018120C" w:rsidP="00E13391" w:rsidRDefault="0018120C" w14:paraId="093990C2" w14:textId="77777777">
            <w:pPr>
              <w:ind w:firstLine="200" w:firstLineChars="100"/>
              <w:rPr>
                <w:rFonts w:ascii="Arial" w:hAnsi="Arial" w:eastAsia="Times New Roman" w:cs="Arial"/>
                <w:sz w:val="20"/>
                <w:szCs w:val="20"/>
              </w:rPr>
            </w:pPr>
            <w:r w:rsidRPr="00C32842">
              <w:rPr>
                <w:rFonts w:ascii="Arial" w:hAnsi="Arial"/>
                <w:sz w:val="20"/>
              </w:rPr>
              <w:t>b. Vorrangige, unbesicherte Schuldverschreibungen</w:t>
            </w:r>
          </w:p>
        </w:tc>
        <w:tc>
          <w:tcPr>
            <w:tcW w:w="2745" w:type="dxa"/>
            <w:tcBorders>
              <w:left w:val="nil"/>
              <w:right w:val="nil"/>
            </w:tcBorders>
            <w:noWrap/>
            <w:hideMark/>
          </w:tcPr>
          <w:p w:rsidRPr="00C32842" w:rsidR="0018120C" w:rsidP="00E13391" w:rsidRDefault="0018120C" w14:paraId="00731F8C"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36C1E26C" w14:textId="77777777">
        <w:trPr>
          <w:trHeight w:val="300"/>
        </w:trPr>
        <w:tc>
          <w:tcPr>
            <w:tcW w:w="6804" w:type="dxa"/>
            <w:tcBorders>
              <w:left w:val="nil"/>
              <w:right w:val="nil"/>
            </w:tcBorders>
            <w:noWrap/>
            <w:hideMark/>
          </w:tcPr>
          <w:p w:rsidRPr="00C32842" w:rsidR="0018120C" w:rsidP="00E13391" w:rsidRDefault="0018120C" w14:paraId="6FA6DF75" w14:textId="77777777">
            <w:pPr>
              <w:ind w:firstLine="200" w:firstLineChars="100"/>
              <w:rPr>
                <w:rFonts w:ascii="Arial" w:hAnsi="Arial" w:eastAsia="Times New Roman" w:cs="Arial"/>
                <w:sz w:val="20"/>
                <w:szCs w:val="20"/>
              </w:rPr>
            </w:pPr>
            <w:r w:rsidRPr="00C32842">
              <w:rPr>
                <w:rFonts w:ascii="Arial" w:hAnsi="Arial"/>
                <w:sz w:val="20"/>
              </w:rPr>
              <w:t>c. Nachrangige Schuldverschreibungen</w:t>
            </w:r>
          </w:p>
        </w:tc>
        <w:tc>
          <w:tcPr>
            <w:tcW w:w="2745" w:type="dxa"/>
            <w:tcBorders>
              <w:left w:val="nil"/>
              <w:right w:val="nil"/>
            </w:tcBorders>
            <w:noWrap/>
            <w:hideMark/>
          </w:tcPr>
          <w:p w:rsidRPr="00C32842" w:rsidR="0018120C" w:rsidP="00E13391" w:rsidRDefault="0018120C" w14:paraId="6FD76EC8"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64B12E20" w14:textId="77777777">
        <w:trPr>
          <w:trHeight w:val="300"/>
        </w:trPr>
        <w:tc>
          <w:tcPr>
            <w:tcW w:w="6804" w:type="dxa"/>
            <w:tcBorders>
              <w:left w:val="nil"/>
              <w:right w:val="nil"/>
            </w:tcBorders>
            <w:noWrap/>
            <w:hideMark/>
          </w:tcPr>
          <w:p w:rsidRPr="00C32842" w:rsidR="0018120C" w:rsidP="00E13391" w:rsidRDefault="0018120C" w14:paraId="47181523" w14:textId="77777777">
            <w:pPr>
              <w:ind w:firstLine="200" w:firstLineChars="100"/>
              <w:rPr>
                <w:rFonts w:ascii="Arial" w:hAnsi="Arial" w:eastAsia="Times New Roman" w:cs="Arial"/>
                <w:sz w:val="20"/>
                <w:szCs w:val="20"/>
              </w:rPr>
            </w:pPr>
            <w:r w:rsidRPr="00C32842">
              <w:rPr>
                <w:rFonts w:ascii="Arial" w:hAnsi="Arial"/>
                <w:sz w:val="20"/>
              </w:rPr>
              <w:t>d. Geldmarktpapiere</w:t>
            </w:r>
          </w:p>
        </w:tc>
        <w:tc>
          <w:tcPr>
            <w:tcW w:w="2745" w:type="dxa"/>
            <w:tcBorders>
              <w:left w:val="nil"/>
              <w:right w:val="nil"/>
            </w:tcBorders>
            <w:noWrap/>
            <w:hideMark/>
          </w:tcPr>
          <w:p w:rsidRPr="00C32842" w:rsidR="0018120C" w:rsidP="00E13391" w:rsidRDefault="0018120C" w14:paraId="01EFB9A2"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7B863D4A" w14:textId="77777777">
        <w:trPr>
          <w:trHeight w:val="300"/>
        </w:trPr>
        <w:tc>
          <w:tcPr>
            <w:tcW w:w="6804" w:type="dxa"/>
            <w:tcBorders>
              <w:left w:val="nil"/>
              <w:right w:val="nil"/>
            </w:tcBorders>
            <w:noWrap/>
            <w:hideMark/>
          </w:tcPr>
          <w:p w:rsidRPr="00C32842" w:rsidR="0018120C" w:rsidP="00E13391" w:rsidRDefault="0018120C" w14:paraId="7C437D41" w14:textId="77777777">
            <w:pPr>
              <w:ind w:firstLine="200" w:firstLineChars="100"/>
              <w:rPr>
                <w:rFonts w:ascii="Arial" w:hAnsi="Arial" w:eastAsia="Times New Roman" w:cs="Arial"/>
                <w:sz w:val="20"/>
                <w:szCs w:val="20"/>
              </w:rPr>
            </w:pPr>
            <w:r w:rsidRPr="00C32842">
              <w:rPr>
                <w:rFonts w:ascii="Arial" w:hAnsi="Arial"/>
                <w:sz w:val="20"/>
              </w:rPr>
              <w:t>e. Einlagenzertifikate</w:t>
            </w:r>
          </w:p>
        </w:tc>
        <w:tc>
          <w:tcPr>
            <w:tcW w:w="2745" w:type="dxa"/>
            <w:tcBorders>
              <w:left w:val="nil"/>
              <w:right w:val="nil"/>
            </w:tcBorders>
            <w:noWrap/>
            <w:hideMark/>
          </w:tcPr>
          <w:p w:rsidRPr="00C32842" w:rsidR="0018120C" w:rsidP="00E13391" w:rsidRDefault="0018120C" w14:paraId="44293294"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3FD4EB00" w14:textId="77777777">
        <w:trPr>
          <w:trHeight w:val="300"/>
        </w:trPr>
        <w:tc>
          <w:tcPr>
            <w:tcW w:w="6804" w:type="dxa"/>
            <w:tcBorders>
              <w:left w:val="nil"/>
              <w:right w:val="nil"/>
            </w:tcBorders>
            <w:noWrap/>
            <w:hideMark/>
          </w:tcPr>
          <w:p w:rsidRPr="00C32842" w:rsidR="0018120C" w:rsidP="00E13391" w:rsidRDefault="0018120C" w14:paraId="67EA44CE" w14:textId="77777777">
            <w:pPr>
              <w:ind w:firstLine="200" w:firstLineChars="100"/>
              <w:rPr>
                <w:rFonts w:ascii="Arial" w:hAnsi="Arial" w:eastAsia="Times New Roman" w:cs="Arial"/>
                <w:sz w:val="20"/>
                <w:szCs w:val="20"/>
              </w:rPr>
            </w:pPr>
            <w:r w:rsidRPr="00C32842">
              <w:rPr>
                <w:rFonts w:ascii="Arial" w:hAnsi="Arial"/>
                <w:sz w:val="20"/>
              </w:rPr>
              <w:t>f. Eigenkapital</w:t>
            </w:r>
          </w:p>
        </w:tc>
        <w:tc>
          <w:tcPr>
            <w:tcW w:w="2745" w:type="dxa"/>
            <w:tcBorders>
              <w:left w:val="nil"/>
              <w:right w:val="nil"/>
            </w:tcBorders>
            <w:noWrap/>
            <w:hideMark/>
          </w:tcPr>
          <w:p w:rsidRPr="00C32842" w:rsidR="0018120C" w:rsidP="00E13391" w:rsidRDefault="0018120C" w14:paraId="215E75AB"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1BA99738" w14:textId="77777777">
        <w:trPr>
          <w:trHeight w:val="300"/>
        </w:trPr>
        <w:tc>
          <w:tcPr>
            <w:tcW w:w="6804" w:type="dxa"/>
            <w:tcBorders>
              <w:left w:val="nil"/>
              <w:right w:val="nil"/>
            </w:tcBorders>
            <w:noWrap/>
          </w:tcPr>
          <w:p w:rsidRPr="00C32842" w:rsidR="0018120C" w:rsidP="00E13391" w:rsidRDefault="0018120C" w14:paraId="66483C95" w14:textId="77777777">
            <w:pPr>
              <w:ind w:left="171"/>
              <w:rPr>
                <w:rFonts w:ascii="Arial" w:hAnsi="Arial" w:eastAsia="Times New Roman" w:cs="Arial"/>
                <w:sz w:val="20"/>
                <w:szCs w:val="20"/>
              </w:rPr>
            </w:pPr>
            <w:r w:rsidRPr="00C32842">
              <w:rPr>
                <w:rFonts w:ascii="Arial" w:hAnsi="Arial"/>
                <w:sz w:val="20"/>
              </w:rPr>
              <w:t>g. Vorzugsaktien und jede andere Form nachrangiger Finanzierungen, die unter Position 5 c) nicht erfasst sind</w:t>
            </w:r>
          </w:p>
        </w:tc>
        <w:tc>
          <w:tcPr>
            <w:tcW w:w="2745" w:type="dxa"/>
            <w:tcBorders>
              <w:left w:val="nil"/>
              <w:right w:val="nil"/>
            </w:tcBorders>
            <w:noWrap/>
          </w:tcPr>
          <w:p w:rsidRPr="00C32842" w:rsidR="0018120C" w:rsidP="00E13391" w:rsidRDefault="0018120C" w14:paraId="7C491B4F" w14:textId="77777777">
            <w:pPr>
              <w:jc w:val="right"/>
              <w:rPr>
                <w:rFonts w:ascii="Arial" w:hAnsi="Arial" w:eastAsia="Times New Roman" w:cs="Arial"/>
                <w:sz w:val="20"/>
                <w:szCs w:val="20"/>
                <w:lang w:eastAsia="en-GB"/>
              </w:rPr>
            </w:pPr>
          </w:p>
        </w:tc>
      </w:tr>
      <w:tr w:rsidRPr="00C32842" w:rsidR="0018120C" w:rsidTr="00E13391" w14:paraId="6357F342" w14:textId="77777777">
        <w:trPr>
          <w:trHeight w:val="300"/>
        </w:trPr>
        <w:tc>
          <w:tcPr>
            <w:tcW w:w="6804" w:type="dxa"/>
            <w:tcBorders>
              <w:left w:val="nil"/>
              <w:bottom w:val="single" w:color="auto" w:sz="4" w:space="0"/>
              <w:right w:val="nil"/>
            </w:tcBorders>
            <w:noWrap/>
          </w:tcPr>
          <w:p w:rsidRPr="00C32842" w:rsidR="0018120C" w:rsidP="00E13391" w:rsidRDefault="0018120C" w14:paraId="541AFA03" w14:textId="77777777">
            <w:pPr>
              <w:ind w:left="171"/>
              <w:rPr>
                <w:rFonts w:ascii="Arial" w:hAnsi="Arial" w:eastAsia="Times New Roman" w:cs="Arial"/>
                <w:sz w:val="20"/>
                <w:szCs w:val="20"/>
              </w:rPr>
            </w:pPr>
            <w:r w:rsidRPr="00C32842">
              <w:rPr>
                <w:rFonts w:ascii="Arial" w:hAnsi="Arial"/>
                <w:sz w:val="20"/>
              </w:rPr>
              <w:t>h. Indikator für ausstehende Wertpapiere, einschließlich der von Versicherungstochtergesellschaften ausgegebenen Wertpapiere (Summe aus den Positionen 5.a bis 5.g)</w:t>
            </w:r>
          </w:p>
        </w:tc>
        <w:tc>
          <w:tcPr>
            <w:tcW w:w="2745" w:type="dxa"/>
            <w:tcBorders>
              <w:left w:val="nil"/>
              <w:bottom w:val="single" w:color="auto" w:sz="4" w:space="0"/>
              <w:right w:val="nil"/>
            </w:tcBorders>
            <w:noWrap/>
          </w:tcPr>
          <w:p w:rsidRPr="00C32842" w:rsidR="0018120C" w:rsidP="00E13391" w:rsidRDefault="0018120C" w14:paraId="29F6278C" w14:textId="77777777">
            <w:pPr>
              <w:jc w:val="right"/>
              <w:rPr>
                <w:rFonts w:ascii="Arial" w:hAnsi="Arial" w:eastAsia="Times New Roman" w:cs="Arial"/>
                <w:sz w:val="20"/>
                <w:szCs w:val="20"/>
                <w:lang w:eastAsia="en-GB"/>
              </w:rPr>
            </w:pPr>
          </w:p>
        </w:tc>
      </w:tr>
      <w:tr w:rsidRPr="00C32842" w:rsidR="0018120C" w:rsidTr="00E13391" w14:paraId="07B61071" w14:textId="77777777">
        <w:trPr>
          <w:trHeight w:val="300"/>
        </w:trPr>
        <w:tc>
          <w:tcPr>
            <w:tcW w:w="6804" w:type="dxa"/>
            <w:tcBorders>
              <w:top w:val="single" w:color="auto" w:sz="4" w:space="0"/>
              <w:left w:val="nil"/>
              <w:bottom w:val="nil"/>
              <w:right w:val="nil"/>
            </w:tcBorders>
            <w:noWrap/>
          </w:tcPr>
          <w:p w:rsidRPr="00C32842" w:rsidR="0018120C" w:rsidP="00E13391" w:rsidRDefault="0018120C" w14:paraId="401C1D2B" w14:textId="77777777">
            <w:pPr>
              <w:keepNext/>
              <w:keepLines/>
              <w:spacing w:before="47"/>
              <w:outlineLvl w:val="5"/>
              <w:rPr>
                <w:rFonts w:ascii="Arial" w:hAnsi="Arial" w:cs="Arial" w:eastAsiaTheme="majorEastAsia"/>
                <w:b/>
                <w:bCs/>
                <w:i/>
                <w:iCs/>
                <w:caps/>
                <w:spacing w:val="-2"/>
                <w:sz w:val="20"/>
                <w:szCs w:val="20"/>
              </w:rPr>
            </w:pPr>
          </w:p>
        </w:tc>
        <w:tc>
          <w:tcPr>
            <w:tcW w:w="2745" w:type="dxa"/>
            <w:tcBorders>
              <w:top w:val="single" w:color="auto" w:sz="4" w:space="0"/>
              <w:left w:val="nil"/>
              <w:bottom w:val="nil"/>
              <w:right w:val="nil"/>
            </w:tcBorders>
            <w:noWrap/>
          </w:tcPr>
          <w:p w:rsidRPr="00C32842" w:rsidR="0018120C" w:rsidP="00E13391" w:rsidRDefault="0018120C" w14:paraId="1197CD92" w14:textId="77777777">
            <w:pPr>
              <w:jc w:val="center"/>
              <w:rPr>
                <w:rFonts w:ascii="Arial" w:hAnsi="Arial" w:eastAsia="Times New Roman" w:cs="Arial"/>
                <w:b/>
                <w:bCs/>
                <w:sz w:val="20"/>
                <w:szCs w:val="20"/>
                <w:lang w:eastAsia="en-GB"/>
              </w:rPr>
            </w:pPr>
          </w:p>
        </w:tc>
      </w:tr>
      <w:tr w:rsidRPr="00C32842" w:rsidR="0018120C" w:rsidTr="00E13391" w14:paraId="006642DC" w14:textId="77777777">
        <w:trPr>
          <w:trHeight w:val="300"/>
        </w:trPr>
        <w:tc>
          <w:tcPr>
            <w:tcW w:w="6804" w:type="dxa"/>
            <w:tcBorders>
              <w:top w:val="nil"/>
              <w:left w:val="nil"/>
              <w:bottom w:val="nil"/>
              <w:right w:val="nil"/>
            </w:tcBorders>
            <w:noWrap/>
          </w:tcPr>
          <w:p w:rsidRPr="00C32842" w:rsidR="0018120C" w:rsidP="00E13391" w:rsidRDefault="0018120C" w14:paraId="6EA16D94" w14:textId="77777777">
            <w:pPr>
              <w:keepNext/>
              <w:keepLines/>
              <w:spacing w:before="47"/>
              <w:outlineLvl w:val="5"/>
              <w:rPr>
                <w:rFonts w:asciiTheme="majorHAnsi" w:hAnsiTheme="majorHAnsi" w:eastAsiaTheme="majorEastAsia" w:cstheme="majorBidi"/>
                <w:b/>
                <w:bCs/>
                <w:i/>
                <w:iCs/>
                <w:caps/>
                <w:spacing w:val="-2"/>
              </w:rPr>
            </w:pPr>
            <w:r w:rsidRPr="00C32842">
              <w:rPr>
                <w:rFonts w:asciiTheme="majorHAnsi" w:hAnsiTheme="majorHAnsi"/>
                <w:b/>
                <w:i/>
                <w:caps/>
              </w:rPr>
              <w:t>Indikatoren für Ersetzbarkeit/Finanzinfrastruktur</w:t>
            </w:r>
          </w:p>
          <w:p w:rsidRPr="00C32842" w:rsidR="0018120C" w:rsidP="00E13391" w:rsidRDefault="0018120C" w14:paraId="41F5BF40" w14:textId="77777777">
            <w:pPr>
              <w:rPr>
                <w:rFonts w:ascii="Arial" w:hAnsi="Arial" w:eastAsia="Times New Roman" w:cs="Arial"/>
                <w:b/>
                <w:bCs/>
                <w:sz w:val="20"/>
                <w:szCs w:val="20"/>
                <w:lang w:eastAsia="en-GB"/>
              </w:rPr>
            </w:pPr>
          </w:p>
        </w:tc>
        <w:tc>
          <w:tcPr>
            <w:tcW w:w="2745" w:type="dxa"/>
            <w:tcBorders>
              <w:top w:val="nil"/>
              <w:left w:val="nil"/>
              <w:bottom w:val="nil"/>
              <w:right w:val="nil"/>
            </w:tcBorders>
            <w:noWrap/>
          </w:tcPr>
          <w:p w:rsidRPr="00C32842" w:rsidR="0018120C" w:rsidP="00E13391" w:rsidRDefault="0018120C" w14:paraId="0BB6D717" w14:textId="77777777">
            <w:pPr>
              <w:jc w:val="center"/>
              <w:rPr>
                <w:rFonts w:ascii="Arial" w:hAnsi="Arial" w:eastAsia="Times New Roman" w:cs="Arial"/>
                <w:b/>
                <w:bCs/>
                <w:sz w:val="20"/>
                <w:szCs w:val="20"/>
                <w:lang w:eastAsia="en-GB"/>
              </w:rPr>
            </w:pPr>
          </w:p>
        </w:tc>
      </w:tr>
      <w:tr w:rsidRPr="00C32842" w:rsidR="0018120C" w:rsidTr="00E13391" w14:paraId="7F6E6B9E" w14:textId="77777777">
        <w:trPr>
          <w:trHeight w:val="300"/>
        </w:trPr>
        <w:tc>
          <w:tcPr>
            <w:tcW w:w="6804" w:type="dxa"/>
            <w:tcBorders>
              <w:left w:val="nil"/>
              <w:bottom w:val="single" w:color="auto" w:sz="4" w:space="0"/>
              <w:right w:val="nil"/>
            </w:tcBorders>
            <w:noWrap/>
          </w:tcPr>
          <w:p w:rsidRPr="00C32842" w:rsidR="0018120C" w:rsidP="00E13391" w:rsidRDefault="0018120C" w14:paraId="6E1F998E" w14:textId="77777777">
            <w:pPr>
              <w:rPr>
                <w:rFonts w:ascii="Arial" w:hAnsi="Arial" w:eastAsia="Times New Roman" w:cs="Arial"/>
                <w:sz w:val="20"/>
                <w:szCs w:val="20"/>
              </w:rPr>
            </w:pPr>
            <w:r w:rsidRPr="00C32842">
              <w:rPr>
                <w:rFonts w:ascii="Arial" w:hAnsi="Arial"/>
                <w:b/>
                <w:sz w:val="20"/>
              </w:rPr>
              <w:t>Abschnitt 6 – Im Berichtsjahr geleistete Zahlungen (ausgenommen Zahlungen innerhalb der Gruppe)</w:t>
            </w:r>
          </w:p>
        </w:tc>
        <w:tc>
          <w:tcPr>
            <w:tcW w:w="2745" w:type="dxa"/>
            <w:tcBorders>
              <w:left w:val="nil"/>
              <w:bottom w:val="single" w:color="auto" w:sz="4" w:space="0"/>
              <w:right w:val="nil"/>
            </w:tcBorders>
            <w:noWrap/>
          </w:tcPr>
          <w:p w:rsidRPr="00C32842" w:rsidR="0018120C" w:rsidP="00E13391" w:rsidRDefault="0018120C" w14:paraId="4D52E029" w14:textId="77777777">
            <w:pPr>
              <w:jc w:val="center"/>
              <w:rPr>
                <w:rFonts w:ascii="Arial" w:hAnsi="Arial" w:eastAsia="Times New Roman" w:cs="Arial"/>
                <w:b/>
                <w:bCs/>
                <w:sz w:val="20"/>
                <w:szCs w:val="20"/>
              </w:rPr>
            </w:pPr>
            <w:r w:rsidRPr="00C32842">
              <w:rPr>
                <w:rFonts w:ascii="Arial" w:hAnsi="Arial"/>
                <w:b/>
                <w:sz w:val="20"/>
              </w:rPr>
              <w:t>Betrag</w:t>
            </w:r>
          </w:p>
        </w:tc>
      </w:tr>
      <w:tr w:rsidRPr="00C32842" w:rsidR="0018120C" w:rsidTr="00E13391" w14:paraId="299797E4" w14:textId="77777777">
        <w:trPr>
          <w:trHeight w:val="300"/>
        </w:trPr>
        <w:tc>
          <w:tcPr>
            <w:tcW w:w="6804" w:type="dxa"/>
            <w:tcBorders>
              <w:left w:val="nil"/>
              <w:right w:val="nil"/>
            </w:tcBorders>
            <w:noWrap/>
            <w:hideMark/>
          </w:tcPr>
          <w:p w:rsidRPr="00C32842" w:rsidR="0018120C" w:rsidP="00E13391" w:rsidRDefault="0018120C" w14:paraId="4A238DB9" w14:textId="77777777">
            <w:pPr>
              <w:ind w:firstLine="200" w:firstLineChars="100"/>
              <w:rPr>
                <w:rFonts w:ascii="Arial" w:hAnsi="Arial" w:eastAsia="Times New Roman" w:cs="Arial"/>
                <w:sz w:val="20"/>
                <w:szCs w:val="20"/>
              </w:rPr>
            </w:pPr>
            <w:r w:rsidRPr="00C32842">
              <w:rPr>
                <w:rFonts w:ascii="Arial" w:hAnsi="Arial"/>
                <w:sz w:val="20"/>
              </w:rPr>
              <w:t>a. Australische Dollar (AUD)</w:t>
            </w:r>
          </w:p>
        </w:tc>
        <w:tc>
          <w:tcPr>
            <w:tcW w:w="2745" w:type="dxa"/>
            <w:tcBorders>
              <w:left w:val="nil"/>
              <w:right w:val="nil"/>
            </w:tcBorders>
            <w:noWrap/>
            <w:hideMark/>
          </w:tcPr>
          <w:p w:rsidRPr="00C32842" w:rsidR="0018120C" w:rsidP="00E13391" w:rsidRDefault="0018120C" w14:paraId="5100DFD4"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1171D1EA" w14:textId="77777777">
        <w:trPr>
          <w:trHeight w:val="300"/>
        </w:trPr>
        <w:tc>
          <w:tcPr>
            <w:tcW w:w="6804" w:type="dxa"/>
            <w:tcBorders>
              <w:left w:val="nil"/>
              <w:right w:val="nil"/>
            </w:tcBorders>
            <w:noWrap/>
            <w:hideMark/>
          </w:tcPr>
          <w:p w:rsidRPr="00C32842" w:rsidR="0018120C" w:rsidP="00E13391" w:rsidRDefault="0018120C" w14:paraId="37AAD16E" w14:textId="77777777">
            <w:pPr>
              <w:ind w:firstLine="200" w:firstLineChars="100"/>
              <w:rPr>
                <w:rFonts w:ascii="Arial" w:hAnsi="Arial" w:eastAsia="Times New Roman" w:cs="Arial"/>
                <w:sz w:val="20"/>
                <w:szCs w:val="20"/>
              </w:rPr>
            </w:pPr>
            <w:r w:rsidRPr="00C32842">
              <w:rPr>
                <w:rFonts w:ascii="Arial" w:hAnsi="Arial"/>
                <w:sz w:val="20"/>
              </w:rPr>
              <w:t>b. Kanadische Dollar (CAD)</w:t>
            </w:r>
          </w:p>
        </w:tc>
        <w:tc>
          <w:tcPr>
            <w:tcW w:w="2745" w:type="dxa"/>
            <w:tcBorders>
              <w:left w:val="nil"/>
              <w:right w:val="nil"/>
            </w:tcBorders>
            <w:noWrap/>
            <w:hideMark/>
          </w:tcPr>
          <w:p w:rsidRPr="00C32842" w:rsidR="0018120C" w:rsidP="00E13391" w:rsidRDefault="0018120C" w14:paraId="2F314D5E"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1822F218" w14:textId="77777777">
        <w:trPr>
          <w:trHeight w:val="300"/>
        </w:trPr>
        <w:tc>
          <w:tcPr>
            <w:tcW w:w="6804" w:type="dxa"/>
            <w:tcBorders>
              <w:left w:val="nil"/>
              <w:right w:val="nil"/>
            </w:tcBorders>
            <w:noWrap/>
            <w:hideMark/>
          </w:tcPr>
          <w:p w:rsidRPr="00C32842" w:rsidR="0018120C" w:rsidP="00E13391" w:rsidRDefault="0018120C" w14:paraId="568EAB6A" w14:textId="77777777">
            <w:pPr>
              <w:ind w:firstLine="200" w:firstLineChars="100"/>
              <w:rPr>
                <w:rFonts w:ascii="Arial" w:hAnsi="Arial" w:eastAsia="Times New Roman" w:cs="Arial"/>
                <w:sz w:val="20"/>
                <w:szCs w:val="20"/>
              </w:rPr>
            </w:pPr>
            <w:r w:rsidRPr="00C32842">
              <w:rPr>
                <w:rFonts w:ascii="Arial" w:hAnsi="Arial"/>
                <w:sz w:val="20"/>
              </w:rPr>
              <w:t>c. Schweizer Franken (CHF)</w:t>
            </w:r>
          </w:p>
        </w:tc>
        <w:tc>
          <w:tcPr>
            <w:tcW w:w="2745" w:type="dxa"/>
            <w:tcBorders>
              <w:left w:val="nil"/>
              <w:right w:val="nil"/>
            </w:tcBorders>
            <w:noWrap/>
            <w:hideMark/>
          </w:tcPr>
          <w:p w:rsidRPr="00C32842" w:rsidR="0018120C" w:rsidP="00E13391" w:rsidRDefault="0018120C" w14:paraId="3A52DE32"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7FBA2960" w14:textId="77777777">
        <w:trPr>
          <w:trHeight w:val="300"/>
        </w:trPr>
        <w:tc>
          <w:tcPr>
            <w:tcW w:w="6804" w:type="dxa"/>
            <w:tcBorders>
              <w:left w:val="nil"/>
              <w:right w:val="nil"/>
            </w:tcBorders>
            <w:noWrap/>
            <w:hideMark/>
          </w:tcPr>
          <w:p w:rsidRPr="00C32842" w:rsidR="0018120C" w:rsidP="00E13391" w:rsidRDefault="0018120C" w14:paraId="0FAE329A" w14:textId="77777777">
            <w:pPr>
              <w:ind w:firstLine="200" w:firstLineChars="100"/>
              <w:rPr>
                <w:rFonts w:ascii="Arial" w:hAnsi="Arial" w:eastAsia="Times New Roman" w:cs="Arial"/>
                <w:sz w:val="20"/>
                <w:szCs w:val="20"/>
              </w:rPr>
            </w:pPr>
            <w:r w:rsidRPr="00C32842">
              <w:rPr>
                <w:rFonts w:ascii="Arial" w:hAnsi="Arial"/>
                <w:sz w:val="20"/>
              </w:rPr>
              <w:t>d. Chinesische Yuan (CNY)</w:t>
            </w:r>
          </w:p>
        </w:tc>
        <w:tc>
          <w:tcPr>
            <w:tcW w:w="2745" w:type="dxa"/>
            <w:tcBorders>
              <w:left w:val="nil"/>
              <w:right w:val="nil"/>
            </w:tcBorders>
            <w:noWrap/>
            <w:hideMark/>
          </w:tcPr>
          <w:p w:rsidRPr="00C32842" w:rsidR="0018120C" w:rsidP="00E13391" w:rsidRDefault="0018120C" w14:paraId="28D7F40C"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46404DC9" w14:textId="77777777">
        <w:trPr>
          <w:trHeight w:val="300"/>
        </w:trPr>
        <w:tc>
          <w:tcPr>
            <w:tcW w:w="6804" w:type="dxa"/>
            <w:tcBorders>
              <w:left w:val="nil"/>
              <w:right w:val="nil"/>
            </w:tcBorders>
            <w:noWrap/>
            <w:hideMark/>
          </w:tcPr>
          <w:p w:rsidRPr="00C32842" w:rsidR="0018120C" w:rsidP="00E13391" w:rsidRDefault="0018120C" w14:paraId="23D250D9" w14:textId="77777777">
            <w:pPr>
              <w:ind w:firstLine="200" w:firstLineChars="100"/>
              <w:rPr>
                <w:rFonts w:ascii="Arial" w:hAnsi="Arial" w:eastAsia="Times New Roman" w:cs="Arial"/>
                <w:sz w:val="20"/>
                <w:szCs w:val="20"/>
              </w:rPr>
            </w:pPr>
            <w:r w:rsidRPr="00C32842">
              <w:rPr>
                <w:rFonts w:ascii="Arial" w:hAnsi="Arial"/>
                <w:sz w:val="20"/>
              </w:rPr>
              <w:t>e. Euro (EUR)</w:t>
            </w:r>
          </w:p>
        </w:tc>
        <w:tc>
          <w:tcPr>
            <w:tcW w:w="2745" w:type="dxa"/>
            <w:tcBorders>
              <w:left w:val="nil"/>
              <w:right w:val="nil"/>
            </w:tcBorders>
            <w:noWrap/>
            <w:hideMark/>
          </w:tcPr>
          <w:p w:rsidRPr="00C32842" w:rsidR="0018120C" w:rsidP="00E13391" w:rsidRDefault="0018120C" w14:paraId="567449CE"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1C4BF394" w14:textId="77777777">
        <w:trPr>
          <w:trHeight w:val="300"/>
        </w:trPr>
        <w:tc>
          <w:tcPr>
            <w:tcW w:w="6804" w:type="dxa"/>
            <w:tcBorders>
              <w:left w:val="nil"/>
              <w:right w:val="nil"/>
            </w:tcBorders>
            <w:noWrap/>
            <w:hideMark/>
          </w:tcPr>
          <w:p w:rsidRPr="00C32842" w:rsidR="0018120C" w:rsidP="00E13391" w:rsidRDefault="0018120C" w14:paraId="2BF4EBB7" w14:textId="77777777">
            <w:pPr>
              <w:ind w:firstLine="200" w:firstLineChars="100"/>
              <w:rPr>
                <w:rFonts w:ascii="Arial" w:hAnsi="Arial" w:eastAsia="Times New Roman" w:cs="Arial"/>
                <w:sz w:val="20"/>
                <w:szCs w:val="20"/>
              </w:rPr>
            </w:pPr>
            <w:r w:rsidRPr="00C32842">
              <w:rPr>
                <w:rFonts w:ascii="Arial" w:hAnsi="Arial"/>
                <w:sz w:val="20"/>
              </w:rPr>
              <w:t>f. Britische Pfund (GBP)</w:t>
            </w:r>
          </w:p>
        </w:tc>
        <w:tc>
          <w:tcPr>
            <w:tcW w:w="2745" w:type="dxa"/>
            <w:tcBorders>
              <w:left w:val="nil"/>
              <w:right w:val="nil"/>
            </w:tcBorders>
            <w:noWrap/>
            <w:hideMark/>
          </w:tcPr>
          <w:p w:rsidRPr="00C32842" w:rsidR="0018120C" w:rsidP="00E13391" w:rsidRDefault="0018120C" w14:paraId="6E03A132"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6DCA693D" w14:textId="77777777">
        <w:trPr>
          <w:trHeight w:val="300"/>
        </w:trPr>
        <w:tc>
          <w:tcPr>
            <w:tcW w:w="6804" w:type="dxa"/>
            <w:tcBorders>
              <w:left w:val="nil"/>
              <w:right w:val="nil"/>
            </w:tcBorders>
            <w:noWrap/>
            <w:hideMark/>
          </w:tcPr>
          <w:p w:rsidRPr="00C32842" w:rsidR="0018120C" w:rsidP="00E13391" w:rsidRDefault="0018120C" w14:paraId="28CC2459" w14:textId="77777777">
            <w:pPr>
              <w:ind w:firstLine="200" w:firstLineChars="100"/>
              <w:rPr>
                <w:rFonts w:ascii="Arial" w:hAnsi="Arial" w:eastAsia="Times New Roman" w:cs="Arial"/>
                <w:sz w:val="20"/>
                <w:szCs w:val="20"/>
              </w:rPr>
            </w:pPr>
            <w:r w:rsidRPr="00C32842">
              <w:rPr>
                <w:rFonts w:ascii="Arial" w:hAnsi="Arial"/>
                <w:sz w:val="20"/>
              </w:rPr>
              <w:t>g. Hongkong-Dollar (HKD)</w:t>
            </w:r>
          </w:p>
        </w:tc>
        <w:tc>
          <w:tcPr>
            <w:tcW w:w="2745" w:type="dxa"/>
            <w:tcBorders>
              <w:left w:val="nil"/>
              <w:right w:val="nil"/>
            </w:tcBorders>
            <w:noWrap/>
            <w:hideMark/>
          </w:tcPr>
          <w:p w:rsidRPr="00C32842" w:rsidR="0018120C" w:rsidP="00E13391" w:rsidRDefault="0018120C" w14:paraId="3A9B2AEC"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73492744" w14:textId="77777777">
        <w:trPr>
          <w:trHeight w:val="300"/>
        </w:trPr>
        <w:tc>
          <w:tcPr>
            <w:tcW w:w="6804" w:type="dxa"/>
            <w:tcBorders>
              <w:left w:val="nil"/>
              <w:right w:val="nil"/>
            </w:tcBorders>
            <w:noWrap/>
            <w:hideMark/>
          </w:tcPr>
          <w:p w:rsidRPr="00C32842" w:rsidR="0018120C" w:rsidP="00E13391" w:rsidRDefault="0018120C" w14:paraId="09342A45" w14:textId="77777777">
            <w:pPr>
              <w:ind w:firstLine="200" w:firstLineChars="100"/>
              <w:rPr>
                <w:rFonts w:ascii="Arial" w:hAnsi="Arial" w:eastAsia="Times New Roman" w:cs="Arial"/>
                <w:sz w:val="20"/>
                <w:szCs w:val="20"/>
              </w:rPr>
            </w:pPr>
            <w:r w:rsidRPr="00C32842">
              <w:rPr>
                <w:rFonts w:ascii="Arial" w:hAnsi="Arial"/>
                <w:sz w:val="20"/>
              </w:rPr>
              <w:t>h. Indische Rupien (INR)</w:t>
            </w:r>
          </w:p>
        </w:tc>
        <w:tc>
          <w:tcPr>
            <w:tcW w:w="2745" w:type="dxa"/>
            <w:tcBorders>
              <w:left w:val="nil"/>
              <w:right w:val="nil"/>
            </w:tcBorders>
            <w:noWrap/>
            <w:hideMark/>
          </w:tcPr>
          <w:p w:rsidRPr="00C32842" w:rsidR="0018120C" w:rsidP="00E13391" w:rsidRDefault="0018120C" w14:paraId="31465C21"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651695CC" w14:textId="77777777">
        <w:trPr>
          <w:trHeight w:val="300"/>
        </w:trPr>
        <w:tc>
          <w:tcPr>
            <w:tcW w:w="6804" w:type="dxa"/>
            <w:tcBorders>
              <w:left w:val="nil"/>
              <w:right w:val="nil"/>
            </w:tcBorders>
            <w:noWrap/>
            <w:hideMark/>
          </w:tcPr>
          <w:p w:rsidRPr="00C32842" w:rsidR="0018120C" w:rsidP="00E13391" w:rsidRDefault="0018120C" w14:paraId="58744E44" w14:textId="77777777">
            <w:pPr>
              <w:ind w:firstLine="200" w:firstLineChars="100"/>
              <w:rPr>
                <w:rFonts w:ascii="Arial" w:hAnsi="Arial" w:eastAsia="Times New Roman" w:cs="Arial"/>
                <w:sz w:val="20"/>
                <w:szCs w:val="20"/>
              </w:rPr>
            </w:pPr>
            <w:r w:rsidRPr="00C32842">
              <w:rPr>
                <w:rFonts w:ascii="Arial" w:hAnsi="Arial"/>
                <w:sz w:val="20"/>
              </w:rPr>
              <w:t>i. Japanische Yen (JPY)</w:t>
            </w:r>
          </w:p>
        </w:tc>
        <w:tc>
          <w:tcPr>
            <w:tcW w:w="2745" w:type="dxa"/>
            <w:tcBorders>
              <w:left w:val="nil"/>
              <w:right w:val="nil"/>
            </w:tcBorders>
            <w:noWrap/>
            <w:hideMark/>
          </w:tcPr>
          <w:p w:rsidRPr="00C32842" w:rsidR="0018120C" w:rsidP="00E13391" w:rsidRDefault="0018120C" w14:paraId="00EB7C92"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23E87D66" w14:textId="77777777">
        <w:trPr>
          <w:trHeight w:val="300"/>
        </w:trPr>
        <w:tc>
          <w:tcPr>
            <w:tcW w:w="6804" w:type="dxa"/>
            <w:tcBorders>
              <w:left w:val="nil"/>
              <w:right w:val="nil"/>
            </w:tcBorders>
            <w:noWrap/>
            <w:hideMark/>
          </w:tcPr>
          <w:p w:rsidRPr="00C32842" w:rsidR="0018120C" w:rsidP="00E13391" w:rsidRDefault="0018120C" w14:paraId="2E7DAC1F" w14:textId="77777777">
            <w:pPr>
              <w:ind w:firstLine="200" w:firstLineChars="100"/>
              <w:rPr>
                <w:rFonts w:ascii="Arial" w:hAnsi="Arial" w:eastAsia="Times New Roman" w:cs="Arial"/>
                <w:sz w:val="20"/>
                <w:szCs w:val="20"/>
              </w:rPr>
            </w:pPr>
            <w:r w:rsidRPr="00C32842">
              <w:rPr>
                <w:rFonts w:ascii="Arial" w:hAnsi="Arial"/>
                <w:sz w:val="20"/>
              </w:rPr>
              <w:t>j. Neuseeland-Dollar (NZD)</w:t>
            </w:r>
          </w:p>
        </w:tc>
        <w:tc>
          <w:tcPr>
            <w:tcW w:w="2745" w:type="dxa"/>
            <w:tcBorders>
              <w:left w:val="nil"/>
              <w:right w:val="nil"/>
            </w:tcBorders>
            <w:noWrap/>
            <w:hideMark/>
          </w:tcPr>
          <w:p w:rsidRPr="00C32842" w:rsidR="0018120C" w:rsidP="00E13391" w:rsidRDefault="0018120C" w14:paraId="2640ED9E"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37915682" w14:textId="77777777">
        <w:trPr>
          <w:trHeight w:val="300"/>
        </w:trPr>
        <w:tc>
          <w:tcPr>
            <w:tcW w:w="6804" w:type="dxa"/>
            <w:tcBorders>
              <w:left w:val="nil"/>
              <w:right w:val="nil"/>
            </w:tcBorders>
            <w:noWrap/>
            <w:hideMark/>
          </w:tcPr>
          <w:p w:rsidRPr="00C32842" w:rsidR="0018120C" w:rsidP="00E13391" w:rsidRDefault="0018120C" w14:paraId="291F71F8" w14:textId="77777777">
            <w:pPr>
              <w:ind w:firstLine="200" w:firstLineChars="100"/>
              <w:rPr>
                <w:rFonts w:ascii="Arial" w:hAnsi="Arial" w:eastAsia="Times New Roman" w:cs="Arial"/>
                <w:sz w:val="20"/>
                <w:szCs w:val="20"/>
              </w:rPr>
            </w:pPr>
            <w:r w:rsidRPr="00C32842">
              <w:rPr>
                <w:rFonts w:ascii="Arial" w:hAnsi="Arial"/>
                <w:sz w:val="20"/>
              </w:rPr>
              <w:t>k. Schwedische Kronen (SEK)</w:t>
            </w:r>
          </w:p>
        </w:tc>
        <w:tc>
          <w:tcPr>
            <w:tcW w:w="2745" w:type="dxa"/>
            <w:tcBorders>
              <w:left w:val="nil"/>
              <w:right w:val="nil"/>
            </w:tcBorders>
            <w:noWrap/>
            <w:hideMark/>
          </w:tcPr>
          <w:p w:rsidRPr="00C32842" w:rsidR="0018120C" w:rsidP="00E13391" w:rsidRDefault="0018120C" w14:paraId="36640E9C"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7ABC3660" w14:textId="77777777">
        <w:trPr>
          <w:trHeight w:val="300"/>
        </w:trPr>
        <w:tc>
          <w:tcPr>
            <w:tcW w:w="6804" w:type="dxa"/>
            <w:tcBorders>
              <w:left w:val="nil"/>
              <w:right w:val="nil"/>
            </w:tcBorders>
            <w:noWrap/>
            <w:hideMark/>
          </w:tcPr>
          <w:p w:rsidRPr="00C32842" w:rsidR="0018120C" w:rsidP="00E13391" w:rsidRDefault="0018120C" w14:paraId="5DB078EA" w14:textId="77777777">
            <w:pPr>
              <w:ind w:firstLine="200" w:firstLineChars="100"/>
              <w:rPr>
                <w:rFonts w:ascii="Arial" w:hAnsi="Arial" w:eastAsia="Times New Roman" w:cs="Arial"/>
                <w:sz w:val="20"/>
                <w:szCs w:val="20"/>
              </w:rPr>
            </w:pPr>
            <w:r w:rsidRPr="00C32842">
              <w:rPr>
                <w:rFonts w:ascii="Arial" w:hAnsi="Arial"/>
                <w:sz w:val="20"/>
              </w:rPr>
              <w:t>l. US-Dollar (USD)</w:t>
            </w:r>
          </w:p>
        </w:tc>
        <w:tc>
          <w:tcPr>
            <w:tcW w:w="2745" w:type="dxa"/>
            <w:tcBorders>
              <w:left w:val="nil"/>
              <w:right w:val="nil"/>
            </w:tcBorders>
            <w:noWrap/>
            <w:hideMark/>
          </w:tcPr>
          <w:p w:rsidRPr="00C32842" w:rsidR="0018120C" w:rsidP="00E13391" w:rsidRDefault="0018120C" w14:paraId="561B91FB"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58FC4144" w14:textId="77777777">
        <w:trPr>
          <w:trHeight w:val="300"/>
        </w:trPr>
        <w:tc>
          <w:tcPr>
            <w:tcW w:w="6804" w:type="dxa"/>
            <w:tcBorders>
              <w:left w:val="nil"/>
              <w:bottom w:val="single" w:color="auto" w:sz="4" w:space="0"/>
              <w:right w:val="nil"/>
            </w:tcBorders>
            <w:noWrap/>
            <w:hideMark/>
          </w:tcPr>
          <w:p w:rsidRPr="00C32842" w:rsidR="0018120C" w:rsidP="00E13391" w:rsidRDefault="0018120C" w14:paraId="217F0C2B" w14:textId="77777777">
            <w:pPr>
              <w:ind w:firstLine="200" w:firstLineChars="100"/>
              <w:rPr>
                <w:rFonts w:ascii="Arial" w:hAnsi="Arial" w:eastAsia="Times New Roman" w:cs="Arial"/>
                <w:sz w:val="20"/>
                <w:szCs w:val="20"/>
              </w:rPr>
            </w:pPr>
            <w:r w:rsidRPr="00C32842">
              <w:rPr>
                <w:rFonts w:ascii="Arial" w:hAnsi="Arial"/>
                <w:sz w:val="20"/>
              </w:rPr>
              <w:t>m. Indikator für Zahlungsaktivität (Summe aus den Positionen 6.a) bis 6.l))</w:t>
            </w:r>
          </w:p>
        </w:tc>
        <w:tc>
          <w:tcPr>
            <w:tcW w:w="2745" w:type="dxa"/>
            <w:tcBorders>
              <w:left w:val="nil"/>
              <w:bottom w:val="single" w:color="auto" w:sz="4" w:space="0"/>
              <w:right w:val="nil"/>
            </w:tcBorders>
            <w:noWrap/>
            <w:hideMark/>
          </w:tcPr>
          <w:p w:rsidRPr="00C32842" w:rsidR="0018120C" w:rsidP="00E13391" w:rsidRDefault="0018120C" w14:paraId="22029AE0" w14:textId="77777777">
            <w:pPr>
              <w:jc w:val="right"/>
              <w:rPr>
                <w:rFonts w:ascii="Arial" w:hAnsi="Arial" w:eastAsia="Times New Roman" w:cs="Arial"/>
                <w:sz w:val="20"/>
                <w:szCs w:val="20"/>
              </w:rPr>
            </w:pPr>
            <w:r w:rsidRPr="00C32842">
              <w:rPr>
                <w:rFonts w:ascii="Arial" w:hAnsi="Arial"/>
                <w:sz w:val="20"/>
              </w:rPr>
              <w:t xml:space="preserve"> </w:t>
            </w:r>
          </w:p>
        </w:tc>
      </w:tr>
      <w:tr w:rsidRPr="00C32842" w:rsidR="0018120C" w:rsidTr="00E13391" w14:paraId="56122A0B" w14:textId="77777777">
        <w:trPr>
          <w:trHeight w:val="300"/>
        </w:trPr>
        <w:tc>
          <w:tcPr>
            <w:tcW w:w="6804" w:type="dxa"/>
            <w:tcBorders>
              <w:left w:val="nil"/>
              <w:bottom w:val="nil"/>
              <w:right w:val="nil"/>
            </w:tcBorders>
            <w:noWrap/>
          </w:tcPr>
          <w:p w:rsidRPr="00C32842" w:rsidR="0018120C" w:rsidP="00E13391" w:rsidRDefault="0018120C" w14:paraId="6060A8E4"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C32842" w:rsidR="0018120C" w:rsidP="00E13391" w:rsidRDefault="0018120C" w14:paraId="773C0ED6" w14:textId="77777777">
            <w:pPr>
              <w:jc w:val="center"/>
              <w:rPr>
                <w:rFonts w:ascii="Arial" w:hAnsi="Arial" w:eastAsia="Times New Roman" w:cs="Arial"/>
                <w:b/>
                <w:bCs/>
                <w:sz w:val="20"/>
                <w:szCs w:val="20"/>
                <w:lang w:eastAsia="en-GB"/>
              </w:rPr>
            </w:pPr>
          </w:p>
        </w:tc>
      </w:tr>
      <w:tr w:rsidRPr="00C32842" w:rsidR="0018120C" w:rsidTr="00E13391" w14:paraId="42D242E5" w14:textId="77777777">
        <w:trPr>
          <w:trHeight w:val="300"/>
        </w:trPr>
        <w:tc>
          <w:tcPr>
            <w:tcW w:w="6804" w:type="dxa"/>
            <w:tcBorders>
              <w:top w:val="nil"/>
              <w:left w:val="nil"/>
              <w:bottom w:val="single" w:color="auto" w:sz="4" w:space="0"/>
              <w:right w:val="nil"/>
            </w:tcBorders>
            <w:noWrap/>
            <w:hideMark/>
          </w:tcPr>
          <w:p w:rsidRPr="00C32842" w:rsidR="0018120C" w:rsidP="00E13391" w:rsidRDefault="0018120C" w14:paraId="11E3BD0B" w14:textId="77777777">
            <w:pPr>
              <w:rPr>
                <w:rFonts w:ascii="Arial" w:hAnsi="Arial" w:eastAsia="Times New Roman" w:cs="Arial"/>
                <w:b/>
                <w:bCs/>
                <w:sz w:val="20"/>
                <w:szCs w:val="20"/>
              </w:rPr>
            </w:pPr>
            <w:r w:rsidRPr="00C32842">
              <w:rPr>
                <w:rFonts w:ascii="Arial" w:hAnsi="Arial"/>
                <w:b/>
                <w:sz w:val="20"/>
              </w:rPr>
              <w:t>Abschnitt 7 – Custody-Vermögen</w:t>
            </w:r>
          </w:p>
        </w:tc>
        <w:tc>
          <w:tcPr>
            <w:tcW w:w="2745" w:type="dxa"/>
            <w:tcBorders>
              <w:top w:val="nil"/>
              <w:left w:val="nil"/>
              <w:bottom w:val="single" w:color="auto" w:sz="4" w:space="0"/>
              <w:right w:val="nil"/>
            </w:tcBorders>
            <w:hideMark/>
          </w:tcPr>
          <w:p w:rsidRPr="00C32842" w:rsidR="0018120C" w:rsidP="00E13391" w:rsidRDefault="0018120C" w14:paraId="68D808B0" w14:textId="77777777">
            <w:pPr>
              <w:jc w:val="center"/>
              <w:rPr>
                <w:rFonts w:ascii="Arial" w:hAnsi="Arial" w:eastAsia="Times New Roman" w:cs="Arial"/>
                <w:b/>
                <w:bCs/>
                <w:sz w:val="20"/>
                <w:szCs w:val="20"/>
              </w:rPr>
            </w:pPr>
            <w:r w:rsidRPr="00C32842">
              <w:rPr>
                <w:rFonts w:ascii="Arial" w:hAnsi="Arial"/>
                <w:b/>
                <w:sz w:val="20"/>
              </w:rPr>
              <w:t>Betrag</w:t>
            </w:r>
          </w:p>
        </w:tc>
      </w:tr>
      <w:tr w:rsidRPr="00C32842" w:rsidR="0018120C" w:rsidTr="00E13391" w14:paraId="2B72D61C" w14:textId="77777777">
        <w:trPr>
          <w:trHeight w:val="300"/>
        </w:trPr>
        <w:tc>
          <w:tcPr>
            <w:tcW w:w="6804" w:type="dxa"/>
            <w:tcBorders>
              <w:left w:val="nil"/>
              <w:bottom w:val="single" w:color="auto" w:sz="4" w:space="0"/>
              <w:right w:val="nil"/>
            </w:tcBorders>
            <w:noWrap/>
            <w:hideMark/>
          </w:tcPr>
          <w:p w:rsidRPr="00C32842" w:rsidR="0018120C" w:rsidP="00E13391" w:rsidRDefault="0018120C" w14:paraId="175D27CE" w14:textId="77777777">
            <w:pPr>
              <w:ind w:firstLine="200" w:firstLineChars="100"/>
              <w:rPr>
                <w:rFonts w:ascii="Arial" w:hAnsi="Arial" w:eastAsia="Times New Roman" w:cs="Arial"/>
                <w:sz w:val="20"/>
                <w:szCs w:val="20"/>
              </w:rPr>
            </w:pPr>
            <w:r w:rsidRPr="00C32842">
              <w:rPr>
                <w:rFonts w:ascii="Arial" w:hAnsi="Arial"/>
                <w:sz w:val="20"/>
              </w:rPr>
              <w:t>a. Indikator für Custody-Vermögen</w:t>
            </w:r>
          </w:p>
        </w:tc>
        <w:tc>
          <w:tcPr>
            <w:tcW w:w="2745" w:type="dxa"/>
            <w:tcBorders>
              <w:left w:val="nil"/>
              <w:bottom w:val="single" w:color="auto" w:sz="4" w:space="0"/>
              <w:right w:val="nil"/>
            </w:tcBorders>
            <w:noWrap/>
            <w:hideMark/>
          </w:tcPr>
          <w:p w:rsidRPr="00C32842" w:rsidR="0018120C" w:rsidP="00E13391" w:rsidRDefault="0018120C" w14:paraId="6BCCD0CA"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6C8D9CE1" w14:textId="77777777">
        <w:trPr>
          <w:trHeight w:val="300"/>
        </w:trPr>
        <w:tc>
          <w:tcPr>
            <w:tcW w:w="6804" w:type="dxa"/>
            <w:tcBorders>
              <w:left w:val="nil"/>
              <w:bottom w:val="nil"/>
              <w:right w:val="nil"/>
            </w:tcBorders>
            <w:noWrap/>
          </w:tcPr>
          <w:p w:rsidRPr="00C32842" w:rsidR="0018120C" w:rsidP="00E13391" w:rsidRDefault="0018120C" w14:paraId="6F8CCC68" w14:textId="77777777">
            <w:pPr>
              <w:rPr>
                <w:rFonts w:ascii="Arial" w:hAnsi="Arial" w:eastAsia="Times New Roman" w:cs="Arial"/>
                <w:b/>
                <w:bCs/>
                <w:sz w:val="20"/>
                <w:szCs w:val="20"/>
                <w:lang w:eastAsia="en-GB"/>
              </w:rPr>
            </w:pPr>
          </w:p>
        </w:tc>
        <w:tc>
          <w:tcPr>
            <w:tcW w:w="2745" w:type="dxa"/>
            <w:tcBorders>
              <w:left w:val="nil"/>
              <w:bottom w:val="nil"/>
              <w:right w:val="nil"/>
            </w:tcBorders>
            <w:noWrap/>
          </w:tcPr>
          <w:p w:rsidRPr="00C32842" w:rsidR="0018120C" w:rsidP="00E13391" w:rsidRDefault="0018120C" w14:paraId="078AA2A1" w14:textId="77777777">
            <w:pPr>
              <w:jc w:val="center"/>
              <w:rPr>
                <w:rFonts w:ascii="Arial" w:hAnsi="Arial" w:eastAsia="Times New Roman" w:cs="Arial"/>
                <w:b/>
                <w:bCs/>
                <w:sz w:val="20"/>
                <w:szCs w:val="20"/>
                <w:lang w:eastAsia="en-GB"/>
              </w:rPr>
            </w:pPr>
          </w:p>
        </w:tc>
      </w:tr>
      <w:tr w:rsidRPr="00C32842" w:rsidR="0018120C" w:rsidTr="00E13391" w14:paraId="2B7DEAF0" w14:textId="77777777">
        <w:trPr>
          <w:trHeight w:val="300"/>
        </w:trPr>
        <w:tc>
          <w:tcPr>
            <w:tcW w:w="6804" w:type="dxa"/>
            <w:tcBorders>
              <w:top w:val="nil"/>
              <w:left w:val="nil"/>
              <w:bottom w:val="single" w:color="auto" w:sz="4" w:space="0"/>
              <w:right w:val="nil"/>
            </w:tcBorders>
            <w:noWrap/>
          </w:tcPr>
          <w:p w:rsidRPr="00C32842" w:rsidR="0018120C" w:rsidP="00E13391" w:rsidRDefault="0018120C" w14:paraId="0FC84BE4" w14:textId="77777777">
            <w:pPr>
              <w:rPr>
                <w:rFonts w:ascii="Arial" w:hAnsi="Arial" w:eastAsia="Times New Roman" w:cs="Arial"/>
                <w:sz w:val="20"/>
                <w:szCs w:val="20"/>
              </w:rPr>
            </w:pPr>
            <w:r w:rsidRPr="00C32842">
              <w:rPr>
                <w:rFonts w:ascii="Arial" w:hAnsi="Arial"/>
                <w:b/>
                <w:sz w:val="20"/>
              </w:rPr>
              <w:lastRenderedPageBreak/>
              <w:t>Abschnitt 8 – Übernommene Transaktionen an Fremd- und Eigenkapitalmärkten</w:t>
            </w:r>
          </w:p>
        </w:tc>
        <w:tc>
          <w:tcPr>
            <w:tcW w:w="2745" w:type="dxa"/>
            <w:tcBorders>
              <w:top w:val="nil"/>
              <w:left w:val="nil"/>
              <w:bottom w:val="single" w:color="auto" w:sz="4" w:space="0"/>
              <w:right w:val="nil"/>
            </w:tcBorders>
            <w:noWrap/>
          </w:tcPr>
          <w:p w:rsidRPr="00C32842" w:rsidR="0018120C" w:rsidP="00E13391" w:rsidRDefault="0018120C" w14:paraId="12142FE4" w14:textId="77777777">
            <w:pPr>
              <w:jc w:val="center"/>
              <w:rPr>
                <w:rFonts w:ascii="Arial" w:hAnsi="Arial" w:eastAsia="Times New Roman" w:cs="Arial"/>
                <w:b/>
                <w:bCs/>
                <w:sz w:val="20"/>
                <w:szCs w:val="20"/>
              </w:rPr>
            </w:pPr>
            <w:r w:rsidRPr="00C32842">
              <w:rPr>
                <w:rFonts w:ascii="Arial" w:hAnsi="Arial"/>
                <w:b/>
                <w:sz w:val="20"/>
              </w:rPr>
              <w:t>Betrag</w:t>
            </w:r>
          </w:p>
        </w:tc>
      </w:tr>
      <w:tr w:rsidRPr="00C32842" w:rsidR="0018120C" w:rsidTr="00E13391" w14:paraId="071B40E4" w14:textId="77777777">
        <w:trPr>
          <w:trHeight w:val="300"/>
        </w:trPr>
        <w:tc>
          <w:tcPr>
            <w:tcW w:w="6804" w:type="dxa"/>
            <w:tcBorders>
              <w:left w:val="nil"/>
              <w:right w:val="nil"/>
            </w:tcBorders>
            <w:noWrap/>
            <w:hideMark/>
          </w:tcPr>
          <w:p w:rsidRPr="00C32842" w:rsidR="0018120C" w:rsidP="00E13391" w:rsidRDefault="0018120C" w14:paraId="18AABA01" w14:textId="77777777">
            <w:pPr>
              <w:ind w:firstLine="200" w:firstLineChars="100"/>
              <w:rPr>
                <w:rFonts w:ascii="Arial" w:hAnsi="Arial" w:eastAsia="Times New Roman" w:cs="Arial"/>
                <w:sz w:val="20"/>
                <w:szCs w:val="20"/>
              </w:rPr>
            </w:pPr>
            <w:r w:rsidRPr="00C32842">
              <w:rPr>
                <w:rFonts w:ascii="Arial" w:hAnsi="Arial"/>
                <w:sz w:val="20"/>
              </w:rPr>
              <w:t>a. Aktienemissionsgeschäfte</w:t>
            </w:r>
          </w:p>
        </w:tc>
        <w:tc>
          <w:tcPr>
            <w:tcW w:w="2745" w:type="dxa"/>
            <w:tcBorders>
              <w:left w:val="nil"/>
              <w:right w:val="nil"/>
            </w:tcBorders>
            <w:noWrap/>
            <w:hideMark/>
          </w:tcPr>
          <w:p w:rsidRPr="00C32842" w:rsidR="0018120C" w:rsidP="00E13391" w:rsidRDefault="0018120C" w14:paraId="68AE7068"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66D12BBB" w14:textId="77777777">
        <w:trPr>
          <w:trHeight w:val="300"/>
        </w:trPr>
        <w:tc>
          <w:tcPr>
            <w:tcW w:w="6804" w:type="dxa"/>
            <w:tcBorders>
              <w:left w:val="nil"/>
              <w:right w:val="nil"/>
            </w:tcBorders>
            <w:noWrap/>
            <w:hideMark/>
          </w:tcPr>
          <w:p w:rsidRPr="00C32842" w:rsidR="0018120C" w:rsidP="00E13391" w:rsidRDefault="0018120C" w14:paraId="3B952F03" w14:textId="77777777">
            <w:pPr>
              <w:ind w:firstLine="200" w:firstLineChars="100"/>
              <w:rPr>
                <w:rFonts w:ascii="Arial" w:hAnsi="Arial" w:eastAsia="Times New Roman" w:cs="Arial"/>
                <w:sz w:val="20"/>
                <w:szCs w:val="20"/>
              </w:rPr>
            </w:pPr>
            <w:r w:rsidRPr="00C32842">
              <w:rPr>
                <w:rFonts w:ascii="Arial" w:hAnsi="Arial"/>
                <w:sz w:val="20"/>
              </w:rPr>
              <w:t>b. Anleihenemissionsgeschäfte</w:t>
            </w:r>
          </w:p>
        </w:tc>
        <w:tc>
          <w:tcPr>
            <w:tcW w:w="2745" w:type="dxa"/>
            <w:tcBorders>
              <w:left w:val="nil"/>
              <w:right w:val="nil"/>
            </w:tcBorders>
            <w:noWrap/>
            <w:hideMark/>
          </w:tcPr>
          <w:p w:rsidRPr="00C32842" w:rsidR="0018120C" w:rsidP="00E13391" w:rsidRDefault="0018120C" w14:paraId="65396B2B"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00C2935B" w14:textId="77777777">
        <w:trPr>
          <w:trHeight w:val="300"/>
        </w:trPr>
        <w:tc>
          <w:tcPr>
            <w:tcW w:w="6804" w:type="dxa"/>
            <w:tcBorders>
              <w:left w:val="nil"/>
              <w:bottom w:val="single" w:color="auto" w:sz="4" w:space="0"/>
              <w:right w:val="nil"/>
            </w:tcBorders>
            <w:noWrap/>
            <w:hideMark/>
          </w:tcPr>
          <w:p w:rsidRPr="00C32842" w:rsidR="0018120C" w:rsidP="00E13391" w:rsidRDefault="0018120C" w14:paraId="0187A058" w14:textId="77777777">
            <w:pPr>
              <w:ind w:firstLine="200" w:firstLineChars="100"/>
              <w:rPr>
                <w:rFonts w:ascii="Arial" w:hAnsi="Arial" w:eastAsia="Times New Roman" w:cs="Arial"/>
                <w:sz w:val="20"/>
                <w:szCs w:val="20"/>
              </w:rPr>
            </w:pPr>
            <w:r w:rsidRPr="00C32842">
              <w:rPr>
                <w:rFonts w:ascii="Arial" w:hAnsi="Arial"/>
                <w:sz w:val="20"/>
              </w:rPr>
              <w:t>c. Indikator für Emissionsgeschäfte (Summe aus den Positionen 8.a) und 8.b))</w:t>
            </w:r>
          </w:p>
        </w:tc>
        <w:tc>
          <w:tcPr>
            <w:tcW w:w="2745" w:type="dxa"/>
            <w:tcBorders>
              <w:left w:val="nil"/>
              <w:bottom w:val="single" w:color="auto" w:sz="4" w:space="0"/>
              <w:right w:val="nil"/>
            </w:tcBorders>
            <w:noWrap/>
            <w:hideMark/>
          </w:tcPr>
          <w:p w:rsidRPr="00C32842" w:rsidR="0018120C" w:rsidP="00E13391" w:rsidRDefault="0018120C" w14:paraId="4B1F09AA"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54842521" w14:textId="77777777">
        <w:trPr>
          <w:trHeight w:val="300"/>
        </w:trPr>
        <w:tc>
          <w:tcPr>
            <w:tcW w:w="6804" w:type="dxa"/>
            <w:tcBorders>
              <w:left w:val="nil"/>
              <w:bottom w:val="nil"/>
              <w:right w:val="nil"/>
            </w:tcBorders>
            <w:noWrap/>
          </w:tcPr>
          <w:p w:rsidRPr="00C32842" w:rsidR="0018120C" w:rsidP="00E13391" w:rsidRDefault="0018120C" w14:paraId="439BCBC5"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C32842" w:rsidR="0018120C" w:rsidP="00E13391" w:rsidRDefault="0018120C" w14:paraId="4AE529DF" w14:textId="77777777">
            <w:pPr>
              <w:jc w:val="center"/>
              <w:rPr>
                <w:rFonts w:ascii="Arial" w:hAnsi="Arial" w:eastAsia="Times New Roman" w:cs="Arial"/>
                <w:b/>
                <w:bCs/>
                <w:sz w:val="20"/>
                <w:szCs w:val="20"/>
                <w:lang w:eastAsia="en-GB"/>
              </w:rPr>
            </w:pPr>
          </w:p>
        </w:tc>
      </w:tr>
      <w:tr w:rsidRPr="00C32842" w:rsidR="0018120C" w:rsidTr="00E13391" w14:paraId="245AA03C" w14:textId="77777777">
        <w:trPr>
          <w:trHeight w:val="300"/>
        </w:trPr>
        <w:tc>
          <w:tcPr>
            <w:tcW w:w="6804" w:type="dxa"/>
            <w:tcBorders>
              <w:top w:val="nil"/>
              <w:left w:val="nil"/>
              <w:right w:val="nil"/>
            </w:tcBorders>
            <w:noWrap/>
            <w:hideMark/>
          </w:tcPr>
          <w:p w:rsidRPr="00C32842" w:rsidR="0018120C" w:rsidP="00E13391" w:rsidRDefault="0018120C" w14:paraId="6C914A03" w14:textId="77777777">
            <w:pPr>
              <w:rPr>
                <w:rFonts w:ascii="Arial" w:hAnsi="Arial" w:eastAsia="Times New Roman" w:cs="Arial"/>
                <w:b/>
                <w:bCs/>
                <w:sz w:val="20"/>
                <w:szCs w:val="20"/>
              </w:rPr>
            </w:pPr>
            <w:r w:rsidRPr="00C32842">
              <w:rPr>
                <w:rFonts w:ascii="Arial" w:hAnsi="Arial"/>
                <w:b/>
                <w:sz w:val="20"/>
              </w:rPr>
              <w:t>Abschnitt 9 – Handelsvolumen</w:t>
            </w:r>
          </w:p>
        </w:tc>
        <w:tc>
          <w:tcPr>
            <w:tcW w:w="2745" w:type="dxa"/>
            <w:tcBorders>
              <w:top w:val="nil"/>
              <w:left w:val="nil"/>
              <w:right w:val="nil"/>
            </w:tcBorders>
            <w:hideMark/>
          </w:tcPr>
          <w:p w:rsidRPr="00C32842" w:rsidR="0018120C" w:rsidP="00E13391" w:rsidRDefault="0018120C" w14:paraId="1CD14BEE" w14:textId="77777777">
            <w:pPr>
              <w:jc w:val="center"/>
              <w:rPr>
                <w:rFonts w:ascii="Arial" w:hAnsi="Arial" w:eastAsia="Times New Roman" w:cs="Arial"/>
                <w:b/>
                <w:bCs/>
                <w:sz w:val="20"/>
                <w:szCs w:val="20"/>
              </w:rPr>
            </w:pPr>
            <w:r w:rsidRPr="00C32842">
              <w:rPr>
                <w:rFonts w:ascii="Arial" w:hAnsi="Arial"/>
                <w:b/>
                <w:sz w:val="20"/>
              </w:rPr>
              <w:t>Betrag</w:t>
            </w:r>
          </w:p>
        </w:tc>
      </w:tr>
      <w:tr w:rsidRPr="00C32842" w:rsidR="0018120C" w:rsidTr="00E13391" w14:paraId="017B9537" w14:textId="77777777">
        <w:trPr>
          <w:trHeight w:val="300"/>
        </w:trPr>
        <w:tc>
          <w:tcPr>
            <w:tcW w:w="6804" w:type="dxa"/>
            <w:tcBorders>
              <w:left w:val="nil"/>
              <w:right w:val="nil"/>
            </w:tcBorders>
            <w:noWrap/>
          </w:tcPr>
          <w:p w:rsidRPr="00C32842" w:rsidR="0018120C" w:rsidP="00E13391" w:rsidRDefault="0018120C" w14:paraId="43C1EF2B" w14:textId="77777777">
            <w:pPr>
              <w:ind w:left="171" w:firstLine="28" w:firstLineChars="14"/>
              <w:rPr>
                <w:rFonts w:ascii="Arial" w:hAnsi="Arial" w:eastAsia="Times New Roman" w:cs="Arial"/>
                <w:sz w:val="20"/>
                <w:szCs w:val="20"/>
              </w:rPr>
            </w:pPr>
            <w:r w:rsidRPr="00C32842">
              <w:rPr>
                <w:rFonts w:ascii="Arial" w:hAnsi="Arial"/>
                <w:sz w:val="20"/>
              </w:rPr>
              <w:t>a. Handelsvolumen der von anderen Unternehmen der öffentlichen Hand ausgegebenen Wertpapiere, ohne gruppeninterne Transaktionen</w:t>
            </w:r>
          </w:p>
        </w:tc>
        <w:tc>
          <w:tcPr>
            <w:tcW w:w="2745" w:type="dxa"/>
            <w:tcBorders>
              <w:left w:val="nil"/>
              <w:right w:val="nil"/>
            </w:tcBorders>
            <w:noWrap/>
          </w:tcPr>
          <w:p w:rsidRPr="00C32842" w:rsidR="0018120C" w:rsidP="00E13391" w:rsidRDefault="0018120C" w14:paraId="02012881" w14:textId="77777777">
            <w:pPr>
              <w:jc w:val="right"/>
              <w:rPr>
                <w:rFonts w:ascii="Arial" w:hAnsi="Arial" w:eastAsia="Times New Roman" w:cs="Arial"/>
                <w:sz w:val="20"/>
                <w:szCs w:val="20"/>
                <w:lang w:eastAsia="en-GB"/>
              </w:rPr>
            </w:pPr>
          </w:p>
        </w:tc>
      </w:tr>
      <w:tr w:rsidRPr="00C32842" w:rsidR="0018120C" w:rsidTr="00E13391" w14:paraId="4BE2A14E" w14:textId="77777777">
        <w:trPr>
          <w:trHeight w:val="300"/>
        </w:trPr>
        <w:tc>
          <w:tcPr>
            <w:tcW w:w="6804" w:type="dxa"/>
            <w:tcBorders>
              <w:left w:val="nil"/>
              <w:bottom w:val="single" w:color="auto" w:sz="4" w:space="0"/>
              <w:right w:val="nil"/>
            </w:tcBorders>
            <w:noWrap/>
            <w:hideMark/>
          </w:tcPr>
          <w:p w:rsidRPr="00C32842" w:rsidR="0018120C" w:rsidP="00E13391" w:rsidRDefault="0018120C" w14:paraId="7D1802DF" w14:textId="77777777">
            <w:pPr>
              <w:ind w:left="171" w:firstLine="28" w:firstLineChars="14"/>
              <w:rPr>
                <w:rFonts w:ascii="Arial" w:hAnsi="Arial" w:eastAsia="Times New Roman" w:cs="Arial"/>
                <w:sz w:val="20"/>
                <w:szCs w:val="20"/>
              </w:rPr>
            </w:pPr>
            <w:r w:rsidRPr="00C32842">
              <w:rPr>
                <w:rFonts w:ascii="Arial" w:hAnsi="Arial"/>
                <w:sz w:val="20"/>
              </w:rPr>
              <w:t>b. Handelsvolumen sonstiger festverzinslicher Wertpapiere, ohne gruppeninterne Transaktionen</w:t>
            </w:r>
          </w:p>
        </w:tc>
        <w:tc>
          <w:tcPr>
            <w:tcW w:w="2745" w:type="dxa"/>
            <w:tcBorders>
              <w:left w:val="nil"/>
              <w:right w:val="nil"/>
            </w:tcBorders>
            <w:noWrap/>
            <w:hideMark/>
          </w:tcPr>
          <w:p w:rsidRPr="00C32842" w:rsidR="0018120C" w:rsidP="00E13391" w:rsidRDefault="0018120C" w14:paraId="1D331613"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1E666294" w14:textId="77777777">
        <w:trPr>
          <w:gridAfter w:val="1"/>
          <w:wAfter w:w="2745" w:type="dxa"/>
          <w:trHeight w:val="300"/>
        </w:trPr>
        <w:tc>
          <w:tcPr>
            <w:tcW w:w="6804" w:type="dxa"/>
            <w:tcBorders>
              <w:left w:val="nil"/>
              <w:bottom w:val="single" w:color="auto" w:sz="4" w:space="0"/>
              <w:right w:val="nil"/>
            </w:tcBorders>
            <w:noWrap/>
            <w:hideMark/>
          </w:tcPr>
          <w:p w:rsidRPr="00C32842" w:rsidR="0018120C" w:rsidP="00E13391" w:rsidRDefault="0018120C" w14:paraId="50531556" w14:textId="77777777">
            <w:pPr>
              <w:ind w:firstLine="200" w:firstLineChars="100"/>
              <w:rPr>
                <w:rFonts w:ascii="Arial" w:hAnsi="Arial" w:eastAsia="Times New Roman" w:cs="Arial"/>
                <w:sz w:val="20"/>
                <w:szCs w:val="20"/>
              </w:rPr>
            </w:pPr>
            <w:r w:rsidRPr="00C32842">
              <w:rPr>
                <w:rFonts w:ascii="Arial" w:hAnsi="Arial"/>
                <w:sz w:val="20"/>
              </w:rPr>
              <w:t>c. Teilindikator für das Handelsvolumen festverzinslich (Summe aus den Positionen 9.a und 9.b)</w:t>
            </w:r>
          </w:p>
        </w:tc>
      </w:tr>
      <w:tr w:rsidRPr="00C32842" w:rsidR="0018120C" w:rsidTr="00E13391" w14:paraId="34DF462D" w14:textId="77777777">
        <w:trPr>
          <w:trHeight w:val="300"/>
        </w:trPr>
        <w:tc>
          <w:tcPr>
            <w:tcW w:w="6804" w:type="dxa"/>
            <w:tcBorders>
              <w:left w:val="nil"/>
              <w:right w:val="nil"/>
            </w:tcBorders>
            <w:noWrap/>
            <w:hideMark/>
          </w:tcPr>
          <w:p w:rsidRPr="00C32842" w:rsidR="0018120C" w:rsidP="00E13391" w:rsidRDefault="0018120C" w14:paraId="58E0958A" w14:textId="77777777">
            <w:pPr>
              <w:ind w:firstLine="200" w:firstLineChars="100"/>
              <w:rPr>
                <w:rFonts w:ascii="Arial" w:hAnsi="Arial" w:eastAsia="Times New Roman" w:cs="Arial"/>
                <w:sz w:val="20"/>
                <w:szCs w:val="20"/>
              </w:rPr>
            </w:pPr>
            <w:r w:rsidRPr="00C32842">
              <w:rPr>
                <w:rFonts w:ascii="Arial" w:hAnsi="Arial"/>
                <w:sz w:val="20"/>
              </w:rPr>
              <w:t>d. Handelsvolumen börsennotierter Aktien ohne gruppeninterne Transaktionen</w:t>
            </w:r>
          </w:p>
        </w:tc>
        <w:tc>
          <w:tcPr>
            <w:tcW w:w="2745" w:type="dxa"/>
            <w:tcBorders>
              <w:left w:val="nil"/>
              <w:right w:val="nil"/>
            </w:tcBorders>
            <w:noWrap/>
            <w:hideMark/>
          </w:tcPr>
          <w:p w:rsidRPr="00C32842" w:rsidR="0018120C" w:rsidP="00E13391" w:rsidRDefault="0018120C" w14:paraId="3AD5BDCD"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460951B7" w14:textId="77777777">
        <w:trPr>
          <w:trHeight w:val="300"/>
        </w:trPr>
        <w:tc>
          <w:tcPr>
            <w:tcW w:w="6804" w:type="dxa"/>
            <w:tcBorders>
              <w:left w:val="nil"/>
              <w:bottom w:val="single" w:color="auto" w:sz="4" w:space="0"/>
              <w:right w:val="nil"/>
            </w:tcBorders>
            <w:noWrap/>
            <w:hideMark/>
          </w:tcPr>
          <w:p w:rsidRPr="00C32842" w:rsidR="0018120C" w:rsidP="00E13391" w:rsidRDefault="0018120C" w14:paraId="74940AFB" w14:textId="77777777">
            <w:pPr>
              <w:ind w:left="171"/>
              <w:rPr>
                <w:rFonts w:ascii="Arial" w:hAnsi="Arial" w:eastAsia="Times New Roman" w:cs="Arial"/>
                <w:sz w:val="20"/>
                <w:szCs w:val="20"/>
              </w:rPr>
            </w:pPr>
            <w:r w:rsidRPr="00C32842">
              <w:rPr>
                <w:rFonts w:ascii="Arial" w:hAnsi="Arial"/>
                <w:sz w:val="20"/>
              </w:rPr>
              <w:t>e. Handelsvolumen aller anderen Wertpapiere, ohne gruppeninterne Transaktionen</w:t>
            </w:r>
          </w:p>
        </w:tc>
        <w:tc>
          <w:tcPr>
            <w:tcW w:w="2745" w:type="dxa"/>
            <w:tcBorders>
              <w:left w:val="nil"/>
              <w:right w:val="nil"/>
            </w:tcBorders>
            <w:noWrap/>
            <w:hideMark/>
          </w:tcPr>
          <w:p w:rsidRPr="00C32842" w:rsidR="0018120C" w:rsidP="00E13391" w:rsidRDefault="0018120C" w14:paraId="6E7628D4"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3E703727" w14:textId="77777777">
        <w:trPr>
          <w:gridAfter w:val="1"/>
          <w:wAfter w:w="2745" w:type="dxa"/>
          <w:trHeight w:val="300"/>
        </w:trPr>
        <w:tc>
          <w:tcPr>
            <w:tcW w:w="6804" w:type="dxa"/>
            <w:tcBorders>
              <w:left w:val="nil"/>
              <w:bottom w:val="single" w:color="auto" w:sz="4" w:space="0"/>
              <w:right w:val="nil"/>
            </w:tcBorders>
            <w:noWrap/>
            <w:hideMark/>
          </w:tcPr>
          <w:p w:rsidRPr="00C32842" w:rsidR="0018120C" w:rsidP="00E13391" w:rsidRDefault="0018120C" w14:paraId="6E90A754" w14:textId="77777777">
            <w:pPr>
              <w:ind w:left="171" w:firstLine="28" w:firstLineChars="14"/>
              <w:rPr>
                <w:rFonts w:ascii="Arial" w:hAnsi="Arial" w:eastAsia="Times New Roman" w:cs="Arial"/>
                <w:sz w:val="20"/>
                <w:szCs w:val="20"/>
              </w:rPr>
            </w:pPr>
            <w:r w:rsidRPr="00C32842">
              <w:rPr>
                <w:rFonts w:ascii="Arial" w:hAnsi="Arial"/>
                <w:sz w:val="20"/>
              </w:rPr>
              <w:t>f. Teilindikator für das Handelsvolumen Aktien und sonstige Wertpapiere (Summe der Positionen 9.d und 9.e.)</w:t>
            </w:r>
          </w:p>
        </w:tc>
      </w:tr>
      <w:tr w:rsidRPr="00C32842" w:rsidR="0018120C" w:rsidTr="00E13391" w14:paraId="17E2EB8A" w14:textId="77777777">
        <w:trPr>
          <w:trHeight w:val="403"/>
        </w:trPr>
        <w:tc>
          <w:tcPr>
            <w:tcW w:w="6804" w:type="dxa"/>
            <w:tcBorders>
              <w:left w:val="nil"/>
              <w:bottom w:val="nil"/>
              <w:right w:val="nil"/>
            </w:tcBorders>
            <w:noWrap/>
          </w:tcPr>
          <w:p w:rsidRPr="00C32842" w:rsidR="0018120C" w:rsidP="00E13391" w:rsidRDefault="0018120C" w14:paraId="7200B3E6" w14:textId="77777777">
            <w:pPr>
              <w:keepNext/>
              <w:keepLines/>
              <w:spacing w:before="47"/>
              <w:outlineLvl w:val="5"/>
              <w:rPr>
                <w:rFonts w:ascii="Arial" w:hAnsi="Arial" w:eastAsia="Times New Roman" w:cs="Arial"/>
                <w:i/>
                <w:iCs/>
                <w:caps/>
                <w:color w:val="172B39" w:themeColor="accent1" w:themeShade="80"/>
                <w:sz w:val="20"/>
                <w:szCs w:val="20"/>
                <w:lang w:eastAsia="en-GB"/>
              </w:rPr>
            </w:pPr>
          </w:p>
        </w:tc>
        <w:tc>
          <w:tcPr>
            <w:tcW w:w="2745" w:type="dxa"/>
            <w:tcBorders>
              <w:left w:val="nil"/>
              <w:bottom w:val="nil"/>
              <w:right w:val="nil"/>
            </w:tcBorders>
            <w:noWrap/>
          </w:tcPr>
          <w:p w:rsidRPr="00C32842" w:rsidR="0018120C" w:rsidP="00E13391" w:rsidRDefault="0018120C" w14:paraId="20026B81" w14:textId="77777777">
            <w:pPr>
              <w:rPr>
                <w:rFonts w:ascii="Arial" w:hAnsi="Arial" w:eastAsia="Times New Roman" w:cs="Arial"/>
                <w:sz w:val="20"/>
                <w:szCs w:val="20"/>
                <w:lang w:eastAsia="en-GB"/>
              </w:rPr>
            </w:pPr>
          </w:p>
        </w:tc>
      </w:tr>
      <w:tr w:rsidRPr="00C32842" w:rsidR="0018120C" w:rsidTr="00E13391" w14:paraId="0BBE43BC" w14:textId="77777777">
        <w:trPr>
          <w:trHeight w:val="403"/>
        </w:trPr>
        <w:tc>
          <w:tcPr>
            <w:tcW w:w="6804" w:type="dxa"/>
            <w:tcBorders>
              <w:top w:val="nil"/>
              <w:left w:val="nil"/>
              <w:bottom w:val="nil"/>
              <w:right w:val="nil"/>
            </w:tcBorders>
            <w:noWrap/>
            <w:hideMark/>
          </w:tcPr>
          <w:p w:rsidRPr="00C32842" w:rsidR="0018120C" w:rsidP="00E13391" w:rsidRDefault="0018120C" w14:paraId="7772BF08" w14:textId="77777777">
            <w:pPr>
              <w:keepNext/>
              <w:keepLines/>
              <w:spacing w:before="47"/>
              <w:outlineLvl w:val="5"/>
              <w:rPr>
                <w:rFonts w:ascii="Arial" w:hAnsi="Arial" w:eastAsia="Times New Roman" w:cs="Arial"/>
                <w:sz w:val="20"/>
                <w:szCs w:val="20"/>
                <w:lang w:eastAsia="en-GB"/>
              </w:rPr>
            </w:pPr>
            <w:r w:rsidRPr="00C32842">
              <w:rPr>
                <w:rFonts w:ascii="Arial" w:hAnsi="Arial"/>
                <w:i/>
                <w:caps/>
                <w:color w:val="172B39" w:themeColor="accent1" w:themeShade="80"/>
                <w:sz w:val="20"/>
              </w:rPr>
              <w:t> </w:t>
            </w:r>
            <w:r w:rsidRPr="00C32842">
              <w:rPr>
                <w:rFonts w:asciiTheme="majorHAnsi" w:hAnsiTheme="majorHAnsi"/>
                <w:b/>
                <w:i/>
                <w:caps/>
              </w:rPr>
              <w:t>Indikatoren für Komplexität</w:t>
            </w:r>
          </w:p>
        </w:tc>
        <w:tc>
          <w:tcPr>
            <w:tcW w:w="2745" w:type="dxa"/>
            <w:tcBorders>
              <w:top w:val="nil"/>
              <w:left w:val="nil"/>
              <w:bottom w:val="nil"/>
              <w:right w:val="nil"/>
            </w:tcBorders>
            <w:noWrap/>
            <w:hideMark/>
          </w:tcPr>
          <w:p w:rsidRPr="00C32842" w:rsidR="0018120C" w:rsidP="00E13391" w:rsidRDefault="0018120C" w14:paraId="08179510" w14:textId="77777777">
            <w:pPr>
              <w:rPr>
                <w:rFonts w:ascii="Arial" w:hAnsi="Arial" w:eastAsia="Times New Roman" w:cs="Arial"/>
                <w:sz w:val="20"/>
                <w:szCs w:val="20"/>
              </w:rPr>
            </w:pPr>
            <w:r w:rsidRPr="00C32842">
              <w:rPr>
                <w:rFonts w:ascii="Arial" w:hAnsi="Arial"/>
                <w:sz w:val="20"/>
              </w:rPr>
              <w:t> </w:t>
            </w:r>
          </w:p>
        </w:tc>
      </w:tr>
      <w:tr w:rsidRPr="00C32842" w:rsidR="0018120C" w:rsidTr="00E13391" w14:paraId="50FBA898" w14:textId="77777777">
        <w:trPr>
          <w:trHeight w:val="403"/>
        </w:trPr>
        <w:tc>
          <w:tcPr>
            <w:tcW w:w="6804" w:type="dxa"/>
            <w:tcBorders>
              <w:top w:val="nil"/>
              <w:left w:val="nil"/>
              <w:bottom w:val="single" w:color="auto" w:sz="4" w:space="0"/>
              <w:right w:val="nil"/>
            </w:tcBorders>
            <w:noWrap/>
          </w:tcPr>
          <w:p w:rsidRPr="00C32842" w:rsidR="0018120C" w:rsidP="00E13391" w:rsidRDefault="0018120C" w14:paraId="1D392A43" w14:textId="77777777">
            <w:pPr>
              <w:keepNext/>
              <w:keepLines/>
              <w:spacing w:before="47"/>
              <w:outlineLvl w:val="5"/>
              <w:rPr>
                <w:rFonts w:ascii="Arial" w:hAnsi="Arial" w:eastAsia="Times New Roman" w:cs="Arial"/>
                <w:i/>
                <w:iCs/>
                <w:caps/>
                <w:color w:val="172B39" w:themeColor="accent1" w:themeShade="80"/>
                <w:sz w:val="20"/>
                <w:szCs w:val="20"/>
                <w:lang w:eastAsia="en-GB"/>
              </w:rPr>
            </w:pPr>
          </w:p>
        </w:tc>
        <w:tc>
          <w:tcPr>
            <w:tcW w:w="2745" w:type="dxa"/>
            <w:tcBorders>
              <w:top w:val="nil"/>
              <w:left w:val="nil"/>
              <w:bottom w:val="single" w:color="auto" w:sz="4" w:space="0"/>
              <w:right w:val="nil"/>
            </w:tcBorders>
            <w:noWrap/>
          </w:tcPr>
          <w:p w:rsidRPr="00C32842" w:rsidR="0018120C" w:rsidP="00E13391" w:rsidRDefault="0018120C" w14:paraId="35171133" w14:textId="77777777">
            <w:pPr>
              <w:rPr>
                <w:rFonts w:ascii="Arial" w:hAnsi="Arial" w:eastAsia="Times New Roman" w:cs="Arial"/>
                <w:sz w:val="20"/>
                <w:szCs w:val="20"/>
                <w:lang w:eastAsia="en-GB"/>
              </w:rPr>
            </w:pPr>
          </w:p>
        </w:tc>
      </w:tr>
      <w:tr w:rsidRPr="00C32842" w:rsidR="0018120C" w:rsidTr="00E13391" w14:paraId="356B6CEF" w14:textId="77777777">
        <w:trPr>
          <w:trHeight w:val="300"/>
        </w:trPr>
        <w:tc>
          <w:tcPr>
            <w:tcW w:w="6804" w:type="dxa"/>
            <w:tcBorders>
              <w:left w:val="nil"/>
              <w:right w:val="nil"/>
            </w:tcBorders>
            <w:noWrap/>
          </w:tcPr>
          <w:p w:rsidRPr="00C32842" w:rsidR="0018120C" w:rsidP="00E13391" w:rsidRDefault="0018120C" w14:paraId="617FAB9B" w14:textId="77777777">
            <w:pPr>
              <w:ind w:firstLine="201" w:firstLineChars="100"/>
              <w:rPr>
                <w:rFonts w:ascii="Arial" w:hAnsi="Arial" w:eastAsia="Times New Roman" w:cs="Arial"/>
                <w:sz w:val="20"/>
                <w:szCs w:val="20"/>
              </w:rPr>
            </w:pPr>
            <w:r w:rsidRPr="00C32842">
              <w:rPr>
                <w:rFonts w:ascii="Arial" w:hAnsi="Arial"/>
                <w:b/>
                <w:sz w:val="20"/>
              </w:rPr>
              <w:t>Abschnitt 10 – Nominalwert außerbörslich gehandelter (OTC-)Derivate</w:t>
            </w:r>
          </w:p>
        </w:tc>
        <w:tc>
          <w:tcPr>
            <w:tcW w:w="2745" w:type="dxa"/>
            <w:tcBorders>
              <w:left w:val="nil"/>
              <w:right w:val="nil"/>
            </w:tcBorders>
            <w:noWrap/>
          </w:tcPr>
          <w:p w:rsidRPr="00C32842" w:rsidR="0018120C" w:rsidP="00E13391" w:rsidRDefault="0018120C" w14:paraId="79E731B9" w14:textId="77777777">
            <w:pPr>
              <w:jc w:val="center"/>
              <w:rPr>
                <w:rFonts w:ascii="Arial" w:hAnsi="Arial" w:eastAsia="Times New Roman" w:cs="Arial"/>
                <w:b/>
                <w:bCs/>
                <w:sz w:val="20"/>
                <w:szCs w:val="20"/>
              </w:rPr>
            </w:pPr>
            <w:r w:rsidRPr="00C32842">
              <w:rPr>
                <w:rFonts w:ascii="Arial" w:hAnsi="Arial"/>
                <w:b/>
                <w:sz w:val="20"/>
              </w:rPr>
              <w:t>Betrag</w:t>
            </w:r>
          </w:p>
        </w:tc>
      </w:tr>
      <w:tr w:rsidRPr="00C32842" w:rsidR="0018120C" w:rsidTr="00E13391" w14:paraId="23BFC8C1" w14:textId="77777777">
        <w:trPr>
          <w:trHeight w:val="300"/>
        </w:trPr>
        <w:tc>
          <w:tcPr>
            <w:tcW w:w="6804" w:type="dxa"/>
            <w:tcBorders>
              <w:left w:val="nil"/>
              <w:right w:val="nil"/>
            </w:tcBorders>
            <w:noWrap/>
            <w:hideMark/>
          </w:tcPr>
          <w:p w:rsidRPr="00C32842" w:rsidR="0018120C" w:rsidP="00E13391" w:rsidRDefault="0018120C" w14:paraId="753EE7DC" w14:textId="77777777">
            <w:pPr>
              <w:ind w:firstLine="200" w:firstLineChars="100"/>
              <w:rPr>
                <w:rFonts w:ascii="Arial" w:hAnsi="Arial" w:eastAsia="Times New Roman" w:cs="Arial"/>
                <w:sz w:val="20"/>
                <w:szCs w:val="20"/>
              </w:rPr>
            </w:pPr>
            <w:r w:rsidRPr="00C32842">
              <w:rPr>
                <w:rFonts w:ascii="Arial" w:hAnsi="Arial"/>
                <w:sz w:val="20"/>
              </w:rPr>
              <w:t>a. Über eine zentrale Gegenpartei geclearte außerbörslich gehandelte (OTC-)Derivate</w:t>
            </w:r>
          </w:p>
        </w:tc>
        <w:tc>
          <w:tcPr>
            <w:tcW w:w="2745" w:type="dxa"/>
            <w:tcBorders>
              <w:left w:val="nil"/>
              <w:right w:val="nil"/>
            </w:tcBorders>
            <w:noWrap/>
            <w:hideMark/>
          </w:tcPr>
          <w:p w:rsidRPr="00C32842" w:rsidR="0018120C" w:rsidP="00E13391" w:rsidRDefault="0018120C" w14:paraId="0951D75D"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1885274C" w14:textId="77777777">
        <w:trPr>
          <w:trHeight w:val="300"/>
        </w:trPr>
        <w:tc>
          <w:tcPr>
            <w:tcW w:w="6804" w:type="dxa"/>
            <w:tcBorders>
              <w:left w:val="nil"/>
              <w:right w:val="nil"/>
            </w:tcBorders>
            <w:noWrap/>
            <w:hideMark/>
          </w:tcPr>
          <w:p w:rsidRPr="00C32842" w:rsidR="0018120C" w:rsidP="00E13391" w:rsidRDefault="0018120C" w14:paraId="0F854FE9" w14:textId="77777777">
            <w:pPr>
              <w:ind w:firstLine="200" w:firstLineChars="100"/>
              <w:rPr>
                <w:rFonts w:ascii="Arial" w:hAnsi="Arial" w:eastAsia="Times New Roman" w:cs="Arial"/>
                <w:sz w:val="20"/>
                <w:szCs w:val="20"/>
              </w:rPr>
            </w:pPr>
            <w:r w:rsidRPr="00C32842">
              <w:rPr>
                <w:rFonts w:ascii="Arial" w:hAnsi="Arial"/>
                <w:sz w:val="20"/>
              </w:rPr>
              <w:t>b. Bilateral abgewickelte außerbörslich gehandelte (OTC-)Derivate</w:t>
            </w:r>
          </w:p>
        </w:tc>
        <w:tc>
          <w:tcPr>
            <w:tcW w:w="2745" w:type="dxa"/>
            <w:tcBorders>
              <w:left w:val="nil"/>
              <w:right w:val="nil"/>
            </w:tcBorders>
            <w:noWrap/>
            <w:hideMark/>
          </w:tcPr>
          <w:p w:rsidRPr="00C32842" w:rsidR="0018120C" w:rsidP="00E13391" w:rsidRDefault="0018120C" w14:paraId="08574F2D"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004B226B" w14:textId="77777777">
        <w:trPr>
          <w:trHeight w:val="300"/>
        </w:trPr>
        <w:tc>
          <w:tcPr>
            <w:tcW w:w="6804" w:type="dxa"/>
            <w:tcBorders>
              <w:left w:val="nil"/>
              <w:bottom w:val="single" w:color="auto" w:sz="4" w:space="0"/>
              <w:right w:val="nil"/>
            </w:tcBorders>
            <w:noWrap/>
          </w:tcPr>
          <w:p w:rsidRPr="00C32842" w:rsidR="0018120C" w:rsidP="00E13391" w:rsidRDefault="0018120C" w14:paraId="4741600E" w14:textId="77777777">
            <w:pPr>
              <w:ind w:left="171" w:firstLine="28" w:firstLineChars="14"/>
              <w:rPr>
                <w:rFonts w:ascii="Arial" w:hAnsi="Arial" w:eastAsia="Times New Roman" w:cs="Arial"/>
                <w:sz w:val="20"/>
                <w:szCs w:val="20"/>
              </w:rPr>
            </w:pPr>
            <w:r w:rsidRPr="00C32842">
              <w:rPr>
                <w:rFonts w:ascii="Arial" w:hAnsi="Arial"/>
                <w:sz w:val="20"/>
              </w:rPr>
              <w:t>c. Nominalwert des Indikators für außerbörslich gehandelte Derivate, einschließlich Versicherungstochterunternehmen (Summe der Positionen 10.a und 10.b.)</w:t>
            </w:r>
          </w:p>
        </w:tc>
        <w:tc>
          <w:tcPr>
            <w:tcW w:w="2745" w:type="dxa"/>
            <w:tcBorders>
              <w:left w:val="nil"/>
              <w:bottom w:val="single" w:color="auto" w:sz="4" w:space="0"/>
              <w:right w:val="nil"/>
            </w:tcBorders>
            <w:noWrap/>
          </w:tcPr>
          <w:p w:rsidRPr="00C32842" w:rsidR="0018120C" w:rsidP="00E13391" w:rsidRDefault="0018120C" w14:paraId="320EE3EF" w14:textId="77777777">
            <w:pPr>
              <w:jc w:val="right"/>
              <w:rPr>
                <w:rFonts w:ascii="Arial" w:hAnsi="Arial" w:eastAsia="Times New Roman" w:cs="Arial"/>
                <w:sz w:val="20"/>
                <w:szCs w:val="20"/>
                <w:lang w:eastAsia="en-GB"/>
              </w:rPr>
            </w:pPr>
          </w:p>
        </w:tc>
      </w:tr>
      <w:tr w:rsidRPr="00C32842" w:rsidR="0018120C" w:rsidTr="00E13391" w14:paraId="620AE455" w14:textId="77777777">
        <w:trPr>
          <w:trHeight w:val="300"/>
        </w:trPr>
        <w:tc>
          <w:tcPr>
            <w:tcW w:w="6804" w:type="dxa"/>
            <w:tcBorders>
              <w:left w:val="nil"/>
              <w:bottom w:val="nil"/>
              <w:right w:val="nil"/>
            </w:tcBorders>
            <w:noWrap/>
          </w:tcPr>
          <w:p w:rsidRPr="00C32842" w:rsidR="0018120C" w:rsidP="00E13391" w:rsidRDefault="0018120C" w14:paraId="5D740723"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C32842" w:rsidR="0018120C" w:rsidP="00E13391" w:rsidRDefault="0018120C" w14:paraId="4742A042" w14:textId="77777777">
            <w:pPr>
              <w:jc w:val="center"/>
              <w:rPr>
                <w:rFonts w:ascii="Arial" w:hAnsi="Arial" w:eastAsia="Times New Roman" w:cs="Arial"/>
                <w:b/>
                <w:bCs/>
                <w:sz w:val="20"/>
                <w:szCs w:val="20"/>
                <w:lang w:eastAsia="en-GB"/>
              </w:rPr>
            </w:pPr>
          </w:p>
        </w:tc>
      </w:tr>
      <w:tr w:rsidRPr="00C32842" w:rsidR="0018120C" w:rsidTr="00E13391" w14:paraId="7BE11A52" w14:textId="77777777">
        <w:trPr>
          <w:trHeight w:val="300"/>
        </w:trPr>
        <w:tc>
          <w:tcPr>
            <w:tcW w:w="6804" w:type="dxa"/>
            <w:tcBorders>
              <w:top w:val="nil"/>
              <w:left w:val="nil"/>
              <w:bottom w:val="single" w:color="auto" w:sz="4" w:space="0"/>
              <w:right w:val="nil"/>
            </w:tcBorders>
            <w:noWrap/>
            <w:hideMark/>
          </w:tcPr>
          <w:p w:rsidRPr="00C32842" w:rsidR="0018120C" w:rsidP="00E13391" w:rsidRDefault="0018120C" w14:paraId="56E68158" w14:textId="77777777">
            <w:pPr>
              <w:rPr>
                <w:rFonts w:ascii="Arial" w:hAnsi="Arial" w:eastAsia="Times New Roman" w:cs="Arial"/>
                <w:b/>
                <w:bCs/>
                <w:sz w:val="20"/>
                <w:szCs w:val="20"/>
              </w:rPr>
            </w:pPr>
            <w:r w:rsidRPr="00C32842">
              <w:rPr>
                <w:rFonts w:ascii="Arial" w:hAnsi="Arial"/>
                <w:b/>
                <w:sz w:val="20"/>
              </w:rPr>
              <w:t>Abschnitt 11 – Wertpapiere des Handelsbestands und zur Veräußerung verfügbare Wertpapiere</w:t>
            </w:r>
          </w:p>
        </w:tc>
        <w:tc>
          <w:tcPr>
            <w:tcW w:w="2745" w:type="dxa"/>
            <w:tcBorders>
              <w:top w:val="nil"/>
              <w:left w:val="nil"/>
              <w:bottom w:val="single" w:color="auto" w:sz="4" w:space="0"/>
              <w:right w:val="nil"/>
            </w:tcBorders>
            <w:hideMark/>
          </w:tcPr>
          <w:p w:rsidRPr="00C32842" w:rsidR="0018120C" w:rsidP="00E13391" w:rsidRDefault="0018120C" w14:paraId="63FCFF75" w14:textId="77777777">
            <w:pPr>
              <w:jc w:val="center"/>
              <w:rPr>
                <w:rFonts w:ascii="Arial" w:hAnsi="Arial" w:eastAsia="Times New Roman" w:cs="Arial"/>
                <w:b/>
                <w:bCs/>
                <w:sz w:val="20"/>
                <w:szCs w:val="20"/>
              </w:rPr>
            </w:pPr>
            <w:r w:rsidRPr="00C32842">
              <w:rPr>
                <w:rFonts w:ascii="Arial" w:hAnsi="Arial"/>
                <w:b/>
                <w:sz w:val="20"/>
              </w:rPr>
              <w:t>Betrag</w:t>
            </w:r>
          </w:p>
        </w:tc>
      </w:tr>
      <w:tr w:rsidRPr="00C32842" w:rsidR="0018120C" w:rsidTr="00E13391" w14:paraId="30C48ED6" w14:textId="77777777">
        <w:trPr>
          <w:trHeight w:val="300"/>
        </w:trPr>
        <w:tc>
          <w:tcPr>
            <w:tcW w:w="6804" w:type="dxa"/>
            <w:tcBorders>
              <w:left w:val="nil"/>
              <w:right w:val="nil"/>
            </w:tcBorders>
            <w:noWrap/>
            <w:hideMark/>
          </w:tcPr>
          <w:p w:rsidRPr="00C32842" w:rsidR="0018120C" w:rsidP="00E13391" w:rsidRDefault="0018120C" w14:paraId="05BBAE6F" w14:textId="77777777">
            <w:pPr>
              <w:ind w:firstLine="200" w:firstLineChars="100"/>
              <w:rPr>
                <w:rFonts w:ascii="Arial" w:hAnsi="Arial" w:eastAsia="Times New Roman" w:cs="Arial"/>
                <w:sz w:val="20"/>
                <w:szCs w:val="20"/>
              </w:rPr>
            </w:pPr>
            <w:r w:rsidRPr="00C32842">
              <w:rPr>
                <w:rFonts w:ascii="Arial" w:hAnsi="Arial"/>
                <w:sz w:val="20"/>
              </w:rPr>
              <w:t>a. Wertpapiere des Handelsbestands (Held for Trading, HFT)</w:t>
            </w:r>
          </w:p>
        </w:tc>
        <w:tc>
          <w:tcPr>
            <w:tcW w:w="2745" w:type="dxa"/>
            <w:tcBorders>
              <w:left w:val="nil"/>
              <w:right w:val="nil"/>
            </w:tcBorders>
            <w:noWrap/>
            <w:hideMark/>
          </w:tcPr>
          <w:p w:rsidRPr="00C32842" w:rsidR="0018120C" w:rsidP="00E13391" w:rsidRDefault="0018120C" w14:paraId="0C1F8882"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2BCFE7D4" w14:textId="77777777">
        <w:trPr>
          <w:trHeight w:val="300"/>
        </w:trPr>
        <w:tc>
          <w:tcPr>
            <w:tcW w:w="6804" w:type="dxa"/>
            <w:tcBorders>
              <w:left w:val="nil"/>
              <w:bottom w:val="single" w:color="auto" w:sz="4" w:space="0"/>
              <w:right w:val="nil"/>
            </w:tcBorders>
            <w:noWrap/>
            <w:hideMark/>
          </w:tcPr>
          <w:p w:rsidRPr="00C32842" w:rsidR="0018120C" w:rsidP="00E13391" w:rsidRDefault="0018120C" w14:paraId="7FA876A3" w14:textId="77777777">
            <w:pPr>
              <w:ind w:firstLine="200" w:firstLineChars="100"/>
              <w:rPr>
                <w:rFonts w:ascii="Arial" w:hAnsi="Arial" w:eastAsia="Times New Roman" w:cs="Arial"/>
                <w:sz w:val="20"/>
                <w:szCs w:val="20"/>
              </w:rPr>
            </w:pPr>
            <w:r w:rsidRPr="00C32842">
              <w:rPr>
                <w:rFonts w:ascii="Arial" w:hAnsi="Arial"/>
                <w:sz w:val="20"/>
              </w:rPr>
              <w:t>b. Zur Veräußerung verfügbare (Available-for-sale, AFS-)Wertpapiere</w:t>
            </w:r>
          </w:p>
        </w:tc>
        <w:tc>
          <w:tcPr>
            <w:tcW w:w="2745" w:type="dxa"/>
            <w:tcBorders>
              <w:left w:val="nil"/>
              <w:right w:val="nil"/>
            </w:tcBorders>
            <w:noWrap/>
            <w:hideMark/>
          </w:tcPr>
          <w:p w:rsidRPr="00C32842" w:rsidR="0018120C" w:rsidP="00E13391" w:rsidRDefault="0018120C" w14:paraId="7CDC55AE"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57BF997F" w14:textId="77777777">
        <w:trPr>
          <w:trHeight w:val="300"/>
        </w:trPr>
        <w:tc>
          <w:tcPr>
            <w:tcW w:w="6804" w:type="dxa"/>
            <w:tcBorders>
              <w:left w:val="nil"/>
              <w:bottom w:val="single" w:color="auto" w:sz="4" w:space="0"/>
              <w:right w:val="nil"/>
            </w:tcBorders>
            <w:noWrap/>
          </w:tcPr>
          <w:p w:rsidRPr="00C32842" w:rsidR="0018120C" w:rsidP="00E13391" w:rsidRDefault="0018120C" w14:paraId="61FD6DFB" w14:textId="77777777">
            <w:pPr>
              <w:ind w:firstLine="200" w:firstLineChars="100"/>
              <w:rPr>
                <w:rFonts w:ascii="Arial" w:hAnsi="Arial" w:eastAsia="Times New Roman" w:cs="Arial"/>
                <w:sz w:val="20"/>
                <w:szCs w:val="20"/>
              </w:rPr>
            </w:pPr>
            <w:r w:rsidRPr="00C32842">
              <w:rPr>
                <w:rFonts w:ascii="Arial" w:hAnsi="Arial"/>
                <w:sz w:val="20"/>
              </w:rPr>
              <w:t>c. Wertpapiere des Handelsbestands und AFS-Wertpapiere, die der Definition von Vermögenswerten der Stufe 1 entsprechen</w:t>
            </w:r>
          </w:p>
        </w:tc>
        <w:tc>
          <w:tcPr>
            <w:tcW w:w="2745" w:type="dxa"/>
            <w:tcBorders>
              <w:left w:val="nil"/>
              <w:right w:val="nil"/>
            </w:tcBorders>
            <w:noWrap/>
          </w:tcPr>
          <w:p w:rsidRPr="00C32842" w:rsidR="0018120C" w:rsidP="00E13391" w:rsidRDefault="0018120C" w14:paraId="52711857" w14:textId="77777777">
            <w:pPr>
              <w:jc w:val="right"/>
              <w:rPr>
                <w:rFonts w:ascii="Arial" w:hAnsi="Arial" w:eastAsia="Times New Roman" w:cs="Arial"/>
                <w:sz w:val="20"/>
                <w:szCs w:val="20"/>
                <w:lang w:eastAsia="en-GB"/>
              </w:rPr>
            </w:pPr>
          </w:p>
        </w:tc>
      </w:tr>
      <w:tr w:rsidRPr="00C32842" w:rsidR="0018120C" w:rsidTr="00E13391" w14:paraId="5F922FA1" w14:textId="77777777">
        <w:trPr>
          <w:trHeight w:val="300"/>
        </w:trPr>
        <w:tc>
          <w:tcPr>
            <w:tcW w:w="6804" w:type="dxa"/>
            <w:tcBorders>
              <w:left w:val="nil"/>
              <w:bottom w:val="single" w:color="auto" w:sz="4" w:space="0"/>
              <w:right w:val="nil"/>
            </w:tcBorders>
            <w:noWrap/>
          </w:tcPr>
          <w:p w:rsidRPr="00C32842" w:rsidR="0018120C" w:rsidP="00E13391" w:rsidRDefault="0018120C" w14:paraId="6C707972" w14:textId="77777777">
            <w:pPr>
              <w:ind w:left="171" w:firstLine="28" w:firstLineChars="14"/>
              <w:rPr>
                <w:rFonts w:ascii="Arial" w:hAnsi="Arial" w:eastAsia="Times New Roman" w:cs="Arial"/>
                <w:sz w:val="20"/>
                <w:szCs w:val="20"/>
              </w:rPr>
            </w:pPr>
            <w:r w:rsidRPr="00C32842">
              <w:rPr>
                <w:rFonts w:ascii="Arial" w:hAnsi="Arial"/>
                <w:sz w:val="20"/>
              </w:rPr>
              <w:t>d. Wertpapiere des Handelsbestands und AFS-Wertpapiere, die der Definition von Vermögenswerten der Stufe 2 entsprechen, zzgl. Haircuts</w:t>
            </w:r>
          </w:p>
        </w:tc>
        <w:tc>
          <w:tcPr>
            <w:tcW w:w="2745" w:type="dxa"/>
            <w:tcBorders>
              <w:left w:val="nil"/>
              <w:right w:val="nil"/>
            </w:tcBorders>
            <w:noWrap/>
          </w:tcPr>
          <w:p w:rsidRPr="00C32842" w:rsidR="0018120C" w:rsidP="00E13391" w:rsidRDefault="0018120C" w14:paraId="31F0023A" w14:textId="77777777">
            <w:pPr>
              <w:jc w:val="right"/>
              <w:rPr>
                <w:rFonts w:ascii="Arial" w:hAnsi="Arial" w:eastAsia="Times New Roman" w:cs="Arial"/>
                <w:sz w:val="20"/>
                <w:szCs w:val="20"/>
                <w:lang w:eastAsia="en-GB"/>
              </w:rPr>
            </w:pPr>
          </w:p>
        </w:tc>
      </w:tr>
      <w:tr w:rsidRPr="00C32842" w:rsidR="0018120C" w:rsidTr="00E13391" w14:paraId="0940A292" w14:textId="77777777">
        <w:trPr>
          <w:trHeight w:val="300"/>
        </w:trPr>
        <w:tc>
          <w:tcPr>
            <w:tcW w:w="6804" w:type="dxa"/>
            <w:tcBorders>
              <w:left w:val="nil"/>
              <w:bottom w:val="single" w:color="auto" w:sz="4" w:space="0"/>
              <w:right w:val="nil"/>
            </w:tcBorders>
            <w:noWrap/>
          </w:tcPr>
          <w:p w:rsidRPr="00C32842" w:rsidR="0018120C" w:rsidP="00E13391" w:rsidRDefault="0018120C" w14:paraId="063A150C" w14:textId="77777777">
            <w:pPr>
              <w:ind w:left="171" w:firstLine="28" w:firstLineChars="14"/>
              <w:rPr>
                <w:rFonts w:ascii="Arial" w:hAnsi="Arial" w:eastAsia="Times New Roman" w:cs="Arial"/>
                <w:sz w:val="20"/>
                <w:szCs w:val="20"/>
              </w:rPr>
            </w:pPr>
            <w:r w:rsidRPr="00C32842">
              <w:rPr>
                <w:rFonts w:ascii="Arial" w:hAnsi="Arial"/>
                <w:sz w:val="20"/>
              </w:rPr>
              <w:t>e. Indikator für Wertpapiere des Handelsbestands und (AFS-)Wertpapiere (Summe aus den Positionen 11.a) und 11.b), abzüglich der Summe von 11.c) und 11.d)</w:t>
            </w:r>
          </w:p>
        </w:tc>
        <w:tc>
          <w:tcPr>
            <w:tcW w:w="2745" w:type="dxa"/>
            <w:tcBorders>
              <w:left w:val="nil"/>
              <w:bottom w:val="single" w:color="auto" w:sz="4" w:space="0"/>
              <w:right w:val="nil"/>
            </w:tcBorders>
            <w:noWrap/>
          </w:tcPr>
          <w:p w:rsidRPr="00C32842" w:rsidR="0018120C" w:rsidP="00E13391" w:rsidRDefault="0018120C" w14:paraId="7D4633DD" w14:textId="77777777">
            <w:pPr>
              <w:jc w:val="right"/>
              <w:rPr>
                <w:rFonts w:ascii="Arial" w:hAnsi="Arial" w:eastAsia="Times New Roman" w:cs="Arial"/>
                <w:sz w:val="20"/>
                <w:szCs w:val="20"/>
                <w:lang w:eastAsia="en-GB"/>
              </w:rPr>
            </w:pPr>
          </w:p>
        </w:tc>
      </w:tr>
      <w:tr w:rsidRPr="00C32842" w:rsidR="0018120C" w:rsidTr="00E13391" w14:paraId="4720E722" w14:textId="77777777">
        <w:trPr>
          <w:trHeight w:val="300"/>
        </w:trPr>
        <w:tc>
          <w:tcPr>
            <w:tcW w:w="6804" w:type="dxa"/>
            <w:tcBorders>
              <w:left w:val="nil"/>
              <w:bottom w:val="nil"/>
              <w:right w:val="nil"/>
            </w:tcBorders>
            <w:noWrap/>
          </w:tcPr>
          <w:p w:rsidRPr="00C32842" w:rsidR="0018120C" w:rsidP="00E13391" w:rsidRDefault="0018120C" w14:paraId="0FA96321"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C32842" w:rsidR="0018120C" w:rsidP="00E13391" w:rsidRDefault="0018120C" w14:paraId="704CA348" w14:textId="77777777">
            <w:pPr>
              <w:jc w:val="center"/>
              <w:rPr>
                <w:rFonts w:ascii="Arial" w:hAnsi="Arial" w:eastAsia="Times New Roman" w:cs="Arial"/>
                <w:b/>
                <w:bCs/>
                <w:sz w:val="20"/>
                <w:szCs w:val="20"/>
                <w:lang w:eastAsia="en-GB"/>
              </w:rPr>
            </w:pPr>
          </w:p>
        </w:tc>
      </w:tr>
      <w:tr w:rsidRPr="00C32842" w:rsidR="0018120C" w:rsidTr="00E13391" w14:paraId="5DA6E551" w14:textId="77777777">
        <w:trPr>
          <w:trHeight w:val="300"/>
        </w:trPr>
        <w:tc>
          <w:tcPr>
            <w:tcW w:w="6804" w:type="dxa"/>
            <w:tcBorders>
              <w:top w:val="nil"/>
              <w:left w:val="nil"/>
              <w:bottom w:val="single" w:color="auto" w:sz="4" w:space="0"/>
              <w:right w:val="nil"/>
            </w:tcBorders>
            <w:noWrap/>
            <w:hideMark/>
          </w:tcPr>
          <w:p w:rsidRPr="00C32842" w:rsidR="0018120C" w:rsidP="00E13391" w:rsidRDefault="0018120C" w14:paraId="544FE56F" w14:textId="77777777">
            <w:pPr>
              <w:rPr>
                <w:rFonts w:ascii="Arial" w:hAnsi="Arial" w:eastAsia="Times New Roman" w:cs="Arial"/>
                <w:b/>
                <w:bCs/>
                <w:sz w:val="20"/>
                <w:szCs w:val="20"/>
              </w:rPr>
            </w:pPr>
            <w:r w:rsidRPr="00C32842">
              <w:rPr>
                <w:rFonts w:ascii="Arial" w:hAnsi="Arial"/>
                <w:b/>
                <w:sz w:val="20"/>
              </w:rPr>
              <w:t>Abschnitt 12 – Vermögenswerte der Stufe 3</w:t>
            </w:r>
          </w:p>
        </w:tc>
        <w:tc>
          <w:tcPr>
            <w:tcW w:w="2745" w:type="dxa"/>
            <w:tcBorders>
              <w:top w:val="nil"/>
              <w:left w:val="nil"/>
              <w:bottom w:val="single" w:color="auto" w:sz="4" w:space="0"/>
              <w:right w:val="nil"/>
            </w:tcBorders>
            <w:hideMark/>
          </w:tcPr>
          <w:p w:rsidRPr="00C32842" w:rsidR="0018120C" w:rsidP="00E13391" w:rsidRDefault="0018120C" w14:paraId="1821A440" w14:textId="77777777">
            <w:pPr>
              <w:jc w:val="center"/>
              <w:rPr>
                <w:rFonts w:ascii="Arial" w:hAnsi="Arial" w:eastAsia="Times New Roman" w:cs="Arial"/>
                <w:b/>
                <w:bCs/>
                <w:sz w:val="20"/>
                <w:szCs w:val="20"/>
              </w:rPr>
            </w:pPr>
            <w:r w:rsidRPr="00C32842">
              <w:rPr>
                <w:rFonts w:ascii="Arial" w:hAnsi="Arial"/>
                <w:b/>
                <w:sz w:val="20"/>
              </w:rPr>
              <w:t>Betrag</w:t>
            </w:r>
          </w:p>
        </w:tc>
      </w:tr>
      <w:tr w:rsidRPr="00C32842" w:rsidR="0018120C" w:rsidTr="00E13391" w14:paraId="75FA7713" w14:textId="77777777">
        <w:trPr>
          <w:trHeight w:val="300"/>
        </w:trPr>
        <w:tc>
          <w:tcPr>
            <w:tcW w:w="6804" w:type="dxa"/>
            <w:tcBorders>
              <w:left w:val="nil"/>
              <w:bottom w:val="single" w:color="auto" w:sz="4" w:space="0"/>
              <w:right w:val="nil"/>
            </w:tcBorders>
            <w:noWrap/>
            <w:hideMark/>
          </w:tcPr>
          <w:p w:rsidRPr="00C32842" w:rsidR="0018120C" w:rsidP="00E13391" w:rsidRDefault="0018120C" w14:paraId="66B84BDC" w14:textId="77777777">
            <w:pPr>
              <w:ind w:firstLine="200" w:firstLineChars="100"/>
              <w:rPr>
                <w:rFonts w:ascii="Arial" w:hAnsi="Arial" w:eastAsia="Times New Roman" w:cs="Arial"/>
                <w:sz w:val="20"/>
                <w:szCs w:val="20"/>
              </w:rPr>
            </w:pPr>
            <w:r w:rsidRPr="00C32842">
              <w:rPr>
                <w:rFonts w:ascii="Arial" w:hAnsi="Arial"/>
                <w:sz w:val="20"/>
              </w:rPr>
              <w:t xml:space="preserve">a. Indikator für Vermögenswerte der Stufe 3, einschließlich Versicherungstochtergesellschaften </w:t>
            </w:r>
          </w:p>
        </w:tc>
        <w:tc>
          <w:tcPr>
            <w:tcW w:w="2745" w:type="dxa"/>
            <w:tcBorders>
              <w:left w:val="nil"/>
              <w:bottom w:val="single" w:color="auto" w:sz="4" w:space="0"/>
              <w:right w:val="nil"/>
            </w:tcBorders>
            <w:noWrap/>
            <w:hideMark/>
          </w:tcPr>
          <w:p w:rsidRPr="00C32842" w:rsidR="0018120C" w:rsidP="00E13391" w:rsidRDefault="0018120C" w14:paraId="4743254B"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23DCD5E0" w14:textId="77777777">
        <w:trPr>
          <w:trHeight w:val="300"/>
        </w:trPr>
        <w:tc>
          <w:tcPr>
            <w:tcW w:w="6804" w:type="dxa"/>
            <w:tcBorders>
              <w:left w:val="nil"/>
              <w:bottom w:val="nil"/>
              <w:right w:val="nil"/>
            </w:tcBorders>
            <w:noWrap/>
          </w:tcPr>
          <w:p w:rsidRPr="00C32842" w:rsidR="0018120C" w:rsidP="00E13391" w:rsidRDefault="0018120C" w14:paraId="24B70306" w14:textId="77777777">
            <w:pPr>
              <w:ind w:firstLine="200" w:firstLineChars="100"/>
              <w:rPr>
                <w:rFonts w:ascii="Arial" w:hAnsi="Arial" w:eastAsia="Times New Roman" w:cs="Arial"/>
                <w:sz w:val="20"/>
                <w:szCs w:val="20"/>
                <w:lang w:eastAsia="en-GB"/>
              </w:rPr>
            </w:pPr>
          </w:p>
        </w:tc>
        <w:tc>
          <w:tcPr>
            <w:tcW w:w="2745" w:type="dxa"/>
            <w:tcBorders>
              <w:left w:val="nil"/>
              <w:bottom w:val="nil"/>
              <w:right w:val="nil"/>
            </w:tcBorders>
            <w:noWrap/>
          </w:tcPr>
          <w:p w:rsidRPr="00C32842" w:rsidR="0018120C" w:rsidP="00E13391" w:rsidRDefault="0018120C" w14:paraId="1BFBBF0B" w14:textId="77777777">
            <w:pPr>
              <w:jc w:val="right"/>
              <w:rPr>
                <w:rFonts w:ascii="Arial" w:hAnsi="Arial" w:eastAsia="Times New Roman" w:cs="Arial"/>
                <w:sz w:val="20"/>
                <w:szCs w:val="20"/>
                <w:lang w:eastAsia="en-GB"/>
              </w:rPr>
            </w:pPr>
          </w:p>
        </w:tc>
      </w:tr>
      <w:tr w:rsidRPr="00C32842" w:rsidR="0018120C" w:rsidTr="00E13391" w14:paraId="5E84A6B3" w14:textId="77777777">
        <w:trPr>
          <w:trHeight w:val="300"/>
        </w:trPr>
        <w:tc>
          <w:tcPr>
            <w:tcW w:w="6804" w:type="dxa"/>
            <w:tcBorders>
              <w:top w:val="nil"/>
              <w:left w:val="nil"/>
              <w:bottom w:val="nil"/>
              <w:right w:val="nil"/>
            </w:tcBorders>
            <w:noWrap/>
          </w:tcPr>
          <w:p w:rsidRPr="00C32842" w:rsidR="0018120C" w:rsidP="00E13391" w:rsidRDefault="0018120C" w14:paraId="6A05B3C9" w14:textId="77777777">
            <w:pPr>
              <w:ind w:firstLine="221" w:firstLineChars="100"/>
              <w:rPr>
                <w:rFonts w:ascii="Arial" w:hAnsi="Arial" w:eastAsia="Times New Roman" w:cs="Arial"/>
                <w:sz w:val="20"/>
                <w:szCs w:val="20"/>
              </w:rPr>
            </w:pPr>
            <w:r w:rsidRPr="00C32842">
              <w:rPr>
                <w:rFonts w:asciiTheme="majorHAnsi" w:hAnsiTheme="majorHAnsi"/>
                <w:b/>
                <w:i/>
                <w:caps/>
              </w:rPr>
              <w:t>Indikatoren für GrenzüberschreitendE Geschäfte</w:t>
            </w:r>
          </w:p>
        </w:tc>
        <w:tc>
          <w:tcPr>
            <w:tcW w:w="2745" w:type="dxa"/>
            <w:tcBorders>
              <w:top w:val="nil"/>
              <w:left w:val="nil"/>
              <w:bottom w:val="nil"/>
              <w:right w:val="nil"/>
            </w:tcBorders>
            <w:noWrap/>
          </w:tcPr>
          <w:p w:rsidRPr="00C32842" w:rsidR="0018120C" w:rsidP="00E13391" w:rsidRDefault="0018120C" w14:paraId="77CF15CF" w14:textId="77777777">
            <w:pPr>
              <w:jc w:val="right"/>
              <w:rPr>
                <w:rFonts w:ascii="Arial" w:hAnsi="Arial" w:eastAsia="Times New Roman" w:cs="Arial"/>
                <w:sz w:val="20"/>
                <w:szCs w:val="20"/>
                <w:lang w:eastAsia="en-GB"/>
              </w:rPr>
            </w:pPr>
          </w:p>
        </w:tc>
      </w:tr>
      <w:tr w:rsidRPr="00C32842" w:rsidR="0018120C" w:rsidTr="00E13391" w14:paraId="47219E50" w14:textId="77777777">
        <w:trPr>
          <w:trHeight w:val="300"/>
        </w:trPr>
        <w:tc>
          <w:tcPr>
            <w:tcW w:w="6804" w:type="dxa"/>
            <w:tcBorders>
              <w:top w:val="nil"/>
              <w:left w:val="nil"/>
              <w:bottom w:val="single" w:color="auto" w:sz="4" w:space="0"/>
              <w:right w:val="nil"/>
            </w:tcBorders>
            <w:noWrap/>
          </w:tcPr>
          <w:p w:rsidRPr="00C32842" w:rsidR="0018120C" w:rsidP="00E13391" w:rsidRDefault="0018120C" w14:paraId="21FC0EA6" w14:textId="77777777">
            <w:pPr>
              <w:ind w:firstLine="200" w:firstLineChars="100"/>
              <w:rPr>
                <w:rFonts w:ascii="Arial" w:hAnsi="Arial" w:eastAsia="Times New Roman" w:cs="Arial"/>
                <w:sz w:val="20"/>
                <w:szCs w:val="20"/>
                <w:lang w:eastAsia="en-GB"/>
              </w:rPr>
            </w:pPr>
          </w:p>
        </w:tc>
        <w:tc>
          <w:tcPr>
            <w:tcW w:w="2745" w:type="dxa"/>
            <w:tcBorders>
              <w:top w:val="nil"/>
              <w:left w:val="nil"/>
              <w:bottom w:val="single" w:color="auto" w:sz="4" w:space="0"/>
              <w:right w:val="nil"/>
            </w:tcBorders>
            <w:noWrap/>
          </w:tcPr>
          <w:p w:rsidRPr="00C32842" w:rsidR="0018120C" w:rsidP="00E13391" w:rsidRDefault="0018120C" w14:paraId="5DCAC62D" w14:textId="77777777">
            <w:pPr>
              <w:jc w:val="right"/>
              <w:rPr>
                <w:rFonts w:ascii="Arial" w:hAnsi="Arial" w:eastAsia="Times New Roman" w:cs="Arial"/>
                <w:sz w:val="20"/>
                <w:szCs w:val="20"/>
                <w:lang w:eastAsia="en-GB"/>
              </w:rPr>
            </w:pPr>
          </w:p>
        </w:tc>
      </w:tr>
      <w:tr w:rsidRPr="00C32842" w:rsidR="0018120C" w:rsidTr="00E13391" w14:paraId="6A373BE7" w14:textId="77777777">
        <w:trPr>
          <w:trHeight w:val="300"/>
        </w:trPr>
        <w:tc>
          <w:tcPr>
            <w:tcW w:w="6804" w:type="dxa"/>
            <w:tcBorders>
              <w:left w:val="nil"/>
              <w:bottom w:val="single" w:color="auto" w:sz="4" w:space="0"/>
              <w:right w:val="nil"/>
            </w:tcBorders>
            <w:noWrap/>
            <w:hideMark/>
          </w:tcPr>
          <w:p w:rsidRPr="00C32842" w:rsidR="0018120C" w:rsidP="00E13391" w:rsidRDefault="0018120C" w14:paraId="6FC34777" w14:textId="77777777">
            <w:pPr>
              <w:rPr>
                <w:rFonts w:ascii="Arial" w:hAnsi="Arial" w:eastAsia="Times New Roman" w:cs="Arial"/>
                <w:b/>
                <w:bCs/>
                <w:sz w:val="20"/>
                <w:szCs w:val="20"/>
              </w:rPr>
            </w:pPr>
            <w:r w:rsidRPr="00C32842">
              <w:rPr>
                <w:rFonts w:ascii="Arial" w:hAnsi="Arial"/>
                <w:b/>
                <w:sz w:val="20"/>
              </w:rPr>
              <w:lastRenderedPageBreak/>
              <w:t>Abschnitt 13 – Grenzüberschreitende Forderungen</w:t>
            </w:r>
          </w:p>
        </w:tc>
        <w:tc>
          <w:tcPr>
            <w:tcW w:w="2745" w:type="dxa"/>
            <w:tcBorders>
              <w:left w:val="nil"/>
              <w:bottom w:val="single" w:color="auto" w:sz="4" w:space="0"/>
              <w:right w:val="nil"/>
            </w:tcBorders>
            <w:hideMark/>
          </w:tcPr>
          <w:p w:rsidRPr="00C32842" w:rsidR="0018120C" w:rsidP="00E13391" w:rsidRDefault="0018120C" w14:paraId="3199895B" w14:textId="77777777">
            <w:pPr>
              <w:jc w:val="center"/>
              <w:rPr>
                <w:rFonts w:ascii="Arial" w:hAnsi="Arial" w:eastAsia="Times New Roman" w:cs="Arial"/>
                <w:b/>
                <w:bCs/>
                <w:sz w:val="20"/>
                <w:szCs w:val="20"/>
              </w:rPr>
            </w:pPr>
            <w:r w:rsidRPr="00C32842">
              <w:rPr>
                <w:rFonts w:ascii="Arial" w:hAnsi="Arial"/>
                <w:b/>
                <w:sz w:val="20"/>
              </w:rPr>
              <w:t>Betrag</w:t>
            </w:r>
          </w:p>
        </w:tc>
      </w:tr>
      <w:tr w:rsidRPr="00C32842" w:rsidR="0018120C" w:rsidTr="00E13391" w14:paraId="257624DF" w14:textId="77777777">
        <w:trPr>
          <w:trHeight w:val="300"/>
        </w:trPr>
        <w:tc>
          <w:tcPr>
            <w:tcW w:w="6804" w:type="dxa"/>
            <w:tcBorders>
              <w:left w:val="nil"/>
              <w:right w:val="nil"/>
            </w:tcBorders>
            <w:noWrap/>
            <w:hideMark/>
          </w:tcPr>
          <w:p w:rsidRPr="00C32842" w:rsidR="0018120C" w:rsidP="00E13391" w:rsidRDefault="0018120C" w14:paraId="6401F092" w14:textId="77777777">
            <w:pPr>
              <w:ind w:firstLine="200" w:firstLineChars="100"/>
              <w:rPr>
                <w:rFonts w:ascii="Arial" w:hAnsi="Arial" w:eastAsia="Times New Roman" w:cs="Arial"/>
                <w:sz w:val="20"/>
                <w:szCs w:val="20"/>
              </w:rPr>
            </w:pPr>
            <w:r w:rsidRPr="00C32842">
              <w:rPr>
                <w:rFonts w:ascii="Arial" w:hAnsi="Arial"/>
                <w:sz w:val="20"/>
              </w:rPr>
              <w:t>a. Gesamte ausländische Forderungen auf Basis des letztlichen Risikos</w:t>
            </w:r>
          </w:p>
        </w:tc>
        <w:tc>
          <w:tcPr>
            <w:tcW w:w="2745" w:type="dxa"/>
            <w:tcBorders>
              <w:left w:val="nil"/>
              <w:right w:val="nil"/>
            </w:tcBorders>
            <w:noWrap/>
            <w:hideMark/>
          </w:tcPr>
          <w:p w:rsidRPr="00C32842" w:rsidR="0018120C" w:rsidP="00E13391" w:rsidRDefault="0018120C" w14:paraId="39770135"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7EC54B59" w14:textId="77777777">
        <w:trPr>
          <w:trHeight w:val="300"/>
        </w:trPr>
        <w:tc>
          <w:tcPr>
            <w:tcW w:w="6804" w:type="dxa"/>
            <w:tcBorders>
              <w:left w:val="nil"/>
              <w:right w:val="nil"/>
            </w:tcBorders>
            <w:noWrap/>
            <w:hideMark/>
          </w:tcPr>
          <w:p w:rsidRPr="00C32842" w:rsidR="0018120C" w:rsidP="00E13391" w:rsidRDefault="0018120C" w14:paraId="407157F4" w14:textId="77777777">
            <w:pPr>
              <w:ind w:firstLine="200" w:firstLineChars="100"/>
              <w:rPr>
                <w:rFonts w:ascii="Arial" w:hAnsi="Arial" w:eastAsia="Times New Roman" w:cs="Arial"/>
                <w:sz w:val="20"/>
                <w:szCs w:val="20"/>
              </w:rPr>
            </w:pPr>
            <w:r w:rsidRPr="00C32842">
              <w:rPr>
                <w:rFonts w:ascii="Arial" w:hAnsi="Arial"/>
                <w:sz w:val="20"/>
              </w:rPr>
              <w:t>b. Ausländische derivative Forderungen auf Basis des letztlichen Risikos</w:t>
            </w:r>
          </w:p>
        </w:tc>
        <w:tc>
          <w:tcPr>
            <w:tcW w:w="2745" w:type="dxa"/>
            <w:tcBorders>
              <w:left w:val="nil"/>
              <w:right w:val="nil"/>
            </w:tcBorders>
            <w:noWrap/>
            <w:hideMark/>
          </w:tcPr>
          <w:p w:rsidRPr="00C32842" w:rsidR="0018120C" w:rsidP="00E13391" w:rsidRDefault="0018120C" w14:paraId="5747F66B"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00537640" w14:textId="77777777">
        <w:trPr>
          <w:gridAfter w:val="1"/>
          <w:wAfter w:w="2745" w:type="dxa"/>
          <w:trHeight w:val="300"/>
        </w:trPr>
        <w:tc>
          <w:tcPr>
            <w:tcW w:w="6804" w:type="dxa"/>
            <w:tcBorders>
              <w:left w:val="nil"/>
              <w:bottom w:val="single" w:color="auto" w:sz="4" w:space="0"/>
              <w:right w:val="nil"/>
            </w:tcBorders>
            <w:hideMark/>
          </w:tcPr>
          <w:p w:rsidRPr="00C32842" w:rsidR="0018120C" w:rsidP="00E13391" w:rsidRDefault="0018120C" w14:paraId="71E8856C" w14:textId="77777777">
            <w:pPr>
              <w:ind w:firstLine="200" w:firstLineChars="100"/>
              <w:rPr>
                <w:rFonts w:ascii="Arial" w:hAnsi="Arial" w:eastAsia="Times New Roman" w:cs="Arial"/>
                <w:sz w:val="20"/>
                <w:szCs w:val="20"/>
              </w:rPr>
            </w:pPr>
            <w:r w:rsidRPr="00C32842">
              <w:rPr>
                <w:rFonts w:ascii="Arial" w:hAnsi="Arial"/>
                <w:sz w:val="20"/>
              </w:rPr>
              <w:t>c. Indikator für grenzüberschreitende Forderungen (Summe aus den Positionen 13.a) und 13.b)</w:t>
            </w:r>
          </w:p>
        </w:tc>
      </w:tr>
      <w:tr w:rsidRPr="00C32842" w:rsidR="0018120C" w:rsidTr="00E13391" w14:paraId="5E321A7D" w14:textId="77777777">
        <w:trPr>
          <w:trHeight w:val="300"/>
        </w:trPr>
        <w:tc>
          <w:tcPr>
            <w:tcW w:w="6804" w:type="dxa"/>
            <w:tcBorders>
              <w:left w:val="nil"/>
              <w:bottom w:val="nil"/>
              <w:right w:val="nil"/>
            </w:tcBorders>
            <w:noWrap/>
          </w:tcPr>
          <w:p w:rsidRPr="00C32842" w:rsidR="0018120C" w:rsidP="00E13391" w:rsidRDefault="0018120C" w14:paraId="1CEC2C06"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C32842" w:rsidR="0018120C" w:rsidP="00E13391" w:rsidRDefault="0018120C" w14:paraId="2B61B38E" w14:textId="77777777">
            <w:pPr>
              <w:jc w:val="center"/>
              <w:rPr>
                <w:rFonts w:ascii="Arial" w:hAnsi="Arial" w:eastAsia="Times New Roman" w:cs="Arial"/>
                <w:b/>
                <w:bCs/>
                <w:sz w:val="20"/>
                <w:szCs w:val="20"/>
                <w:lang w:eastAsia="en-GB"/>
              </w:rPr>
            </w:pPr>
          </w:p>
        </w:tc>
      </w:tr>
      <w:tr w:rsidRPr="00C32842" w:rsidR="0018120C" w:rsidTr="00E13391" w14:paraId="6521E803" w14:textId="77777777">
        <w:trPr>
          <w:trHeight w:val="300"/>
        </w:trPr>
        <w:tc>
          <w:tcPr>
            <w:tcW w:w="6804" w:type="dxa"/>
            <w:tcBorders>
              <w:top w:val="nil"/>
              <w:left w:val="nil"/>
              <w:bottom w:val="single" w:color="auto" w:sz="4" w:space="0"/>
              <w:right w:val="nil"/>
            </w:tcBorders>
            <w:noWrap/>
            <w:hideMark/>
          </w:tcPr>
          <w:p w:rsidRPr="00C32842" w:rsidR="0018120C" w:rsidP="00E13391" w:rsidRDefault="0018120C" w14:paraId="432F0753" w14:textId="77777777">
            <w:pPr>
              <w:rPr>
                <w:rFonts w:ascii="Arial" w:hAnsi="Arial" w:eastAsia="Times New Roman" w:cs="Arial"/>
                <w:b/>
                <w:bCs/>
                <w:sz w:val="20"/>
                <w:szCs w:val="20"/>
              </w:rPr>
            </w:pPr>
            <w:r w:rsidRPr="00C32842">
              <w:rPr>
                <w:rFonts w:ascii="Arial" w:hAnsi="Arial"/>
                <w:b/>
                <w:sz w:val="20"/>
              </w:rPr>
              <w:t>Abschnitt 14 – Grenzüberschreitende Verbindlichkeiten</w:t>
            </w:r>
          </w:p>
        </w:tc>
        <w:tc>
          <w:tcPr>
            <w:tcW w:w="2745" w:type="dxa"/>
            <w:tcBorders>
              <w:top w:val="nil"/>
              <w:left w:val="nil"/>
              <w:right w:val="nil"/>
            </w:tcBorders>
            <w:hideMark/>
          </w:tcPr>
          <w:p w:rsidRPr="00C32842" w:rsidR="0018120C" w:rsidP="00E13391" w:rsidRDefault="0018120C" w14:paraId="7E38D3CA" w14:textId="77777777">
            <w:pPr>
              <w:jc w:val="center"/>
              <w:rPr>
                <w:rFonts w:ascii="Arial" w:hAnsi="Arial" w:eastAsia="Times New Roman" w:cs="Arial"/>
                <w:b/>
                <w:bCs/>
                <w:sz w:val="20"/>
                <w:szCs w:val="20"/>
              </w:rPr>
            </w:pPr>
            <w:r w:rsidRPr="00C32842">
              <w:rPr>
                <w:rFonts w:ascii="Arial" w:hAnsi="Arial"/>
                <w:b/>
                <w:sz w:val="20"/>
              </w:rPr>
              <w:t>Betrag</w:t>
            </w:r>
          </w:p>
        </w:tc>
      </w:tr>
      <w:tr w:rsidRPr="00C32842" w:rsidR="0018120C" w:rsidTr="00E13391" w14:paraId="744A910E" w14:textId="77777777">
        <w:trPr>
          <w:gridAfter w:val="1"/>
          <w:wAfter w:w="2745" w:type="dxa"/>
          <w:trHeight w:val="300"/>
        </w:trPr>
        <w:tc>
          <w:tcPr>
            <w:tcW w:w="6804" w:type="dxa"/>
            <w:tcBorders>
              <w:left w:val="nil"/>
              <w:right w:val="nil"/>
            </w:tcBorders>
            <w:noWrap/>
            <w:hideMark/>
          </w:tcPr>
          <w:p w:rsidRPr="00C32842" w:rsidR="0018120C" w:rsidP="00E13391" w:rsidRDefault="0018120C" w14:paraId="60CEB033" w14:textId="77777777">
            <w:pPr>
              <w:ind w:left="171" w:firstLine="28" w:firstLineChars="14"/>
              <w:rPr>
                <w:rFonts w:ascii="Arial" w:hAnsi="Arial" w:eastAsia="Times New Roman" w:cs="Arial"/>
                <w:sz w:val="20"/>
                <w:szCs w:val="20"/>
              </w:rPr>
            </w:pPr>
            <w:r w:rsidRPr="00C32842">
              <w:rPr>
                <w:rFonts w:ascii="Arial" w:hAnsi="Arial"/>
                <w:sz w:val="20"/>
              </w:rPr>
              <w:t>a. Auslandsverbindlichkeiten auf Basis des unmittelbaren Risikos, ausgenommen Derivate und einschließlich Inlandsverbindlichkeiten in Landeswährung</w:t>
            </w:r>
          </w:p>
        </w:tc>
      </w:tr>
      <w:tr w:rsidRPr="00C32842" w:rsidR="0018120C" w:rsidTr="00E13391" w14:paraId="185CC144" w14:textId="77777777">
        <w:trPr>
          <w:trHeight w:val="300"/>
        </w:trPr>
        <w:tc>
          <w:tcPr>
            <w:tcW w:w="6804" w:type="dxa"/>
            <w:tcBorders>
              <w:left w:val="nil"/>
              <w:right w:val="nil"/>
            </w:tcBorders>
            <w:noWrap/>
            <w:hideMark/>
          </w:tcPr>
          <w:p w:rsidRPr="00C32842" w:rsidR="0018120C" w:rsidP="00E13391" w:rsidRDefault="0018120C" w14:paraId="6BABC1F1" w14:textId="77777777">
            <w:pPr>
              <w:ind w:firstLine="200" w:firstLineChars="100"/>
              <w:rPr>
                <w:rFonts w:ascii="Arial" w:hAnsi="Arial" w:eastAsia="Times New Roman" w:cs="Arial"/>
                <w:sz w:val="20"/>
                <w:szCs w:val="20"/>
              </w:rPr>
            </w:pPr>
            <w:r w:rsidRPr="00C32842">
              <w:rPr>
                <w:rFonts w:ascii="Arial" w:hAnsi="Arial"/>
                <w:sz w:val="20"/>
              </w:rPr>
              <w:t>b. Ausländische derivative Verbindlichkeiten auf Basis des unmittelbaren Risikos</w:t>
            </w:r>
          </w:p>
        </w:tc>
        <w:tc>
          <w:tcPr>
            <w:tcW w:w="2745" w:type="dxa"/>
            <w:tcBorders>
              <w:left w:val="nil"/>
              <w:right w:val="nil"/>
            </w:tcBorders>
            <w:noWrap/>
            <w:hideMark/>
          </w:tcPr>
          <w:p w:rsidRPr="00C32842" w:rsidR="0018120C" w:rsidP="00E13391" w:rsidRDefault="0018120C" w14:paraId="373C1E22"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73BAE5CD" w14:textId="77777777">
        <w:trPr>
          <w:gridAfter w:val="1"/>
          <w:wAfter w:w="2745" w:type="dxa"/>
          <w:trHeight w:val="300"/>
        </w:trPr>
        <w:tc>
          <w:tcPr>
            <w:tcW w:w="6804" w:type="dxa"/>
            <w:tcBorders>
              <w:left w:val="nil"/>
              <w:bottom w:val="single" w:color="auto" w:sz="4" w:space="0"/>
              <w:right w:val="nil"/>
            </w:tcBorders>
            <w:hideMark/>
          </w:tcPr>
          <w:p w:rsidRPr="00C32842" w:rsidR="0018120C" w:rsidP="00E13391" w:rsidRDefault="0018120C" w14:paraId="396F090C" w14:textId="77777777">
            <w:pPr>
              <w:ind w:firstLine="200" w:firstLineChars="100"/>
              <w:rPr>
                <w:rFonts w:ascii="Arial" w:hAnsi="Arial" w:eastAsia="Times New Roman" w:cs="Arial"/>
                <w:sz w:val="20"/>
                <w:szCs w:val="20"/>
              </w:rPr>
            </w:pPr>
            <w:r w:rsidRPr="00C32842">
              <w:rPr>
                <w:rFonts w:ascii="Arial" w:hAnsi="Arial"/>
                <w:sz w:val="20"/>
              </w:rPr>
              <w:t>c. Indikator für grenzüberschreitende Verbindlichkeiten (Summe aus den Positionen 14.a) und 14.b)</w:t>
            </w:r>
          </w:p>
        </w:tc>
      </w:tr>
      <w:tr w:rsidRPr="00C32842" w:rsidR="0018120C" w:rsidTr="00E13391" w14:paraId="722BDCBC" w14:textId="77777777">
        <w:trPr>
          <w:trHeight w:val="300"/>
        </w:trPr>
        <w:tc>
          <w:tcPr>
            <w:tcW w:w="6804" w:type="dxa"/>
            <w:tcBorders>
              <w:left w:val="nil"/>
              <w:bottom w:val="nil"/>
              <w:right w:val="nil"/>
            </w:tcBorders>
            <w:noWrap/>
          </w:tcPr>
          <w:p w:rsidRPr="00C32842" w:rsidR="0018120C" w:rsidP="00E13391" w:rsidRDefault="0018120C" w14:paraId="640EDE82"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C32842" w:rsidR="0018120C" w:rsidP="00E13391" w:rsidRDefault="0018120C" w14:paraId="297B16F1" w14:textId="77777777">
            <w:pPr>
              <w:jc w:val="center"/>
              <w:rPr>
                <w:rFonts w:ascii="Arial" w:hAnsi="Arial" w:eastAsia="Times New Roman" w:cs="Arial"/>
                <w:b/>
                <w:bCs/>
                <w:sz w:val="20"/>
                <w:szCs w:val="20"/>
                <w:lang w:eastAsia="en-GB"/>
              </w:rPr>
            </w:pPr>
          </w:p>
        </w:tc>
      </w:tr>
      <w:tr w:rsidRPr="00C32842" w:rsidR="0018120C" w:rsidTr="00E13391" w14:paraId="1D1AF3B7" w14:textId="77777777">
        <w:trPr>
          <w:trHeight w:val="300"/>
        </w:trPr>
        <w:tc>
          <w:tcPr>
            <w:tcW w:w="6804" w:type="dxa"/>
            <w:tcBorders>
              <w:top w:val="nil"/>
              <w:left w:val="nil"/>
              <w:bottom w:val="nil"/>
              <w:right w:val="nil"/>
            </w:tcBorders>
            <w:noWrap/>
          </w:tcPr>
          <w:p w:rsidRPr="00C32842" w:rsidR="0018120C" w:rsidP="00E13391" w:rsidRDefault="0018120C" w14:paraId="17C0198D" w14:textId="77777777">
            <w:pPr>
              <w:keepNext/>
              <w:keepLines/>
              <w:spacing w:before="47"/>
              <w:outlineLvl w:val="5"/>
              <w:rPr>
                <w:rFonts w:ascii="Arial" w:hAnsi="Arial" w:eastAsia="Times New Roman" w:cs="Arial"/>
                <w:b/>
                <w:bCs/>
                <w:i/>
                <w:iCs/>
                <w:caps/>
                <w:color w:val="172B39" w:themeColor="accent1" w:themeShade="80"/>
                <w:sz w:val="20"/>
                <w:szCs w:val="20"/>
              </w:rPr>
            </w:pPr>
            <w:r w:rsidRPr="00C32842">
              <w:rPr>
                <w:rFonts w:asciiTheme="majorHAnsi" w:hAnsiTheme="majorHAnsi"/>
                <w:b/>
                <w:i/>
                <w:caps/>
              </w:rPr>
              <w:t>Zusätzliche Angaben</w:t>
            </w:r>
          </w:p>
        </w:tc>
        <w:tc>
          <w:tcPr>
            <w:tcW w:w="2745" w:type="dxa"/>
            <w:tcBorders>
              <w:top w:val="nil"/>
              <w:left w:val="nil"/>
              <w:bottom w:val="nil"/>
              <w:right w:val="nil"/>
            </w:tcBorders>
          </w:tcPr>
          <w:p w:rsidRPr="00C32842" w:rsidR="0018120C" w:rsidP="00E13391" w:rsidRDefault="0018120C" w14:paraId="3FA0F670" w14:textId="77777777">
            <w:pPr>
              <w:jc w:val="center"/>
              <w:rPr>
                <w:rFonts w:ascii="Arial" w:hAnsi="Arial" w:eastAsia="Times New Roman" w:cs="Arial"/>
                <w:b/>
                <w:bCs/>
                <w:sz w:val="20"/>
                <w:szCs w:val="20"/>
                <w:lang w:eastAsia="en-GB"/>
              </w:rPr>
            </w:pPr>
          </w:p>
        </w:tc>
      </w:tr>
      <w:tr w:rsidRPr="00C32842" w:rsidR="0018120C" w:rsidTr="00E13391" w14:paraId="0F692391" w14:textId="77777777">
        <w:trPr>
          <w:trHeight w:val="300"/>
        </w:trPr>
        <w:tc>
          <w:tcPr>
            <w:tcW w:w="6804" w:type="dxa"/>
            <w:tcBorders>
              <w:top w:val="nil"/>
              <w:left w:val="nil"/>
              <w:bottom w:val="single" w:color="auto" w:sz="4" w:space="0"/>
              <w:right w:val="nil"/>
            </w:tcBorders>
            <w:noWrap/>
          </w:tcPr>
          <w:p w:rsidRPr="00C32842" w:rsidR="0018120C" w:rsidP="00E13391" w:rsidRDefault="0018120C" w14:paraId="2E0482D5" w14:textId="77777777">
            <w:pPr>
              <w:rPr>
                <w:rFonts w:ascii="Arial" w:hAnsi="Arial" w:eastAsia="Times New Roman" w:cs="Arial"/>
                <w:b/>
                <w:bCs/>
                <w:sz w:val="20"/>
                <w:szCs w:val="20"/>
                <w:lang w:eastAsia="en-GB"/>
              </w:rPr>
            </w:pPr>
          </w:p>
        </w:tc>
        <w:tc>
          <w:tcPr>
            <w:tcW w:w="2745" w:type="dxa"/>
            <w:tcBorders>
              <w:top w:val="nil"/>
              <w:left w:val="nil"/>
              <w:bottom w:val="single" w:color="auto" w:sz="4" w:space="0"/>
              <w:right w:val="nil"/>
            </w:tcBorders>
          </w:tcPr>
          <w:p w:rsidRPr="00C32842" w:rsidR="0018120C" w:rsidP="00E13391" w:rsidRDefault="0018120C" w14:paraId="7E1BE690" w14:textId="77777777">
            <w:pPr>
              <w:jc w:val="center"/>
              <w:rPr>
                <w:rFonts w:ascii="Arial" w:hAnsi="Arial" w:eastAsia="Times New Roman" w:cs="Arial"/>
                <w:b/>
                <w:bCs/>
                <w:sz w:val="20"/>
                <w:szCs w:val="20"/>
                <w:lang w:eastAsia="en-GB"/>
              </w:rPr>
            </w:pPr>
          </w:p>
        </w:tc>
      </w:tr>
      <w:tr w:rsidRPr="00C32842" w:rsidR="0018120C" w:rsidTr="00E13391" w14:paraId="0570D4E9" w14:textId="77777777">
        <w:trPr>
          <w:trHeight w:val="300"/>
        </w:trPr>
        <w:tc>
          <w:tcPr>
            <w:tcW w:w="6804" w:type="dxa"/>
            <w:tcBorders>
              <w:left w:val="nil"/>
              <w:bottom w:val="single" w:color="auto" w:sz="4" w:space="0"/>
              <w:right w:val="nil"/>
            </w:tcBorders>
            <w:noWrap/>
            <w:hideMark/>
          </w:tcPr>
          <w:p w:rsidRPr="00C32842" w:rsidR="0018120C" w:rsidP="00E13391" w:rsidRDefault="0018120C" w14:paraId="4F8631E4" w14:textId="77777777">
            <w:pPr>
              <w:rPr>
                <w:rFonts w:ascii="Arial" w:hAnsi="Arial" w:eastAsia="Times New Roman" w:cs="Arial"/>
                <w:b/>
                <w:bCs/>
                <w:sz w:val="20"/>
                <w:szCs w:val="20"/>
              </w:rPr>
            </w:pPr>
            <w:r w:rsidRPr="00C32842">
              <w:rPr>
                <w:rFonts w:ascii="Arial" w:hAnsi="Arial"/>
                <w:b/>
                <w:sz w:val="20"/>
              </w:rPr>
              <w:t>Abschnitt 15 – Hilfsindikatoren</w:t>
            </w:r>
          </w:p>
        </w:tc>
        <w:tc>
          <w:tcPr>
            <w:tcW w:w="2745" w:type="dxa"/>
            <w:tcBorders>
              <w:left w:val="nil"/>
              <w:bottom w:val="single" w:color="auto" w:sz="4" w:space="0"/>
              <w:right w:val="nil"/>
            </w:tcBorders>
            <w:hideMark/>
          </w:tcPr>
          <w:p w:rsidRPr="00C32842" w:rsidR="0018120C" w:rsidP="00E13391" w:rsidRDefault="0018120C" w14:paraId="6A34C4DA" w14:textId="77777777">
            <w:pPr>
              <w:jc w:val="center"/>
              <w:rPr>
                <w:rFonts w:ascii="Arial" w:hAnsi="Arial" w:eastAsia="Times New Roman" w:cs="Arial"/>
                <w:b/>
                <w:bCs/>
                <w:sz w:val="20"/>
                <w:szCs w:val="20"/>
              </w:rPr>
            </w:pPr>
            <w:r w:rsidRPr="00C32842">
              <w:rPr>
                <w:rFonts w:ascii="Arial" w:hAnsi="Arial"/>
                <w:b/>
                <w:sz w:val="20"/>
              </w:rPr>
              <w:t>Betrag</w:t>
            </w:r>
          </w:p>
        </w:tc>
      </w:tr>
      <w:tr w:rsidRPr="00C32842" w:rsidR="0018120C" w:rsidTr="00E13391" w14:paraId="3B3F6C35" w14:textId="77777777">
        <w:trPr>
          <w:trHeight w:val="300"/>
        </w:trPr>
        <w:tc>
          <w:tcPr>
            <w:tcW w:w="6804" w:type="dxa"/>
            <w:tcBorders>
              <w:left w:val="nil"/>
              <w:right w:val="nil"/>
            </w:tcBorders>
            <w:noWrap/>
            <w:hideMark/>
          </w:tcPr>
          <w:p w:rsidRPr="00C32842" w:rsidR="0018120C" w:rsidP="00E13391" w:rsidRDefault="0018120C" w14:paraId="54A4AFD5" w14:textId="77777777">
            <w:pPr>
              <w:ind w:firstLine="200" w:firstLineChars="100"/>
              <w:rPr>
                <w:rFonts w:ascii="Arial" w:hAnsi="Arial" w:eastAsia="Times New Roman" w:cs="Arial"/>
                <w:sz w:val="20"/>
                <w:szCs w:val="20"/>
              </w:rPr>
            </w:pPr>
            <w:r w:rsidRPr="00C32842">
              <w:rPr>
                <w:rFonts w:ascii="Arial" w:hAnsi="Arial"/>
                <w:sz w:val="20"/>
              </w:rPr>
              <w:t>a. Gesamtverbindlichkeiten</w:t>
            </w:r>
          </w:p>
        </w:tc>
        <w:tc>
          <w:tcPr>
            <w:tcW w:w="2745" w:type="dxa"/>
            <w:tcBorders>
              <w:left w:val="nil"/>
              <w:right w:val="nil"/>
            </w:tcBorders>
            <w:noWrap/>
            <w:hideMark/>
          </w:tcPr>
          <w:p w:rsidRPr="00C32842" w:rsidR="0018120C" w:rsidP="00E13391" w:rsidRDefault="0018120C" w14:paraId="4CFA5944"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7200A394" w14:textId="77777777">
        <w:trPr>
          <w:trHeight w:val="300"/>
        </w:trPr>
        <w:tc>
          <w:tcPr>
            <w:tcW w:w="6804" w:type="dxa"/>
            <w:tcBorders>
              <w:left w:val="nil"/>
              <w:right w:val="nil"/>
            </w:tcBorders>
            <w:noWrap/>
            <w:hideMark/>
          </w:tcPr>
          <w:p w:rsidRPr="00C32842" w:rsidR="0018120C" w:rsidP="00E13391" w:rsidRDefault="0018120C" w14:paraId="0B26F351" w14:textId="77777777">
            <w:pPr>
              <w:ind w:firstLine="200" w:firstLineChars="100"/>
              <w:rPr>
                <w:rFonts w:ascii="Arial" w:hAnsi="Arial" w:eastAsia="Times New Roman" w:cs="Arial"/>
                <w:sz w:val="20"/>
                <w:szCs w:val="20"/>
              </w:rPr>
            </w:pPr>
            <w:r w:rsidRPr="00C32842">
              <w:rPr>
                <w:rFonts w:ascii="Arial" w:hAnsi="Arial"/>
                <w:sz w:val="20"/>
              </w:rPr>
              <w:t>b. Retail-Funding</w:t>
            </w:r>
          </w:p>
        </w:tc>
        <w:tc>
          <w:tcPr>
            <w:tcW w:w="2745" w:type="dxa"/>
            <w:tcBorders>
              <w:left w:val="nil"/>
              <w:right w:val="nil"/>
            </w:tcBorders>
            <w:noWrap/>
            <w:hideMark/>
          </w:tcPr>
          <w:p w:rsidRPr="00C32842" w:rsidR="0018120C" w:rsidP="00E13391" w:rsidRDefault="0018120C" w14:paraId="70511788"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483087D2" w14:textId="77777777">
        <w:trPr>
          <w:gridAfter w:val="1"/>
          <w:wAfter w:w="2745" w:type="dxa"/>
          <w:trHeight w:val="540"/>
        </w:trPr>
        <w:tc>
          <w:tcPr>
            <w:tcW w:w="6804" w:type="dxa"/>
            <w:tcBorders>
              <w:left w:val="nil"/>
              <w:right w:val="nil"/>
            </w:tcBorders>
            <w:noWrap/>
            <w:hideMark/>
          </w:tcPr>
          <w:p w:rsidRPr="00C32842" w:rsidR="0018120C" w:rsidP="00E13391" w:rsidRDefault="0018120C" w14:paraId="1D90699E" w14:textId="77777777">
            <w:pPr>
              <w:ind w:left="171"/>
              <w:rPr>
                <w:rFonts w:ascii="Arial" w:hAnsi="Arial" w:eastAsia="Times New Roman" w:cs="Arial"/>
                <w:sz w:val="20"/>
                <w:szCs w:val="20"/>
              </w:rPr>
            </w:pPr>
            <w:r w:rsidRPr="00C32842">
              <w:rPr>
                <w:rFonts w:ascii="Arial" w:hAnsi="Arial"/>
                <w:sz w:val="20"/>
              </w:rPr>
              <w:t>c. Kennzahl der Abhängigkeit vom Wholesale-Funding (Differenz zwischen den Positionen 15.a) und 15.b), dividiert durch 15.a))</w:t>
            </w:r>
          </w:p>
        </w:tc>
      </w:tr>
      <w:tr w:rsidRPr="00C32842" w:rsidR="0018120C" w:rsidTr="00E13391" w14:paraId="5516FE3F" w14:textId="77777777">
        <w:trPr>
          <w:trHeight w:val="300"/>
        </w:trPr>
        <w:tc>
          <w:tcPr>
            <w:tcW w:w="6804" w:type="dxa"/>
            <w:tcBorders>
              <w:left w:val="nil"/>
              <w:right w:val="nil"/>
            </w:tcBorders>
            <w:noWrap/>
            <w:hideMark/>
          </w:tcPr>
          <w:p w:rsidRPr="00C32842" w:rsidR="0018120C" w:rsidP="00E13391" w:rsidRDefault="0018120C" w14:paraId="08D770B0" w14:textId="77777777">
            <w:pPr>
              <w:ind w:firstLine="200" w:firstLineChars="100"/>
              <w:rPr>
                <w:rFonts w:ascii="Arial" w:hAnsi="Arial" w:eastAsia="Times New Roman" w:cs="Arial"/>
                <w:sz w:val="20"/>
                <w:szCs w:val="20"/>
              </w:rPr>
            </w:pPr>
            <w:r w:rsidRPr="00C32842">
              <w:rPr>
                <w:rFonts w:ascii="Arial" w:hAnsi="Arial"/>
                <w:sz w:val="20"/>
              </w:rPr>
              <w:t>d. Bruttoumsatz insgesamt</w:t>
            </w:r>
          </w:p>
        </w:tc>
        <w:tc>
          <w:tcPr>
            <w:tcW w:w="2745" w:type="dxa"/>
            <w:tcBorders>
              <w:left w:val="nil"/>
              <w:right w:val="nil"/>
            </w:tcBorders>
            <w:noWrap/>
            <w:hideMark/>
          </w:tcPr>
          <w:p w:rsidRPr="00C32842" w:rsidR="0018120C" w:rsidP="00E13391" w:rsidRDefault="0018120C" w14:paraId="4C0ACAE8"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32D19F23" w14:textId="77777777">
        <w:trPr>
          <w:trHeight w:val="300"/>
        </w:trPr>
        <w:tc>
          <w:tcPr>
            <w:tcW w:w="6804" w:type="dxa"/>
            <w:tcBorders>
              <w:left w:val="nil"/>
              <w:right w:val="nil"/>
            </w:tcBorders>
            <w:noWrap/>
            <w:hideMark/>
          </w:tcPr>
          <w:p w:rsidRPr="00C32842" w:rsidR="0018120C" w:rsidP="00E13391" w:rsidRDefault="0018120C" w14:paraId="6E249A2A" w14:textId="77777777">
            <w:pPr>
              <w:ind w:firstLine="200" w:firstLineChars="100"/>
              <w:rPr>
                <w:rFonts w:ascii="Arial" w:hAnsi="Arial" w:eastAsia="Times New Roman" w:cs="Arial"/>
                <w:sz w:val="20"/>
                <w:szCs w:val="20"/>
              </w:rPr>
            </w:pPr>
            <w:r w:rsidRPr="00C32842">
              <w:rPr>
                <w:rFonts w:ascii="Arial" w:hAnsi="Arial"/>
                <w:sz w:val="20"/>
              </w:rPr>
              <w:t>e. Nettoumsatz insgesamt</w:t>
            </w:r>
          </w:p>
        </w:tc>
        <w:tc>
          <w:tcPr>
            <w:tcW w:w="2745" w:type="dxa"/>
            <w:tcBorders>
              <w:left w:val="nil"/>
              <w:right w:val="nil"/>
            </w:tcBorders>
            <w:noWrap/>
            <w:hideMark/>
          </w:tcPr>
          <w:p w:rsidRPr="00C32842" w:rsidR="0018120C" w:rsidP="00E13391" w:rsidRDefault="0018120C" w14:paraId="0D3B30F3"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6A3F7769" w14:textId="77777777">
        <w:trPr>
          <w:trHeight w:val="300"/>
        </w:trPr>
        <w:tc>
          <w:tcPr>
            <w:tcW w:w="6804" w:type="dxa"/>
            <w:tcBorders>
              <w:left w:val="nil"/>
              <w:right w:val="nil"/>
            </w:tcBorders>
            <w:noWrap/>
            <w:hideMark/>
          </w:tcPr>
          <w:p w:rsidRPr="00C32842" w:rsidR="0018120C" w:rsidP="00E13391" w:rsidRDefault="0018120C" w14:paraId="2ED2D8C8" w14:textId="77777777">
            <w:pPr>
              <w:ind w:firstLine="200" w:firstLineChars="100"/>
              <w:rPr>
                <w:rFonts w:ascii="Arial" w:hAnsi="Arial" w:eastAsia="Times New Roman" w:cs="Arial"/>
                <w:sz w:val="20"/>
                <w:szCs w:val="20"/>
              </w:rPr>
            </w:pPr>
            <w:r w:rsidRPr="00C32842">
              <w:rPr>
                <w:rFonts w:ascii="Arial" w:hAnsi="Arial"/>
                <w:sz w:val="20"/>
              </w:rPr>
              <w:t>f. Netto-Auslandsumsatz</w:t>
            </w:r>
          </w:p>
        </w:tc>
        <w:tc>
          <w:tcPr>
            <w:tcW w:w="2745" w:type="dxa"/>
            <w:tcBorders>
              <w:left w:val="nil"/>
              <w:right w:val="nil"/>
            </w:tcBorders>
            <w:noWrap/>
            <w:hideMark/>
          </w:tcPr>
          <w:p w:rsidRPr="00C32842" w:rsidR="0018120C" w:rsidP="00E13391" w:rsidRDefault="0018120C" w14:paraId="69D34D0A"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6189D3ED" w14:textId="77777777">
        <w:trPr>
          <w:trHeight w:val="300"/>
        </w:trPr>
        <w:tc>
          <w:tcPr>
            <w:tcW w:w="6804" w:type="dxa"/>
            <w:tcBorders>
              <w:left w:val="nil"/>
              <w:right w:val="nil"/>
            </w:tcBorders>
            <w:noWrap/>
          </w:tcPr>
          <w:p w:rsidRPr="00C32842" w:rsidR="0018120C" w:rsidP="00E13391" w:rsidRDefault="0018120C" w14:paraId="1FD4DDE0" w14:textId="77777777">
            <w:pPr>
              <w:ind w:left="171"/>
              <w:rPr>
                <w:rFonts w:ascii="Arial" w:hAnsi="Arial" w:eastAsia="Times New Roman" w:cs="Arial"/>
                <w:sz w:val="20"/>
                <w:szCs w:val="20"/>
              </w:rPr>
            </w:pPr>
            <w:r w:rsidRPr="00C32842">
              <w:rPr>
                <w:rFonts w:ascii="Arial" w:hAnsi="Arial"/>
                <w:sz w:val="20"/>
              </w:rPr>
              <w:t>g. Bruttowert bereitgestellter Geldmittel und Bruttozeitwert in SFT bereitgestellter Sicherheiten</w:t>
            </w:r>
          </w:p>
        </w:tc>
        <w:tc>
          <w:tcPr>
            <w:tcW w:w="2745" w:type="dxa"/>
            <w:tcBorders>
              <w:left w:val="nil"/>
              <w:right w:val="nil"/>
            </w:tcBorders>
            <w:noWrap/>
          </w:tcPr>
          <w:p w:rsidRPr="00C32842" w:rsidR="0018120C" w:rsidP="00E13391" w:rsidRDefault="0018120C" w14:paraId="44508EFA" w14:textId="77777777">
            <w:pPr>
              <w:jc w:val="right"/>
              <w:rPr>
                <w:rFonts w:ascii="Arial" w:hAnsi="Arial" w:eastAsia="Times New Roman" w:cs="Arial"/>
                <w:sz w:val="20"/>
                <w:szCs w:val="20"/>
                <w:lang w:eastAsia="en-GB"/>
              </w:rPr>
            </w:pPr>
          </w:p>
        </w:tc>
      </w:tr>
      <w:tr w:rsidRPr="00C32842" w:rsidR="0018120C" w:rsidTr="00E13391" w14:paraId="4AD77249" w14:textId="77777777">
        <w:trPr>
          <w:trHeight w:val="300"/>
        </w:trPr>
        <w:tc>
          <w:tcPr>
            <w:tcW w:w="6804" w:type="dxa"/>
            <w:tcBorders>
              <w:left w:val="nil"/>
              <w:right w:val="nil"/>
            </w:tcBorders>
            <w:noWrap/>
          </w:tcPr>
          <w:p w:rsidRPr="00C32842" w:rsidR="0018120C" w:rsidP="00E13391" w:rsidRDefault="0018120C" w14:paraId="7F941365" w14:textId="77777777">
            <w:pPr>
              <w:ind w:left="171"/>
              <w:rPr>
                <w:rFonts w:ascii="Arial" w:hAnsi="Arial" w:eastAsia="Times New Roman" w:cs="Arial"/>
                <w:sz w:val="20"/>
                <w:szCs w:val="20"/>
              </w:rPr>
            </w:pPr>
            <w:r w:rsidRPr="00C32842">
              <w:rPr>
                <w:rFonts w:ascii="Arial" w:hAnsi="Arial"/>
                <w:sz w:val="20"/>
              </w:rPr>
              <w:t>h. Bruttowert entliehener Geldmittel und Bruttozeitwert in SFT entliehener Sicherheiten</w:t>
            </w:r>
          </w:p>
        </w:tc>
        <w:tc>
          <w:tcPr>
            <w:tcW w:w="2745" w:type="dxa"/>
            <w:tcBorders>
              <w:left w:val="nil"/>
              <w:right w:val="nil"/>
            </w:tcBorders>
            <w:noWrap/>
          </w:tcPr>
          <w:p w:rsidRPr="00C32842" w:rsidR="0018120C" w:rsidP="00E13391" w:rsidRDefault="0018120C" w14:paraId="6EB903E6" w14:textId="77777777">
            <w:pPr>
              <w:jc w:val="right"/>
              <w:rPr>
                <w:rFonts w:ascii="Arial" w:hAnsi="Arial" w:eastAsia="Times New Roman" w:cs="Arial"/>
                <w:sz w:val="20"/>
                <w:szCs w:val="20"/>
                <w:lang w:eastAsia="en-GB"/>
              </w:rPr>
            </w:pPr>
          </w:p>
        </w:tc>
      </w:tr>
      <w:tr w:rsidRPr="00C32842" w:rsidR="0018120C" w:rsidTr="00E13391" w14:paraId="7ECFF23A" w14:textId="77777777">
        <w:trPr>
          <w:trHeight w:val="300"/>
        </w:trPr>
        <w:tc>
          <w:tcPr>
            <w:tcW w:w="6804" w:type="dxa"/>
            <w:tcBorders>
              <w:left w:val="nil"/>
              <w:right w:val="nil"/>
            </w:tcBorders>
            <w:noWrap/>
          </w:tcPr>
          <w:p w:rsidRPr="00C32842" w:rsidR="0018120C" w:rsidP="00E13391" w:rsidRDefault="0018120C" w14:paraId="46482B5E" w14:textId="77777777">
            <w:pPr>
              <w:ind w:left="171"/>
              <w:rPr>
                <w:rFonts w:ascii="Arial" w:hAnsi="Arial" w:eastAsia="Times New Roman" w:cs="Arial"/>
                <w:sz w:val="20"/>
                <w:szCs w:val="20"/>
              </w:rPr>
            </w:pPr>
            <w:r w:rsidRPr="00C32842">
              <w:rPr>
                <w:rFonts w:ascii="Arial" w:hAnsi="Arial"/>
                <w:sz w:val="20"/>
              </w:rPr>
              <w:t>i. Positiver beizulegender Bruttozeitwert von OTC-Derivategeschäften</w:t>
            </w:r>
          </w:p>
        </w:tc>
        <w:tc>
          <w:tcPr>
            <w:tcW w:w="2745" w:type="dxa"/>
            <w:tcBorders>
              <w:left w:val="nil"/>
              <w:right w:val="nil"/>
            </w:tcBorders>
            <w:noWrap/>
          </w:tcPr>
          <w:p w:rsidRPr="00C32842" w:rsidR="0018120C" w:rsidP="00E13391" w:rsidRDefault="0018120C" w14:paraId="59B48E9D" w14:textId="77777777">
            <w:pPr>
              <w:jc w:val="right"/>
              <w:rPr>
                <w:rFonts w:ascii="Arial" w:hAnsi="Arial" w:eastAsia="Times New Roman" w:cs="Arial"/>
                <w:sz w:val="20"/>
                <w:szCs w:val="20"/>
                <w:lang w:eastAsia="en-GB"/>
              </w:rPr>
            </w:pPr>
          </w:p>
        </w:tc>
      </w:tr>
      <w:tr w:rsidRPr="00C32842" w:rsidR="0018120C" w:rsidTr="00E13391" w14:paraId="7740A167" w14:textId="77777777">
        <w:trPr>
          <w:trHeight w:val="300"/>
        </w:trPr>
        <w:tc>
          <w:tcPr>
            <w:tcW w:w="6804" w:type="dxa"/>
            <w:tcBorders>
              <w:left w:val="nil"/>
              <w:bottom w:val="single" w:color="auto" w:sz="4" w:space="0"/>
              <w:right w:val="nil"/>
            </w:tcBorders>
            <w:noWrap/>
          </w:tcPr>
          <w:p w:rsidRPr="00C32842" w:rsidR="0018120C" w:rsidP="00E13391" w:rsidRDefault="0018120C" w14:paraId="0A8C8912" w14:textId="77777777">
            <w:pPr>
              <w:ind w:left="171"/>
              <w:rPr>
                <w:rFonts w:ascii="Arial" w:hAnsi="Arial" w:eastAsia="Times New Roman" w:cs="Arial"/>
                <w:sz w:val="20"/>
                <w:szCs w:val="20"/>
              </w:rPr>
            </w:pPr>
            <w:r w:rsidRPr="00C32842">
              <w:rPr>
                <w:rFonts w:ascii="Arial" w:hAnsi="Arial"/>
                <w:sz w:val="20"/>
              </w:rPr>
              <w:t>j. Negativer beizulegender Bruttozeitwert von OTC-Derivategeschäften</w:t>
            </w:r>
          </w:p>
        </w:tc>
        <w:tc>
          <w:tcPr>
            <w:tcW w:w="2745" w:type="dxa"/>
            <w:tcBorders>
              <w:left w:val="nil"/>
              <w:bottom w:val="single" w:color="auto" w:sz="4" w:space="0"/>
              <w:right w:val="nil"/>
            </w:tcBorders>
            <w:noWrap/>
          </w:tcPr>
          <w:p w:rsidRPr="00C32842" w:rsidR="0018120C" w:rsidP="00E13391" w:rsidRDefault="0018120C" w14:paraId="4C731D87" w14:textId="77777777">
            <w:pPr>
              <w:jc w:val="right"/>
              <w:rPr>
                <w:rFonts w:ascii="Arial" w:hAnsi="Arial" w:eastAsia="Times New Roman" w:cs="Arial"/>
                <w:sz w:val="20"/>
                <w:szCs w:val="20"/>
                <w:lang w:eastAsia="en-GB"/>
              </w:rPr>
            </w:pPr>
          </w:p>
        </w:tc>
      </w:tr>
      <w:tr w:rsidRPr="00C32842" w:rsidR="0018120C" w:rsidTr="00E13391" w14:paraId="7A147A69" w14:textId="77777777">
        <w:trPr>
          <w:trHeight w:val="300"/>
        </w:trPr>
        <w:tc>
          <w:tcPr>
            <w:tcW w:w="6804" w:type="dxa"/>
            <w:tcBorders>
              <w:left w:val="nil"/>
              <w:bottom w:val="single" w:color="auto" w:sz="4" w:space="0"/>
              <w:right w:val="nil"/>
            </w:tcBorders>
            <w:noWrap/>
            <w:hideMark/>
          </w:tcPr>
          <w:p w:rsidRPr="00C32842" w:rsidR="0018120C" w:rsidP="00E13391" w:rsidRDefault="0018120C" w14:paraId="057CD2B3" w14:textId="77777777">
            <w:pPr>
              <w:rPr>
                <w:rFonts w:ascii="Arial" w:hAnsi="Arial" w:eastAsia="Times New Roman" w:cs="Arial"/>
                <w:sz w:val="20"/>
                <w:szCs w:val="20"/>
              </w:rPr>
            </w:pPr>
            <w:r w:rsidRPr="00C32842">
              <w:rPr>
                <w:rFonts w:ascii="Arial" w:hAnsi="Arial"/>
                <w:sz w:val="20"/>
              </w:rPr>
              <w:t> </w:t>
            </w:r>
          </w:p>
        </w:tc>
        <w:tc>
          <w:tcPr>
            <w:tcW w:w="2745" w:type="dxa"/>
            <w:tcBorders>
              <w:left w:val="nil"/>
              <w:bottom w:val="single" w:color="auto" w:sz="4" w:space="0"/>
              <w:right w:val="nil"/>
            </w:tcBorders>
            <w:hideMark/>
          </w:tcPr>
          <w:p w:rsidRPr="00C32842" w:rsidR="0018120C" w:rsidP="00E13391" w:rsidRDefault="0018120C" w14:paraId="20ABCE42" w14:textId="77777777">
            <w:pPr>
              <w:jc w:val="center"/>
              <w:rPr>
                <w:rFonts w:ascii="Arial" w:hAnsi="Arial" w:eastAsia="Times New Roman" w:cs="Arial"/>
                <w:b/>
                <w:bCs/>
                <w:sz w:val="20"/>
                <w:szCs w:val="20"/>
              </w:rPr>
            </w:pPr>
            <w:r w:rsidRPr="00C32842">
              <w:rPr>
                <w:rFonts w:ascii="Arial" w:hAnsi="Arial"/>
                <w:b/>
                <w:sz w:val="20"/>
              </w:rPr>
              <w:t>Betrag in einzelnen Einheiten</w:t>
            </w:r>
          </w:p>
        </w:tc>
      </w:tr>
      <w:tr w:rsidRPr="00C32842" w:rsidR="0018120C" w:rsidTr="00E13391" w14:paraId="0F4711E5" w14:textId="77777777">
        <w:trPr>
          <w:trHeight w:val="300"/>
        </w:trPr>
        <w:tc>
          <w:tcPr>
            <w:tcW w:w="6804" w:type="dxa"/>
            <w:tcBorders>
              <w:left w:val="nil"/>
              <w:bottom w:val="single" w:color="auto" w:sz="4" w:space="0"/>
              <w:right w:val="nil"/>
            </w:tcBorders>
            <w:noWrap/>
            <w:hideMark/>
          </w:tcPr>
          <w:p w:rsidRPr="00C32842" w:rsidR="0018120C" w:rsidP="00E13391" w:rsidRDefault="0018120C" w14:paraId="7EA91670" w14:textId="77777777">
            <w:pPr>
              <w:ind w:firstLine="200" w:firstLineChars="100"/>
              <w:rPr>
                <w:rFonts w:ascii="Arial" w:hAnsi="Arial" w:eastAsia="Times New Roman" w:cs="Arial"/>
                <w:sz w:val="20"/>
                <w:szCs w:val="20"/>
              </w:rPr>
            </w:pPr>
            <w:r w:rsidRPr="00C32842">
              <w:rPr>
                <w:rFonts w:ascii="Arial" w:hAnsi="Arial"/>
                <w:sz w:val="20"/>
              </w:rPr>
              <w:t xml:space="preserve">k. Anzahl der Rechtsräume </w:t>
            </w:r>
          </w:p>
        </w:tc>
        <w:tc>
          <w:tcPr>
            <w:tcW w:w="2745" w:type="dxa"/>
            <w:tcBorders>
              <w:left w:val="nil"/>
              <w:bottom w:val="single" w:color="auto" w:sz="4" w:space="0"/>
              <w:right w:val="nil"/>
            </w:tcBorders>
            <w:noWrap/>
            <w:hideMark/>
          </w:tcPr>
          <w:p w:rsidRPr="00C32842" w:rsidR="0018120C" w:rsidP="00E13391" w:rsidRDefault="0018120C" w14:paraId="37CEB01D"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34F6FADE" w14:textId="77777777">
        <w:trPr>
          <w:trHeight w:val="300"/>
        </w:trPr>
        <w:tc>
          <w:tcPr>
            <w:tcW w:w="6804" w:type="dxa"/>
            <w:tcBorders>
              <w:left w:val="nil"/>
              <w:bottom w:val="nil"/>
              <w:right w:val="nil"/>
            </w:tcBorders>
            <w:noWrap/>
          </w:tcPr>
          <w:p w:rsidRPr="00C32842" w:rsidR="0018120C" w:rsidP="00E13391" w:rsidRDefault="0018120C" w14:paraId="34862B00"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C32842" w:rsidR="0018120C" w:rsidP="00E13391" w:rsidRDefault="0018120C" w14:paraId="1A2C6A4E" w14:textId="77777777">
            <w:pPr>
              <w:jc w:val="center"/>
              <w:rPr>
                <w:rFonts w:ascii="Arial" w:hAnsi="Arial" w:eastAsia="Times New Roman" w:cs="Arial"/>
                <w:b/>
                <w:bCs/>
                <w:sz w:val="20"/>
                <w:szCs w:val="20"/>
                <w:lang w:eastAsia="en-GB"/>
              </w:rPr>
            </w:pPr>
          </w:p>
        </w:tc>
      </w:tr>
      <w:tr w:rsidRPr="00C32842" w:rsidR="0018120C" w:rsidTr="00E13391" w14:paraId="0BBE41A5" w14:textId="77777777">
        <w:trPr>
          <w:trHeight w:val="300"/>
        </w:trPr>
        <w:tc>
          <w:tcPr>
            <w:tcW w:w="6804" w:type="dxa"/>
            <w:tcBorders>
              <w:top w:val="nil"/>
              <w:left w:val="nil"/>
              <w:bottom w:val="single" w:color="auto" w:sz="4" w:space="0"/>
              <w:right w:val="nil"/>
            </w:tcBorders>
            <w:noWrap/>
            <w:hideMark/>
          </w:tcPr>
          <w:p w:rsidRPr="00C32842" w:rsidR="0018120C" w:rsidP="00E13391" w:rsidRDefault="0018120C" w14:paraId="0202E9E6" w14:textId="77777777">
            <w:pPr>
              <w:rPr>
                <w:rFonts w:ascii="Arial" w:hAnsi="Arial" w:eastAsia="Times New Roman" w:cs="Arial"/>
                <w:b/>
                <w:bCs/>
                <w:sz w:val="20"/>
                <w:szCs w:val="20"/>
              </w:rPr>
            </w:pPr>
            <w:r w:rsidRPr="00C32842">
              <w:rPr>
                <w:rFonts w:ascii="Arial" w:hAnsi="Arial"/>
                <w:b/>
                <w:sz w:val="20"/>
              </w:rPr>
              <w:t>Abschnitt 16 – Hilfspositionen</w:t>
            </w:r>
          </w:p>
        </w:tc>
        <w:tc>
          <w:tcPr>
            <w:tcW w:w="2745" w:type="dxa"/>
            <w:tcBorders>
              <w:top w:val="nil"/>
              <w:left w:val="nil"/>
              <w:bottom w:val="single" w:color="auto" w:sz="4" w:space="0"/>
              <w:right w:val="nil"/>
            </w:tcBorders>
            <w:hideMark/>
          </w:tcPr>
          <w:p w:rsidRPr="00C32842" w:rsidR="0018120C" w:rsidP="00E13391" w:rsidRDefault="0018120C" w14:paraId="44D3C876" w14:textId="77777777">
            <w:pPr>
              <w:jc w:val="center"/>
              <w:rPr>
                <w:rFonts w:ascii="Arial" w:hAnsi="Arial" w:eastAsia="Times New Roman" w:cs="Arial"/>
                <w:b/>
                <w:bCs/>
                <w:sz w:val="20"/>
                <w:szCs w:val="20"/>
              </w:rPr>
            </w:pPr>
            <w:r w:rsidRPr="00C32842">
              <w:rPr>
                <w:rFonts w:ascii="Arial" w:hAnsi="Arial"/>
                <w:b/>
                <w:sz w:val="20"/>
              </w:rPr>
              <w:t>Betrag</w:t>
            </w:r>
          </w:p>
        </w:tc>
      </w:tr>
      <w:tr w:rsidRPr="00C32842" w:rsidR="0018120C" w:rsidTr="00E13391" w14:paraId="6FF06164" w14:textId="77777777">
        <w:trPr>
          <w:trHeight w:val="300"/>
        </w:trPr>
        <w:tc>
          <w:tcPr>
            <w:tcW w:w="6804" w:type="dxa"/>
            <w:tcBorders>
              <w:left w:val="nil"/>
              <w:right w:val="nil"/>
            </w:tcBorders>
            <w:noWrap/>
            <w:hideMark/>
          </w:tcPr>
          <w:p w:rsidRPr="00C32842" w:rsidR="0018120C" w:rsidP="00E13391" w:rsidRDefault="0018120C" w14:paraId="1CE91B34" w14:textId="77777777">
            <w:pPr>
              <w:ind w:firstLine="200" w:firstLineChars="100"/>
              <w:rPr>
                <w:rFonts w:ascii="Arial" w:hAnsi="Arial" w:eastAsia="Times New Roman" w:cs="Arial"/>
                <w:sz w:val="20"/>
                <w:szCs w:val="20"/>
              </w:rPr>
            </w:pPr>
            <w:r w:rsidRPr="00C32842">
              <w:rPr>
                <w:rFonts w:ascii="Arial" w:hAnsi="Arial"/>
                <w:sz w:val="20"/>
              </w:rPr>
              <w:t>a. Bis zur Fälligkeit gehaltene Wertpapiere</w:t>
            </w:r>
          </w:p>
        </w:tc>
        <w:tc>
          <w:tcPr>
            <w:tcW w:w="2745" w:type="dxa"/>
            <w:tcBorders>
              <w:left w:val="nil"/>
              <w:right w:val="nil"/>
            </w:tcBorders>
            <w:noWrap/>
            <w:hideMark/>
          </w:tcPr>
          <w:p w:rsidRPr="00C32842" w:rsidR="0018120C" w:rsidP="00E13391" w:rsidRDefault="0018120C" w14:paraId="35C55F93"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5DF5B92E" w14:textId="77777777">
        <w:trPr>
          <w:trHeight w:val="300"/>
        </w:trPr>
        <w:tc>
          <w:tcPr>
            <w:tcW w:w="6804" w:type="dxa"/>
            <w:tcBorders>
              <w:left w:val="nil"/>
              <w:right w:val="nil"/>
            </w:tcBorders>
            <w:noWrap/>
            <w:hideMark/>
          </w:tcPr>
          <w:p w:rsidRPr="00C32842" w:rsidR="0018120C" w:rsidP="00E13391" w:rsidRDefault="0018120C" w14:paraId="73D5351B" w14:textId="77777777">
            <w:pPr>
              <w:ind w:firstLine="200" w:firstLineChars="100"/>
              <w:rPr>
                <w:rFonts w:ascii="Arial" w:hAnsi="Arial" w:eastAsia="Times New Roman" w:cs="Arial"/>
                <w:sz w:val="20"/>
                <w:szCs w:val="20"/>
              </w:rPr>
            </w:pPr>
            <w:r w:rsidRPr="00C32842">
              <w:rPr>
                <w:rFonts w:ascii="Arial" w:hAnsi="Arial"/>
                <w:sz w:val="20"/>
              </w:rPr>
              <w:t>b. Im Berichtsjahr geleistete Zahlungen</w:t>
            </w:r>
          </w:p>
        </w:tc>
        <w:tc>
          <w:tcPr>
            <w:tcW w:w="2745" w:type="dxa"/>
            <w:tcBorders>
              <w:left w:val="nil"/>
              <w:right w:val="nil"/>
            </w:tcBorders>
            <w:noWrap/>
            <w:hideMark/>
          </w:tcPr>
          <w:p w:rsidRPr="00C32842" w:rsidR="0018120C" w:rsidP="00E13391" w:rsidRDefault="0018120C" w14:paraId="55634FB5" w14:textId="77777777">
            <w:pPr>
              <w:ind w:firstLine="200" w:firstLineChars="100"/>
              <w:rPr>
                <w:rFonts w:ascii="Arial" w:hAnsi="Arial" w:eastAsia="Times New Roman" w:cs="Arial"/>
                <w:sz w:val="20"/>
                <w:szCs w:val="20"/>
              </w:rPr>
            </w:pPr>
            <w:r w:rsidRPr="00C32842">
              <w:rPr>
                <w:rFonts w:ascii="Arial" w:hAnsi="Arial"/>
                <w:sz w:val="20"/>
              </w:rPr>
              <w:t> </w:t>
            </w:r>
          </w:p>
        </w:tc>
      </w:tr>
      <w:tr w:rsidRPr="00C32842" w:rsidR="0018120C" w:rsidTr="00E13391" w14:paraId="262CFCA3" w14:textId="77777777">
        <w:trPr>
          <w:trHeight w:val="300"/>
        </w:trPr>
        <w:tc>
          <w:tcPr>
            <w:tcW w:w="6804" w:type="dxa"/>
            <w:tcBorders>
              <w:left w:val="nil"/>
              <w:right w:val="nil"/>
            </w:tcBorders>
            <w:noWrap/>
            <w:hideMark/>
          </w:tcPr>
          <w:p w:rsidRPr="00C32842" w:rsidR="0018120C" w:rsidP="00E13391" w:rsidRDefault="0018120C" w14:paraId="36CDFF2A" w14:textId="77777777">
            <w:pPr>
              <w:ind w:firstLine="400" w:firstLineChars="200"/>
              <w:rPr>
                <w:rFonts w:ascii="Arial" w:hAnsi="Arial" w:eastAsia="Times New Roman" w:cs="Arial"/>
                <w:sz w:val="20"/>
                <w:szCs w:val="20"/>
              </w:rPr>
            </w:pPr>
            <w:r w:rsidRPr="00C32842">
              <w:rPr>
                <w:rFonts w:ascii="Arial" w:hAnsi="Arial"/>
                <w:sz w:val="20"/>
                <w:lang w:eastAsia="en-GB"/>
              </w:rPr>
              <w:t xml:space="preserve">(1) </w:t>
            </w:r>
            <w:r w:rsidRPr="00C32842">
              <w:rPr>
                <w:rFonts w:ascii="Arial" w:hAnsi="Arial"/>
                <w:sz w:val="20"/>
              </w:rPr>
              <w:t>Brasilianische Real (BRL)</w:t>
            </w:r>
          </w:p>
        </w:tc>
        <w:tc>
          <w:tcPr>
            <w:tcW w:w="2745" w:type="dxa"/>
            <w:tcBorders>
              <w:left w:val="nil"/>
              <w:right w:val="nil"/>
            </w:tcBorders>
            <w:noWrap/>
            <w:hideMark/>
          </w:tcPr>
          <w:p w:rsidRPr="00C32842" w:rsidR="0018120C" w:rsidP="00E13391" w:rsidRDefault="0018120C" w14:paraId="17C2C5DA"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05A27D0B" w14:textId="77777777">
        <w:trPr>
          <w:trHeight w:val="300"/>
        </w:trPr>
        <w:tc>
          <w:tcPr>
            <w:tcW w:w="6804" w:type="dxa"/>
            <w:tcBorders>
              <w:left w:val="nil"/>
              <w:right w:val="nil"/>
            </w:tcBorders>
            <w:noWrap/>
            <w:hideMark/>
          </w:tcPr>
          <w:p w:rsidRPr="00C32842" w:rsidR="0018120C" w:rsidP="00E13391" w:rsidRDefault="0018120C" w14:paraId="26E4B4C9" w14:textId="77777777">
            <w:pPr>
              <w:ind w:firstLine="400" w:firstLineChars="200"/>
              <w:rPr>
                <w:rFonts w:ascii="Arial" w:hAnsi="Arial" w:eastAsia="Times New Roman" w:cs="Arial"/>
                <w:sz w:val="20"/>
                <w:szCs w:val="20"/>
              </w:rPr>
            </w:pPr>
            <w:r w:rsidRPr="00C32842">
              <w:rPr>
                <w:rFonts w:ascii="Arial" w:hAnsi="Arial"/>
                <w:sz w:val="20"/>
                <w:lang w:eastAsia="en-GB"/>
              </w:rPr>
              <w:t xml:space="preserve">(2) </w:t>
            </w:r>
            <w:r w:rsidRPr="00C32842">
              <w:rPr>
                <w:rFonts w:ascii="Arial" w:hAnsi="Arial"/>
                <w:sz w:val="20"/>
              </w:rPr>
              <w:t>Mexikanische Pesos (MXN)</w:t>
            </w:r>
          </w:p>
        </w:tc>
        <w:tc>
          <w:tcPr>
            <w:tcW w:w="2745" w:type="dxa"/>
            <w:tcBorders>
              <w:left w:val="nil"/>
              <w:right w:val="nil"/>
            </w:tcBorders>
            <w:noWrap/>
            <w:hideMark/>
          </w:tcPr>
          <w:p w:rsidRPr="00C32842" w:rsidR="0018120C" w:rsidP="00E13391" w:rsidRDefault="0018120C" w14:paraId="2EF84602"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2A540AC4" w14:textId="77777777">
        <w:trPr>
          <w:trHeight w:val="300"/>
        </w:trPr>
        <w:tc>
          <w:tcPr>
            <w:tcW w:w="6804" w:type="dxa"/>
            <w:tcBorders>
              <w:left w:val="nil"/>
              <w:right w:val="nil"/>
            </w:tcBorders>
            <w:noWrap/>
            <w:hideMark/>
          </w:tcPr>
          <w:p w:rsidRPr="00C32842" w:rsidR="0018120C" w:rsidP="00E13391" w:rsidRDefault="0018120C" w14:paraId="45A3B8F5" w14:textId="77777777">
            <w:pPr>
              <w:ind w:firstLine="400" w:firstLineChars="200"/>
              <w:rPr>
                <w:rFonts w:ascii="Arial" w:hAnsi="Arial" w:eastAsia="Times New Roman" w:cs="Arial"/>
                <w:sz w:val="20"/>
                <w:szCs w:val="20"/>
              </w:rPr>
            </w:pPr>
            <w:r w:rsidRPr="00C32842">
              <w:rPr>
                <w:rFonts w:ascii="Arial" w:hAnsi="Arial"/>
                <w:sz w:val="20"/>
                <w:lang w:eastAsia="en-GB"/>
              </w:rPr>
              <w:t xml:space="preserve">(3) </w:t>
            </w:r>
            <w:r w:rsidRPr="00C32842">
              <w:rPr>
                <w:rFonts w:ascii="Arial" w:hAnsi="Arial"/>
                <w:sz w:val="20"/>
              </w:rPr>
              <w:t>Norwegische Krone (NOK)</w:t>
            </w:r>
          </w:p>
        </w:tc>
        <w:tc>
          <w:tcPr>
            <w:tcW w:w="2745" w:type="dxa"/>
            <w:tcBorders>
              <w:left w:val="nil"/>
              <w:right w:val="nil"/>
            </w:tcBorders>
            <w:noWrap/>
            <w:hideMark/>
          </w:tcPr>
          <w:p w:rsidRPr="00C32842" w:rsidR="0018120C" w:rsidP="00E13391" w:rsidRDefault="0018120C" w14:paraId="34FB5E0E"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154AA9E9" w14:textId="77777777">
        <w:trPr>
          <w:trHeight w:val="300"/>
        </w:trPr>
        <w:tc>
          <w:tcPr>
            <w:tcW w:w="6804" w:type="dxa"/>
            <w:tcBorders>
              <w:left w:val="nil"/>
              <w:right w:val="nil"/>
            </w:tcBorders>
            <w:noWrap/>
            <w:hideMark/>
          </w:tcPr>
          <w:p w:rsidRPr="00C32842" w:rsidR="0018120C" w:rsidP="00E13391" w:rsidRDefault="0018120C" w14:paraId="752DC636" w14:textId="77777777">
            <w:pPr>
              <w:ind w:firstLine="400" w:firstLineChars="200"/>
              <w:rPr>
                <w:rFonts w:ascii="Arial" w:hAnsi="Arial" w:eastAsia="Times New Roman" w:cs="Arial"/>
                <w:sz w:val="20"/>
                <w:szCs w:val="20"/>
              </w:rPr>
            </w:pPr>
            <w:r w:rsidRPr="00C32842">
              <w:rPr>
                <w:rFonts w:ascii="Arial" w:hAnsi="Arial"/>
                <w:sz w:val="20"/>
                <w:lang w:eastAsia="en-GB"/>
              </w:rPr>
              <w:t xml:space="preserve">(4) </w:t>
            </w:r>
            <w:r w:rsidRPr="00C32842">
              <w:rPr>
                <w:rFonts w:ascii="Arial" w:hAnsi="Arial"/>
                <w:sz w:val="20"/>
              </w:rPr>
              <w:t>Russische Rubel (RUB)</w:t>
            </w:r>
          </w:p>
        </w:tc>
        <w:tc>
          <w:tcPr>
            <w:tcW w:w="2745" w:type="dxa"/>
            <w:tcBorders>
              <w:left w:val="nil"/>
              <w:right w:val="nil"/>
            </w:tcBorders>
            <w:noWrap/>
            <w:hideMark/>
          </w:tcPr>
          <w:p w:rsidRPr="00C32842" w:rsidR="0018120C" w:rsidP="00E13391" w:rsidRDefault="0018120C" w14:paraId="7819EA9E"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015F943E" w14:textId="77777777">
        <w:trPr>
          <w:trHeight w:val="300"/>
        </w:trPr>
        <w:tc>
          <w:tcPr>
            <w:tcW w:w="6804" w:type="dxa"/>
            <w:tcBorders>
              <w:left w:val="nil"/>
              <w:right w:val="nil"/>
            </w:tcBorders>
            <w:noWrap/>
            <w:hideMark/>
          </w:tcPr>
          <w:p w:rsidRPr="00C32842" w:rsidR="0018120C" w:rsidP="00E13391" w:rsidRDefault="0018120C" w14:paraId="6C650285" w14:textId="77777777">
            <w:pPr>
              <w:ind w:firstLine="400" w:firstLineChars="200"/>
              <w:rPr>
                <w:rFonts w:ascii="Arial" w:hAnsi="Arial" w:eastAsia="Times New Roman" w:cs="Arial"/>
                <w:sz w:val="20"/>
                <w:szCs w:val="20"/>
              </w:rPr>
            </w:pPr>
            <w:r w:rsidRPr="00C32842">
              <w:rPr>
                <w:rFonts w:ascii="Arial" w:hAnsi="Arial"/>
                <w:sz w:val="20"/>
                <w:lang w:eastAsia="en-GB"/>
              </w:rPr>
              <w:t xml:space="preserve">(5) </w:t>
            </w:r>
            <w:r w:rsidRPr="00C32842">
              <w:rPr>
                <w:rFonts w:ascii="Arial" w:hAnsi="Arial"/>
                <w:sz w:val="20"/>
              </w:rPr>
              <w:t>Singapur-Dollar (SGD).</w:t>
            </w:r>
          </w:p>
        </w:tc>
        <w:tc>
          <w:tcPr>
            <w:tcW w:w="2745" w:type="dxa"/>
            <w:tcBorders>
              <w:left w:val="nil"/>
              <w:right w:val="nil"/>
            </w:tcBorders>
            <w:noWrap/>
            <w:hideMark/>
          </w:tcPr>
          <w:p w:rsidRPr="00C32842" w:rsidR="0018120C" w:rsidP="00E13391" w:rsidRDefault="0018120C" w14:paraId="7A1E8EF7"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14E99B37" w14:textId="77777777">
        <w:trPr>
          <w:trHeight w:val="300"/>
        </w:trPr>
        <w:tc>
          <w:tcPr>
            <w:tcW w:w="6804" w:type="dxa"/>
            <w:tcBorders>
              <w:left w:val="nil"/>
              <w:bottom w:val="single" w:color="auto" w:sz="4" w:space="0"/>
              <w:right w:val="nil"/>
            </w:tcBorders>
            <w:noWrap/>
            <w:hideMark/>
          </w:tcPr>
          <w:p w:rsidRPr="00C32842" w:rsidR="0018120C" w:rsidP="00E13391" w:rsidRDefault="0018120C" w14:paraId="4AC6C166" w14:textId="77777777">
            <w:pPr>
              <w:ind w:firstLine="400" w:firstLineChars="200"/>
              <w:rPr>
                <w:rFonts w:ascii="Arial" w:hAnsi="Arial" w:eastAsia="Times New Roman" w:cs="Arial"/>
                <w:sz w:val="20"/>
                <w:szCs w:val="20"/>
              </w:rPr>
            </w:pPr>
            <w:r w:rsidRPr="00C32842">
              <w:rPr>
                <w:rFonts w:ascii="Arial" w:hAnsi="Arial"/>
                <w:sz w:val="20"/>
                <w:lang w:eastAsia="en-GB"/>
              </w:rPr>
              <w:t xml:space="preserve">(6) </w:t>
            </w:r>
            <w:r w:rsidRPr="00C32842">
              <w:rPr>
                <w:rFonts w:ascii="Arial" w:hAnsi="Arial"/>
                <w:sz w:val="20"/>
              </w:rPr>
              <w:t>Südkoreanische Won (KRW)</w:t>
            </w:r>
          </w:p>
        </w:tc>
        <w:tc>
          <w:tcPr>
            <w:tcW w:w="2745" w:type="dxa"/>
            <w:tcBorders>
              <w:left w:val="nil"/>
              <w:bottom w:val="single" w:color="auto" w:sz="4" w:space="0"/>
              <w:right w:val="nil"/>
            </w:tcBorders>
            <w:noWrap/>
            <w:hideMark/>
          </w:tcPr>
          <w:p w:rsidRPr="00C32842" w:rsidR="0018120C" w:rsidP="00E13391" w:rsidRDefault="0018120C" w14:paraId="45F64CB5"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1F3F66C7" w14:textId="77777777">
        <w:trPr>
          <w:trHeight w:val="403"/>
        </w:trPr>
        <w:tc>
          <w:tcPr>
            <w:tcW w:w="6804" w:type="dxa"/>
            <w:tcBorders>
              <w:left w:val="nil"/>
              <w:bottom w:val="nil"/>
              <w:right w:val="nil"/>
            </w:tcBorders>
            <w:noWrap/>
            <w:hideMark/>
          </w:tcPr>
          <w:p w:rsidRPr="00C32842" w:rsidR="0018120C" w:rsidP="00E13391" w:rsidRDefault="0018120C" w14:paraId="60F45031" w14:textId="77777777">
            <w:pPr>
              <w:rPr>
                <w:rFonts w:ascii="Arial" w:hAnsi="Arial" w:eastAsia="Times New Roman" w:cs="Arial"/>
                <w:sz w:val="20"/>
                <w:szCs w:val="20"/>
              </w:rPr>
            </w:pPr>
            <w:r w:rsidRPr="00C32842">
              <w:rPr>
                <w:rFonts w:ascii="Arial" w:hAnsi="Arial"/>
                <w:sz w:val="20"/>
              </w:rPr>
              <w:t> </w:t>
            </w:r>
          </w:p>
        </w:tc>
        <w:tc>
          <w:tcPr>
            <w:tcW w:w="2745" w:type="dxa"/>
            <w:tcBorders>
              <w:left w:val="nil"/>
              <w:bottom w:val="nil"/>
              <w:right w:val="nil"/>
            </w:tcBorders>
            <w:noWrap/>
            <w:hideMark/>
          </w:tcPr>
          <w:p w:rsidRPr="00C32842" w:rsidR="0018120C" w:rsidP="00E13391" w:rsidRDefault="0018120C" w14:paraId="17B53F05" w14:textId="77777777">
            <w:pPr>
              <w:rPr>
                <w:rFonts w:ascii="Arial" w:hAnsi="Arial" w:eastAsia="Times New Roman" w:cs="Arial"/>
                <w:sz w:val="20"/>
                <w:szCs w:val="20"/>
              </w:rPr>
            </w:pPr>
            <w:r w:rsidRPr="00C32842">
              <w:rPr>
                <w:rFonts w:ascii="Arial" w:hAnsi="Arial"/>
                <w:sz w:val="20"/>
              </w:rPr>
              <w:t> </w:t>
            </w:r>
          </w:p>
        </w:tc>
      </w:tr>
      <w:tr w:rsidRPr="00C32842" w:rsidR="0018120C" w:rsidTr="00E13391" w14:paraId="673A6FAC" w14:textId="77777777">
        <w:trPr>
          <w:trHeight w:val="403"/>
        </w:trPr>
        <w:tc>
          <w:tcPr>
            <w:tcW w:w="6804" w:type="dxa"/>
            <w:tcBorders>
              <w:top w:val="nil"/>
              <w:left w:val="nil"/>
              <w:bottom w:val="nil"/>
              <w:right w:val="nil"/>
            </w:tcBorders>
            <w:noWrap/>
            <w:hideMark/>
          </w:tcPr>
          <w:p w:rsidRPr="00C32842" w:rsidR="0018120C" w:rsidP="00E13391" w:rsidRDefault="0018120C" w14:paraId="5E56B077" w14:textId="77777777">
            <w:pPr>
              <w:rPr>
                <w:rFonts w:asciiTheme="majorHAnsi" w:hAnsiTheme="majorHAnsi" w:eastAsiaTheme="majorEastAsia" w:cstheme="majorBidi"/>
                <w:b/>
                <w:bCs/>
                <w:i/>
                <w:iCs/>
                <w:caps/>
                <w:spacing w:val="-2"/>
              </w:rPr>
            </w:pPr>
            <w:r w:rsidRPr="00C32842">
              <w:rPr>
                <w:rFonts w:asciiTheme="majorHAnsi" w:hAnsiTheme="majorHAnsi"/>
                <w:b/>
                <w:i/>
                <w:caps/>
              </w:rPr>
              <w:t> Nachrichtliche Positionen</w:t>
            </w:r>
          </w:p>
        </w:tc>
        <w:tc>
          <w:tcPr>
            <w:tcW w:w="2745" w:type="dxa"/>
            <w:tcBorders>
              <w:top w:val="nil"/>
              <w:left w:val="nil"/>
              <w:bottom w:val="nil"/>
              <w:right w:val="nil"/>
            </w:tcBorders>
            <w:noWrap/>
            <w:hideMark/>
          </w:tcPr>
          <w:p w:rsidRPr="00C32842" w:rsidR="0018120C" w:rsidP="00E13391" w:rsidRDefault="0018120C" w14:paraId="3EBCACB5" w14:textId="77777777">
            <w:pPr>
              <w:rPr>
                <w:rFonts w:ascii="Arial" w:hAnsi="Arial" w:eastAsia="Times New Roman" w:cs="Arial"/>
                <w:b/>
                <w:bCs/>
                <w:sz w:val="24"/>
                <w:szCs w:val="24"/>
              </w:rPr>
            </w:pPr>
            <w:r w:rsidRPr="00C32842">
              <w:rPr>
                <w:rFonts w:ascii="Arial" w:hAnsi="Arial"/>
                <w:b/>
                <w:sz w:val="24"/>
              </w:rPr>
              <w:t> </w:t>
            </w:r>
          </w:p>
        </w:tc>
      </w:tr>
      <w:tr w:rsidRPr="00524095" w:rsidR="0018120C" w:rsidTr="00E13391" w14:paraId="0DEB878E" w14:textId="77777777">
        <w:trPr>
          <w:trHeight w:val="403"/>
        </w:trPr>
        <w:tc>
          <w:tcPr>
            <w:tcW w:w="6804" w:type="dxa"/>
            <w:tcBorders>
              <w:top w:val="nil"/>
              <w:left w:val="nil"/>
              <w:bottom w:val="single" w:color="auto" w:sz="4" w:space="0"/>
              <w:right w:val="nil"/>
            </w:tcBorders>
            <w:noWrap/>
            <w:hideMark/>
          </w:tcPr>
          <w:p w:rsidRPr="00524095" w:rsidR="0018120C" w:rsidP="00E13391" w:rsidRDefault="0018120C" w14:paraId="47DB041B" w14:textId="77777777">
            <w:pPr>
              <w:rPr>
                <w:rFonts w:ascii="Arial" w:hAnsi="Arial" w:eastAsia="Times New Roman" w:cs="Arial"/>
                <w:b/>
                <w:bCs/>
                <w:sz w:val="20"/>
                <w:szCs w:val="20"/>
              </w:rPr>
            </w:pPr>
            <w:r w:rsidRPr="00524095">
              <w:rPr>
                <w:rFonts w:ascii="Arial" w:hAnsi="Arial"/>
                <w:b/>
                <w:sz w:val="20"/>
                <w:szCs w:val="20"/>
              </w:rPr>
              <w:lastRenderedPageBreak/>
              <w:t> </w:t>
            </w:r>
          </w:p>
        </w:tc>
        <w:tc>
          <w:tcPr>
            <w:tcW w:w="2745" w:type="dxa"/>
            <w:tcBorders>
              <w:top w:val="nil"/>
              <w:left w:val="nil"/>
              <w:bottom w:val="single" w:color="auto" w:sz="4" w:space="0"/>
              <w:right w:val="nil"/>
            </w:tcBorders>
            <w:noWrap/>
            <w:hideMark/>
          </w:tcPr>
          <w:p w:rsidRPr="00524095" w:rsidR="0018120C" w:rsidP="00E13391" w:rsidRDefault="0018120C" w14:paraId="38396BDB" w14:textId="77777777">
            <w:pPr>
              <w:rPr>
                <w:rFonts w:ascii="Arial" w:hAnsi="Arial" w:eastAsia="Times New Roman" w:cs="Arial"/>
                <w:b/>
                <w:bCs/>
                <w:sz w:val="20"/>
                <w:szCs w:val="20"/>
              </w:rPr>
            </w:pPr>
            <w:r w:rsidRPr="00524095">
              <w:rPr>
                <w:rFonts w:ascii="Arial" w:hAnsi="Arial"/>
                <w:b/>
                <w:sz w:val="20"/>
                <w:szCs w:val="20"/>
              </w:rPr>
              <w:t> </w:t>
            </w:r>
          </w:p>
        </w:tc>
      </w:tr>
      <w:tr w:rsidRPr="00C32842" w:rsidR="0018120C" w:rsidTr="00E13391" w14:paraId="7CA4B7E2" w14:textId="77777777">
        <w:trPr>
          <w:trHeight w:val="300"/>
        </w:trPr>
        <w:tc>
          <w:tcPr>
            <w:tcW w:w="6804" w:type="dxa"/>
            <w:tcBorders>
              <w:left w:val="nil"/>
              <w:right w:val="nil"/>
            </w:tcBorders>
            <w:noWrap/>
            <w:hideMark/>
          </w:tcPr>
          <w:p w:rsidRPr="00C32842" w:rsidR="0018120C" w:rsidP="00E13391" w:rsidRDefault="0018120C" w14:paraId="1FBC01A5" w14:textId="77777777">
            <w:pPr>
              <w:rPr>
                <w:rFonts w:ascii="Arial" w:hAnsi="Arial" w:eastAsia="Times New Roman" w:cs="Arial"/>
                <w:b/>
                <w:bCs/>
                <w:sz w:val="20"/>
                <w:szCs w:val="20"/>
              </w:rPr>
            </w:pPr>
            <w:r w:rsidRPr="00C32842">
              <w:rPr>
                <w:rFonts w:ascii="Arial" w:hAnsi="Arial"/>
                <w:b/>
                <w:sz w:val="20"/>
              </w:rPr>
              <w:t>Abschnitt 17 – Positionen zur Größe</w:t>
            </w:r>
          </w:p>
        </w:tc>
        <w:tc>
          <w:tcPr>
            <w:tcW w:w="2745" w:type="dxa"/>
            <w:tcBorders>
              <w:left w:val="nil"/>
              <w:right w:val="nil"/>
            </w:tcBorders>
            <w:hideMark/>
          </w:tcPr>
          <w:p w:rsidRPr="00C32842" w:rsidR="0018120C" w:rsidP="00E13391" w:rsidRDefault="0018120C" w14:paraId="0A97CD1E" w14:textId="77777777">
            <w:pPr>
              <w:jc w:val="center"/>
              <w:rPr>
                <w:rFonts w:ascii="Arial" w:hAnsi="Arial" w:eastAsia="Times New Roman" w:cs="Arial"/>
                <w:b/>
                <w:bCs/>
                <w:sz w:val="20"/>
                <w:szCs w:val="20"/>
              </w:rPr>
            </w:pPr>
            <w:r w:rsidRPr="00C32842">
              <w:rPr>
                <w:rFonts w:ascii="Arial" w:hAnsi="Arial"/>
                <w:b/>
                <w:sz w:val="20"/>
              </w:rPr>
              <w:t>Betrag</w:t>
            </w:r>
          </w:p>
        </w:tc>
      </w:tr>
      <w:tr w:rsidRPr="00C32842" w:rsidR="0018120C" w:rsidTr="00E13391" w14:paraId="72340F10" w14:textId="77777777">
        <w:trPr>
          <w:gridAfter w:val="1"/>
          <w:wAfter w:w="2745" w:type="dxa"/>
          <w:trHeight w:val="300"/>
        </w:trPr>
        <w:tc>
          <w:tcPr>
            <w:tcW w:w="6804" w:type="dxa"/>
            <w:tcBorders>
              <w:left w:val="nil"/>
              <w:right w:val="nil"/>
            </w:tcBorders>
            <w:noWrap/>
            <w:hideMark/>
          </w:tcPr>
          <w:p w:rsidRPr="00C32842" w:rsidR="0018120C" w:rsidP="00E13391" w:rsidRDefault="0018120C" w14:paraId="562F5DF3" w14:textId="77777777">
            <w:pPr>
              <w:ind w:left="171" w:firstLine="28" w:firstLineChars="14"/>
              <w:rPr>
                <w:rFonts w:ascii="Arial" w:hAnsi="Arial" w:eastAsia="Times New Roman" w:cs="Arial"/>
                <w:sz w:val="20"/>
                <w:szCs w:val="20"/>
              </w:rPr>
            </w:pPr>
            <w:r w:rsidRPr="00C32842">
              <w:rPr>
                <w:rFonts w:ascii="Arial" w:hAnsi="Arial"/>
                <w:sz w:val="20"/>
              </w:rPr>
              <w:t>a. Bereits im aufsichtlichen Konsolidierungskreis enthaltene Risikopositionen von Versicherungstochtergesellschaften</w:t>
            </w:r>
          </w:p>
        </w:tc>
      </w:tr>
      <w:tr w:rsidRPr="00C32842" w:rsidR="0018120C" w:rsidTr="00E13391" w14:paraId="48EB1275" w14:textId="77777777">
        <w:trPr>
          <w:trHeight w:val="300"/>
        </w:trPr>
        <w:tc>
          <w:tcPr>
            <w:tcW w:w="6804" w:type="dxa"/>
            <w:tcBorders>
              <w:left w:val="nil"/>
              <w:right w:val="nil"/>
            </w:tcBorders>
            <w:noWrap/>
            <w:hideMark/>
          </w:tcPr>
          <w:p w:rsidRPr="00C32842" w:rsidR="0018120C" w:rsidP="00E13391" w:rsidRDefault="0018120C" w14:paraId="5232C635" w14:textId="77777777">
            <w:pPr>
              <w:ind w:firstLine="200" w:firstLineChars="100"/>
              <w:rPr>
                <w:rFonts w:ascii="Arial" w:hAnsi="Arial" w:eastAsia="Times New Roman" w:cs="Arial"/>
                <w:sz w:val="20"/>
                <w:szCs w:val="20"/>
              </w:rPr>
            </w:pPr>
            <w:r w:rsidRPr="00C32842">
              <w:rPr>
                <w:rFonts w:ascii="Arial" w:hAnsi="Arial"/>
                <w:sz w:val="20"/>
              </w:rPr>
              <w:t xml:space="preserve">b. Vierteljährlicher Durchschnitt des Gesamtwerts der Risikopositionen </w:t>
            </w:r>
          </w:p>
        </w:tc>
        <w:tc>
          <w:tcPr>
            <w:tcW w:w="2745" w:type="dxa"/>
            <w:tcBorders>
              <w:left w:val="nil"/>
              <w:right w:val="nil"/>
            </w:tcBorders>
            <w:noWrap/>
            <w:hideMark/>
          </w:tcPr>
          <w:p w:rsidRPr="00C32842" w:rsidR="0018120C" w:rsidP="00E13391" w:rsidRDefault="0018120C" w14:paraId="00EAC097"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57FA007A" w14:textId="77777777">
        <w:trPr>
          <w:trHeight w:val="300"/>
        </w:trPr>
        <w:tc>
          <w:tcPr>
            <w:tcW w:w="6804" w:type="dxa"/>
            <w:tcBorders>
              <w:left w:val="nil"/>
              <w:bottom w:val="single" w:color="auto" w:sz="4" w:space="0"/>
              <w:right w:val="nil"/>
            </w:tcBorders>
            <w:noWrap/>
            <w:hideMark/>
          </w:tcPr>
          <w:p w:rsidRPr="00C32842" w:rsidR="0018120C" w:rsidP="00E13391" w:rsidRDefault="0018120C" w14:paraId="7D2FF5C8" w14:textId="77777777">
            <w:pPr>
              <w:ind w:firstLine="200" w:firstLineChars="100"/>
              <w:rPr>
                <w:rFonts w:ascii="Arial" w:hAnsi="Arial" w:eastAsia="Times New Roman" w:cs="Arial"/>
                <w:sz w:val="20"/>
                <w:szCs w:val="20"/>
              </w:rPr>
            </w:pPr>
            <w:r w:rsidRPr="00C32842">
              <w:rPr>
                <w:rFonts w:ascii="Arial" w:hAnsi="Arial"/>
                <w:sz w:val="20"/>
              </w:rPr>
              <w:t xml:space="preserve">c. Monatlicher Durchschnitt des Gesamtwerts der Risikopositionen </w:t>
            </w:r>
          </w:p>
        </w:tc>
        <w:tc>
          <w:tcPr>
            <w:tcW w:w="2745" w:type="dxa"/>
            <w:tcBorders>
              <w:left w:val="nil"/>
              <w:bottom w:val="single" w:color="auto" w:sz="4" w:space="0"/>
              <w:right w:val="nil"/>
            </w:tcBorders>
            <w:noWrap/>
            <w:hideMark/>
          </w:tcPr>
          <w:p w:rsidRPr="00C32842" w:rsidR="0018120C" w:rsidP="00E13391" w:rsidRDefault="0018120C" w14:paraId="33F4F8D0"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0BDC5859" w14:textId="77777777">
        <w:trPr>
          <w:trHeight w:val="300"/>
        </w:trPr>
        <w:tc>
          <w:tcPr>
            <w:tcW w:w="6804" w:type="dxa"/>
            <w:tcBorders>
              <w:left w:val="nil"/>
              <w:bottom w:val="nil"/>
              <w:right w:val="nil"/>
            </w:tcBorders>
            <w:noWrap/>
          </w:tcPr>
          <w:p w:rsidRPr="00C32842" w:rsidR="0018120C" w:rsidP="00E13391" w:rsidRDefault="0018120C" w14:paraId="2CF13C03"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C32842" w:rsidR="0018120C" w:rsidP="00E13391" w:rsidRDefault="0018120C" w14:paraId="3D9803F3" w14:textId="77777777">
            <w:pPr>
              <w:jc w:val="center"/>
              <w:rPr>
                <w:rFonts w:ascii="Arial" w:hAnsi="Arial" w:eastAsia="Times New Roman" w:cs="Arial"/>
                <w:b/>
                <w:bCs/>
                <w:sz w:val="20"/>
                <w:szCs w:val="20"/>
                <w:lang w:eastAsia="en-GB"/>
              </w:rPr>
            </w:pPr>
          </w:p>
        </w:tc>
      </w:tr>
      <w:tr w:rsidRPr="00C32842" w:rsidR="0018120C" w:rsidTr="00E13391" w14:paraId="405CDBAF" w14:textId="77777777">
        <w:trPr>
          <w:trHeight w:val="300"/>
        </w:trPr>
        <w:tc>
          <w:tcPr>
            <w:tcW w:w="6804" w:type="dxa"/>
            <w:tcBorders>
              <w:top w:val="nil"/>
              <w:left w:val="nil"/>
              <w:right w:val="nil"/>
            </w:tcBorders>
            <w:noWrap/>
            <w:hideMark/>
          </w:tcPr>
          <w:p w:rsidRPr="00C32842" w:rsidR="0018120C" w:rsidP="00E13391" w:rsidRDefault="0018120C" w14:paraId="1F36045C" w14:textId="77777777">
            <w:pPr>
              <w:rPr>
                <w:rFonts w:ascii="Arial" w:hAnsi="Arial" w:eastAsia="Times New Roman" w:cs="Arial"/>
                <w:b/>
                <w:bCs/>
                <w:sz w:val="20"/>
                <w:szCs w:val="20"/>
              </w:rPr>
            </w:pPr>
            <w:r w:rsidRPr="00C32842">
              <w:rPr>
                <w:rFonts w:ascii="Arial" w:hAnsi="Arial"/>
                <w:b/>
                <w:sz w:val="20"/>
              </w:rPr>
              <w:t>Abschnitt 18 – Positionen zu Verflechtungen</w:t>
            </w:r>
          </w:p>
        </w:tc>
        <w:tc>
          <w:tcPr>
            <w:tcW w:w="2745" w:type="dxa"/>
            <w:tcBorders>
              <w:top w:val="nil"/>
              <w:left w:val="nil"/>
              <w:right w:val="nil"/>
            </w:tcBorders>
            <w:hideMark/>
          </w:tcPr>
          <w:p w:rsidRPr="00C32842" w:rsidR="0018120C" w:rsidP="00E13391" w:rsidRDefault="0018120C" w14:paraId="7651EF79" w14:textId="77777777">
            <w:pPr>
              <w:jc w:val="center"/>
              <w:rPr>
                <w:rFonts w:ascii="Arial" w:hAnsi="Arial" w:eastAsia="Times New Roman" w:cs="Arial"/>
                <w:b/>
                <w:bCs/>
                <w:sz w:val="20"/>
                <w:szCs w:val="20"/>
              </w:rPr>
            </w:pPr>
            <w:r w:rsidRPr="00C32842">
              <w:rPr>
                <w:rFonts w:ascii="Arial" w:hAnsi="Arial"/>
                <w:b/>
                <w:sz w:val="20"/>
              </w:rPr>
              <w:t>Betrag</w:t>
            </w:r>
          </w:p>
        </w:tc>
      </w:tr>
      <w:tr w:rsidRPr="00C32842" w:rsidR="0018120C" w:rsidTr="00E13391" w14:paraId="413CF25A" w14:textId="77777777">
        <w:trPr>
          <w:trHeight w:val="300"/>
        </w:trPr>
        <w:tc>
          <w:tcPr>
            <w:tcW w:w="6804" w:type="dxa"/>
            <w:tcBorders>
              <w:left w:val="nil"/>
              <w:right w:val="nil"/>
            </w:tcBorders>
            <w:noWrap/>
            <w:hideMark/>
          </w:tcPr>
          <w:p w:rsidRPr="00C32842" w:rsidR="0018120C" w:rsidP="00E13391" w:rsidRDefault="0018120C" w14:paraId="4564A39D" w14:textId="77777777">
            <w:pPr>
              <w:ind w:firstLine="200" w:firstLineChars="100"/>
              <w:rPr>
                <w:rFonts w:ascii="Arial" w:hAnsi="Arial" w:eastAsia="Times New Roman" w:cs="Arial"/>
                <w:sz w:val="20"/>
                <w:szCs w:val="20"/>
              </w:rPr>
            </w:pPr>
            <w:r w:rsidRPr="00C32842">
              <w:rPr>
                <w:rFonts w:ascii="Arial" w:hAnsi="Arial"/>
                <w:sz w:val="20"/>
              </w:rPr>
              <w:t>a. Indikator für Vermögenswerte innerhalb des Finanzsystems (alter Indikator)</w:t>
            </w:r>
          </w:p>
        </w:tc>
        <w:tc>
          <w:tcPr>
            <w:tcW w:w="2745" w:type="dxa"/>
            <w:tcBorders>
              <w:left w:val="nil"/>
              <w:right w:val="nil"/>
            </w:tcBorders>
            <w:noWrap/>
            <w:hideMark/>
          </w:tcPr>
          <w:p w:rsidRPr="00C32842" w:rsidR="0018120C" w:rsidP="00E13391" w:rsidRDefault="0018120C" w14:paraId="40E58C1C"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573C57A4" w14:textId="77777777">
        <w:trPr>
          <w:trHeight w:val="300"/>
        </w:trPr>
        <w:tc>
          <w:tcPr>
            <w:tcW w:w="6804" w:type="dxa"/>
            <w:tcBorders>
              <w:left w:val="nil"/>
              <w:right w:val="nil"/>
            </w:tcBorders>
            <w:noWrap/>
            <w:hideMark/>
          </w:tcPr>
          <w:p w:rsidRPr="00C32842" w:rsidR="0018120C" w:rsidP="00E13391" w:rsidRDefault="0018120C" w14:paraId="5A2A3AEA" w14:textId="77777777">
            <w:pPr>
              <w:ind w:firstLine="200" w:firstLineChars="100"/>
              <w:rPr>
                <w:rFonts w:ascii="Arial" w:hAnsi="Arial" w:eastAsia="Times New Roman" w:cs="Arial"/>
                <w:sz w:val="20"/>
                <w:szCs w:val="20"/>
              </w:rPr>
            </w:pPr>
            <w:r w:rsidRPr="00C32842">
              <w:rPr>
                <w:rFonts w:ascii="Arial" w:hAnsi="Arial"/>
                <w:sz w:val="20"/>
              </w:rPr>
              <w:t xml:space="preserve">b. Vierteljährlicher Durchschnittswert der Vermögenswerte innerhalb des Finanzsystems </w:t>
            </w:r>
          </w:p>
        </w:tc>
        <w:tc>
          <w:tcPr>
            <w:tcW w:w="2745" w:type="dxa"/>
            <w:tcBorders>
              <w:left w:val="nil"/>
              <w:right w:val="nil"/>
            </w:tcBorders>
            <w:noWrap/>
            <w:hideMark/>
          </w:tcPr>
          <w:p w:rsidRPr="00C32842" w:rsidR="0018120C" w:rsidP="00E13391" w:rsidRDefault="0018120C" w14:paraId="21230325"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4E06B5DA" w14:textId="77777777">
        <w:trPr>
          <w:trHeight w:val="300"/>
        </w:trPr>
        <w:tc>
          <w:tcPr>
            <w:tcW w:w="6804" w:type="dxa"/>
            <w:tcBorders>
              <w:left w:val="nil"/>
              <w:right w:val="nil"/>
            </w:tcBorders>
            <w:noWrap/>
            <w:hideMark/>
          </w:tcPr>
          <w:p w:rsidRPr="00C32842" w:rsidR="0018120C" w:rsidP="00E13391" w:rsidRDefault="0018120C" w14:paraId="40FB0712" w14:textId="77777777">
            <w:pPr>
              <w:ind w:firstLine="200" w:firstLineChars="100"/>
              <w:rPr>
                <w:rFonts w:ascii="Arial" w:hAnsi="Arial" w:eastAsia="Times New Roman" w:cs="Arial"/>
                <w:sz w:val="20"/>
                <w:szCs w:val="20"/>
              </w:rPr>
            </w:pPr>
            <w:r w:rsidRPr="00C32842">
              <w:rPr>
                <w:rFonts w:ascii="Arial" w:hAnsi="Arial"/>
                <w:sz w:val="20"/>
              </w:rPr>
              <w:t xml:space="preserve">c. Monatlicher Durchschnittswert der Vermögenswerte innerhalb des Finanzsystems </w:t>
            </w:r>
          </w:p>
        </w:tc>
        <w:tc>
          <w:tcPr>
            <w:tcW w:w="2745" w:type="dxa"/>
            <w:tcBorders>
              <w:left w:val="nil"/>
              <w:right w:val="nil"/>
            </w:tcBorders>
            <w:noWrap/>
            <w:hideMark/>
          </w:tcPr>
          <w:p w:rsidRPr="00C32842" w:rsidR="0018120C" w:rsidP="00E13391" w:rsidRDefault="0018120C" w14:paraId="794B04DE"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1AC109CA" w14:textId="77777777">
        <w:trPr>
          <w:trHeight w:val="300"/>
        </w:trPr>
        <w:tc>
          <w:tcPr>
            <w:tcW w:w="6804" w:type="dxa"/>
            <w:tcBorders>
              <w:left w:val="nil"/>
              <w:right w:val="nil"/>
            </w:tcBorders>
            <w:noWrap/>
            <w:hideMark/>
          </w:tcPr>
          <w:p w:rsidRPr="00C32842" w:rsidR="0018120C" w:rsidP="00E13391" w:rsidRDefault="0018120C" w14:paraId="727B5A1D" w14:textId="77777777">
            <w:pPr>
              <w:ind w:firstLine="200" w:firstLineChars="100"/>
              <w:rPr>
                <w:rFonts w:ascii="Arial" w:hAnsi="Arial" w:eastAsia="Times New Roman" w:cs="Arial"/>
                <w:sz w:val="20"/>
                <w:szCs w:val="20"/>
              </w:rPr>
            </w:pPr>
            <w:r w:rsidRPr="00C32842">
              <w:rPr>
                <w:rFonts w:ascii="Arial" w:hAnsi="Arial"/>
                <w:sz w:val="20"/>
              </w:rPr>
              <w:t>d. Indikator für Verbindlichkeiten innerhalb des Finanzsystems (alter Indikator)</w:t>
            </w:r>
          </w:p>
        </w:tc>
        <w:tc>
          <w:tcPr>
            <w:tcW w:w="2745" w:type="dxa"/>
            <w:tcBorders>
              <w:left w:val="nil"/>
              <w:right w:val="nil"/>
            </w:tcBorders>
            <w:noWrap/>
            <w:hideMark/>
          </w:tcPr>
          <w:p w:rsidRPr="00C32842" w:rsidR="0018120C" w:rsidP="00E13391" w:rsidRDefault="0018120C" w14:paraId="013CF649"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17684EEF" w14:textId="77777777">
        <w:trPr>
          <w:trHeight w:val="300"/>
        </w:trPr>
        <w:tc>
          <w:tcPr>
            <w:tcW w:w="6804" w:type="dxa"/>
            <w:tcBorders>
              <w:left w:val="nil"/>
              <w:right w:val="nil"/>
            </w:tcBorders>
            <w:noWrap/>
            <w:hideMark/>
          </w:tcPr>
          <w:p w:rsidRPr="00C32842" w:rsidR="0018120C" w:rsidP="00E13391" w:rsidRDefault="0018120C" w14:paraId="7AA157DB" w14:textId="77777777">
            <w:pPr>
              <w:ind w:firstLine="200" w:firstLineChars="100"/>
              <w:rPr>
                <w:rFonts w:ascii="Arial" w:hAnsi="Arial" w:eastAsia="Times New Roman" w:cs="Arial"/>
                <w:sz w:val="20"/>
                <w:szCs w:val="20"/>
              </w:rPr>
            </w:pPr>
            <w:r w:rsidRPr="00C32842">
              <w:rPr>
                <w:rFonts w:ascii="Arial" w:hAnsi="Arial"/>
                <w:sz w:val="20"/>
              </w:rPr>
              <w:t xml:space="preserve">e. Vierteljährlicher Durchschnittswert der Verbindlichkeiten innerhalb des Finanzsystems </w:t>
            </w:r>
          </w:p>
        </w:tc>
        <w:tc>
          <w:tcPr>
            <w:tcW w:w="2745" w:type="dxa"/>
            <w:tcBorders>
              <w:left w:val="nil"/>
              <w:right w:val="nil"/>
            </w:tcBorders>
            <w:noWrap/>
            <w:hideMark/>
          </w:tcPr>
          <w:p w:rsidRPr="00C32842" w:rsidR="0018120C" w:rsidP="00E13391" w:rsidRDefault="0018120C" w14:paraId="1AB47139"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169815A9" w14:textId="77777777">
        <w:trPr>
          <w:trHeight w:val="300"/>
        </w:trPr>
        <w:tc>
          <w:tcPr>
            <w:tcW w:w="6804" w:type="dxa"/>
            <w:tcBorders>
              <w:left w:val="nil"/>
              <w:right w:val="nil"/>
            </w:tcBorders>
            <w:noWrap/>
            <w:hideMark/>
          </w:tcPr>
          <w:p w:rsidRPr="00C32842" w:rsidR="0018120C" w:rsidP="00E13391" w:rsidRDefault="0018120C" w14:paraId="17A8D548" w14:textId="77777777">
            <w:pPr>
              <w:ind w:firstLine="200" w:firstLineChars="100"/>
              <w:rPr>
                <w:rFonts w:ascii="Arial" w:hAnsi="Arial" w:eastAsia="Times New Roman" w:cs="Arial"/>
                <w:sz w:val="20"/>
                <w:szCs w:val="20"/>
              </w:rPr>
            </w:pPr>
            <w:r w:rsidRPr="00C32842">
              <w:rPr>
                <w:rFonts w:ascii="Arial" w:hAnsi="Arial"/>
                <w:sz w:val="20"/>
              </w:rPr>
              <w:t xml:space="preserve">f. Monatlicher Durchschnittswert der Verbindlichkeiten innerhalb des Finanzsystems </w:t>
            </w:r>
          </w:p>
        </w:tc>
        <w:tc>
          <w:tcPr>
            <w:tcW w:w="2745" w:type="dxa"/>
            <w:tcBorders>
              <w:left w:val="nil"/>
              <w:right w:val="nil"/>
            </w:tcBorders>
            <w:noWrap/>
            <w:hideMark/>
          </w:tcPr>
          <w:p w:rsidRPr="00C32842" w:rsidR="0018120C" w:rsidP="00E13391" w:rsidRDefault="0018120C" w14:paraId="430AF64F"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3F91178F" w14:textId="77777777">
        <w:trPr>
          <w:trHeight w:val="300"/>
        </w:trPr>
        <w:tc>
          <w:tcPr>
            <w:tcW w:w="6804" w:type="dxa"/>
            <w:tcBorders>
              <w:left w:val="nil"/>
              <w:right w:val="nil"/>
            </w:tcBorders>
            <w:noWrap/>
            <w:hideMark/>
          </w:tcPr>
          <w:p w:rsidRPr="00C32842" w:rsidR="0018120C" w:rsidP="00E13391" w:rsidRDefault="0018120C" w14:paraId="6383A984" w14:textId="77777777">
            <w:pPr>
              <w:ind w:firstLine="200" w:firstLineChars="100"/>
              <w:rPr>
                <w:rFonts w:ascii="Arial" w:hAnsi="Arial" w:eastAsia="Times New Roman" w:cs="Arial"/>
                <w:sz w:val="20"/>
                <w:szCs w:val="20"/>
              </w:rPr>
            </w:pPr>
            <w:r w:rsidRPr="00C32842">
              <w:rPr>
                <w:rFonts w:ascii="Arial" w:hAnsi="Arial"/>
                <w:sz w:val="20"/>
              </w:rPr>
              <w:t>g. Indikator für ausstehende Wertpapiere (alter Indikator)</w:t>
            </w:r>
          </w:p>
        </w:tc>
        <w:tc>
          <w:tcPr>
            <w:tcW w:w="2745" w:type="dxa"/>
            <w:tcBorders>
              <w:left w:val="nil"/>
              <w:right w:val="nil"/>
            </w:tcBorders>
            <w:noWrap/>
            <w:hideMark/>
          </w:tcPr>
          <w:p w:rsidRPr="00C32842" w:rsidR="0018120C" w:rsidP="00E13391" w:rsidRDefault="0018120C" w14:paraId="4D0B24D7"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1EE1E266" w14:textId="77777777">
        <w:trPr>
          <w:trHeight w:val="300"/>
        </w:trPr>
        <w:tc>
          <w:tcPr>
            <w:tcW w:w="6804" w:type="dxa"/>
            <w:tcBorders>
              <w:left w:val="nil"/>
              <w:right w:val="nil"/>
            </w:tcBorders>
            <w:noWrap/>
            <w:hideMark/>
          </w:tcPr>
          <w:p w:rsidRPr="00C32842" w:rsidR="0018120C" w:rsidP="00E13391" w:rsidRDefault="0018120C" w14:paraId="3C419F6B" w14:textId="77777777">
            <w:pPr>
              <w:ind w:firstLine="200" w:firstLineChars="100"/>
              <w:rPr>
                <w:rFonts w:ascii="Arial" w:hAnsi="Arial" w:eastAsia="Times New Roman" w:cs="Arial"/>
                <w:sz w:val="20"/>
                <w:szCs w:val="20"/>
              </w:rPr>
            </w:pPr>
            <w:r w:rsidRPr="00C32842">
              <w:rPr>
                <w:rFonts w:ascii="Arial" w:hAnsi="Arial"/>
                <w:sz w:val="20"/>
              </w:rPr>
              <w:t xml:space="preserve">h. Vierteljährlicher Durchschnittswert der im Umlauf befindlichen Wertpapiere </w:t>
            </w:r>
          </w:p>
        </w:tc>
        <w:tc>
          <w:tcPr>
            <w:tcW w:w="2745" w:type="dxa"/>
            <w:tcBorders>
              <w:left w:val="nil"/>
              <w:right w:val="nil"/>
            </w:tcBorders>
            <w:noWrap/>
            <w:hideMark/>
          </w:tcPr>
          <w:p w:rsidRPr="00C32842" w:rsidR="0018120C" w:rsidP="00E13391" w:rsidRDefault="0018120C" w14:paraId="3C8D96E0"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0EFE3F3A" w14:textId="77777777">
        <w:trPr>
          <w:trHeight w:val="300"/>
        </w:trPr>
        <w:tc>
          <w:tcPr>
            <w:tcW w:w="6804" w:type="dxa"/>
            <w:tcBorders>
              <w:left w:val="nil"/>
              <w:bottom w:val="single" w:color="auto" w:sz="4" w:space="0"/>
              <w:right w:val="nil"/>
            </w:tcBorders>
            <w:noWrap/>
            <w:hideMark/>
          </w:tcPr>
          <w:p w:rsidRPr="00C32842" w:rsidR="0018120C" w:rsidP="00E13391" w:rsidRDefault="0018120C" w14:paraId="5AB7206B" w14:textId="77777777">
            <w:pPr>
              <w:ind w:firstLine="200" w:firstLineChars="100"/>
              <w:rPr>
                <w:rFonts w:ascii="Arial" w:hAnsi="Arial" w:eastAsia="Times New Roman" w:cs="Arial"/>
                <w:sz w:val="20"/>
                <w:szCs w:val="20"/>
              </w:rPr>
            </w:pPr>
            <w:r w:rsidRPr="00C32842">
              <w:rPr>
                <w:rFonts w:ascii="Arial" w:hAnsi="Arial"/>
                <w:sz w:val="20"/>
              </w:rPr>
              <w:t xml:space="preserve">i. Monatlicher Durchschnittswert der im Umlauf befindlichen Wertpapiere </w:t>
            </w:r>
          </w:p>
        </w:tc>
        <w:tc>
          <w:tcPr>
            <w:tcW w:w="2745" w:type="dxa"/>
            <w:tcBorders>
              <w:left w:val="nil"/>
              <w:bottom w:val="single" w:color="auto" w:sz="4" w:space="0"/>
              <w:right w:val="nil"/>
            </w:tcBorders>
            <w:noWrap/>
            <w:hideMark/>
          </w:tcPr>
          <w:p w:rsidRPr="00C32842" w:rsidR="0018120C" w:rsidP="00E13391" w:rsidRDefault="0018120C" w14:paraId="3E63A002"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7A92308F" w14:textId="77777777">
        <w:trPr>
          <w:trHeight w:val="300"/>
        </w:trPr>
        <w:tc>
          <w:tcPr>
            <w:tcW w:w="6804" w:type="dxa"/>
            <w:tcBorders>
              <w:left w:val="nil"/>
              <w:bottom w:val="nil"/>
              <w:right w:val="nil"/>
            </w:tcBorders>
            <w:noWrap/>
          </w:tcPr>
          <w:p w:rsidRPr="00C32842" w:rsidR="0018120C" w:rsidP="00E13391" w:rsidRDefault="0018120C" w14:paraId="4ACC4705"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C32842" w:rsidR="0018120C" w:rsidP="00E13391" w:rsidRDefault="0018120C" w14:paraId="19CD7870" w14:textId="77777777">
            <w:pPr>
              <w:jc w:val="center"/>
              <w:rPr>
                <w:rFonts w:ascii="Arial" w:hAnsi="Arial" w:eastAsia="Times New Roman" w:cs="Arial"/>
                <w:b/>
                <w:bCs/>
                <w:sz w:val="20"/>
                <w:szCs w:val="20"/>
                <w:lang w:eastAsia="en-GB"/>
              </w:rPr>
            </w:pPr>
          </w:p>
        </w:tc>
      </w:tr>
      <w:tr w:rsidRPr="00C32842" w:rsidR="0018120C" w:rsidTr="00E13391" w14:paraId="53640D24" w14:textId="77777777">
        <w:trPr>
          <w:trHeight w:val="300"/>
        </w:trPr>
        <w:tc>
          <w:tcPr>
            <w:tcW w:w="6804" w:type="dxa"/>
            <w:tcBorders>
              <w:top w:val="nil"/>
              <w:left w:val="nil"/>
              <w:bottom w:val="single" w:color="auto" w:sz="4" w:space="0"/>
              <w:right w:val="nil"/>
            </w:tcBorders>
            <w:noWrap/>
            <w:hideMark/>
          </w:tcPr>
          <w:p w:rsidRPr="00C32842" w:rsidR="0018120C" w:rsidP="00E13391" w:rsidRDefault="0018120C" w14:paraId="555DCFEA" w14:textId="77777777">
            <w:pPr>
              <w:rPr>
                <w:rFonts w:ascii="Arial" w:hAnsi="Arial" w:eastAsia="Times New Roman" w:cs="Arial"/>
                <w:b/>
                <w:bCs/>
                <w:sz w:val="20"/>
                <w:szCs w:val="20"/>
              </w:rPr>
            </w:pPr>
            <w:r w:rsidRPr="00C32842">
              <w:rPr>
                <w:rFonts w:ascii="Arial" w:hAnsi="Arial"/>
                <w:b/>
                <w:sz w:val="20"/>
              </w:rPr>
              <w:t>Abschnitt 19 – Positionen zur Ersetzbarkeit/Finanzinfrastruktur Positionen</w:t>
            </w:r>
          </w:p>
        </w:tc>
        <w:tc>
          <w:tcPr>
            <w:tcW w:w="2745" w:type="dxa"/>
            <w:tcBorders>
              <w:top w:val="nil"/>
              <w:left w:val="nil"/>
              <w:right w:val="nil"/>
            </w:tcBorders>
            <w:hideMark/>
          </w:tcPr>
          <w:p w:rsidRPr="00C32842" w:rsidR="0018120C" w:rsidP="00E13391" w:rsidRDefault="0018120C" w14:paraId="0AFE287D" w14:textId="77777777">
            <w:pPr>
              <w:jc w:val="center"/>
              <w:rPr>
                <w:rFonts w:ascii="Arial" w:hAnsi="Arial" w:eastAsia="Times New Roman" w:cs="Arial"/>
                <w:b/>
                <w:bCs/>
                <w:sz w:val="20"/>
                <w:szCs w:val="20"/>
              </w:rPr>
            </w:pPr>
            <w:r w:rsidRPr="00C32842">
              <w:rPr>
                <w:rFonts w:ascii="Arial" w:hAnsi="Arial"/>
                <w:b/>
                <w:sz w:val="20"/>
              </w:rPr>
              <w:t>Betrag</w:t>
            </w:r>
          </w:p>
        </w:tc>
      </w:tr>
      <w:tr w:rsidRPr="00C32842" w:rsidR="0018120C" w:rsidTr="00E13391" w14:paraId="04A47242" w14:textId="77777777">
        <w:trPr>
          <w:trHeight w:val="300"/>
        </w:trPr>
        <w:tc>
          <w:tcPr>
            <w:tcW w:w="6804" w:type="dxa"/>
            <w:tcBorders>
              <w:left w:val="nil"/>
              <w:right w:val="nil"/>
            </w:tcBorders>
            <w:noWrap/>
          </w:tcPr>
          <w:p w:rsidRPr="00C32842" w:rsidR="0018120C" w:rsidP="00E13391" w:rsidRDefault="0018120C" w14:paraId="4058EDBA" w14:textId="77777777">
            <w:pPr>
              <w:ind w:left="171" w:firstLine="28" w:firstLineChars="14"/>
              <w:rPr>
                <w:rFonts w:ascii="Arial" w:hAnsi="Arial" w:eastAsia="Times New Roman" w:cs="Arial"/>
                <w:sz w:val="20"/>
                <w:szCs w:val="20"/>
              </w:rPr>
            </w:pPr>
            <w:r w:rsidRPr="00C32842">
              <w:rPr>
                <w:rFonts w:ascii="Arial" w:hAnsi="Arial"/>
                <w:sz w:val="20"/>
              </w:rPr>
              <w:t>a. Handelsvolumen der von Staaten ausgegebenen Wertpapiere ohne gruppeninterne Transaktionen</w:t>
            </w:r>
          </w:p>
        </w:tc>
        <w:tc>
          <w:tcPr>
            <w:tcW w:w="2745" w:type="dxa"/>
            <w:tcBorders>
              <w:left w:val="nil"/>
              <w:right w:val="nil"/>
            </w:tcBorders>
            <w:noWrap/>
          </w:tcPr>
          <w:p w:rsidRPr="00C32842" w:rsidR="0018120C" w:rsidP="00E13391" w:rsidRDefault="0018120C" w14:paraId="2EA4D5A2" w14:textId="77777777">
            <w:pPr>
              <w:jc w:val="right"/>
              <w:rPr>
                <w:rFonts w:ascii="Arial" w:hAnsi="Arial" w:eastAsia="Times New Roman" w:cs="Arial"/>
                <w:sz w:val="20"/>
                <w:szCs w:val="20"/>
                <w:lang w:eastAsia="en-GB"/>
              </w:rPr>
            </w:pPr>
          </w:p>
        </w:tc>
      </w:tr>
      <w:tr w:rsidRPr="00C32842" w:rsidR="0018120C" w:rsidTr="00E13391" w14:paraId="7C308249" w14:textId="77777777">
        <w:trPr>
          <w:trHeight w:val="300"/>
        </w:trPr>
        <w:tc>
          <w:tcPr>
            <w:tcW w:w="6804" w:type="dxa"/>
            <w:tcBorders>
              <w:left w:val="nil"/>
              <w:right w:val="nil"/>
            </w:tcBorders>
            <w:noWrap/>
          </w:tcPr>
          <w:p w:rsidRPr="00C32842" w:rsidR="0018120C" w:rsidP="00E13391" w:rsidRDefault="0018120C" w14:paraId="33C00F9D" w14:textId="77777777">
            <w:pPr>
              <w:ind w:left="171"/>
              <w:rPr>
                <w:rFonts w:ascii="Arial" w:hAnsi="Arial" w:eastAsia="Times New Roman" w:cs="Arial"/>
                <w:sz w:val="20"/>
                <w:szCs w:val="20"/>
              </w:rPr>
            </w:pPr>
            <w:r w:rsidRPr="00C32842">
              <w:rPr>
                <w:rFonts w:ascii="Arial" w:hAnsi="Arial"/>
                <w:sz w:val="20"/>
              </w:rPr>
              <w:t>b. Im Auftrag von Kunden auf zentrale Gegenparteien verbuchte Sicherheitsmarge</w:t>
            </w:r>
          </w:p>
        </w:tc>
        <w:tc>
          <w:tcPr>
            <w:tcW w:w="2745" w:type="dxa"/>
            <w:tcBorders>
              <w:left w:val="nil"/>
              <w:right w:val="nil"/>
            </w:tcBorders>
            <w:noWrap/>
          </w:tcPr>
          <w:p w:rsidRPr="00C32842" w:rsidR="0018120C" w:rsidP="00E13391" w:rsidRDefault="0018120C" w14:paraId="6A23D85E" w14:textId="77777777">
            <w:pPr>
              <w:jc w:val="right"/>
              <w:rPr>
                <w:rFonts w:ascii="Arial" w:hAnsi="Arial" w:eastAsia="Times New Roman" w:cs="Arial"/>
                <w:sz w:val="20"/>
                <w:szCs w:val="20"/>
                <w:lang w:eastAsia="en-GB"/>
              </w:rPr>
            </w:pPr>
          </w:p>
        </w:tc>
      </w:tr>
      <w:tr w:rsidRPr="00C32842" w:rsidR="0018120C" w:rsidTr="00E13391" w14:paraId="2B88C2A9" w14:textId="77777777">
        <w:trPr>
          <w:trHeight w:val="300"/>
        </w:trPr>
        <w:tc>
          <w:tcPr>
            <w:tcW w:w="6804" w:type="dxa"/>
            <w:tcBorders>
              <w:left w:val="nil"/>
              <w:right w:val="nil"/>
            </w:tcBorders>
            <w:noWrap/>
          </w:tcPr>
          <w:p w:rsidRPr="00C32842" w:rsidR="0018120C" w:rsidP="00E13391" w:rsidRDefault="0018120C" w14:paraId="6C031930" w14:textId="77777777">
            <w:pPr>
              <w:ind w:firstLine="200" w:firstLineChars="100"/>
              <w:rPr>
                <w:rFonts w:ascii="Arial" w:hAnsi="Arial" w:eastAsia="Times New Roman" w:cs="Arial"/>
                <w:sz w:val="20"/>
                <w:szCs w:val="20"/>
              </w:rPr>
            </w:pPr>
            <w:r w:rsidRPr="00C32842">
              <w:rPr>
                <w:rFonts w:ascii="Arial" w:hAnsi="Arial"/>
                <w:sz w:val="20"/>
              </w:rPr>
              <w:t>c. Für die berichtende Gruppe auf zentrale Gegenparteien verbuchte Sicherheitsmarge</w:t>
            </w:r>
          </w:p>
        </w:tc>
        <w:tc>
          <w:tcPr>
            <w:tcW w:w="2745" w:type="dxa"/>
            <w:tcBorders>
              <w:left w:val="nil"/>
              <w:right w:val="nil"/>
            </w:tcBorders>
            <w:noWrap/>
          </w:tcPr>
          <w:p w:rsidRPr="00C32842" w:rsidR="0018120C" w:rsidP="00E13391" w:rsidRDefault="0018120C" w14:paraId="4DEA2B37" w14:textId="77777777">
            <w:pPr>
              <w:jc w:val="right"/>
              <w:rPr>
                <w:rFonts w:ascii="Arial" w:hAnsi="Arial" w:eastAsia="Times New Roman" w:cs="Arial"/>
                <w:sz w:val="20"/>
                <w:szCs w:val="20"/>
                <w:lang w:eastAsia="en-GB"/>
              </w:rPr>
            </w:pPr>
          </w:p>
        </w:tc>
      </w:tr>
      <w:tr w:rsidRPr="00C32842" w:rsidR="0018120C" w:rsidTr="00E13391" w14:paraId="0EDC5DBE" w14:textId="77777777">
        <w:trPr>
          <w:trHeight w:val="300"/>
        </w:trPr>
        <w:tc>
          <w:tcPr>
            <w:tcW w:w="6804" w:type="dxa"/>
            <w:tcBorders>
              <w:left w:val="nil"/>
              <w:right w:val="nil"/>
            </w:tcBorders>
            <w:noWrap/>
            <w:hideMark/>
          </w:tcPr>
          <w:p w:rsidRPr="00C32842" w:rsidR="0018120C" w:rsidP="00E13391" w:rsidRDefault="0018120C" w14:paraId="38A09387" w14:textId="77777777">
            <w:pPr>
              <w:ind w:firstLine="200" w:firstLineChars="100"/>
              <w:rPr>
                <w:rFonts w:ascii="Arial" w:hAnsi="Arial" w:eastAsia="Times New Roman" w:cs="Arial"/>
                <w:sz w:val="20"/>
                <w:szCs w:val="20"/>
              </w:rPr>
            </w:pPr>
            <w:r w:rsidRPr="00C32842">
              <w:rPr>
                <w:rFonts w:ascii="Arial" w:hAnsi="Arial"/>
                <w:sz w:val="20"/>
              </w:rPr>
              <w:t>d. Beiträge zum Ausfallfonds für zentrale Gegenparteien</w:t>
            </w:r>
          </w:p>
        </w:tc>
        <w:tc>
          <w:tcPr>
            <w:tcW w:w="2745" w:type="dxa"/>
            <w:tcBorders>
              <w:left w:val="nil"/>
              <w:right w:val="nil"/>
            </w:tcBorders>
            <w:noWrap/>
            <w:hideMark/>
          </w:tcPr>
          <w:p w:rsidRPr="00C32842" w:rsidR="0018120C" w:rsidP="00E13391" w:rsidRDefault="0018120C" w14:paraId="03487C7C"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4E129374" w14:textId="77777777">
        <w:trPr>
          <w:trHeight w:val="300"/>
        </w:trPr>
        <w:tc>
          <w:tcPr>
            <w:tcW w:w="6804" w:type="dxa"/>
            <w:tcBorders>
              <w:left w:val="nil"/>
              <w:right w:val="nil"/>
            </w:tcBorders>
            <w:noWrap/>
            <w:hideMark/>
          </w:tcPr>
          <w:p w:rsidRPr="00C32842" w:rsidR="0018120C" w:rsidP="00E13391" w:rsidRDefault="0018120C" w14:paraId="3704FA73" w14:textId="77777777">
            <w:pPr>
              <w:ind w:firstLine="200" w:firstLineChars="100"/>
              <w:rPr>
                <w:rFonts w:ascii="Arial" w:hAnsi="Arial" w:eastAsia="Times New Roman" w:cs="Arial"/>
                <w:sz w:val="20"/>
                <w:szCs w:val="20"/>
              </w:rPr>
            </w:pPr>
            <w:r w:rsidRPr="00C32842">
              <w:rPr>
                <w:rFonts w:ascii="Arial" w:hAnsi="Arial"/>
                <w:sz w:val="20"/>
              </w:rPr>
              <w:t>e. Sonstige Fazilitäten für zentrale Gegenparteien</w:t>
            </w:r>
          </w:p>
        </w:tc>
        <w:tc>
          <w:tcPr>
            <w:tcW w:w="2745" w:type="dxa"/>
            <w:tcBorders>
              <w:left w:val="nil"/>
              <w:right w:val="nil"/>
            </w:tcBorders>
            <w:noWrap/>
            <w:hideMark/>
          </w:tcPr>
          <w:p w:rsidRPr="00C32842" w:rsidR="0018120C" w:rsidP="00E13391" w:rsidRDefault="0018120C" w14:paraId="5508CFA3"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2422F0CE" w14:textId="77777777">
        <w:trPr>
          <w:gridAfter w:val="1"/>
          <w:wAfter w:w="2745" w:type="dxa"/>
          <w:trHeight w:val="300"/>
        </w:trPr>
        <w:tc>
          <w:tcPr>
            <w:tcW w:w="6804" w:type="dxa"/>
            <w:tcBorders>
              <w:left w:val="nil"/>
              <w:right w:val="nil"/>
            </w:tcBorders>
            <w:noWrap/>
            <w:hideMark/>
          </w:tcPr>
          <w:p w:rsidRPr="00C32842" w:rsidR="0018120C" w:rsidP="00E13391" w:rsidRDefault="0018120C" w14:paraId="39AFB0EB" w14:textId="77777777">
            <w:pPr>
              <w:ind w:left="171"/>
              <w:rPr>
                <w:rFonts w:ascii="Arial" w:hAnsi="Arial" w:eastAsia="Times New Roman" w:cs="Arial"/>
                <w:sz w:val="20"/>
                <w:szCs w:val="20"/>
              </w:rPr>
            </w:pPr>
            <w:r w:rsidRPr="00C32842">
              <w:rPr>
                <w:rFonts w:ascii="Arial" w:hAnsi="Arial"/>
                <w:sz w:val="20"/>
              </w:rPr>
              <w:t>f. Bereitstellung von Abwicklungsdiensten im Zusammenhang mit zentral abgerechneten Transaktionen</w:t>
            </w:r>
          </w:p>
        </w:tc>
      </w:tr>
      <w:tr w:rsidRPr="00C32842" w:rsidR="0018120C" w:rsidTr="00E13391" w14:paraId="1907D567" w14:textId="77777777">
        <w:trPr>
          <w:trHeight w:val="300"/>
        </w:trPr>
        <w:tc>
          <w:tcPr>
            <w:tcW w:w="6804" w:type="dxa"/>
            <w:tcBorders>
              <w:left w:val="nil"/>
              <w:right w:val="nil"/>
            </w:tcBorders>
            <w:noWrap/>
            <w:hideMark/>
          </w:tcPr>
          <w:p w:rsidRPr="00C32842" w:rsidR="0018120C" w:rsidP="00E13391" w:rsidRDefault="0018120C" w14:paraId="6B7CC29C" w14:textId="77777777">
            <w:pPr>
              <w:ind w:firstLine="200" w:firstLineChars="100"/>
              <w:rPr>
                <w:rFonts w:ascii="Arial" w:hAnsi="Arial" w:eastAsia="Times New Roman" w:cs="Arial"/>
                <w:sz w:val="20"/>
                <w:szCs w:val="20"/>
              </w:rPr>
            </w:pPr>
            <w:r w:rsidRPr="00C32842">
              <w:rPr>
                <w:rFonts w:ascii="Arial" w:hAnsi="Arial"/>
                <w:sz w:val="20"/>
              </w:rPr>
              <w:t xml:space="preserve">g. Vierteljährlicher Durchschnittswert der verwahrten Vermögenswerte </w:t>
            </w:r>
          </w:p>
        </w:tc>
        <w:tc>
          <w:tcPr>
            <w:tcW w:w="2745" w:type="dxa"/>
            <w:tcBorders>
              <w:left w:val="nil"/>
              <w:right w:val="nil"/>
            </w:tcBorders>
            <w:noWrap/>
            <w:hideMark/>
          </w:tcPr>
          <w:p w:rsidRPr="00C32842" w:rsidR="0018120C" w:rsidP="00E13391" w:rsidRDefault="0018120C" w14:paraId="2C42C838"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0920451A" w14:textId="77777777">
        <w:trPr>
          <w:trHeight w:val="300"/>
        </w:trPr>
        <w:tc>
          <w:tcPr>
            <w:tcW w:w="6804" w:type="dxa"/>
            <w:tcBorders>
              <w:left w:val="nil"/>
              <w:bottom w:val="single" w:color="auto" w:sz="4" w:space="0"/>
              <w:right w:val="nil"/>
            </w:tcBorders>
            <w:noWrap/>
            <w:hideMark/>
          </w:tcPr>
          <w:p w:rsidRPr="00C32842" w:rsidR="0018120C" w:rsidP="00E13391" w:rsidRDefault="0018120C" w14:paraId="5C9287B7" w14:textId="77777777">
            <w:pPr>
              <w:ind w:firstLine="200" w:firstLineChars="100"/>
              <w:rPr>
                <w:rFonts w:ascii="Arial" w:hAnsi="Arial" w:eastAsia="Times New Roman" w:cs="Arial"/>
                <w:sz w:val="20"/>
                <w:szCs w:val="20"/>
              </w:rPr>
            </w:pPr>
            <w:r w:rsidRPr="00C32842">
              <w:rPr>
                <w:rFonts w:ascii="Arial" w:hAnsi="Arial"/>
                <w:sz w:val="20"/>
              </w:rPr>
              <w:t xml:space="preserve">h. Monatlicher Durchschnittswert der verwahrten Vermögenswerte </w:t>
            </w:r>
          </w:p>
        </w:tc>
        <w:tc>
          <w:tcPr>
            <w:tcW w:w="2745" w:type="dxa"/>
            <w:tcBorders>
              <w:left w:val="nil"/>
              <w:bottom w:val="single" w:color="auto" w:sz="4" w:space="0"/>
              <w:right w:val="nil"/>
            </w:tcBorders>
            <w:noWrap/>
            <w:hideMark/>
          </w:tcPr>
          <w:p w:rsidRPr="00C32842" w:rsidR="0018120C" w:rsidP="00E13391" w:rsidRDefault="0018120C" w14:paraId="7C6D5344"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60E1903C" w14:textId="77777777">
        <w:trPr>
          <w:trHeight w:val="300"/>
        </w:trPr>
        <w:tc>
          <w:tcPr>
            <w:tcW w:w="6804" w:type="dxa"/>
            <w:tcBorders>
              <w:left w:val="nil"/>
              <w:bottom w:val="nil"/>
              <w:right w:val="nil"/>
            </w:tcBorders>
            <w:noWrap/>
          </w:tcPr>
          <w:p w:rsidRPr="00C32842" w:rsidR="0018120C" w:rsidP="00E13391" w:rsidRDefault="0018120C" w14:paraId="3607B16A"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C32842" w:rsidR="0018120C" w:rsidP="00E13391" w:rsidRDefault="0018120C" w14:paraId="602E0779" w14:textId="77777777">
            <w:pPr>
              <w:jc w:val="center"/>
              <w:rPr>
                <w:rFonts w:ascii="Arial" w:hAnsi="Arial" w:eastAsia="Times New Roman" w:cs="Arial"/>
                <w:b/>
                <w:bCs/>
                <w:sz w:val="20"/>
                <w:szCs w:val="20"/>
                <w:lang w:eastAsia="en-GB"/>
              </w:rPr>
            </w:pPr>
          </w:p>
        </w:tc>
      </w:tr>
      <w:tr w:rsidRPr="00C32842" w:rsidR="0018120C" w:rsidTr="00E13391" w14:paraId="3597B722" w14:textId="77777777">
        <w:trPr>
          <w:trHeight w:val="300"/>
        </w:trPr>
        <w:tc>
          <w:tcPr>
            <w:tcW w:w="6804" w:type="dxa"/>
            <w:tcBorders>
              <w:top w:val="nil"/>
              <w:left w:val="nil"/>
              <w:right w:val="nil"/>
            </w:tcBorders>
            <w:noWrap/>
            <w:hideMark/>
          </w:tcPr>
          <w:p w:rsidRPr="00C32842" w:rsidR="0018120C" w:rsidP="00E13391" w:rsidRDefault="0018120C" w14:paraId="4867417C" w14:textId="77777777">
            <w:pPr>
              <w:rPr>
                <w:rFonts w:ascii="Arial" w:hAnsi="Arial" w:eastAsia="Times New Roman" w:cs="Arial"/>
                <w:b/>
                <w:bCs/>
                <w:sz w:val="20"/>
                <w:szCs w:val="20"/>
              </w:rPr>
            </w:pPr>
            <w:r w:rsidRPr="00C32842">
              <w:rPr>
                <w:rFonts w:ascii="Arial" w:hAnsi="Arial"/>
                <w:b/>
                <w:sz w:val="20"/>
              </w:rPr>
              <w:t>Abschnitt 20 – Positionen zur Komplexität</w:t>
            </w:r>
          </w:p>
        </w:tc>
        <w:tc>
          <w:tcPr>
            <w:tcW w:w="2745" w:type="dxa"/>
            <w:tcBorders>
              <w:top w:val="nil"/>
              <w:left w:val="nil"/>
              <w:right w:val="nil"/>
            </w:tcBorders>
            <w:hideMark/>
          </w:tcPr>
          <w:p w:rsidRPr="00C32842" w:rsidR="0018120C" w:rsidP="00E13391" w:rsidRDefault="0018120C" w14:paraId="3C481D45" w14:textId="77777777">
            <w:pPr>
              <w:jc w:val="center"/>
              <w:rPr>
                <w:rFonts w:ascii="Arial" w:hAnsi="Arial" w:eastAsia="Times New Roman" w:cs="Arial"/>
                <w:b/>
                <w:bCs/>
                <w:sz w:val="20"/>
                <w:szCs w:val="20"/>
              </w:rPr>
            </w:pPr>
            <w:r w:rsidRPr="00C32842">
              <w:rPr>
                <w:rFonts w:ascii="Arial" w:hAnsi="Arial"/>
                <w:b/>
                <w:sz w:val="20"/>
              </w:rPr>
              <w:t>Betrag</w:t>
            </w:r>
          </w:p>
        </w:tc>
      </w:tr>
      <w:tr w:rsidRPr="00C32842" w:rsidR="0018120C" w:rsidTr="00E13391" w14:paraId="0B9185A2" w14:textId="77777777">
        <w:trPr>
          <w:trHeight w:val="300"/>
        </w:trPr>
        <w:tc>
          <w:tcPr>
            <w:tcW w:w="6804" w:type="dxa"/>
            <w:tcBorders>
              <w:left w:val="nil"/>
              <w:right w:val="nil"/>
            </w:tcBorders>
            <w:noWrap/>
            <w:hideMark/>
          </w:tcPr>
          <w:p w:rsidRPr="00C32842" w:rsidR="0018120C" w:rsidP="00E13391" w:rsidRDefault="0018120C" w14:paraId="18596FBE" w14:textId="77777777">
            <w:pPr>
              <w:ind w:firstLine="200" w:firstLineChars="100"/>
              <w:rPr>
                <w:rFonts w:ascii="Arial" w:hAnsi="Arial" w:eastAsia="Times New Roman" w:cs="Arial"/>
                <w:sz w:val="20"/>
                <w:szCs w:val="20"/>
              </w:rPr>
            </w:pPr>
            <w:r w:rsidRPr="00C32842">
              <w:rPr>
                <w:rFonts w:ascii="Arial" w:hAnsi="Arial"/>
                <w:sz w:val="20"/>
              </w:rPr>
              <w:t>a. Indikator für außerbörslich gehandelte (OTC-)Derivate (alter Indikator)</w:t>
            </w:r>
          </w:p>
        </w:tc>
        <w:tc>
          <w:tcPr>
            <w:tcW w:w="2745" w:type="dxa"/>
            <w:tcBorders>
              <w:left w:val="nil"/>
              <w:right w:val="nil"/>
            </w:tcBorders>
            <w:noWrap/>
            <w:hideMark/>
          </w:tcPr>
          <w:p w:rsidRPr="00C32842" w:rsidR="0018120C" w:rsidP="00E13391" w:rsidRDefault="0018120C" w14:paraId="3A207E14" w14:textId="77777777">
            <w:pPr>
              <w:jc w:val="right"/>
              <w:rPr>
                <w:rFonts w:ascii="Arial" w:hAnsi="Arial" w:eastAsia="Times New Roman" w:cs="Arial"/>
                <w:sz w:val="20"/>
                <w:szCs w:val="20"/>
              </w:rPr>
            </w:pPr>
            <w:r w:rsidRPr="00C32842">
              <w:rPr>
                <w:rFonts w:ascii="Arial" w:hAnsi="Arial"/>
                <w:sz w:val="20"/>
              </w:rPr>
              <w:t> </w:t>
            </w:r>
          </w:p>
        </w:tc>
      </w:tr>
      <w:tr w:rsidRPr="00C32842" w:rsidR="0018120C" w:rsidTr="00E13391" w14:paraId="5A38EA30" w14:textId="77777777">
        <w:trPr>
          <w:trHeight w:val="300"/>
        </w:trPr>
        <w:tc>
          <w:tcPr>
            <w:tcW w:w="6804" w:type="dxa"/>
            <w:tcBorders>
              <w:left w:val="nil"/>
              <w:right w:val="nil"/>
            </w:tcBorders>
            <w:noWrap/>
          </w:tcPr>
          <w:p w:rsidRPr="00C32842" w:rsidR="0018120C" w:rsidP="00E13391" w:rsidRDefault="0018120C" w14:paraId="68C04C73" w14:textId="77777777">
            <w:pPr>
              <w:ind w:left="171" w:firstLine="28" w:firstLineChars="14"/>
              <w:rPr>
                <w:rFonts w:ascii="Arial" w:hAnsi="Arial" w:eastAsia="Times New Roman" w:cs="Arial"/>
                <w:sz w:val="20"/>
                <w:szCs w:val="20"/>
              </w:rPr>
            </w:pPr>
            <w:r w:rsidRPr="00C32842">
              <w:rPr>
                <w:rFonts w:ascii="Arial" w:hAnsi="Arial"/>
                <w:sz w:val="20"/>
              </w:rPr>
              <w:t>b. Nominalwert außerbörslich gehandelter (OTC-)Derivate, einschl. Versicherungstochtergesellschaften</w:t>
            </w:r>
          </w:p>
        </w:tc>
        <w:tc>
          <w:tcPr>
            <w:tcW w:w="2745" w:type="dxa"/>
            <w:tcBorders>
              <w:left w:val="nil"/>
              <w:right w:val="nil"/>
            </w:tcBorders>
            <w:noWrap/>
          </w:tcPr>
          <w:p w:rsidRPr="00C32842" w:rsidR="0018120C" w:rsidP="00E13391" w:rsidRDefault="0018120C" w14:paraId="3441C540" w14:textId="77777777">
            <w:pPr>
              <w:jc w:val="right"/>
              <w:rPr>
                <w:rFonts w:ascii="Arial" w:hAnsi="Arial" w:eastAsia="Times New Roman" w:cs="Arial"/>
                <w:sz w:val="20"/>
                <w:szCs w:val="20"/>
                <w:lang w:eastAsia="en-GB"/>
              </w:rPr>
            </w:pPr>
          </w:p>
        </w:tc>
      </w:tr>
      <w:tr w:rsidRPr="00C32842" w:rsidR="0018120C" w:rsidTr="00E13391" w14:paraId="53C94D5E" w14:textId="77777777">
        <w:trPr>
          <w:trHeight w:val="300"/>
        </w:trPr>
        <w:tc>
          <w:tcPr>
            <w:tcW w:w="6804" w:type="dxa"/>
            <w:tcBorders>
              <w:left w:val="nil"/>
              <w:right w:val="nil"/>
            </w:tcBorders>
            <w:noWrap/>
          </w:tcPr>
          <w:p w:rsidRPr="00C32842" w:rsidR="0018120C" w:rsidP="00E13391" w:rsidRDefault="0018120C" w14:paraId="547D0748" w14:textId="77777777">
            <w:pPr>
              <w:ind w:left="313"/>
              <w:rPr>
                <w:rFonts w:ascii="Arial" w:hAnsi="Arial" w:eastAsia="Times New Roman" w:cs="Arial"/>
                <w:sz w:val="20"/>
                <w:szCs w:val="20"/>
              </w:rPr>
            </w:pPr>
            <w:r w:rsidRPr="00C32842">
              <w:rPr>
                <w:rFonts w:ascii="Arial" w:hAnsi="Arial"/>
                <w:sz w:val="20"/>
                <w:lang w:eastAsia="en-GB"/>
              </w:rPr>
              <w:t xml:space="preserve">(1) </w:t>
            </w:r>
            <w:r w:rsidRPr="00C32842">
              <w:rPr>
                <w:rFonts w:ascii="Arial" w:hAnsi="Arial"/>
                <w:sz w:val="20"/>
              </w:rPr>
              <w:t>Gecleart über eine zentrale Gegenpartei (CCP), wobei die Gruppe (einschl. Versicherungstochtergesellschaften) als Finanzintermediär fungiert (CCP-Teil)</w:t>
            </w:r>
          </w:p>
        </w:tc>
        <w:tc>
          <w:tcPr>
            <w:tcW w:w="2745" w:type="dxa"/>
            <w:tcBorders>
              <w:left w:val="nil"/>
              <w:right w:val="nil"/>
            </w:tcBorders>
            <w:noWrap/>
          </w:tcPr>
          <w:p w:rsidRPr="00C32842" w:rsidR="0018120C" w:rsidP="00E13391" w:rsidRDefault="0018120C" w14:paraId="5B8D38CF" w14:textId="77777777">
            <w:pPr>
              <w:jc w:val="right"/>
              <w:rPr>
                <w:rFonts w:ascii="Arial" w:hAnsi="Arial" w:eastAsia="Times New Roman" w:cs="Arial"/>
                <w:sz w:val="20"/>
                <w:szCs w:val="20"/>
                <w:lang w:eastAsia="en-GB"/>
              </w:rPr>
            </w:pPr>
          </w:p>
        </w:tc>
      </w:tr>
      <w:tr w:rsidRPr="00C32842" w:rsidR="0018120C" w:rsidTr="00E13391" w14:paraId="582E7B4B" w14:textId="77777777">
        <w:trPr>
          <w:trHeight w:val="300"/>
        </w:trPr>
        <w:tc>
          <w:tcPr>
            <w:tcW w:w="6804" w:type="dxa"/>
            <w:tcBorders>
              <w:left w:val="nil"/>
              <w:right w:val="nil"/>
            </w:tcBorders>
            <w:noWrap/>
          </w:tcPr>
          <w:p w:rsidRPr="00C32842" w:rsidR="0018120C" w:rsidP="00E13391" w:rsidRDefault="0018120C" w14:paraId="6CA9E5C3" w14:textId="77777777">
            <w:pPr>
              <w:ind w:left="313" w:firstLine="58" w:firstLineChars="29"/>
              <w:rPr>
                <w:rFonts w:ascii="Arial" w:hAnsi="Arial" w:eastAsia="Times New Roman" w:cs="Arial"/>
                <w:sz w:val="20"/>
                <w:szCs w:val="20"/>
              </w:rPr>
            </w:pPr>
            <w:r w:rsidRPr="00C32842">
              <w:rPr>
                <w:rFonts w:ascii="Arial" w:hAnsi="Arial"/>
                <w:sz w:val="20"/>
                <w:lang w:eastAsia="en-GB"/>
              </w:rPr>
              <w:t xml:space="preserve">(2) </w:t>
            </w:r>
            <w:r w:rsidRPr="00C32842">
              <w:rPr>
                <w:rFonts w:ascii="Arial" w:hAnsi="Arial"/>
                <w:sz w:val="20"/>
              </w:rPr>
              <w:t xml:space="preserve">Gecleart über eine zentrale Gegenpartei (CCP), wobei die Gruppe (einschl. Versicherungstochtergesellschaften) als Finanzintermediär fungiert (Kunden-Teil) </w:t>
            </w:r>
          </w:p>
        </w:tc>
        <w:tc>
          <w:tcPr>
            <w:tcW w:w="2745" w:type="dxa"/>
            <w:tcBorders>
              <w:left w:val="nil"/>
              <w:right w:val="nil"/>
            </w:tcBorders>
            <w:noWrap/>
          </w:tcPr>
          <w:p w:rsidRPr="00C32842" w:rsidR="0018120C" w:rsidP="00E13391" w:rsidRDefault="0018120C" w14:paraId="4CE06924" w14:textId="77777777">
            <w:pPr>
              <w:jc w:val="right"/>
              <w:rPr>
                <w:rFonts w:ascii="Arial" w:hAnsi="Arial" w:eastAsia="Times New Roman" w:cs="Arial"/>
                <w:sz w:val="20"/>
                <w:szCs w:val="20"/>
                <w:lang w:eastAsia="en-GB"/>
              </w:rPr>
            </w:pPr>
          </w:p>
        </w:tc>
      </w:tr>
      <w:tr w:rsidRPr="00C32842" w:rsidR="0018120C" w:rsidTr="00E13391" w14:paraId="30D78674" w14:textId="77777777">
        <w:trPr>
          <w:trHeight w:val="300"/>
        </w:trPr>
        <w:tc>
          <w:tcPr>
            <w:tcW w:w="6804" w:type="dxa"/>
            <w:tcBorders>
              <w:left w:val="nil"/>
              <w:right w:val="nil"/>
            </w:tcBorders>
            <w:noWrap/>
          </w:tcPr>
          <w:p w:rsidRPr="00C32842" w:rsidR="0018120C" w:rsidP="00E13391" w:rsidRDefault="0018120C" w14:paraId="0A3CD7B2" w14:textId="77777777">
            <w:pPr>
              <w:ind w:left="313"/>
              <w:rPr>
                <w:rFonts w:ascii="Arial" w:hAnsi="Arial" w:eastAsia="Times New Roman" w:cs="Arial"/>
                <w:sz w:val="20"/>
                <w:szCs w:val="20"/>
              </w:rPr>
            </w:pPr>
            <w:r w:rsidRPr="00C32842">
              <w:rPr>
                <w:rFonts w:ascii="Arial" w:hAnsi="Arial"/>
                <w:sz w:val="20"/>
                <w:lang w:eastAsia="en-GB"/>
              </w:rPr>
              <w:lastRenderedPageBreak/>
              <w:t xml:space="preserve">(3) </w:t>
            </w:r>
            <w:r w:rsidRPr="00C32842">
              <w:rPr>
                <w:rFonts w:ascii="Arial" w:hAnsi="Arial"/>
                <w:sz w:val="20"/>
              </w:rPr>
              <w:t xml:space="preserve">Gecleart über eine zentrale Gegenpartei (CCP), wobei die Gruppe einschl. Versicherungstochtergesellschaften als Beauftragter fungiert </w:t>
            </w:r>
          </w:p>
        </w:tc>
        <w:tc>
          <w:tcPr>
            <w:tcW w:w="2745" w:type="dxa"/>
            <w:tcBorders>
              <w:left w:val="nil"/>
              <w:right w:val="nil"/>
            </w:tcBorders>
            <w:noWrap/>
          </w:tcPr>
          <w:p w:rsidRPr="00C32842" w:rsidR="0018120C" w:rsidP="00E13391" w:rsidRDefault="0018120C" w14:paraId="5B2B8D45" w14:textId="77777777">
            <w:pPr>
              <w:jc w:val="right"/>
              <w:rPr>
                <w:rFonts w:ascii="Arial" w:hAnsi="Arial" w:eastAsia="Times New Roman" w:cs="Arial"/>
                <w:sz w:val="20"/>
                <w:szCs w:val="20"/>
                <w:lang w:eastAsia="en-GB"/>
              </w:rPr>
            </w:pPr>
          </w:p>
        </w:tc>
      </w:tr>
      <w:tr w:rsidRPr="00C32842" w:rsidR="0018120C" w:rsidTr="00E13391" w14:paraId="27EAEA63" w14:textId="77777777">
        <w:trPr>
          <w:trHeight w:val="300"/>
        </w:trPr>
        <w:tc>
          <w:tcPr>
            <w:tcW w:w="6804" w:type="dxa"/>
            <w:tcBorders>
              <w:left w:val="nil"/>
              <w:right w:val="nil"/>
            </w:tcBorders>
            <w:noWrap/>
          </w:tcPr>
          <w:p w:rsidRPr="00C32842" w:rsidR="0018120C" w:rsidP="00E13391" w:rsidRDefault="0018120C" w14:paraId="574DE9AE" w14:textId="77777777">
            <w:pPr>
              <w:ind w:left="313" w:hanging="1"/>
              <w:rPr>
                <w:rFonts w:ascii="Arial" w:hAnsi="Arial" w:eastAsia="Times New Roman" w:cs="Arial"/>
                <w:sz w:val="20"/>
                <w:szCs w:val="20"/>
              </w:rPr>
            </w:pPr>
            <w:r w:rsidRPr="00C32842">
              <w:rPr>
                <w:rFonts w:ascii="Arial" w:hAnsi="Arial"/>
                <w:sz w:val="20"/>
                <w:lang w:eastAsia="en-GB"/>
              </w:rPr>
              <w:t xml:space="preserve">(4) </w:t>
            </w:r>
            <w:r w:rsidRPr="00C32842">
              <w:rPr>
                <w:rFonts w:ascii="Arial" w:hAnsi="Arial"/>
                <w:sz w:val="20"/>
              </w:rPr>
              <w:t>Gecleart über eine zentrale Gegenpartei (CCP), wobei die Gruppe einschl. Versicherungstochtergesellschaften für eigene Rechnung handelt</w:t>
            </w:r>
          </w:p>
        </w:tc>
        <w:tc>
          <w:tcPr>
            <w:tcW w:w="2745" w:type="dxa"/>
            <w:tcBorders>
              <w:left w:val="nil"/>
              <w:right w:val="nil"/>
            </w:tcBorders>
            <w:noWrap/>
          </w:tcPr>
          <w:p w:rsidRPr="00C32842" w:rsidR="0018120C" w:rsidP="00E13391" w:rsidRDefault="0018120C" w14:paraId="630A945F" w14:textId="77777777">
            <w:pPr>
              <w:jc w:val="right"/>
              <w:rPr>
                <w:rFonts w:ascii="Arial" w:hAnsi="Arial" w:eastAsia="Times New Roman" w:cs="Arial"/>
                <w:sz w:val="20"/>
                <w:szCs w:val="20"/>
                <w:lang w:eastAsia="en-GB"/>
              </w:rPr>
            </w:pPr>
          </w:p>
        </w:tc>
      </w:tr>
      <w:tr w:rsidRPr="00C32842" w:rsidR="0018120C" w:rsidTr="00E13391" w14:paraId="0A52DAD4" w14:textId="77777777">
        <w:trPr>
          <w:trHeight w:val="300"/>
        </w:trPr>
        <w:tc>
          <w:tcPr>
            <w:tcW w:w="6804" w:type="dxa"/>
            <w:tcBorders>
              <w:left w:val="nil"/>
              <w:right w:val="nil"/>
            </w:tcBorders>
            <w:noWrap/>
          </w:tcPr>
          <w:p w:rsidRPr="00C32842" w:rsidR="0018120C" w:rsidP="00E13391" w:rsidRDefault="0018120C" w14:paraId="7A2EA4B0" w14:textId="77777777">
            <w:pPr>
              <w:ind w:left="171" w:firstLine="28" w:firstLineChars="14"/>
              <w:rPr>
                <w:rFonts w:ascii="Arial" w:hAnsi="Arial" w:eastAsia="Times New Roman" w:cs="Arial"/>
                <w:sz w:val="20"/>
                <w:szCs w:val="20"/>
              </w:rPr>
            </w:pPr>
            <w:r w:rsidRPr="00C32842">
              <w:rPr>
                <w:rFonts w:ascii="Arial" w:hAnsi="Arial"/>
                <w:sz w:val="20"/>
              </w:rPr>
              <w:t>c. Außerbörslich gehandelte (OTC-)Derivate, die über eine zentrale Gegenpartei gecleart werden (LIBOR-Ausschluss beim Übergang)</w:t>
            </w:r>
          </w:p>
        </w:tc>
        <w:tc>
          <w:tcPr>
            <w:tcW w:w="2745" w:type="dxa"/>
            <w:tcBorders>
              <w:left w:val="nil"/>
              <w:right w:val="nil"/>
            </w:tcBorders>
            <w:noWrap/>
          </w:tcPr>
          <w:p w:rsidRPr="00C32842" w:rsidR="0018120C" w:rsidP="00E13391" w:rsidRDefault="0018120C" w14:paraId="6A70F423" w14:textId="77777777">
            <w:pPr>
              <w:jc w:val="right"/>
              <w:rPr>
                <w:rFonts w:ascii="Arial" w:hAnsi="Arial" w:eastAsia="Times New Roman" w:cs="Arial"/>
                <w:sz w:val="20"/>
                <w:szCs w:val="20"/>
                <w:lang w:eastAsia="en-GB"/>
              </w:rPr>
            </w:pPr>
          </w:p>
        </w:tc>
      </w:tr>
      <w:tr w:rsidRPr="00C32842" w:rsidR="0018120C" w:rsidTr="00E13391" w14:paraId="72926C4A" w14:textId="77777777">
        <w:trPr>
          <w:trHeight w:val="300"/>
        </w:trPr>
        <w:tc>
          <w:tcPr>
            <w:tcW w:w="6804" w:type="dxa"/>
            <w:tcBorders>
              <w:left w:val="nil"/>
              <w:right w:val="nil"/>
            </w:tcBorders>
            <w:noWrap/>
          </w:tcPr>
          <w:p w:rsidRPr="00C32842" w:rsidR="0018120C" w:rsidP="00E13391" w:rsidRDefault="0018120C" w14:paraId="27A1B103" w14:textId="77777777">
            <w:pPr>
              <w:ind w:left="171" w:firstLine="28" w:firstLineChars="14"/>
              <w:rPr>
                <w:rFonts w:ascii="Arial" w:hAnsi="Arial" w:eastAsia="Times New Roman" w:cs="Arial"/>
                <w:sz w:val="20"/>
                <w:szCs w:val="20"/>
              </w:rPr>
            </w:pPr>
            <w:r w:rsidRPr="00C32842">
              <w:rPr>
                <w:rFonts w:ascii="Arial" w:hAnsi="Arial"/>
                <w:sz w:val="20"/>
              </w:rPr>
              <w:t xml:space="preserve">d. Vierteljährlicher Durchschnittswert des Nominalwerts der außerbörslich gehandelten (OTC-)Derivate </w:t>
            </w:r>
          </w:p>
        </w:tc>
        <w:tc>
          <w:tcPr>
            <w:tcW w:w="2745" w:type="dxa"/>
            <w:tcBorders>
              <w:left w:val="nil"/>
              <w:right w:val="nil"/>
            </w:tcBorders>
            <w:noWrap/>
          </w:tcPr>
          <w:p w:rsidRPr="00C32842" w:rsidR="0018120C" w:rsidP="00E13391" w:rsidRDefault="0018120C" w14:paraId="01108A33" w14:textId="77777777">
            <w:pPr>
              <w:jc w:val="right"/>
              <w:rPr>
                <w:rFonts w:ascii="Arial" w:hAnsi="Arial" w:eastAsia="Times New Roman" w:cs="Arial"/>
                <w:sz w:val="20"/>
                <w:szCs w:val="20"/>
                <w:lang w:eastAsia="en-GB"/>
              </w:rPr>
            </w:pPr>
          </w:p>
        </w:tc>
      </w:tr>
      <w:tr w:rsidRPr="00C32842" w:rsidR="0018120C" w:rsidTr="00E13391" w14:paraId="435D9C8B" w14:textId="77777777">
        <w:trPr>
          <w:trHeight w:val="300"/>
        </w:trPr>
        <w:tc>
          <w:tcPr>
            <w:tcW w:w="6804" w:type="dxa"/>
            <w:tcBorders>
              <w:left w:val="nil"/>
              <w:right w:val="nil"/>
            </w:tcBorders>
            <w:noWrap/>
          </w:tcPr>
          <w:p w:rsidRPr="00C32842" w:rsidR="0018120C" w:rsidP="00E13391" w:rsidRDefault="0018120C" w14:paraId="765141B3" w14:textId="77777777">
            <w:pPr>
              <w:ind w:left="171" w:firstLine="28" w:firstLineChars="14"/>
              <w:rPr>
                <w:rFonts w:ascii="Arial" w:hAnsi="Arial" w:eastAsia="Times New Roman" w:cs="Arial"/>
                <w:sz w:val="20"/>
                <w:szCs w:val="20"/>
              </w:rPr>
            </w:pPr>
            <w:r w:rsidRPr="00C32842">
              <w:rPr>
                <w:rFonts w:ascii="Arial" w:hAnsi="Arial"/>
                <w:sz w:val="20"/>
              </w:rPr>
              <w:t xml:space="preserve">e. Monatlicher Durchschnittswert des Nominalwerts der außerbörslich gehandelten (OTC-)Derivate </w:t>
            </w:r>
          </w:p>
        </w:tc>
        <w:tc>
          <w:tcPr>
            <w:tcW w:w="2745" w:type="dxa"/>
            <w:tcBorders>
              <w:left w:val="nil"/>
              <w:right w:val="nil"/>
            </w:tcBorders>
            <w:noWrap/>
          </w:tcPr>
          <w:p w:rsidRPr="00C32842" w:rsidR="0018120C" w:rsidP="00E13391" w:rsidRDefault="0018120C" w14:paraId="26526E49" w14:textId="77777777">
            <w:pPr>
              <w:jc w:val="right"/>
              <w:rPr>
                <w:rFonts w:ascii="Arial" w:hAnsi="Arial" w:eastAsia="Times New Roman" w:cs="Arial"/>
                <w:sz w:val="20"/>
                <w:szCs w:val="20"/>
                <w:lang w:eastAsia="en-GB"/>
              </w:rPr>
            </w:pPr>
          </w:p>
        </w:tc>
      </w:tr>
      <w:tr w:rsidRPr="00C32842" w:rsidR="0018120C" w:rsidTr="00E13391" w14:paraId="18A01C8D" w14:textId="77777777">
        <w:trPr>
          <w:trHeight w:val="300"/>
        </w:trPr>
        <w:tc>
          <w:tcPr>
            <w:tcW w:w="6804" w:type="dxa"/>
            <w:tcBorders>
              <w:left w:val="nil"/>
              <w:right w:val="nil"/>
            </w:tcBorders>
            <w:noWrap/>
          </w:tcPr>
          <w:p w:rsidRPr="00C32842" w:rsidR="0018120C" w:rsidP="00E13391" w:rsidRDefault="0018120C" w14:paraId="794B58E9" w14:textId="77777777">
            <w:pPr>
              <w:ind w:firstLine="200" w:firstLineChars="100"/>
              <w:rPr>
                <w:rFonts w:ascii="Arial" w:hAnsi="Arial" w:eastAsia="Times New Roman" w:cs="Arial"/>
                <w:sz w:val="20"/>
                <w:szCs w:val="20"/>
              </w:rPr>
            </w:pPr>
            <w:r w:rsidRPr="00C32842">
              <w:rPr>
                <w:rFonts w:ascii="Arial" w:hAnsi="Arial"/>
                <w:sz w:val="20"/>
              </w:rPr>
              <w:t xml:space="preserve">f. Vierteljährlicher Durchschnittswert von Handelspapieren und zur Veräußerung verfügbaren Wertpapieren </w:t>
            </w:r>
          </w:p>
        </w:tc>
        <w:tc>
          <w:tcPr>
            <w:tcW w:w="2745" w:type="dxa"/>
            <w:tcBorders>
              <w:left w:val="nil"/>
              <w:right w:val="nil"/>
            </w:tcBorders>
            <w:noWrap/>
          </w:tcPr>
          <w:p w:rsidRPr="00C32842" w:rsidR="0018120C" w:rsidP="00E13391" w:rsidRDefault="0018120C" w14:paraId="5A9EC95F" w14:textId="77777777">
            <w:pPr>
              <w:jc w:val="right"/>
              <w:rPr>
                <w:rFonts w:ascii="Arial" w:hAnsi="Arial" w:eastAsia="Times New Roman" w:cs="Arial"/>
                <w:sz w:val="20"/>
                <w:szCs w:val="20"/>
                <w:lang w:eastAsia="en-GB"/>
              </w:rPr>
            </w:pPr>
          </w:p>
        </w:tc>
      </w:tr>
      <w:tr w:rsidRPr="00C32842" w:rsidR="0018120C" w:rsidTr="00E13391" w14:paraId="5E9F179A" w14:textId="77777777">
        <w:trPr>
          <w:trHeight w:val="300"/>
        </w:trPr>
        <w:tc>
          <w:tcPr>
            <w:tcW w:w="6804" w:type="dxa"/>
            <w:tcBorders>
              <w:left w:val="nil"/>
              <w:right w:val="nil"/>
            </w:tcBorders>
            <w:noWrap/>
          </w:tcPr>
          <w:p w:rsidRPr="00C32842" w:rsidR="0018120C" w:rsidP="00E13391" w:rsidRDefault="0018120C" w14:paraId="51741B4C" w14:textId="77777777">
            <w:pPr>
              <w:ind w:firstLine="200" w:firstLineChars="100"/>
              <w:rPr>
                <w:rFonts w:ascii="Arial" w:hAnsi="Arial" w:eastAsia="Times New Roman" w:cs="Arial"/>
                <w:sz w:val="20"/>
                <w:szCs w:val="20"/>
              </w:rPr>
            </w:pPr>
            <w:r w:rsidRPr="00C32842">
              <w:rPr>
                <w:rFonts w:ascii="Arial" w:hAnsi="Arial"/>
                <w:sz w:val="20"/>
              </w:rPr>
              <w:t xml:space="preserve">g. Monatlicher Durchschnittswert der Wertpapiere des Handelsbestands und der zur Veräußerung verfügbaren Wertpapiere </w:t>
            </w:r>
          </w:p>
        </w:tc>
        <w:tc>
          <w:tcPr>
            <w:tcW w:w="2745" w:type="dxa"/>
            <w:tcBorders>
              <w:left w:val="nil"/>
              <w:right w:val="nil"/>
            </w:tcBorders>
            <w:noWrap/>
          </w:tcPr>
          <w:p w:rsidRPr="00C32842" w:rsidR="0018120C" w:rsidP="00E13391" w:rsidRDefault="0018120C" w14:paraId="6E4816C9" w14:textId="77777777">
            <w:pPr>
              <w:jc w:val="right"/>
              <w:rPr>
                <w:rFonts w:ascii="Arial" w:hAnsi="Arial" w:eastAsia="Times New Roman" w:cs="Arial"/>
                <w:sz w:val="20"/>
                <w:szCs w:val="20"/>
                <w:lang w:eastAsia="en-GB"/>
              </w:rPr>
            </w:pPr>
          </w:p>
        </w:tc>
      </w:tr>
      <w:tr w:rsidRPr="00C32842" w:rsidR="0018120C" w:rsidTr="00E13391" w14:paraId="48BCD681" w14:textId="77777777">
        <w:trPr>
          <w:trHeight w:val="300"/>
        </w:trPr>
        <w:tc>
          <w:tcPr>
            <w:tcW w:w="6804" w:type="dxa"/>
            <w:tcBorders>
              <w:left w:val="nil"/>
              <w:right w:val="nil"/>
            </w:tcBorders>
            <w:noWrap/>
          </w:tcPr>
          <w:p w:rsidRPr="00C32842" w:rsidR="0018120C" w:rsidP="00E13391" w:rsidRDefault="0018120C" w14:paraId="18594F15" w14:textId="77777777">
            <w:pPr>
              <w:ind w:firstLine="200" w:firstLineChars="100"/>
              <w:rPr>
                <w:rFonts w:ascii="Arial" w:hAnsi="Arial" w:eastAsia="Times New Roman" w:cs="Arial"/>
                <w:sz w:val="20"/>
                <w:szCs w:val="20"/>
              </w:rPr>
            </w:pPr>
            <w:r w:rsidRPr="00C32842">
              <w:rPr>
                <w:rFonts w:ascii="Arial" w:hAnsi="Arial"/>
                <w:sz w:val="20"/>
              </w:rPr>
              <w:t>h. Indikator für Vermögenswerte der Stufe 3 (alter Indikator)</w:t>
            </w:r>
          </w:p>
        </w:tc>
        <w:tc>
          <w:tcPr>
            <w:tcW w:w="2745" w:type="dxa"/>
            <w:tcBorders>
              <w:left w:val="nil"/>
              <w:right w:val="nil"/>
            </w:tcBorders>
            <w:noWrap/>
          </w:tcPr>
          <w:p w:rsidRPr="00C32842" w:rsidR="0018120C" w:rsidP="00E13391" w:rsidRDefault="0018120C" w14:paraId="353B8DD4" w14:textId="77777777">
            <w:pPr>
              <w:jc w:val="right"/>
              <w:rPr>
                <w:rFonts w:ascii="Arial" w:hAnsi="Arial" w:eastAsia="Times New Roman" w:cs="Arial"/>
                <w:sz w:val="20"/>
                <w:szCs w:val="20"/>
                <w:lang w:eastAsia="en-GB"/>
              </w:rPr>
            </w:pPr>
          </w:p>
        </w:tc>
      </w:tr>
      <w:tr w:rsidRPr="00C32842" w:rsidR="0018120C" w:rsidTr="00E13391" w14:paraId="3CA3E73A" w14:textId="77777777">
        <w:trPr>
          <w:trHeight w:val="300"/>
        </w:trPr>
        <w:tc>
          <w:tcPr>
            <w:tcW w:w="6804" w:type="dxa"/>
            <w:tcBorders>
              <w:left w:val="nil"/>
              <w:right w:val="nil"/>
            </w:tcBorders>
            <w:noWrap/>
          </w:tcPr>
          <w:p w:rsidRPr="00C32842" w:rsidR="0018120C" w:rsidP="00E13391" w:rsidRDefault="0018120C" w14:paraId="0F7E0090" w14:textId="77777777">
            <w:pPr>
              <w:ind w:firstLine="200" w:firstLineChars="100"/>
              <w:rPr>
                <w:rFonts w:ascii="Arial" w:hAnsi="Arial" w:eastAsia="Times New Roman" w:cs="Arial"/>
                <w:sz w:val="20"/>
                <w:szCs w:val="20"/>
              </w:rPr>
            </w:pPr>
            <w:r w:rsidRPr="00C32842">
              <w:rPr>
                <w:rFonts w:ascii="Arial" w:hAnsi="Arial"/>
                <w:sz w:val="20"/>
              </w:rPr>
              <w:t xml:space="preserve">i. Vierteljährlicher Durchschnittswert der Aktiva der Stufe 3 </w:t>
            </w:r>
          </w:p>
        </w:tc>
        <w:tc>
          <w:tcPr>
            <w:tcW w:w="2745" w:type="dxa"/>
            <w:tcBorders>
              <w:left w:val="nil"/>
              <w:right w:val="nil"/>
            </w:tcBorders>
            <w:noWrap/>
          </w:tcPr>
          <w:p w:rsidRPr="00C32842" w:rsidR="0018120C" w:rsidP="00E13391" w:rsidRDefault="0018120C" w14:paraId="6FE844CA" w14:textId="77777777">
            <w:pPr>
              <w:jc w:val="right"/>
              <w:rPr>
                <w:rFonts w:ascii="Arial" w:hAnsi="Arial" w:eastAsia="Times New Roman" w:cs="Arial"/>
                <w:sz w:val="20"/>
                <w:szCs w:val="20"/>
                <w:lang w:eastAsia="en-GB"/>
              </w:rPr>
            </w:pPr>
          </w:p>
        </w:tc>
      </w:tr>
      <w:tr w:rsidRPr="00C32842" w:rsidR="0018120C" w:rsidTr="00E13391" w14:paraId="13845DC9" w14:textId="77777777">
        <w:trPr>
          <w:trHeight w:val="300"/>
        </w:trPr>
        <w:tc>
          <w:tcPr>
            <w:tcW w:w="6804" w:type="dxa"/>
            <w:tcBorders>
              <w:left w:val="nil"/>
              <w:right w:val="nil"/>
            </w:tcBorders>
            <w:noWrap/>
          </w:tcPr>
          <w:p w:rsidRPr="00C32842" w:rsidR="0018120C" w:rsidP="00E13391" w:rsidRDefault="0018120C" w14:paraId="76EA80FF" w14:textId="77777777">
            <w:pPr>
              <w:ind w:firstLine="200" w:firstLineChars="100"/>
              <w:rPr>
                <w:rFonts w:ascii="Arial" w:hAnsi="Arial" w:eastAsia="Times New Roman" w:cs="Arial"/>
                <w:sz w:val="20"/>
                <w:szCs w:val="20"/>
              </w:rPr>
            </w:pPr>
            <w:r w:rsidRPr="00C32842">
              <w:rPr>
                <w:rFonts w:ascii="Arial" w:hAnsi="Arial"/>
                <w:sz w:val="20"/>
              </w:rPr>
              <w:t xml:space="preserve">j. Mittelwert von Vermögenswerten der Stufe 3  </w:t>
            </w:r>
          </w:p>
        </w:tc>
        <w:tc>
          <w:tcPr>
            <w:tcW w:w="2745" w:type="dxa"/>
            <w:tcBorders>
              <w:left w:val="nil"/>
              <w:right w:val="nil"/>
            </w:tcBorders>
            <w:noWrap/>
          </w:tcPr>
          <w:p w:rsidRPr="00C32842" w:rsidR="0018120C" w:rsidP="00E13391" w:rsidRDefault="0018120C" w14:paraId="1D63AA2E" w14:textId="77777777">
            <w:pPr>
              <w:jc w:val="right"/>
              <w:rPr>
                <w:rFonts w:ascii="Arial" w:hAnsi="Arial" w:eastAsia="Times New Roman" w:cs="Arial"/>
                <w:sz w:val="20"/>
                <w:szCs w:val="20"/>
                <w:lang w:eastAsia="en-GB"/>
              </w:rPr>
            </w:pPr>
          </w:p>
        </w:tc>
      </w:tr>
      <w:tr w:rsidRPr="00C32842" w:rsidR="0018120C" w:rsidTr="00E13391" w14:paraId="52178845" w14:textId="77777777">
        <w:trPr>
          <w:trHeight w:val="300"/>
        </w:trPr>
        <w:tc>
          <w:tcPr>
            <w:tcW w:w="6804" w:type="dxa"/>
            <w:tcBorders>
              <w:left w:val="nil"/>
              <w:right w:val="nil"/>
            </w:tcBorders>
            <w:noWrap/>
          </w:tcPr>
          <w:p w:rsidRPr="00C32842" w:rsidR="0018120C" w:rsidP="00E13391" w:rsidRDefault="0018120C" w14:paraId="580EAEE7" w14:textId="77777777">
            <w:pPr>
              <w:ind w:firstLine="200" w:firstLineChars="100"/>
              <w:rPr>
                <w:rFonts w:ascii="Arial" w:hAnsi="Arial" w:eastAsia="Times New Roman" w:cs="Arial"/>
                <w:sz w:val="20"/>
                <w:szCs w:val="20"/>
              </w:rPr>
            </w:pPr>
            <w:r w:rsidRPr="00C32842">
              <w:rPr>
                <w:rFonts w:ascii="Arial" w:hAnsi="Arial"/>
                <w:sz w:val="20"/>
              </w:rPr>
              <w:t>k Vermögenswerte der Stufe 2, einschl. Versicherungstochtergesellschaften</w:t>
            </w:r>
          </w:p>
        </w:tc>
        <w:tc>
          <w:tcPr>
            <w:tcW w:w="2745" w:type="dxa"/>
            <w:tcBorders>
              <w:left w:val="nil"/>
              <w:right w:val="nil"/>
            </w:tcBorders>
            <w:noWrap/>
          </w:tcPr>
          <w:p w:rsidRPr="00C32842" w:rsidR="0018120C" w:rsidP="00E13391" w:rsidRDefault="0018120C" w14:paraId="4658A750" w14:textId="77777777">
            <w:pPr>
              <w:jc w:val="right"/>
              <w:rPr>
                <w:rFonts w:ascii="Arial" w:hAnsi="Arial" w:eastAsia="Times New Roman" w:cs="Arial"/>
                <w:sz w:val="20"/>
                <w:szCs w:val="20"/>
                <w:lang w:eastAsia="en-GB"/>
              </w:rPr>
            </w:pPr>
          </w:p>
        </w:tc>
      </w:tr>
      <w:tr w:rsidRPr="00C32842" w:rsidR="0018120C" w:rsidTr="00E13391" w14:paraId="4BDADE7F" w14:textId="77777777">
        <w:trPr>
          <w:trHeight w:val="300"/>
        </w:trPr>
        <w:tc>
          <w:tcPr>
            <w:tcW w:w="6804" w:type="dxa"/>
            <w:tcBorders>
              <w:left w:val="nil"/>
              <w:right w:val="nil"/>
            </w:tcBorders>
            <w:noWrap/>
          </w:tcPr>
          <w:p w:rsidRPr="00C32842" w:rsidR="0018120C" w:rsidP="00E13391" w:rsidRDefault="0018120C" w14:paraId="6BD3A198" w14:textId="77777777">
            <w:pPr>
              <w:ind w:left="454" w:hanging="141"/>
              <w:rPr>
                <w:rFonts w:ascii="Arial" w:hAnsi="Arial" w:eastAsia="Times New Roman" w:cs="Arial"/>
                <w:sz w:val="20"/>
                <w:szCs w:val="20"/>
              </w:rPr>
            </w:pPr>
            <w:r w:rsidRPr="00C32842">
              <w:rPr>
                <w:rFonts w:ascii="Arial" w:hAnsi="Arial"/>
                <w:sz w:val="20"/>
                <w:lang w:eastAsia="en-GB"/>
              </w:rPr>
              <w:t xml:space="preserve">(1) </w:t>
            </w:r>
            <w:r w:rsidRPr="00C32842">
              <w:rPr>
                <w:rFonts w:ascii="Arial" w:hAnsi="Arial"/>
                <w:sz w:val="20"/>
              </w:rPr>
              <w:t>Über eine zentrale Gegenpartei abgerechnete Vermögenswerte der Stufe 2, einschl. Versicherungstochtergesellschaften</w:t>
            </w:r>
          </w:p>
        </w:tc>
        <w:tc>
          <w:tcPr>
            <w:tcW w:w="2745" w:type="dxa"/>
            <w:tcBorders>
              <w:left w:val="nil"/>
              <w:right w:val="nil"/>
            </w:tcBorders>
            <w:noWrap/>
          </w:tcPr>
          <w:p w:rsidRPr="00C32842" w:rsidR="0018120C" w:rsidP="00E13391" w:rsidRDefault="0018120C" w14:paraId="30EB3EF4" w14:textId="77777777">
            <w:pPr>
              <w:jc w:val="right"/>
              <w:rPr>
                <w:rFonts w:ascii="Arial" w:hAnsi="Arial" w:eastAsia="Times New Roman" w:cs="Arial"/>
                <w:sz w:val="20"/>
                <w:szCs w:val="20"/>
                <w:lang w:eastAsia="en-GB"/>
              </w:rPr>
            </w:pPr>
          </w:p>
        </w:tc>
      </w:tr>
      <w:tr w:rsidRPr="00C32842" w:rsidR="0018120C" w:rsidTr="00E13391" w14:paraId="3F29D557" w14:textId="77777777">
        <w:trPr>
          <w:trHeight w:val="300"/>
        </w:trPr>
        <w:tc>
          <w:tcPr>
            <w:tcW w:w="6804" w:type="dxa"/>
            <w:tcBorders>
              <w:left w:val="nil"/>
              <w:right w:val="nil"/>
            </w:tcBorders>
            <w:noWrap/>
          </w:tcPr>
          <w:p w:rsidRPr="00C32842" w:rsidR="0018120C" w:rsidP="00E13391" w:rsidRDefault="0018120C" w14:paraId="26968F65" w14:textId="77777777">
            <w:pPr>
              <w:ind w:left="454" w:hanging="141"/>
              <w:rPr>
                <w:rFonts w:ascii="Arial" w:hAnsi="Arial" w:eastAsia="Times New Roman" w:cs="Arial"/>
                <w:sz w:val="20"/>
                <w:szCs w:val="20"/>
              </w:rPr>
            </w:pPr>
            <w:r w:rsidRPr="00C32842">
              <w:rPr>
                <w:rFonts w:ascii="Arial" w:hAnsi="Arial"/>
                <w:sz w:val="20"/>
                <w:lang w:eastAsia="en-GB"/>
              </w:rPr>
              <w:t xml:space="preserve">(2) </w:t>
            </w:r>
            <w:r w:rsidRPr="00C32842">
              <w:rPr>
                <w:rFonts w:ascii="Arial" w:hAnsi="Arial"/>
                <w:sz w:val="20"/>
              </w:rPr>
              <w:t>Bilateral abgerechnete Vermögenswerte der Stufe 2, einschl. Versicherungstochtergesellschaften</w:t>
            </w:r>
          </w:p>
        </w:tc>
        <w:tc>
          <w:tcPr>
            <w:tcW w:w="2745" w:type="dxa"/>
            <w:tcBorders>
              <w:left w:val="nil"/>
              <w:right w:val="nil"/>
            </w:tcBorders>
            <w:noWrap/>
          </w:tcPr>
          <w:p w:rsidRPr="00C32842" w:rsidR="0018120C" w:rsidP="00E13391" w:rsidRDefault="0018120C" w14:paraId="7907E6B0" w14:textId="77777777">
            <w:pPr>
              <w:jc w:val="right"/>
              <w:rPr>
                <w:rFonts w:ascii="Arial" w:hAnsi="Arial" w:eastAsia="Times New Roman" w:cs="Arial"/>
                <w:sz w:val="20"/>
                <w:szCs w:val="20"/>
                <w:lang w:eastAsia="en-GB"/>
              </w:rPr>
            </w:pPr>
          </w:p>
        </w:tc>
      </w:tr>
      <w:tr w:rsidRPr="00C32842" w:rsidR="0018120C" w:rsidTr="00E13391" w14:paraId="080B4F31" w14:textId="77777777">
        <w:trPr>
          <w:trHeight w:val="300"/>
        </w:trPr>
        <w:tc>
          <w:tcPr>
            <w:tcW w:w="6804" w:type="dxa"/>
            <w:tcBorders>
              <w:left w:val="nil"/>
              <w:right w:val="nil"/>
            </w:tcBorders>
            <w:noWrap/>
          </w:tcPr>
          <w:p w:rsidRPr="00C32842" w:rsidR="0018120C" w:rsidP="00E13391" w:rsidRDefault="0018120C" w14:paraId="42EA378F" w14:textId="77777777">
            <w:pPr>
              <w:ind w:firstLine="313"/>
              <w:rPr>
                <w:rFonts w:ascii="Arial" w:hAnsi="Arial" w:eastAsia="Times New Roman" w:cs="Arial"/>
                <w:sz w:val="20"/>
                <w:szCs w:val="20"/>
              </w:rPr>
            </w:pPr>
            <w:r w:rsidRPr="00C32842">
              <w:rPr>
                <w:rFonts w:ascii="Arial" w:hAnsi="Arial"/>
                <w:sz w:val="20"/>
                <w:lang w:eastAsia="en-GB"/>
              </w:rPr>
              <w:t xml:space="preserve">(3) </w:t>
            </w:r>
            <w:r w:rsidRPr="00C32842">
              <w:rPr>
                <w:rFonts w:ascii="Arial" w:hAnsi="Arial"/>
                <w:sz w:val="20"/>
              </w:rPr>
              <w:t>Vermögenswerte der Stufe 2, einschl. Versicherungstochtergesellschaften</w:t>
            </w:r>
          </w:p>
        </w:tc>
        <w:tc>
          <w:tcPr>
            <w:tcW w:w="2745" w:type="dxa"/>
            <w:tcBorders>
              <w:left w:val="nil"/>
              <w:right w:val="nil"/>
            </w:tcBorders>
            <w:noWrap/>
          </w:tcPr>
          <w:p w:rsidRPr="00C32842" w:rsidR="0018120C" w:rsidP="00E13391" w:rsidRDefault="0018120C" w14:paraId="2E623155" w14:textId="77777777">
            <w:pPr>
              <w:jc w:val="right"/>
              <w:rPr>
                <w:rFonts w:ascii="Arial" w:hAnsi="Arial" w:eastAsia="Times New Roman" w:cs="Arial"/>
                <w:sz w:val="20"/>
                <w:szCs w:val="20"/>
                <w:lang w:eastAsia="en-GB"/>
              </w:rPr>
            </w:pPr>
          </w:p>
        </w:tc>
      </w:tr>
      <w:tr w:rsidRPr="00C32842" w:rsidR="0018120C" w:rsidTr="00E13391" w14:paraId="2D4816A3" w14:textId="77777777">
        <w:trPr>
          <w:trHeight w:val="300"/>
        </w:trPr>
        <w:tc>
          <w:tcPr>
            <w:tcW w:w="6804" w:type="dxa"/>
            <w:tcBorders>
              <w:left w:val="nil"/>
              <w:bottom w:val="single" w:color="auto" w:sz="4" w:space="0"/>
              <w:right w:val="nil"/>
            </w:tcBorders>
            <w:noWrap/>
          </w:tcPr>
          <w:p w:rsidRPr="00C32842" w:rsidR="0018120C" w:rsidP="00E13391" w:rsidRDefault="0018120C" w14:paraId="34E9BEF4" w14:textId="77777777">
            <w:pPr>
              <w:ind w:firstLine="200" w:firstLineChars="100"/>
              <w:rPr>
                <w:rFonts w:ascii="Arial" w:hAnsi="Arial" w:eastAsia="Times New Roman" w:cs="Arial"/>
                <w:sz w:val="20"/>
                <w:szCs w:val="20"/>
              </w:rPr>
            </w:pPr>
            <w:r w:rsidRPr="00C32842">
              <w:rPr>
                <w:rFonts w:ascii="Arial" w:hAnsi="Arial"/>
                <w:sz w:val="20"/>
              </w:rPr>
              <w:t>l. Durchschnittswert der Vermögenswerte der Stufe 2, einschließlich Versicherungstochtergesellschaften</w:t>
            </w:r>
          </w:p>
        </w:tc>
        <w:tc>
          <w:tcPr>
            <w:tcW w:w="2745" w:type="dxa"/>
            <w:tcBorders>
              <w:left w:val="nil"/>
              <w:bottom w:val="single" w:color="auto" w:sz="4" w:space="0"/>
              <w:right w:val="nil"/>
            </w:tcBorders>
            <w:noWrap/>
          </w:tcPr>
          <w:p w:rsidRPr="00C32842" w:rsidR="0018120C" w:rsidP="00E13391" w:rsidRDefault="0018120C" w14:paraId="064F5A4E" w14:textId="77777777">
            <w:pPr>
              <w:jc w:val="right"/>
              <w:rPr>
                <w:rFonts w:ascii="Arial" w:hAnsi="Arial" w:eastAsia="Times New Roman" w:cs="Arial"/>
                <w:sz w:val="20"/>
                <w:szCs w:val="20"/>
                <w:lang w:eastAsia="en-GB"/>
              </w:rPr>
            </w:pPr>
          </w:p>
        </w:tc>
      </w:tr>
      <w:tr w:rsidRPr="00C32842" w:rsidR="0018120C" w:rsidTr="00E13391" w14:paraId="68579AE4" w14:textId="77777777">
        <w:trPr>
          <w:trHeight w:val="300"/>
        </w:trPr>
        <w:tc>
          <w:tcPr>
            <w:tcW w:w="6804" w:type="dxa"/>
            <w:tcBorders>
              <w:left w:val="nil"/>
              <w:bottom w:val="nil"/>
              <w:right w:val="nil"/>
            </w:tcBorders>
            <w:noWrap/>
          </w:tcPr>
          <w:p w:rsidRPr="00C32842" w:rsidR="0018120C" w:rsidP="00E13391" w:rsidRDefault="0018120C" w14:paraId="41993CD0" w14:textId="77777777">
            <w:pPr>
              <w:rPr>
                <w:rFonts w:ascii="Arial" w:hAnsi="Arial" w:eastAsia="Times New Roman" w:cs="Arial"/>
                <w:b/>
                <w:bCs/>
                <w:sz w:val="20"/>
                <w:szCs w:val="20"/>
                <w:lang w:eastAsia="en-GB"/>
              </w:rPr>
            </w:pPr>
          </w:p>
        </w:tc>
        <w:tc>
          <w:tcPr>
            <w:tcW w:w="2745" w:type="dxa"/>
            <w:tcBorders>
              <w:left w:val="nil"/>
              <w:bottom w:val="nil"/>
              <w:right w:val="nil"/>
            </w:tcBorders>
            <w:noWrap/>
          </w:tcPr>
          <w:p w:rsidRPr="00C32842" w:rsidR="0018120C" w:rsidP="00E13391" w:rsidRDefault="0018120C" w14:paraId="2EBEC9FC" w14:textId="77777777">
            <w:pPr>
              <w:jc w:val="center"/>
              <w:rPr>
                <w:rFonts w:ascii="Arial" w:hAnsi="Arial" w:eastAsia="Times New Roman" w:cs="Arial"/>
                <w:b/>
                <w:bCs/>
                <w:sz w:val="20"/>
                <w:szCs w:val="20"/>
                <w:lang w:eastAsia="en-GB"/>
              </w:rPr>
            </w:pPr>
          </w:p>
        </w:tc>
      </w:tr>
      <w:tr w:rsidRPr="00C32842" w:rsidR="0018120C" w:rsidTr="00E13391" w14:paraId="088A6B43" w14:textId="77777777">
        <w:trPr>
          <w:trHeight w:val="300"/>
        </w:trPr>
        <w:tc>
          <w:tcPr>
            <w:tcW w:w="6804" w:type="dxa"/>
            <w:tcBorders>
              <w:top w:val="nil"/>
              <w:left w:val="nil"/>
              <w:right w:val="nil"/>
            </w:tcBorders>
            <w:noWrap/>
          </w:tcPr>
          <w:p w:rsidRPr="00C32842" w:rsidR="0018120C" w:rsidP="00E13391" w:rsidRDefault="0018120C" w14:paraId="03DE0E93" w14:textId="77777777">
            <w:pPr>
              <w:rPr>
                <w:rFonts w:ascii="Arial" w:hAnsi="Arial" w:eastAsia="Times New Roman" w:cs="Arial"/>
                <w:sz w:val="20"/>
                <w:szCs w:val="20"/>
              </w:rPr>
            </w:pPr>
            <w:r w:rsidRPr="00C32842">
              <w:rPr>
                <w:rFonts w:ascii="Arial" w:hAnsi="Arial"/>
                <w:b/>
                <w:sz w:val="20"/>
              </w:rPr>
              <w:t>Abschnitt 21 – Positionen zu grenzüberschreitenden Geschäften</w:t>
            </w:r>
          </w:p>
        </w:tc>
        <w:tc>
          <w:tcPr>
            <w:tcW w:w="2745" w:type="dxa"/>
            <w:tcBorders>
              <w:top w:val="nil"/>
              <w:left w:val="nil"/>
              <w:right w:val="nil"/>
            </w:tcBorders>
            <w:noWrap/>
          </w:tcPr>
          <w:p w:rsidRPr="00C32842" w:rsidR="0018120C" w:rsidP="00E13391" w:rsidRDefault="0018120C" w14:paraId="78E1C689" w14:textId="77777777">
            <w:pPr>
              <w:jc w:val="center"/>
              <w:rPr>
                <w:rFonts w:ascii="Arial" w:hAnsi="Arial" w:eastAsia="Times New Roman" w:cs="Arial"/>
                <w:b/>
                <w:bCs/>
                <w:sz w:val="20"/>
                <w:szCs w:val="20"/>
              </w:rPr>
            </w:pPr>
            <w:r w:rsidRPr="00C32842">
              <w:rPr>
                <w:rFonts w:ascii="Arial" w:hAnsi="Arial"/>
                <w:b/>
                <w:sz w:val="20"/>
              </w:rPr>
              <w:t>Betrag</w:t>
            </w:r>
          </w:p>
        </w:tc>
      </w:tr>
      <w:tr w:rsidRPr="00C32842" w:rsidR="0018120C" w:rsidTr="00E13391" w14:paraId="3DA64478" w14:textId="77777777">
        <w:trPr>
          <w:trHeight w:val="300"/>
        </w:trPr>
        <w:tc>
          <w:tcPr>
            <w:tcW w:w="6804" w:type="dxa"/>
            <w:tcBorders>
              <w:left w:val="nil"/>
              <w:right w:val="nil"/>
            </w:tcBorders>
            <w:noWrap/>
          </w:tcPr>
          <w:p w:rsidRPr="00C32842" w:rsidR="0018120C" w:rsidP="00E13391" w:rsidRDefault="0018120C" w14:paraId="4141959F" w14:textId="77777777">
            <w:pPr>
              <w:rPr>
                <w:rFonts w:ascii="Arial" w:hAnsi="Arial" w:eastAsia="Times New Roman" w:cs="Arial"/>
                <w:sz w:val="20"/>
                <w:szCs w:val="20"/>
              </w:rPr>
            </w:pPr>
            <w:r w:rsidRPr="00C32842">
              <w:rPr>
                <w:rFonts w:ascii="Arial" w:hAnsi="Arial"/>
                <w:sz w:val="20"/>
              </w:rPr>
              <w:t>a. Indikator für grenzüberschreitende Verbindlichkeiten (alter Indikator)</w:t>
            </w:r>
          </w:p>
        </w:tc>
        <w:tc>
          <w:tcPr>
            <w:tcW w:w="2745" w:type="dxa"/>
            <w:tcBorders>
              <w:left w:val="nil"/>
              <w:right w:val="nil"/>
            </w:tcBorders>
            <w:noWrap/>
          </w:tcPr>
          <w:p w:rsidRPr="00C32842" w:rsidR="0018120C" w:rsidP="00E13391" w:rsidRDefault="0018120C" w14:paraId="0C15DC04" w14:textId="77777777">
            <w:pPr>
              <w:jc w:val="right"/>
              <w:rPr>
                <w:rFonts w:ascii="Arial" w:hAnsi="Arial" w:eastAsia="Times New Roman" w:cs="Arial"/>
                <w:sz w:val="20"/>
                <w:szCs w:val="20"/>
                <w:lang w:eastAsia="en-GB"/>
              </w:rPr>
            </w:pPr>
          </w:p>
        </w:tc>
      </w:tr>
      <w:tr w:rsidRPr="00C32842" w:rsidR="0018120C" w:rsidTr="00E13391" w14:paraId="76F88779" w14:textId="77777777">
        <w:trPr>
          <w:trHeight w:val="300"/>
        </w:trPr>
        <w:tc>
          <w:tcPr>
            <w:tcW w:w="6804" w:type="dxa"/>
            <w:tcBorders>
              <w:left w:val="nil"/>
              <w:right w:val="nil"/>
            </w:tcBorders>
            <w:noWrap/>
          </w:tcPr>
          <w:p w:rsidRPr="00C32842" w:rsidR="0018120C" w:rsidP="00E13391" w:rsidRDefault="0018120C" w14:paraId="2E9D8038" w14:textId="77777777">
            <w:pPr>
              <w:ind w:left="313"/>
              <w:rPr>
                <w:rFonts w:ascii="Arial" w:hAnsi="Arial" w:eastAsia="Times New Roman" w:cs="Arial"/>
                <w:sz w:val="20"/>
                <w:szCs w:val="20"/>
              </w:rPr>
            </w:pPr>
            <w:r w:rsidRPr="00C32842">
              <w:rPr>
                <w:rFonts w:ascii="Arial" w:hAnsi="Arial"/>
                <w:sz w:val="20"/>
                <w:lang w:eastAsia="en-GB"/>
              </w:rPr>
              <w:t xml:space="preserve">(1) </w:t>
            </w:r>
            <w:r w:rsidRPr="00C32842">
              <w:rPr>
                <w:rFonts w:ascii="Arial" w:hAnsi="Arial"/>
                <w:sz w:val="20"/>
              </w:rPr>
              <w:t>Auslandsverbindlichkeiten (ausgenommen Derivate und Inlandsverbindlichkeiten in Landeswährung)</w:t>
            </w:r>
          </w:p>
        </w:tc>
        <w:tc>
          <w:tcPr>
            <w:tcW w:w="2745" w:type="dxa"/>
            <w:tcBorders>
              <w:left w:val="nil"/>
              <w:right w:val="nil"/>
            </w:tcBorders>
            <w:noWrap/>
          </w:tcPr>
          <w:p w:rsidRPr="00C32842" w:rsidR="0018120C" w:rsidP="00E13391" w:rsidRDefault="0018120C" w14:paraId="6B4CA8E7" w14:textId="77777777">
            <w:pPr>
              <w:jc w:val="right"/>
              <w:rPr>
                <w:rFonts w:ascii="Arial" w:hAnsi="Arial" w:eastAsia="Times New Roman" w:cs="Arial"/>
                <w:sz w:val="20"/>
                <w:szCs w:val="20"/>
                <w:lang w:eastAsia="en-GB"/>
              </w:rPr>
            </w:pPr>
          </w:p>
        </w:tc>
      </w:tr>
      <w:tr w:rsidRPr="00C32842" w:rsidR="0018120C" w:rsidTr="00E13391" w14:paraId="620142ED" w14:textId="77777777">
        <w:trPr>
          <w:trHeight w:val="300"/>
        </w:trPr>
        <w:tc>
          <w:tcPr>
            <w:tcW w:w="6804" w:type="dxa"/>
            <w:tcBorders>
              <w:left w:val="nil"/>
              <w:right w:val="nil"/>
            </w:tcBorders>
            <w:noWrap/>
          </w:tcPr>
          <w:p w:rsidRPr="00C32842" w:rsidR="0018120C" w:rsidP="00E13391" w:rsidRDefault="0018120C" w14:paraId="377219FB" w14:textId="77777777">
            <w:pPr>
              <w:ind w:left="-2" w:leftChars="-1" w:firstLine="312" w:firstLineChars="156"/>
              <w:rPr>
                <w:rFonts w:ascii="Arial" w:hAnsi="Arial" w:eastAsia="Times New Roman" w:cs="Arial"/>
                <w:sz w:val="20"/>
                <w:szCs w:val="20"/>
              </w:rPr>
            </w:pPr>
            <w:r w:rsidRPr="00C32842">
              <w:rPr>
                <w:rFonts w:ascii="Arial" w:hAnsi="Arial"/>
                <w:sz w:val="20"/>
                <w:lang w:eastAsia="en-GB"/>
              </w:rPr>
              <w:t xml:space="preserve">(2) </w:t>
            </w:r>
            <w:r w:rsidRPr="00C32842">
              <w:rPr>
                <w:rFonts w:ascii="Arial" w:hAnsi="Arial"/>
                <w:sz w:val="20"/>
              </w:rPr>
              <w:t>Alle Auslandsverbindlichkeiten gegenüber verbundenen Niederlassungen unter Position 21.a Unterpunkt (1)</w:t>
            </w:r>
          </w:p>
        </w:tc>
        <w:tc>
          <w:tcPr>
            <w:tcW w:w="2745" w:type="dxa"/>
            <w:tcBorders>
              <w:left w:val="nil"/>
              <w:right w:val="nil"/>
            </w:tcBorders>
            <w:noWrap/>
          </w:tcPr>
          <w:p w:rsidRPr="00C32842" w:rsidR="0018120C" w:rsidP="00E13391" w:rsidRDefault="0018120C" w14:paraId="2F5B70C0" w14:textId="77777777">
            <w:pPr>
              <w:jc w:val="right"/>
              <w:rPr>
                <w:rFonts w:ascii="Arial" w:hAnsi="Arial" w:eastAsia="Times New Roman" w:cs="Arial"/>
                <w:sz w:val="20"/>
                <w:szCs w:val="20"/>
                <w:lang w:eastAsia="en-GB"/>
              </w:rPr>
            </w:pPr>
          </w:p>
        </w:tc>
      </w:tr>
      <w:tr w:rsidRPr="00C32842" w:rsidR="0018120C" w:rsidTr="00E13391" w14:paraId="4675CF48" w14:textId="77777777">
        <w:trPr>
          <w:trHeight w:val="300"/>
        </w:trPr>
        <w:tc>
          <w:tcPr>
            <w:tcW w:w="6804" w:type="dxa"/>
            <w:tcBorders>
              <w:left w:val="nil"/>
              <w:right w:val="nil"/>
            </w:tcBorders>
            <w:noWrap/>
          </w:tcPr>
          <w:p w:rsidRPr="00C32842" w:rsidR="0018120C" w:rsidP="00E13391" w:rsidRDefault="0018120C" w14:paraId="65715B62" w14:textId="77777777">
            <w:pPr>
              <w:ind w:left="-2" w:leftChars="-1" w:firstLine="312" w:firstLineChars="156"/>
              <w:rPr>
                <w:rFonts w:ascii="Arial" w:hAnsi="Arial" w:eastAsia="Times New Roman" w:cs="Arial"/>
                <w:sz w:val="20"/>
                <w:szCs w:val="20"/>
              </w:rPr>
            </w:pPr>
            <w:r w:rsidRPr="00C32842">
              <w:rPr>
                <w:rFonts w:ascii="Arial" w:hAnsi="Arial"/>
                <w:sz w:val="20"/>
                <w:lang w:eastAsia="en-GB"/>
              </w:rPr>
              <w:t xml:space="preserve">(3) </w:t>
            </w:r>
            <w:r w:rsidRPr="00C32842">
              <w:rPr>
                <w:rFonts w:ascii="Arial" w:hAnsi="Arial"/>
                <w:sz w:val="20"/>
              </w:rPr>
              <w:t>Inlandsverbindlichkeiten in Landeswährung (ausgenommen Derivategeschäfte)</w:t>
            </w:r>
          </w:p>
        </w:tc>
        <w:tc>
          <w:tcPr>
            <w:tcW w:w="2745" w:type="dxa"/>
            <w:tcBorders>
              <w:left w:val="nil"/>
              <w:right w:val="nil"/>
            </w:tcBorders>
            <w:noWrap/>
          </w:tcPr>
          <w:p w:rsidRPr="00C32842" w:rsidR="0018120C" w:rsidP="00E13391" w:rsidRDefault="0018120C" w14:paraId="48CB9DE9" w14:textId="77777777">
            <w:pPr>
              <w:jc w:val="right"/>
              <w:rPr>
                <w:rFonts w:ascii="Arial" w:hAnsi="Arial" w:eastAsia="Times New Roman" w:cs="Arial"/>
                <w:sz w:val="20"/>
                <w:szCs w:val="20"/>
                <w:lang w:eastAsia="en-GB"/>
              </w:rPr>
            </w:pPr>
          </w:p>
        </w:tc>
      </w:tr>
      <w:tr w:rsidRPr="00C32842" w:rsidR="0018120C" w:rsidTr="00E13391" w14:paraId="3B5EA3E4" w14:textId="77777777">
        <w:trPr>
          <w:trHeight w:val="300"/>
        </w:trPr>
        <w:tc>
          <w:tcPr>
            <w:tcW w:w="6804" w:type="dxa"/>
            <w:tcBorders>
              <w:left w:val="nil"/>
              <w:right w:val="nil"/>
            </w:tcBorders>
            <w:noWrap/>
          </w:tcPr>
          <w:p w:rsidRPr="00C32842" w:rsidR="0018120C" w:rsidP="00E13391" w:rsidRDefault="0018120C" w14:paraId="309DDC9E" w14:textId="77777777">
            <w:pPr>
              <w:ind w:firstLine="200" w:firstLineChars="100"/>
              <w:rPr>
                <w:rFonts w:ascii="Arial" w:hAnsi="Arial" w:eastAsia="Times New Roman" w:cs="Arial"/>
                <w:sz w:val="20"/>
                <w:szCs w:val="20"/>
              </w:rPr>
            </w:pPr>
            <w:r w:rsidRPr="00C32842">
              <w:rPr>
                <w:rFonts w:ascii="Arial" w:hAnsi="Arial"/>
                <w:sz w:val="20"/>
              </w:rPr>
              <w:t>b. Inlandsverbindlichkeiten in Landeswährung (ausgenommen Derivategeschäfte)</w:t>
            </w:r>
          </w:p>
        </w:tc>
        <w:tc>
          <w:tcPr>
            <w:tcW w:w="2745" w:type="dxa"/>
            <w:tcBorders>
              <w:left w:val="nil"/>
              <w:right w:val="nil"/>
            </w:tcBorders>
            <w:noWrap/>
          </w:tcPr>
          <w:p w:rsidRPr="00C32842" w:rsidR="0018120C" w:rsidP="00E13391" w:rsidRDefault="0018120C" w14:paraId="33255C9C" w14:textId="77777777">
            <w:pPr>
              <w:jc w:val="right"/>
              <w:rPr>
                <w:rFonts w:ascii="Arial" w:hAnsi="Arial" w:eastAsia="Times New Roman" w:cs="Arial"/>
                <w:sz w:val="20"/>
                <w:szCs w:val="20"/>
                <w:lang w:eastAsia="en-GB"/>
              </w:rPr>
            </w:pPr>
          </w:p>
        </w:tc>
      </w:tr>
      <w:tr w:rsidRPr="00C32842" w:rsidR="0018120C" w:rsidTr="00E13391" w14:paraId="5FA6DD0F" w14:textId="77777777">
        <w:trPr>
          <w:trHeight w:val="300"/>
        </w:trPr>
        <w:tc>
          <w:tcPr>
            <w:tcW w:w="6804" w:type="dxa"/>
            <w:tcBorders>
              <w:left w:val="nil"/>
              <w:right w:val="nil"/>
            </w:tcBorders>
            <w:noWrap/>
          </w:tcPr>
          <w:p w:rsidRPr="00C32842" w:rsidR="0018120C" w:rsidP="00E13391" w:rsidRDefault="0018120C" w14:paraId="38C225CA" w14:textId="77777777">
            <w:pPr>
              <w:ind w:left="171" w:firstLine="28" w:firstLineChars="14"/>
              <w:rPr>
                <w:rFonts w:ascii="Arial" w:hAnsi="Arial" w:eastAsia="Times New Roman" w:cs="Arial"/>
                <w:sz w:val="20"/>
                <w:szCs w:val="20"/>
              </w:rPr>
            </w:pPr>
            <w:r w:rsidRPr="00C32842">
              <w:rPr>
                <w:rFonts w:ascii="Arial" w:hAnsi="Arial"/>
                <w:sz w:val="20"/>
              </w:rPr>
              <w:t>c. Grenzüberschreitende inländische Forderungen in Landeswährung (ausgenommen Derivategeschäfte)</w:t>
            </w:r>
          </w:p>
        </w:tc>
        <w:tc>
          <w:tcPr>
            <w:tcW w:w="2745" w:type="dxa"/>
            <w:tcBorders>
              <w:left w:val="nil"/>
              <w:right w:val="nil"/>
            </w:tcBorders>
            <w:noWrap/>
          </w:tcPr>
          <w:p w:rsidRPr="00C32842" w:rsidR="0018120C" w:rsidP="00E13391" w:rsidRDefault="0018120C" w14:paraId="0B30868F" w14:textId="77777777">
            <w:pPr>
              <w:jc w:val="right"/>
              <w:rPr>
                <w:rFonts w:ascii="Arial" w:hAnsi="Arial" w:eastAsia="Times New Roman" w:cs="Arial"/>
                <w:sz w:val="20"/>
                <w:szCs w:val="20"/>
                <w:lang w:eastAsia="en-GB"/>
              </w:rPr>
            </w:pPr>
          </w:p>
        </w:tc>
      </w:tr>
      <w:tr w:rsidRPr="00C32842" w:rsidR="0018120C" w:rsidTr="00E13391" w14:paraId="719475A1" w14:textId="77777777">
        <w:trPr>
          <w:trHeight w:val="300"/>
        </w:trPr>
        <w:tc>
          <w:tcPr>
            <w:tcW w:w="6804" w:type="dxa"/>
            <w:tcBorders>
              <w:left w:val="nil"/>
              <w:right w:val="nil"/>
            </w:tcBorders>
            <w:noWrap/>
          </w:tcPr>
          <w:p w:rsidRPr="00C32842" w:rsidR="0018120C" w:rsidP="00E13391" w:rsidRDefault="0018120C" w14:paraId="1F7B82BC" w14:textId="77777777">
            <w:pPr>
              <w:ind w:left="171" w:firstLine="28" w:firstLineChars="14"/>
              <w:rPr>
                <w:rFonts w:ascii="Arial" w:hAnsi="Arial" w:eastAsia="Times New Roman" w:cs="Arial"/>
                <w:sz w:val="20"/>
                <w:szCs w:val="20"/>
              </w:rPr>
            </w:pPr>
            <w:r w:rsidRPr="00C32842">
              <w:rPr>
                <w:rFonts w:ascii="Arial" w:hAnsi="Arial"/>
                <w:sz w:val="20"/>
              </w:rPr>
              <w:t>d. Grenzüberschreitende inländische Forderungen in Landeswährung (einschl. Derivategeschäfte)</w:t>
            </w:r>
          </w:p>
        </w:tc>
        <w:tc>
          <w:tcPr>
            <w:tcW w:w="2745" w:type="dxa"/>
            <w:tcBorders>
              <w:left w:val="nil"/>
              <w:right w:val="nil"/>
            </w:tcBorders>
            <w:noWrap/>
          </w:tcPr>
          <w:p w:rsidRPr="00C32842" w:rsidR="0018120C" w:rsidP="00E13391" w:rsidRDefault="0018120C" w14:paraId="60532A8E" w14:textId="77777777">
            <w:pPr>
              <w:jc w:val="right"/>
              <w:rPr>
                <w:rFonts w:ascii="Arial" w:hAnsi="Arial" w:eastAsia="Times New Roman" w:cs="Arial"/>
                <w:sz w:val="20"/>
                <w:szCs w:val="20"/>
                <w:lang w:eastAsia="en-GB"/>
              </w:rPr>
            </w:pPr>
          </w:p>
        </w:tc>
      </w:tr>
      <w:tr w:rsidRPr="00C32842" w:rsidR="0018120C" w:rsidTr="00E13391" w14:paraId="2C0A55E0" w14:textId="77777777">
        <w:trPr>
          <w:trHeight w:val="300"/>
        </w:trPr>
        <w:tc>
          <w:tcPr>
            <w:tcW w:w="6804" w:type="dxa"/>
            <w:tcBorders>
              <w:left w:val="nil"/>
              <w:right w:val="nil"/>
            </w:tcBorders>
            <w:noWrap/>
          </w:tcPr>
          <w:p w:rsidRPr="00C32842" w:rsidR="0018120C" w:rsidP="00E13391" w:rsidRDefault="0018120C" w14:paraId="67719ED7" w14:textId="77777777">
            <w:pPr>
              <w:ind w:left="171" w:firstLine="28" w:firstLineChars="14"/>
              <w:rPr>
                <w:rFonts w:ascii="Arial" w:hAnsi="Arial" w:eastAsia="Times New Roman" w:cs="Arial"/>
                <w:sz w:val="20"/>
                <w:szCs w:val="20"/>
              </w:rPr>
            </w:pPr>
            <w:r w:rsidRPr="00C32842">
              <w:rPr>
                <w:rFonts w:ascii="Arial" w:hAnsi="Arial"/>
                <w:sz w:val="20"/>
              </w:rPr>
              <w:t>e. Gesamte ausländische Forderungen auf Basis des letztlichen Risikos (unter Berücksichtigung des SRM als einzelnem Rechtsraum)</w:t>
            </w:r>
          </w:p>
        </w:tc>
        <w:tc>
          <w:tcPr>
            <w:tcW w:w="2745" w:type="dxa"/>
            <w:tcBorders>
              <w:left w:val="nil"/>
              <w:right w:val="nil"/>
            </w:tcBorders>
            <w:noWrap/>
          </w:tcPr>
          <w:p w:rsidRPr="00C32842" w:rsidR="0018120C" w:rsidP="00E13391" w:rsidRDefault="0018120C" w14:paraId="0CE799F7" w14:textId="77777777">
            <w:pPr>
              <w:jc w:val="right"/>
              <w:rPr>
                <w:rFonts w:ascii="Arial" w:hAnsi="Arial" w:eastAsia="Times New Roman" w:cs="Arial"/>
                <w:sz w:val="20"/>
                <w:szCs w:val="20"/>
                <w:lang w:eastAsia="en-GB"/>
              </w:rPr>
            </w:pPr>
          </w:p>
        </w:tc>
      </w:tr>
      <w:tr w:rsidRPr="00C32842" w:rsidR="0018120C" w:rsidTr="00E13391" w14:paraId="330D8ACB" w14:textId="77777777">
        <w:trPr>
          <w:trHeight w:val="300"/>
        </w:trPr>
        <w:tc>
          <w:tcPr>
            <w:tcW w:w="6804" w:type="dxa"/>
            <w:tcBorders>
              <w:left w:val="nil"/>
              <w:right w:val="nil"/>
            </w:tcBorders>
            <w:noWrap/>
          </w:tcPr>
          <w:p w:rsidRPr="00C32842" w:rsidR="0018120C" w:rsidP="00E13391" w:rsidRDefault="0018120C" w14:paraId="238D2E3F" w14:textId="77777777">
            <w:pPr>
              <w:ind w:left="171" w:firstLine="28" w:firstLineChars="14"/>
              <w:rPr>
                <w:rFonts w:ascii="Arial" w:hAnsi="Arial" w:eastAsia="Times New Roman" w:cs="Arial"/>
                <w:sz w:val="20"/>
                <w:szCs w:val="20"/>
              </w:rPr>
            </w:pPr>
            <w:r w:rsidRPr="00C32842">
              <w:rPr>
                <w:rFonts w:ascii="Arial" w:hAnsi="Arial"/>
                <w:sz w:val="20"/>
              </w:rPr>
              <w:t>f. Ausländische derivative Forderungen auf Basis des letztlichen Risikos (unter Berücksichtigung des SRM als einzelnem Rechtsraum)</w:t>
            </w:r>
          </w:p>
        </w:tc>
        <w:tc>
          <w:tcPr>
            <w:tcW w:w="2745" w:type="dxa"/>
            <w:tcBorders>
              <w:left w:val="nil"/>
              <w:right w:val="nil"/>
            </w:tcBorders>
            <w:noWrap/>
          </w:tcPr>
          <w:p w:rsidRPr="00C32842" w:rsidR="0018120C" w:rsidP="00E13391" w:rsidRDefault="0018120C" w14:paraId="7A33DF61" w14:textId="77777777">
            <w:pPr>
              <w:jc w:val="right"/>
              <w:rPr>
                <w:rFonts w:ascii="Arial" w:hAnsi="Arial" w:eastAsia="Times New Roman" w:cs="Arial"/>
                <w:sz w:val="20"/>
                <w:szCs w:val="20"/>
                <w:lang w:eastAsia="en-GB"/>
              </w:rPr>
            </w:pPr>
          </w:p>
        </w:tc>
      </w:tr>
      <w:tr w:rsidRPr="00C32842" w:rsidR="0018120C" w:rsidTr="00E13391" w14:paraId="1E03C73D" w14:textId="77777777">
        <w:trPr>
          <w:trHeight w:val="300"/>
        </w:trPr>
        <w:tc>
          <w:tcPr>
            <w:tcW w:w="6804" w:type="dxa"/>
            <w:tcBorders>
              <w:left w:val="nil"/>
              <w:right w:val="nil"/>
            </w:tcBorders>
            <w:noWrap/>
          </w:tcPr>
          <w:p w:rsidRPr="00C32842" w:rsidR="0018120C" w:rsidP="00E13391" w:rsidRDefault="0018120C" w14:paraId="29925FA5" w14:textId="77777777">
            <w:pPr>
              <w:ind w:left="171" w:firstLine="28" w:firstLineChars="14"/>
              <w:rPr>
                <w:rFonts w:ascii="Arial" w:hAnsi="Arial" w:eastAsia="Times New Roman" w:cs="Arial"/>
                <w:sz w:val="20"/>
                <w:szCs w:val="20"/>
              </w:rPr>
            </w:pPr>
            <w:r w:rsidRPr="00C32842">
              <w:rPr>
                <w:rFonts w:ascii="Arial" w:hAnsi="Arial"/>
                <w:sz w:val="20"/>
              </w:rPr>
              <w:t>g. Auslandsverbindlichkeiten auf Basis des unmittelbaren Risikos, einschl. Derivate (unter Berücksichtigung des SRM als einzelnem Rechtsraum)</w:t>
            </w:r>
          </w:p>
        </w:tc>
        <w:tc>
          <w:tcPr>
            <w:tcW w:w="2745" w:type="dxa"/>
            <w:tcBorders>
              <w:left w:val="nil"/>
              <w:right w:val="nil"/>
            </w:tcBorders>
            <w:noWrap/>
          </w:tcPr>
          <w:p w:rsidRPr="00C32842" w:rsidR="0018120C" w:rsidP="00E13391" w:rsidRDefault="0018120C" w14:paraId="6F6C04DF" w14:textId="77777777">
            <w:pPr>
              <w:jc w:val="right"/>
              <w:rPr>
                <w:rFonts w:ascii="Arial" w:hAnsi="Arial" w:eastAsia="Times New Roman" w:cs="Arial"/>
                <w:sz w:val="20"/>
                <w:szCs w:val="20"/>
                <w:lang w:eastAsia="en-GB"/>
              </w:rPr>
            </w:pPr>
          </w:p>
        </w:tc>
      </w:tr>
      <w:tr w:rsidRPr="00C32842" w:rsidR="0018120C" w:rsidTr="00E13391" w14:paraId="4FDAB8AE" w14:textId="77777777">
        <w:trPr>
          <w:trHeight w:val="300"/>
        </w:trPr>
        <w:tc>
          <w:tcPr>
            <w:tcW w:w="6804" w:type="dxa"/>
            <w:tcBorders>
              <w:left w:val="nil"/>
              <w:right w:val="nil"/>
            </w:tcBorders>
            <w:noWrap/>
          </w:tcPr>
          <w:p w:rsidRPr="00C32842" w:rsidR="0018120C" w:rsidP="00E13391" w:rsidRDefault="0018120C" w14:paraId="11FF3C1D" w14:textId="77777777">
            <w:pPr>
              <w:ind w:left="171" w:firstLine="28" w:firstLineChars="14"/>
              <w:rPr>
                <w:rFonts w:ascii="Arial" w:hAnsi="Arial" w:eastAsia="Times New Roman" w:cs="Arial"/>
                <w:sz w:val="20"/>
                <w:szCs w:val="20"/>
              </w:rPr>
            </w:pPr>
            <w:r w:rsidRPr="00C32842">
              <w:rPr>
                <w:rFonts w:ascii="Arial" w:hAnsi="Arial"/>
                <w:sz w:val="20"/>
                <w:lang w:eastAsia="en-GB"/>
              </w:rPr>
              <w:t xml:space="preserve">(1) </w:t>
            </w:r>
            <w:r w:rsidRPr="00C32842">
              <w:rPr>
                <w:rFonts w:ascii="Arial" w:hAnsi="Arial"/>
                <w:sz w:val="20"/>
              </w:rPr>
              <w:t>Ausländische derivative Verbindlichkeiten auf Basis des unmittelbaren Risikos (unter Berücksichtigung des SRM als einzelnem Rechtsraum)</w:t>
            </w:r>
          </w:p>
        </w:tc>
        <w:tc>
          <w:tcPr>
            <w:tcW w:w="2745" w:type="dxa"/>
            <w:tcBorders>
              <w:left w:val="nil"/>
              <w:right w:val="nil"/>
            </w:tcBorders>
            <w:noWrap/>
          </w:tcPr>
          <w:p w:rsidRPr="00C32842" w:rsidR="0018120C" w:rsidP="00E13391" w:rsidRDefault="0018120C" w14:paraId="07B1ECEB" w14:textId="77777777">
            <w:pPr>
              <w:jc w:val="right"/>
              <w:rPr>
                <w:rFonts w:ascii="Arial" w:hAnsi="Arial" w:eastAsia="Times New Roman" w:cs="Arial"/>
                <w:sz w:val="20"/>
                <w:szCs w:val="20"/>
                <w:lang w:eastAsia="en-GB"/>
              </w:rPr>
            </w:pPr>
          </w:p>
        </w:tc>
      </w:tr>
      <w:tr w:rsidRPr="00C32842" w:rsidR="0018120C" w:rsidTr="00E13391" w14:paraId="79999618" w14:textId="77777777">
        <w:trPr>
          <w:trHeight w:val="300"/>
        </w:trPr>
        <w:tc>
          <w:tcPr>
            <w:tcW w:w="6804" w:type="dxa"/>
            <w:tcBorders>
              <w:left w:val="nil"/>
              <w:right w:val="nil"/>
            </w:tcBorders>
            <w:noWrap/>
          </w:tcPr>
          <w:p w:rsidRPr="00C32842" w:rsidR="0018120C" w:rsidP="00E13391" w:rsidRDefault="0018120C" w14:paraId="14EBC5BA" w14:textId="77777777">
            <w:pPr>
              <w:ind w:firstLine="200" w:firstLineChars="100"/>
              <w:rPr>
                <w:rFonts w:ascii="Arial" w:hAnsi="Arial" w:eastAsia="Times New Roman" w:cs="Arial"/>
                <w:sz w:val="20"/>
                <w:szCs w:val="20"/>
              </w:rPr>
            </w:pPr>
            <w:r w:rsidRPr="00C32842">
              <w:rPr>
                <w:rFonts w:ascii="Arial" w:hAnsi="Arial"/>
                <w:sz w:val="20"/>
              </w:rPr>
              <w:lastRenderedPageBreak/>
              <w:t>h. Grenzüberschreitende inländische Forderungen in Landeswährung, ausgenommen Derivategeschäfte (unter Berücksichtigung des SRM als einzelnem Rechtsraum)</w:t>
            </w:r>
          </w:p>
        </w:tc>
        <w:tc>
          <w:tcPr>
            <w:tcW w:w="2745" w:type="dxa"/>
            <w:tcBorders>
              <w:left w:val="nil"/>
              <w:right w:val="nil"/>
            </w:tcBorders>
            <w:noWrap/>
          </w:tcPr>
          <w:p w:rsidRPr="00C32842" w:rsidR="0018120C" w:rsidP="00E13391" w:rsidRDefault="0018120C" w14:paraId="340D343B" w14:textId="77777777">
            <w:pPr>
              <w:jc w:val="right"/>
              <w:rPr>
                <w:rFonts w:ascii="Arial" w:hAnsi="Arial" w:eastAsia="Times New Roman" w:cs="Arial"/>
                <w:sz w:val="20"/>
                <w:szCs w:val="20"/>
                <w:lang w:eastAsia="en-GB"/>
              </w:rPr>
            </w:pPr>
          </w:p>
        </w:tc>
      </w:tr>
      <w:tr w:rsidRPr="00C32842" w:rsidR="0018120C" w:rsidTr="00E13391" w14:paraId="27C82812" w14:textId="77777777">
        <w:trPr>
          <w:trHeight w:val="300"/>
        </w:trPr>
        <w:tc>
          <w:tcPr>
            <w:tcW w:w="6804" w:type="dxa"/>
            <w:tcBorders>
              <w:left w:val="nil"/>
              <w:right w:val="nil"/>
            </w:tcBorders>
            <w:noWrap/>
          </w:tcPr>
          <w:p w:rsidRPr="00C32842" w:rsidR="0018120C" w:rsidP="00E13391" w:rsidRDefault="0018120C" w14:paraId="14200EAF" w14:textId="77777777">
            <w:pPr>
              <w:ind w:left="171" w:firstLine="28" w:firstLineChars="14"/>
              <w:rPr>
                <w:rFonts w:ascii="Arial" w:hAnsi="Arial" w:eastAsia="Times New Roman" w:cs="Arial"/>
                <w:sz w:val="20"/>
                <w:szCs w:val="20"/>
              </w:rPr>
            </w:pPr>
            <w:r w:rsidRPr="00C32842">
              <w:rPr>
                <w:rFonts w:ascii="Arial" w:hAnsi="Arial"/>
                <w:sz w:val="20"/>
              </w:rPr>
              <w:t>i. Grenzüberschreitende inländische Forderungen in Landeswährung, einschl. Derivategeschäfte (unter Berücksichtigung des SRM als einzelnem Rechtsraum)</w:t>
            </w:r>
          </w:p>
        </w:tc>
        <w:tc>
          <w:tcPr>
            <w:tcW w:w="2745" w:type="dxa"/>
            <w:tcBorders>
              <w:left w:val="nil"/>
              <w:right w:val="nil"/>
            </w:tcBorders>
            <w:noWrap/>
          </w:tcPr>
          <w:p w:rsidRPr="00C32842" w:rsidR="0018120C" w:rsidP="00E13391" w:rsidRDefault="0018120C" w14:paraId="2CDFFBB5" w14:textId="77777777">
            <w:pPr>
              <w:jc w:val="right"/>
              <w:rPr>
                <w:rFonts w:ascii="Arial" w:hAnsi="Arial" w:eastAsia="Times New Roman" w:cs="Arial"/>
                <w:sz w:val="20"/>
                <w:szCs w:val="20"/>
                <w:lang w:eastAsia="en-GB"/>
              </w:rPr>
            </w:pPr>
          </w:p>
        </w:tc>
      </w:tr>
      <w:tr w:rsidRPr="00C32842" w:rsidR="0018120C" w:rsidTr="00E13391" w14:paraId="7AFE9525" w14:textId="77777777">
        <w:trPr>
          <w:trHeight w:val="300"/>
        </w:trPr>
        <w:tc>
          <w:tcPr>
            <w:tcW w:w="6804" w:type="dxa"/>
            <w:tcBorders>
              <w:left w:val="nil"/>
              <w:right w:val="nil"/>
            </w:tcBorders>
            <w:noWrap/>
          </w:tcPr>
          <w:p w:rsidRPr="00C32842" w:rsidR="0018120C" w:rsidP="00E13391" w:rsidRDefault="0018120C" w14:paraId="44B601CC" w14:textId="77777777">
            <w:pPr>
              <w:ind w:left="171" w:firstLine="28" w:firstLineChars="14"/>
              <w:rPr>
                <w:rFonts w:ascii="Arial" w:hAnsi="Arial" w:eastAsia="Times New Roman" w:cs="Arial"/>
                <w:sz w:val="20"/>
                <w:szCs w:val="20"/>
              </w:rPr>
            </w:pPr>
            <w:r w:rsidRPr="00C32842">
              <w:rPr>
                <w:rFonts w:ascii="Arial" w:hAnsi="Arial"/>
                <w:sz w:val="20"/>
              </w:rPr>
              <w:t>j. Auslandsverbindlichkeiten, ausgenommen Derivate und Inlandsverbindlichkeiten in Landeswährung (unter Berücksichtigung des SRM als einzelnem Rechtsraum)</w:t>
            </w:r>
          </w:p>
        </w:tc>
        <w:tc>
          <w:tcPr>
            <w:tcW w:w="2745" w:type="dxa"/>
            <w:tcBorders>
              <w:left w:val="nil"/>
              <w:right w:val="nil"/>
            </w:tcBorders>
            <w:noWrap/>
          </w:tcPr>
          <w:p w:rsidRPr="00C32842" w:rsidR="0018120C" w:rsidP="00E13391" w:rsidRDefault="0018120C" w14:paraId="156FBEFC" w14:textId="77777777">
            <w:pPr>
              <w:jc w:val="right"/>
              <w:rPr>
                <w:rFonts w:ascii="Arial" w:hAnsi="Arial" w:eastAsia="Times New Roman" w:cs="Arial"/>
                <w:sz w:val="20"/>
                <w:szCs w:val="20"/>
                <w:lang w:eastAsia="en-GB"/>
              </w:rPr>
            </w:pPr>
          </w:p>
        </w:tc>
      </w:tr>
      <w:tr w:rsidRPr="00C32842" w:rsidR="0018120C" w:rsidTr="00E13391" w14:paraId="08C13E03" w14:textId="77777777">
        <w:trPr>
          <w:trHeight w:val="300"/>
        </w:trPr>
        <w:tc>
          <w:tcPr>
            <w:tcW w:w="6804" w:type="dxa"/>
            <w:tcBorders>
              <w:left w:val="nil"/>
              <w:right w:val="nil"/>
            </w:tcBorders>
            <w:noWrap/>
          </w:tcPr>
          <w:p w:rsidRPr="00C32842" w:rsidR="0018120C" w:rsidP="00E13391" w:rsidRDefault="0018120C" w14:paraId="13ACB736" w14:textId="77777777">
            <w:pPr>
              <w:ind w:left="171" w:firstLine="28" w:firstLineChars="14"/>
              <w:rPr>
                <w:rFonts w:ascii="Arial" w:hAnsi="Arial" w:eastAsia="Times New Roman" w:cs="Arial"/>
                <w:sz w:val="20"/>
                <w:szCs w:val="20"/>
              </w:rPr>
            </w:pPr>
            <w:r w:rsidRPr="00C32842">
              <w:rPr>
                <w:rFonts w:ascii="Arial" w:hAnsi="Arial"/>
                <w:sz w:val="20"/>
                <w:lang w:eastAsia="en-GB"/>
              </w:rPr>
              <w:t xml:space="preserve">(1) </w:t>
            </w:r>
            <w:r w:rsidRPr="00C32842">
              <w:rPr>
                <w:rFonts w:ascii="Arial" w:hAnsi="Arial"/>
                <w:sz w:val="20"/>
              </w:rPr>
              <w:t>Alle Auslandsverbindlichkeiten gegenüber verbundenen Niederlassungen unter Position 20.j. (unter Berücksichtigung des SRM als einzelnem Rechtsraum)</w:t>
            </w:r>
          </w:p>
        </w:tc>
        <w:tc>
          <w:tcPr>
            <w:tcW w:w="2745" w:type="dxa"/>
            <w:tcBorders>
              <w:left w:val="nil"/>
              <w:right w:val="nil"/>
            </w:tcBorders>
            <w:noWrap/>
          </w:tcPr>
          <w:p w:rsidRPr="00C32842" w:rsidR="0018120C" w:rsidP="00E13391" w:rsidRDefault="0018120C" w14:paraId="63FD5560" w14:textId="77777777">
            <w:pPr>
              <w:jc w:val="right"/>
              <w:rPr>
                <w:rFonts w:ascii="Arial" w:hAnsi="Arial" w:eastAsia="Times New Roman" w:cs="Arial"/>
                <w:sz w:val="20"/>
                <w:szCs w:val="20"/>
                <w:lang w:eastAsia="en-GB"/>
              </w:rPr>
            </w:pPr>
          </w:p>
        </w:tc>
      </w:tr>
      <w:tr w:rsidRPr="00C32842" w:rsidR="0018120C" w:rsidTr="00E13391" w14:paraId="0079CF92" w14:textId="77777777">
        <w:trPr>
          <w:trHeight w:val="300"/>
        </w:trPr>
        <w:tc>
          <w:tcPr>
            <w:tcW w:w="6804" w:type="dxa"/>
            <w:tcBorders>
              <w:left w:val="nil"/>
              <w:right w:val="nil"/>
            </w:tcBorders>
            <w:noWrap/>
          </w:tcPr>
          <w:p w:rsidRPr="00C32842" w:rsidR="0018120C" w:rsidP="00E13391" w:rsidRDefault="0018120C" w14:paraId="7874AF69" w14:textId="77777777">
            <w:pPr>
              <w:ind w:left="171" w:firstLine="28" w:firstLineChars="14"/>
              <w:rPr>
                <w:rFonts w:ascii="Arial" w:hAnsi="Arial" w:eastAsia="Times New Roman" w:cs="Arial"/>
                <w:sz w:val="20"/>
                <w:szCs w:val="20"/>
              </w:rPr>
            </w:pPr>
            <w:r w:rsidRPr="00C32842">
              <w:rPr>
                <w:rFonts w:ascii="Arial" w:hAnsi="Arial"/>
                <w:sz w:val="20"/>
              </w:rPr>
              <w:t>k. Inlandsverbindlichkeiten in Landeswährung, ausgenommen Derivate (unter Berücksichtigung des SRM als einzelnem Rechtsraum)</w:t>
            </w:r>
          </w:p>
        </w:tc>
        <w:tc>
          <w:tcPr>
            <w:tcW w:w="2745" w:type="dxa"/>
            <w:tcBorders>
              <w:left w:val="nil"/>
              <w:right w:val="nil"/>
            </w:tcBorders>
            <w:noWrap/>
          </w:tcPr>
          <w:p w:rsidRPr="00C32842" w:rsidR="0018120C" w:rsidP="00E13391" w:rsidRDefault="0018120C" w14:paraId="2F7A436F" w14:textId="77777777">
            <w:pPr>
              <w:jc w:val="right"/>
              <w:rPr>
                <w:rFonts w:ascii="Arial" w:hAnsi="Arial" w:eastAsia="Times New Roman" w:cs="Arial"/>
                <w:sz w:val="20"/>
                <w:szCs w:val="20"/>
                <w:lang w:eastAsia="en-GB"/>
              </w:rPr>
            </w:pPr>
          </w:p>
        </w:tc>
      </w:tr>
      <w:tr w:rsidRPr="00C32842" w:rsidR="0018120C" w:rsidTr="00E13391" w14:paraId="6AD62D26" w14:textId="77777777">
        <w:trPr>
          <w:trHeight w:val="300"/>
        </w:trPr>
        <w:tc>
          <w:tcPr>
            <w:tcW w:w="6804" w:type="dxa"/>
            <w:tcBorders>
              <w:left w:val="nil"/>
              <w:right w:val="nil"/>
            </w:tcBorders>
            <w:noWrap/>
          </w:tcPr>
          <w:p w:rsidRPr="00C32842" w:rsidR="0018120C" w:rsidP="00E13391" w:rsidRDefault="0018120C" w14:paraId="5C1CCA23" w14:textId="77777777">
            <w:pPr>
              <w:ind w:left="171" w:firstLine="28" w:firstLineChars="14"/>
              <w:rPr>
                <w:rFonts w:ascii="Arial" w:hAnsi="Arial" w:eastAsia="Times New Roman" w:cs="Arial"/>
                <w:sz w:val="20"/>
                <w:szCs w:val="20"/>
              </w:rPr>
            </w:pPr>
            <w:r w:rsidRPr="00C32842">
              <w:rPr>
                <w:rFonts w:ascii="Arial" w:hAnsi="Arial"/>
                <w:sz w:val="20"/>
              </w:rPr>
              <w:t>l. Inlandsverbindlichkeiten in Landeswährung, einschl. Derivate (unter Berücksichtigung des SRM als einzelnem Rechtsraum)</w:t>
            </w:r>
          </w:p>
        </w:tc>
        <w:tc>
          <w:tcPr>
            <w:tcW w:w="2745" w:type="dxa"/>
            <w:tcBorders>
              <w:left w:val="nil"/>
              <w:right w:val="nil"/>
            </w:tcBorders>
            <w:noWrap/>
          </w:tcPr>
          <w:p w:rsidRPr="00C32842" w:rsidR="0018120C" w:rsidP="00E13391" w:rsidRDefault="0018120C" w14:paraId="57838019" w14:textId="77777777">
            <w:pPr>
              <w:jc w:val="right"/>
              <w:rPr>
                <w:rFonts w:ascii="Arial" w:hAnsi="Arial" w:eastAsia="Times New Roman" w:cs="Arial"/>
                <w:sz w:val="20"/>
                <w:szCs w:val="20"/>
                <w:lang w:eastAsia="en-GB"/>
              </w:rPr>
            </w:pPr>
          </w:p>
        </w:tc>
      </w:tr>
      <w:tr w:rsidRPr="00C32842" w:rsidR="0018120C" w:rsidTr="00E13391" w14:paraId="44D4AEF5" w14:textId="77777777">
        <w:trPr>
          <w:trHeight w:val="300"/>
        </w:trPr>
        <w:tc>
          <w:tcPr>
            <w:tcW w:w="6804" w:type="dxa"/>
            <w:tcBorders>
              <w:left w:val="nil"/>
              <w:right w:val="nil"/>
            </w:tcBorders>
            <w:noWrap/>
          </w:tcPr>
          <w:p w:rsidRPr="00C32842" w:rsidR="0018120C" w:rsidP="00E13391" w:rsidRDefault="0018120C" w14:paraId="358F047D" w14:textId="77777777">
            <w:pPr>
              <w:ind w:left="171" w:firstLine="28" w:firstLineChars="14"/>
              <w:rPr>
                <w:rFonts w:ascii="Arial" w:hAnsi="Arial" w:eastAsia="Times New Roman" w:cs="Arial"/>
                <w:sz w:val="20"/>
                <w:szCs w:val="20"/>
              </w:rPr>
            </w:pPr>
            <w:r w:rsidRPr="00C32842">
              <w:rPr>
                <w:rFonts w:ascii="Arial" w:hAnsi="Arial"/>
                <w:sz w:val="20"/>
              </w:rPr>
              <w:t>m. Inländische Gesamtnettopositionen in Landeswährung einschl. Derivate, wenn Nettowert positiv</w:t>
            </w:r>
          </w:p>
        </w:tc>
        <w:tc>
          <w:tcPr>
            <w:tcW w:w="2745" w:type="dxa"/>
            <w:tcBorders>
              <w:left w:val="nil"/>
              <w:right w:val="nil"/>
            </w:tcBorders>
            <w:noWrap/>
          </w:tcPr>
          <w:p w:rsidRPr="00C32842" w:rsidR="0018120C" w:rsidP="00E13391" w:rsidRDefault="0018120C" w14:paraId="4AAC08A6" w14:textId="77777777">
            <w:pPr>
              <w:jc w:val="right"/>
              <w:rPr>
                <w:rFonts w:ascii="Arial" w:hAnsi="Arial" w:eastAsia="Times New Roman" w:cs="Arial"/>
                <w:sz w:val="20"/>
                <w:szCs w:val="20"/>
                <w:lang w:eastAsia="en-GB"/>
              </w:rPr>
            </w:pPr>
          </w:p>
        </w:tc>
      </w:tr>
      <w:tr w:rsidRPr="00C32842" w:rsidR="0018120C" w:rsidTr="00E13391" w14:paraId="6179E0FE" w14:textId="77777777">
        <w:trPr>
          <w:trHeight w:val="300"/>
        </w:trPr>
        <w:tc>
          <w:tcPr>
            <w:tcW w:w="6804" w:type="dxa"/>
            <w:tcBorders>
              <w:left w:val="nil"/>
              <w:right w:val="nil"/>
            </w:tcBorders>
            <w:noWrap/>
          </w:tcPr>
          <w:p w:rsidRPr="00C32842" w:rsidR="0018120C" w:rsidP="00E13391" w:rsidRDefault="0018120C" w14:paraId="2E48C100" w14:textId="77777777">
            <w:pPr>
              <w:ind w:left="171" w:firstLine="28" w:firstLineChars="14"/>
              <w:rPr>
                <w:rFonts w:ascii="Arial" w:hAnsi="Arial" w:eastAsia="Times New Roman" w:cs="Arial"/>
                <w:sz w:val="20"/>
                <w:szCs w:val="20"/>
              </w:rPr>
            </w:pPr>
            <w:r w:rsidRPr="00C32842">
              <w:rPr>
                <w:rFonts w:ascii="Arial" w:hAnsi="Arial"/>
                <w:sz w:val="20"/>
              </w:rPr>
              <w:t>m. Inländische Gesamtnettopositionen in Landeswährung einschl. Derivate, wenn Nettowert negativ</w:t>
            </w:r>
          </w:p>
        </w:tc>
        <w:tc>
          <w:tcPr>
            <w:tcW w:w="2745" w:type="dxa"/>
            <w:tcBorders>
              <w:left w:val="nil"/>
              <w:right w:val="nil"/>
            </w:tcBorders>
            <w:noWrap/>
          </w:tcPr>
          <w:p w:rsidRPr="00C32842" w:rsidR="0018120C" w:rsidP="00E13391" w:rsidRDefault="0018120C" w14:paraId="3820E83B" w14:textId="77777777">
            <w:pPr>
              <w:jc w:val="right"/>
              <w:rPr>
                <w:rFonts w:ascii="Arial" w:hAnsi="Arial" w:eastAsia="Times New Roman" w:cs="Arial"/>
                <w:sz w:val="20"/>
                <w:szCs w:val="20"/>
                <w:lang w:eastAsia="en-GB"/>
              </w:rPr>
            </w:pPr>
          </w:p>
        </w:tc>
      </w:tr>
      <w:tr w:rsidRPr="00C32842" w:rsidR="0018120C" w:rsidTr="00E13391" w14:paraId="186A4846" w14:textId="77777777">
        <w:trPr>
          <w:trHeight w:val="300"/>
        </w:trPr>
        <w:tc>
          <w:tcPr>
            <w:tcW w:w="6804" w:type="dxa"/>
            <w:tcBorders>
              <w:left w:val="nil"/>
              <w:right w:val="nil"/>
            </w:tcBorders>
            <w:noWrap/>
          </w:tcPr>
          <w:p w:rsidRPr="00C32842" w:rsidR="0018120C" w:rsidP="00E13391" w:rsidRDefault="0018120C" w14:paraId="1BB96E01" w14:textId="77777777">
            <w:pPr>
              <w:ind w:left="171" w:firstLine="28" w:firstLineChars="14"/>
              <w:rPr>
                <w:rFonts w:ascii="Arial" w:hAnsi="Arial" w:eastAsia="Times New Roman" w:cs="Arial"/>
                <w:sz w:val="20"/>
                <w:szCs w:val="20"/>
              </w:rPr>
            </w:pPr>
            <w:r w:rsidRPr="00C32842">
              <w:rPr>
                <w:rFonts w:ascii="Arial" w:hAnsi="Arial"/>
                <w:sz w:val="20"/>
              </w:rPr>
              <w:t>o. Inländische Gesamtnettopositionen in Landeswährung in Ländern außerhalb des SRM einschl. Derivate, wenn Nettowert positiv (unter Berücksichtigung des SRM als einzelnem Rechtsraum)</w:t>
            </w:r>
          </w:p>
        </w:tc>
        <w:tc>
          <w:tcPr>
            <w:tcW w:w="2745" w:type="dxa"/>
            <w:tcBorders>
              <w:left w:val="nil"/>
              <w:right w:val="nil"/>
            </w:tcBorders>
            <w:noWrap/>
          </w:tcPr>
          <w:p w:rsidRPr="00C32842" w:rsidR="0018120C" w:rsidP="00E13391" w:rsidRDefault="0018120C" w14:paraId="33BDEE43" w14:textId="77777777">
            <w:pPr>
              <w:jc w:val="right"/>
              <w:rPr>
                <w:rFonts w:ascii="Arial" w:hAnsi="Arial" w:eastAsia="Times New Roman" w:cs="Arial"/>
                <w:sz w:val="20"/>
                <w:szCs w:val="20"/>
                <w:lang w:eastAsia="en-GB"/>
              </w:rPr>
            </w:pPr>
          </w:p>
        </w:tc>
      </w:tr>
      <w:tr w:rsidRPr="00C32842" w:rsidR="0018120C" w:rsidTr="00E13391" w14:paraId="4E600E09" w14:textId="77777777">
        <w:trPr>
          <w:trHeight w:val="300"/>
        </w:trPr>
        <w:tc>
          <w:tcPr>
            <w:tcW w:w="6804" w:type="dxa"/>
            <w:tcBorders>
              <w:left w:val="nil"/>
              <w:right w:val="nil"/>
            </w:tcBorders>
            <w:noWrap/>
          </w:tcPr>
          <w:p w:rsidRPr="00C32842" w:rsidR="0018120C" w:rsidP="00E13391" w:rsidRDefault="0018120C" w14:paraId="4063674B" w14:textId="77777777">
            <w:pPr>
              <w:ind w:left="171" w:firstLine="28" w:firstLineChars="14"/>
              <w:rPr>
                <w:rFonts w:ascii="Arial" w:hAnsi="Arial" w:eastAsia="Times New Roman" w:cs="Arial"/>
                <w:sz w:val="20"/>
                <w:szCs w:val="20"/>
              </w:rPr>
            </w:pPr>
            <w:r w:rsidRPr="00C32842">
              <w:rPr>
                <w:rFonts w:ascii="Arial" w:hAnsi="Arial"/>
                <w:sz w:val="20"/>
              </w:rPr>
              <w:t>p. Inländische Gesamtnettopositionen in Landeswährung in Ländern außerhalb des SRM einschl. Derivate, wenn Nettowert negativ (unter Berücksichtigung des SRM als einzelnem Rechtsraum)</w:t>
            </w:r>
          </w:p>
        </w:tc>
        <w:tc>
          <w:tcPr>
            <w:tcW w:w="2745" w:type="dxa"/>
            <w:tcBorders>
              <w:left w:val="nil"/>
              <w:right w:val="nil"/>
            </w:tcBorders>
            <w:noWrap/>
          </w:tcPr>
          <w:p w:rsidRPr="00C32842" w:rsidR="0018120C" w:rsidP="00E13391" w:rsidRDefault="0018120C" w14:paraId="407E751F" w14:textId="77777777">
            <w:pPr>
              <w:jc w:val="right"/>
              <w:rPr>
                <w:rFonts w:ascii="Arial" w:hAnsi="Arial" w:eastAsia="Times New Roman" w:cs="Arial"/>
                <w:sz w:val="20"/>
                <w:szCs w:val="20"/>
                <w:lang w:eastAsia="en-GB"/>
              </w:rPr>
            </w:pPr>
          </w:p>
        </w:tc>
      </w:tr>
      <w:tr w:rsidRPr="00C32842" w:rsidR="0018120C" w:rsidTr="00E13391" w14:paraId="1101D1D3" w14:textId="77777777">
        <w:trPr>
          <w:trHeight w:val="300"/>
        </w:trPr>
        <w:tc>
          <w:tcPr>
            <w:tcW w:w="6804" w:type="dxa"/>
            <w:tcBorders>
              <w:left w:val="nil"/>
              <w:right w:val="nil"/>
            </w:tcBorders>
            <w:noWrap/>
          </w:tcPr>
          <w:p w:rsidRPr="00C32842" w:rsidR="0018120C" w:rsidP="00E13391" w:rsidRDefault="0018120C" w14:paraId="56075F10" w14:textId="77777777">
            <w:pPr>
              <w:ind w:left="171" w:firstLine="28" w:firstLineChars="14"/>
              <w:rPr>
                <w:rFonts w:ascii="Arial" w:hAnsi="Arial" w:eastAsia="Times New Roman" w:cs="Arial"/>
                <w:sz w:val="20"/>
                <w:szCs w:val="20"/>
              </w:rPr>
            </w:pPr>
            <w:r w:rsidRPr="00C32842">
              <w:rPr>
                <w:rFonts w:ascii="Arial" w:hAnsi="Arial"/>
                <w:sz w:val="20"/>
              </w:rPr>
              <w:t>q. Inländische Gesamtnettopositionen in Landeswährung in Ländern des SRM einschl. Derivate (unter Berücksichtigung des SRM als einzelnem Rechtsraum)</w:t>
            </w:r>
          </w:p>
        </w:tc>
        <w:tc>
          <w:tcPr>
            <w:tcW w:w="2745" w:type="dxa"/>
            <w:tcBorders>
              <w:left w:val="nil"/>
              <w:right w:val="nil"/>
            </w:tcBorders>
            <w:noWrap/>
          </w:tcPr>
          <w:p w:rsidRPr="00C32842" w:rsidR="0018120C" w:rsidP="00E13391" w:rsidRDefault="0018120C" w14:paraId="73D6C2F3" w14:textId="77777777">
            <w:pPr>
              <w:jc w:val="right"/>
              <w:rPr>
                <w:rFonts w:ascii="Arial" w:hAnsi="Arial" w:eastAsia="Times New Roman" w:cs="Arial"/>
                <w:sz w:val="20"/>
                <w:szCs w:val="20"/>
                <w:lang w:eastAsia="en-GB"/>
              </w:rPr>
            </w:pPr>
          </w:p>
        </w:tc>
      </w:tr>
      <w:tr w:rsidRPr="00C32842" w:rsidR="0018120C" w:rsidTr="00E13391" w14:paraId="626A9B4B" w14:textId="77777777">
        <w:trPr>
          <w:trHeight w:val="300"/>
        </w:trPr>
        <w:tc>
          <w:tcPr>
            <w:tcW w:w="6804" w:type="dxa"/>
            <w:tcBorders>
              <w:left w:val="nil"/>
              <w:right w:val="nil"/>
            </w:tcBorders>
            <w:noWrap/>
          </w:tcPr>
          <w:p w:rsidRPr="00C32842" w:rsidR="0018120C" w:rsidP="00E13391" w:rsidRDefault="0018120C" w14:paraId="0DDB54B6" w14:textId="77777777">
            <w:pPr>
              <w:ind w:firstLine="200" w:firstLineChars="100"/>
              <w:rPr>
                <w:rFonts w:ascii="Arial" w:hAnsi="Arial" w:eastAsia="Times New Roman" w:cs="Arial"/>
                <w:sz w:val="20"/>
                <w:szCs w:val="20"/>
              </w:rPr>
            </w:pPr>
            <w:r w:rsidRPr="00C32842">
              <w:rPr>
                <w:rFonts w:ascii="Arial" w:hAnsi="Arial"/>
                <w:sz w:val="20"/>
              </w:rPr>
              <w:t xml:space="preserve">r. Forderungen innerhalb von Niederlassungen, die von ausländischen Tochterunternehmen gebucht wurden </w:t>
            </w:r>
          </w:p>
        </w:tc>
        <w:tc>
          <w:tcPr>
            <w:tcW w:w="2745" w:type="dxa"/>
            <w:tcBorders>
              <w:left w:val="nil"/>
              <w:right w:val="nil"/>
            </w:tcBorders>
            <w:noWrap/>
          </w:tcPr>
          <w:p w:rsidRPr="00C32842" w:rsidR="0018120C" w:rsidP="00E13391" w:rsidRDefault="0018120C" w14:paraId="324D816A" w14:textId="77777777">
            <w:pPr>
              <w:jc w:val="right"/>
              <w:rPr>
                <w:rFonts w:ascii="Arial" w:hAnsi="Arial" w:eastAsia="Times New Roman" w:cs="Arial"/>
                <w:sz w:val="20"/>
                <w:szCs w:val="20"/>
                <w:lang w:eastAsia="en-GB"/>
              </w:rPr>
            </w:pPr>
          </w:p>
        </w:tc>
      </w:tr>
      <w:tr w:rsidRPr="00C32842" w:rsidR="0018120C" w:rsidTr="00E13391" w14:paraId="702AE79C" w14:textId="77777777">
        <w:trPr>
          <w:trHeight w:val="300"/>
        </w:trPr>
        <w:tc>
          <w:tcPr>
            <w:tcW w:w="6804" w:type="dxa"/>
            <w:tcBorders>
              <w:left w:val="nil"/>
              <w:right w:val="nil"/>
            </w:tcBorders>
            <w:noWrap/>
          </w:tcPr>
          <w:p w:rsidRPr="00C32842" w:rsidR="0018120C" w:rsidP="00E13391" w:rsidRDefault="0018120C" w14:paraId="2ED479A5" w14:textId="77777777">
            <w:pPr>
              <w:ind w:firstLine="200" w:firstLineChars="100"/>
              <w:rPr>
                <w:rFonts w:ascii="Arial" w:hAnsi="Arial" w:eastAsia="Times New Roman" w:cs="Arial"/>
                <w:sz w:val="20"/>
                <w:szCs w:val="20"/>
              </w:rPr>
            </w:pPr>
            <w:r w:rsidRPr="00C32842">
              <w:rPr>
                <w:rFonts w:ascii="Arial" w:hAnsi="Arial"/>
                <w:sz w:val="20"/>
              </w:rPr>
              <w:t xml:space="preserve">s. Forderungen innerhalb von Niederlassungen, die von ausländischen Zweigstellen gebucht wurden </w:t>
            </w:r>
          </w:p>
        </w:tc>
        <w:tc>
          <w:tcPr>
            <w:tcW w:w="2745" w:type="dxa"/>
            <w:tcBorders>
              <w:left w:val="nil"/>
              <w:right w:val="nil"/>
            </w:tcBorders>
            <w:noWrap/>
          </w:tcPr>
          <w:p w:rsidRPr="00C32842" w:rsidR="0018120C" w:rsidP="00E13391" w:rsidRDefault="0018120C" w14:paraId="284B69E9" w14:textId="77777777">
            <w:pPr>
              <w:jc w:val="right"/>
              <w:rPr>
                <w:rFonts w:ascii="Arial" w:hAnsi="Arial" w:eastAsia="Times New Roman" w:cs="Arial"/>
                <w:sz w:val="20"/>
                <w:szCs w:val="20"/>
                <w:lang w:eastAsia="en-GB"/>
              </w:rPr>
            </w:pPr>
          </w:p>
        </w:tc>
      </w:tr>
      <w:tr w:rsidRPr="00C32842" w:rsidR="0018120C" w:rsidTr="00E13391" w14:paraId="7C2FB5D2" w14:textId="77777777">
        <w:trPr>
          <w:trHeight w:val="300"/>
        </w:trPr>
        <w:tc>
          <w:tcPr>
            <w:tcW w:w="6804" w:type="dxa"/>
            <w:tcBorders>
              <w:left w:val="nil"/>
              <w:right w:val="nil"/>
            </w:tcBorders>
            <w:noWrap/>
          </w:tcPr>
          <w:p w:rsidRPr="00C32842" w:rsidR="0018120C" w:rsidP="00E13391" w:rsidRDefault="0018120C" w14:paraId="39042EF4" w14:textId="77777777">
            <w:pPr>
              <w:ind w:firstLine="200" w:firstLineChars="100"/>
              <w:rPr>
                <w:rFonts w:ascii="Arial" w:hAnsi="Arial" w:eastAsia="Times New Roman" w:cs="Arial"/>
                <w:sz w:val="20"/>
                <w:szCs w:val="20"/>
              </w:rPr>
            </w:pPr>
            <w:r w:rsidRPr="00C32842">
              <w:rPr>
                <w:rFonts w:ascii="Arial" w:hAnsi="Arial"/>
                <w:sz w:val="20"/>
              </w:rPr>
              <w:t>t. Verbindlichkeiten innerhalb von Niederlassungen, die von ausländischen Tochterunternehmen gebucht wurden</w:t>
            </w:r>
          </w:p>
        </w:tc>
        <w:tc>
          <w:tcPr>
            <w:tcW w:w="2745" w:type="dxa"/>
            <w:tcBorders>
              <w:left w:val="nil"/>
              <w:right w:val="nil"/>
            </w:tcBorders>
            <w:noWrap/>
          </w:tcPr>
          <w:p w:rsidRPr="00C32842" w:rsidR="0018120C" w:rsidP="00E13391" w:rsidRDefault="0018120C" w14:paraId="708A140A" w14:textId="77777777">
            <w:pPr>
              <w:jc w:val="right"/>
              <w:rPr>
                <w:rFonts w:ascii="Arial" w:hAnsi="Arial" w:eastAsia="Times New Roman" w:cs="Arial"/>
                <w:sz w:val="20"/>
                <w:szCs w:val="20"/>
                <w:lang w:eastAsia="en-GB"/>
              </w:rPr>
            </w:pPr>
          </w:p>
        </w:tc>
      </w:tr>
      <w:tr w:rsidRPr="00C32842" w:rsidR="0018120C" w:rsidTr="00E13391" w14:paraId="1CC188BC" w14:textId="77777777">
        <w:trPr>
          <w:trHeight w:val="300"/>
        </w:trPr>
        <w:tc>
          <w:tcPr>
            <w:tcW w:w="6804" w:type="dxa"/>
            <w:tcBorders>
              <w:left w:val="nil"/>
              <w:right w:val="nil"/>
            </w:tcBorders>
            <w:noWrap/>
          </w:tcPr>
          <w:p w:rsidRPr="00C32842" w:rsidR="0018120C" w:rsidP="00E13391" w:rsidRDefault="0018120C" w14:paraId="4D5F3299" w14:textId="77777777">
            <w:pPr>
              <w:ind w:firstLine="200" w:firstLineChars="100"/>
              <w:rPr>
                <w:rFonts w:ascii="Arial" w:hAnsi="Arial" w:eastAsia="Times New Roman" w:cs="Arial"/>
                <w:sz w:val="20"/>
                <w:szCs w:val="20"/>
              </w:rPr>
            </w:pPr>
            <w:r w:rsidRPr="00C32842">
              <w:rPr>
                <w:rFonts w:ascii="Arial" w:hAnsi="Arial"/>
                <w:sz w:val="20"/>
              </w:rPr>
              <w:t xml:space="preserve">u. Verbindlichkeiten innerhalb von Niederlassungen, die von ausländischen Zweigstellen gebucht wurden </w:t>
            </w:r>
          </w:p>
        </w:tc>
        <w:tc>
          <w:tcPr>
            <w:tcW w:w="2745" w:type="dxa"/>
            <w:tcBorders>
              <w:left w:val="nil"/>
              <w:right w:val="nil"/>
            </w:tcBorders>
            <w:noWrap/>
          </w:tcPr>
          <w:p w:rsidRPr="00C32842" w:rsidR="0018120C" w:rsidP="00E13391" w:rsidRDefault="0018120C" w14:paraId="5824F46B" w14:textId="77777777">
            <w:pPr>
              <w:jc w:val="right"/>
              <w:rPr>
                <w:rFonts w:ascii="Arial" w:hAnsi="Arial" w:eastAsia="Times New Roman" w:cs="Arial"/>
                <w:sz w:val="20"/>
                <w:szCs w:val="20"/>
                <w:lang w:eastAsia="en-GB"/>
              </w:rPr>
            </w:pPr>
          </w:p>
        </w:tc>
      </w:tr>
      <w:tr w:rsidRPr="00C32842" w:rsidR="0018120C" w:rsidTr="00E13391" w14:paraId="004182A2" w14:textId="77777777">
        <w:trPr>
          <w:trHeight w:val="300"/>
        </w:trPr>
        <w:tc>
          <w:tcPr>
            <w:tcW w:w="6804" w:type="dxa"/>
            <w:tcBorders>
              <w:left w:val="nil"/>
              <w:right w:val="nil"/>
            </w:tcBorders>
            <w:noWrap/>
          </w:tcPr>
          <w:p w:rsidRPr="00C32842" w:rsidR="0018120C" w:rsidP="00E13391" w:rsidRDefault="0018120C" w14:paraId="47A7624C" w14:textId="77777777">
            <w:pPr>
              <w:ind w:firstLine="200" w:firstLineChars="100"/>
              <w:rPr>
                <w:rFonts w:ascii="Arial" w:hAnsi="Arial" w:eastAsia="Times New Roman" w:cs="Arial"/>
                <w:sz w:val="20"/>
                <w:szCs w:val="20"/>
              </w:rPr>
            </w:pPr>
            <w:r w:rsidRPr="00C32842">
              <w:rPr>
                <w:rFonts w:ascii="Arial" w:hAnsi="Arial"/>
                <w:sz w:val="20"/>
              </w:rPr>
              <w:t xml:space="preserve">v. Vierteljährlicher Durchschnittswert der grenzüberschreitenden Forderungen </w:t>
            </w:r>
          </w:p>
        </w:tc>
        <w:tc>
          <w:tcPr>
            <w:tcW w:w="2745" w:type="dxa"/>
            <w:tcBorders>
              <w:left w:val="nil"/>
              <w:right w:val="nil"/>
            </w:tcBorders>
            <w:noWrap/>
          </w:tcPr>
          <w:p w:rsidRPr="00C32842" w:rsidR="0018120C" w:rsidP="00E13391" w:rsidRDefault="0018120C" w14:paraId="7B72DAD1" w14:textId="77777777">
            <w:pPr>
              <w:jc w:val="right"/>
              <w:rPr>
                <w:rFonts w:ascii="Arial" w:hAnsi="Arial" w:eastAsia="Times New Roman" w:cs="Arial"/>
                <w:sz w:val="20"/>
                <w:szCs w:val="20"/>
                <w:lang w:eastAsia="en-GB"/>
              </w:rPr>
            </w:pPr>
          </w:p>
        </w:tc>
      </w:tr>
      <w:tr w:rsidRPr="00C32842" w:rsidR="0018120C" w:rsidTr="00E13391" w14:paraId="2631CC78" w14:textId="77777777">
        <w:trPr>
          <w:trHeight w:val="300"/>
        </w:trPr>
        <w:tc>
          <w:tcPr>
            <w:tcW w:w="6804" w:type="dxa"/>
            <w:tcBorders>
              <w:left w:val="nil"/>
              <w:right w:val="nil"/>
            </w:tcBorders>
            <w:noWrap/>
          </w:tcPr>
          <w:p w:rsidRPr="00C32842" w:rsidR="0018120C" w:rsidP="00E13391" w:rsidRDefault="0018120C" w14:paraId="6C3D3A52" w14:textId="77777777">
            <w:pPr>
              <w:ind w:firstLine="200" w:firstLineChars="100"/>
              <w:rPr>
                <w:rFonts w:ascii="Arial" w:hAnsi="Arial" w:eastAsia="Times New Roman" w:cs="Arial"/>
                <w:sz w:val="20"/>
                <w:szCs w:val="20"/>
              </w:rPr>
            </w:pPr>
            <w:r w:rsidRPr="00C32842">
              <w:rPr>
                <w:rFonts w:ascii="Arial" w:hAnsi="Arial"/>
                <w:sz w:val="20"/>
              </w:rPr>
              <w:t xml:space="preserve">w. Monatlicher Durchschnittswert der grenzüberschreitenden Forderungen </w:t>
            </w:r>
          </w:p>
        </w:tc>
        <w:tc>
          <w:tcPr>
            <w:tcW w:w="2745" w:type="dxa"/>
            <w:tcBorders>
              <w:left w:val="nil"/>
              <w:right w:val="nil"/>
            </w:tcBorders>
            <w:noWrap/>
          </w:tcPr>
          <w:p w:rsidRPr="00C32842" w:rsidR="0018120C" w:rsidP="00E13391" w:rsidRDefault="0018120C" w14:paraId="03F341D9" w14:textId="77777777">
            <w:pPr>
              <w:jc w:val="right"/>
              <w:rPr>
                <w:rFonts w:ascii="Arial" w:hAnsi="Arial" w:eastAsia="Times New Roman" w:cs="Arial"/>
                <w:sz w:val="20"/>
                <w:szCs w:val="20"/>
                <w:lang w:eastAsia="en-GB"/>
              </w:rPr>
            </w:pPr>
          </w:p>
        </w:tc>
      </w:tr>
      <w:tr w:rsidRPr="00C32842" w:rsidR="0018120C" w:rsidTr="00E13391" w14:paraId="02BC2639" w14:textId="77777777">
        <w:trPr>
          <w:trHeight w:val="300"/>
        </w:trPr>
        <w:tc>
          <w:tcPr>
            <w:tcW w:w="6804" w:type="dxa"/>
            <w:tcBorders>
              <w:left w:val="nil"/>
              <w:right w:val="nil"/>
            </w:tcBorders>
            <w:noWrap/>
          </w:tcPr>
          <w:p w:rsidRPr="00C32842" w:rsidR="0018120C" w:rsidP="00E13391" w:rsidRDefault="0018120C" w14:paraId="5F7DD8A1" w14:textId="77777777">
            <w:pPr>
              <w:ind w:firstLine="200" w:firstLineChars="100"/>
              <w:rPr>
                <w:rFonts w:ascii="Arial" w:hAnsi="Arial" w:eastAsia="Times New Roman" w:cs="Arial"/>
                <w:sz w:val="20"/>
                <w:szCs w:val="20"/>
              </w:rPr>
            </w:pPr>
            <w:r w:rsidRPr="00C32842">
              <w:rPr>
                <w:rFonts w:ascii="Arial" w:hAnsi="Arial"/>
                <w:sz w:val="20"/>
              </w:rPr>
              <w:t xml:space="preserve">x. Vierteljährlicher Durchschnittswert der grenzüberschreitenden Verbindlichkeiten </w:t>
            </w:r>
          </w:p>
        </w:tc>
        <w:tc>
          <w:tcPr>
            <w:tcW w:w="2745" w:type="dxa"/>
            <w:tcBorders>
              <w:left w:val="nil"/>
              <w:right w:val="nil"/>
            </w:tcBorders>
            <w:noWrap/>
          </w:tcPr>
          <w:p w:rsidRPr="00C32842" w:rsidR="0018120C" w:rsidP="00E13391" w:rsidRDefault="0018120C" w14:paraId="79EC8BCD" w14:textId="77777777">
            <w:pPr>
              <w:jc w:val="right"/>
              <w:rPr>
                <w:rFonts w:ascii="Arial" w:hAnsi="Arial" w:eastAsia="Times New Roman" w:cs="Arial"/>
                <w:sz w:val="20"/>
                <w:szCs w:val="20"/>
                <w:lang w:eastAsia="en-GB"/>
              </w:rPr>
            </w:pPr>
          </w:p>
        </w:tc>
      </w:tr>
      <w:tr w:rsidRPr="00C32842" w:rsidR="0018120C" w:rsidTr="00E13391" w14:paraId="4B086582" w14:textId="77777777">
        <w:trPr>
          <w:trHeight w:val="300"/>
        </w:trPr>
        <w:tc>
          <w:tcPr>
            <w:tcW w:w="6804" w:type="dxa"/>
            <w:tcBorders>
              <w:left w:val="nil"/>
              <w:bottom w:val="single" w:color="auto" w:sz="4" w:space="0"/>
              <w:right w:val="nil"/>
            </w:tcBorders>
            <w:noWrap/>
          </w:tcPr>
          <w:p w:rsidRPr="00C32842" w:rsidR="0018120C" w:rsidP="00E13391" w:rsidRDefault="0018120C" w14:paraId="0712F7CE" w14:textId="77777777">
            <w:pPr>
              <w:ind w:firstLine="200" w:firstLineChars="100"/>
              <w:rPr>
                <w:rFonts w:ascii="Arial" w:hAnsi="Arial" w:eastAsia="Times New Roman" w:cs="Arial"/>
                <w:sz w:val="20"/>
                <w:szCs w:val="20"/>
              </w:rPr>
            </w:pPr>
            <w:r w:rsidRPr="00C32842">
              <w:rPr>
                <w:rFonts w:ascii="Arial" w:hAnsi="Arial"/>
                <w:sz w:val="20"/>
              </w:rPr>
              <w:t xml:space="preserve">y. Monatlicher Durchschnittswert der grenzüberschreitenden Verbindlichkeiten </w:t>
            </w:r>
          </w:p>
        </w:tc>
        <w:tc>
          <w:tcPr>
            <w:tcW w:w="2745" w:type="dxa"/>
            <w:tcBorders>
              <w:left w:val="nil"/>
              <w:bottom w:val="single" w:color="auto" w:sz="4" w:space="0"/>
              <w:right w:val="nil"/>
            </w:tcBorders>
            <w:noWrap/>
          </w:tcPr>
          <w:p w:rsidRPr="00C32842" w:rsidR="0018120C" w:rsidP="00E13391" w:rsidRDefault="0018120C" w14:paraId="7DB95BEC" w14:textId="77777777">
            <w:pPr>
              <w:jc w:val="right"/>
              <w:rPr>
                <w:rFonts w:ascii="Arial" w:hAnsi="Arial" w:eastAsia="Times New Roman" w:cs="Arial"/>
                <w:sz w:val="20"/>
                <w:szCs w:val="20"/>
                <w:lang w:eastAsia="en-GB"/>
              </w:rPr>
            </w:pPr>
          </w:p>
        </w:tc>
      </w:tr>
      <w:tr w:rsidRPr="00C32842" w:rsidR="0018120C" w:rsidTr="00E13391" w14:paraId="0888BA44" w14:textId="77777777">
        <w:trPr>
          <w:trHeight w:val="300"/>
        </w:trPr>
        <w:tc>
          <w:tcPr>
            <w:tcW w:w="6804" w:type="dxa"/>
            <w:tcBorders>
              <w:left w:val="nil"/>
              <w:bottom w:val="nil"/>
              <w:right w:val="nil"/>
            </w:tcBorders>
            <w:noWrap/>
          </w:tcPr>
          <w:p w:rsidRPr="00C32842" w:rsidR="0018120C" w:rsidP="00E13391" w:rsidRDefault="0018120C" w14:paraId="1C2B15CE" w14:textId="77777777">
            <w:pPr>
              <w:rPr>
                <w:rFonts w:ascii="Arial" w:hAnsi="Arial" w:eastAsia="Times New Roman" w:cs="Arial"/>
                <w:b/>
                <w:bCs/>
                <w:sz w:val="20"/>
                <w:szCs w:val="20"/>
                <w:lang w:eastAsia="en-GB"/>
              </w:rPr>
            </w:pPr>
          </w:p>
        </w:tc>
        <w:tc>
          <w:tcPr>
            <w:tcW w:w="2745" w:type="dxa"/>
            <w:tcBorders>
              <w:left w:val="nil"/>
              <w:bottom w:val="nil"/>
              <w:right w:val="nil"/>
            </w:tcBorders>
            <w:noWrap/>
          </w:tcPr>
          <w:p w:rsidRPr="00C32842" w:rsidR="0018120C" w:rsidP="00E13391" w:rsidRDefault="0018120C" w14:paraId="3BF030B1" w14:textId="77777777">
            <w:pPr>
              <w:jc w:val="right"/>
              <w:rPr>
                <w:rFonts w:ascii="Arial" w:hAnsi="Arial" w:eastAsia="Times New Roman" w:cs="Arial"/>
                <w:sz w:val="20"/>
                <w:szCs w:val="20"/>
                <w:lang w:eastAsia="en-GB"/>
              </w:rPr>
            </w:pPr>
          </w:p>
        </w:tc>
      </w:tr>
      <w:tr w:rsidRPr="00C32842" w:rsidR="0018120C" w:rsidTr="00E13391" w14:paraId="5E15F118" w14:textId="77777777">
        <w:trPr>
          <w:trHeight w:val="300"/>
        </w:trPr>
        <w:tc>
          <w:tcPr>
            <w:tcW w:w="6804" w:type="dxa"/>
            <w:tcBorders>
              <w:top w:val="nil"/>
              <w:left w:val="nil"/>
              <w:right w:val="nil"/>
            </w:tcBorders>
            <w:noWrap/>
          </w:tcPr>
          <w:p w:rsidRPr="00C32842" w:rsidR="0018120C" w:rsidP="00E13391" w:rsidRDefault="0018120C" w14:paraId="005E6C84" w14:textId="77777777">
            <w:pPr>
              <w:rPr>
                <w:rFonts w:ascii="Arial" w:hAnsi="Arial" w:eastAsia="Times New Roman" w:cs="Arial"/>
                <w:sz w:val="20"/>
                <w:szCs w:val="20"/>
              </w:rPr>
            </w:pPr>
            <w:r w:rsidRPr="00C32842">
              <w:rPr>
                <w:rFonts w:ascii="Arial" w:hAnsi="Arial"/>
                <w:b/>
                <w:sz w:val="20"/>
              </w:rPr>
              <w:t>Abschnitt 22 – Hilfsindikatoren</w:t>
            </w:r>
          </w:p>
        </w:tc>
        <w:tc>
          <w:tcPr>
            <w:tcW w:w="2745" w:type="dxa"/>
            <w:tcBorders>
              <w:top w:val="nil"/>
              <w:left w:val="nil"/>
              <w:right w:val="nil"/>
            </w:tcBorders>
            <w:noWrap/>
          </w:tcPr>
          <w:p w:rsidRPr="00C32842" w:rsidR="0018120C" w:rsidP="00E13391" w:rsidRDefault="0018120C" w14:paraId="4175C511" w14:textId="77777777">
            <w:pPr>
              <w:jc w:val="right"/>
              <w:rPr>
                <w:rFonts w:ascii="Arial" w:hAnsi="Arial" w:eastAsia="Times New Roman" w:cs="Arial"/>
                <w:sz w:val="20"/>
                <w:szCs w:val="20"/>
                <w:lang w:eastAsia="en-GB"/>
              </w:rPr>
            </w:pPr>
          </w:p>
        </w:tc>
      </w:tr>
      <w:tr w:rsidRPr="00C32842" w:rsidR="0018120C" w:rsidTr="00E13391" w14:paraId="4E24D9AB" w14:textId="77777777">
        <w:trPr>
          <w:trHeight w:val="300"/>
        </w:trPr>
        <w:tc>
          <w:tcPr>
            <w:tcW w:w="6804" w:type="dxa"/>
            <w:tcBorders>
              <w:left w:val="nil"/>
              <w:right w:val="nil"/>
            </w:tcBorders>
            <w:noWrap/>
          </w:tcPr>
          <w:p w:rsidRPr="00C32842" w:rsidR="0018120C" w:rsidP="00E13391" w:rsidRDefault="0018120C" w14:paraId="0ACF1EBB" w14:textId="77777777">
            <w:pPr>
              <w:ind w:firstLine="200" w:firstLineChars="100"/>
              <w:rPr>
                <w:rFonts w:ascii="Arial" w:hAnsi="Arial" w:eastAsia="Times New Roman" w:cs="Arial"/>
                <w:sz w:val="20"/>
                <w:szCs w:val="20"/>
              </w:rPr>
            </w:pPr>
            <w:r w:rsidRPr="00C32842">
              <w:rPr>
                <w:rFonts w:ascii="Arial" w:hAnsi="Arial"/>
                <w:sz w:val="20"/>
              </w:rPr>
              <w:t>a. Netto-Auslandsumsatz (unter Berücksichtigung des SRM als einzelnem Rechtsraum)</w:t>
            </w:r>
          </w:p>
        </w:tc>
        <w:tc>
          <w:tcPr>
            <w:tcW w:w="2745" w:type="dxa"/>
            <w:tcBorders>
              <w:left w:val="nil"/>
              <w:right w:val="nil"/>
            </w:tcBorders>
            <w:noWrap/>
          </w:tcPr>
          <w:p w:rsidRPr="00C32842" w:rsidR="0018120C" w:rsidP="00E13391" w:rsidRDefault="0018120C" w14:paraId="46DAACD2" w14:textId="77777777">
            <w:pPr>
              <w:jc w:val="right"/>
              <w:rPr>
                <w:rFonts w:ascii="Arial" w:hAnsi="Arial" w:eastAsia="Times New Roman" w:cs="Arial"/>
                <w:sz w:val="20"/>
                <w:szCs w:val="20"/>
                <w:lang w:eastAsia="en-GB"/>
              </w:rPr>
            </w:pPr>
          </w:p>
        </w:tc>
      </w:tr>
      <w:tr w:rsidRPr="00C32842" w:rsidR="0018120C" w:rsidTr="00E13391" w14:paraId="0B0A498D" w14:textId="77777777">
        <w:trPr>
          <w:trHeight w:val="300"/>
        </w:trPr>
        <w:tc>
          <w:tcPr>
            <w:tcW w:w="6804" w:type="dxa"/>
            <w:tcBorders>
              <w:left w:val="nil"/>
              <w:bottom w:val="single" w:color="auto" w:sz="4" w:space="0"/>
              <w:right w:val="nil"/>
            </w:tcBorders>
            <w:noWrap/>
          </w:tcPr>
          <w:p w:rsidRPr="00C32842" w:rsidR="0018120C" w:rsidP="00E13391" w:rsidRDefault="0018120C" w14:paraId="76BF45BE" w14:textId="77777777">
            <w:pPr>
              <w:ind w:firstLine="200" w:firstLineChars="100"/>
              <w:rPr>
                <w:rFonts w:ascii="Arial" w:hAnsi="Arial" w:eastAsia="Times New Roman" w:cs="Arial"/>
                <w:sz w:val="20"/>
                <w:szCs w:val="20"/>
              </w:rPr>
            </w:pPr>
            <w:r w:rsidRPr="00C32842">
              <w:rPr>
                <w:rFonts w:ascii="Arial" w:hAnsi="Arial"/>
                <w:sz w:val="20"/>
              </w:rPr>
              <w:t>b. Anzahl der Rechtsräume (unter Berücksichtigung des SRM als einzelnem Rechtsraum)</w:t>
            </w:r>
          </w:p>
        </w:tc>
        <w:tc>
          <w:tcPr>
            <w:tcW w:w="2745" w:type="dxa"/>
            <w:tcBorders>
              <w:left w:val="nil"/>
              <w:right w:val="nil"/>
            </w:tcBorders>
            <w:noWrap/>
          </w:tcPr>
          <w:p w:rsidRPr="00C32842" w:rsidR="0018120C" w:rsidP="00E13391" w:rsidRDefault="0018120C" w14:paraId="22E374F3" w14:textId="77777777">
            <w:pPr>
              <w:jc w:val="right"/>
              <w:rPr>
                <w:rFonts w:ascii="Arial" w:hAnsi="Arial" w:eastAsia="Times New Roman" w:cs="Arial"/>
                <w:sz w:val="20"/>
                <w:szCs w:val="20"/>
                <w:lang w:eastAsia="en-GB"/>
              </w:rPr>
            </w:pPr>
          </w:p>
        </w:tc>
      </w:tr>
      <w:tr w:rsidRPr="00C32842" w:rsidR="0018120C" w:rsidTr="00E13391" w14:paraId="25D2E176" w14:textId="77777777">
        <w:trPr>
          <w:trHeight w:val="300"/>
        </w:trPr>
        <w:tc>
          <w:tcPr>
            <w:tcW w:w="6804" w:type="dxa"/>
            <w:tcBorders>
              <w:left w:val="nil"/>
              <w:bottom w:val="nil"/>
              <w:right w:val="nil"/>
            </w:tcBorders>
            <w:noWrap/>
          </w:tcPr>
          <w:p w:rsidRPr="00C32842" w:rsidR="0018120C" w:rsidP="00E13391" w:rsidRDefault="0018120C" w14:paraId="24B44D56" w14:textId="77777777">
            <w:pPr>
              <w:ind w:firstLine="200" w:firstLineChars="100"/>
              <w:rPr>
                <w:rFonts w:ascii="Arial" w:hAnsi="Arial" w:eastAsia="Times New Roman" w:cs="Arial"/>
                <w:sz w:val="20"/>
                <w:szCs w:val="20"/>
                <w:lang w:eastAsia="en-GB"/>
              </w:rPr>
            </w:pPr>
          </w:p>
        </w:tc>
        <w:tc>
          <w:tcPr>
            <w:tcW w:w="2745" w:type="dxa"/>
            <w:tcBorders>
              <w:left w:val="nil"/>
              <w:bottom w:val="nil"/>
              <w:right w:val="nil"/>
            </w:tcBorders>
            <w:noWrap/>
          </w:tcPr>
          <w:p w:rsidRPr="00C32842" w:rsidR="0018120C" w:rsidP="00E13391" w:rsidRDefault="0018120C" w14:paraId="3407AF0A" w14:textId="77777777">
            <w:pPr>
              <w:jc w:val="right"/>
              <w:rPr>
                <w:rFonts w:ascii="Arial" w:hAnsi="Arial" w:eastAsia="Times New Roman" w:cs="Arial"/>
                <w:sz w:val="20"/>
                <w:szCs w:val="20"/>
                <w:lang w:eastAsia="en-GB"/>
              </w:rPr>
            </w:pPr>
          </w:p>
        </w:tc>
      </w:tr>
      <w:tr w:rsidRPr="00C32842" w:rsidR="0018120C" w:rsidTr="00E13391" w14:paraId="0AF35429" w14:textId="77777777">
        <w:trPr>
          <w:trHeight w:val="300"/>
        </w:trPr>
        <w:tc>
          <w:tcPr>
            <w:tcW w:w="6804" w:type="dxa"/>
            <w:tcBorders>
              <w:top w:val="nil"/>
              <w:left w:val="nil"/>
              <w:bottom w:val="nil"/>
              <w:right w:val="nil"/>
            </w:tcBorders>
            <w:noWrap/>
          </w:tcPr>
          <w:p w:rsidRPr="00C32842" w:rsidR="0018120C" w:rsidP="00E13391" w:rsidRDefault="0018120C" w14:paraId="262022A4" w14:textId="77777777">
            <w:pPr>
              <w:ind w:firstLine="221" w:firstLineChars="100"/>
              <w:rPr>
                <w:rFonts w:ascii="Arial" w:hAnsi="Arial" w:eastAsia="Times New Roman" w:cs="Arial"/>
                <w:sz w:val="20"/>
                <w:szCs w:val="20"/>
              </w:rPr>
            </w:pPr>
            <w:r w:rsidRPr="00C32842">
              <w:rPr>
                <w:rFonts w:asciiTheme="majorHAnsi" w:hAnsiTheme="majorHAnsi"/>
                <w:b/>
                <w:i/>
                <w:caps/>
              </w:rPr>
              <w:t>Zusammenfassung der Kontrollen</w:t>
            </w:r>
          </w:p>
        </w:tc>
        <w:tc>
          <w:tcPr>
            <w:tcW w:w="2745" w:type="dxa"/>
            <w:tcBorders>
              <w:top w:val="nil"/>
              <w:left w:val="nil"/>
              <w:bottom w:val="nil"/>
              <w:right w:val="nil"/>
            </w:tcBorders>
            <w:noWrap/>
          </w:tcPr>
          <w:p w:rsidRPr="00C32842" w:rsidR="0018120C" w:rsidP="00E13391" w:rsidRDefault="0018120C" w14:paraId="39DDBEF3" w14:textId="77777777">
            <w:pPr>
              <w:jc w:val="right"/>
              <w:rPr>
                <w:rFonts w:ascii="Arial" w:hAnsi="Arial" w:eastAsia="Times New Roman" w:cs="Arial"/>
                <w:sz w:val="20"/>
                <w:szCs w:val="20"/>
                <w:lang w:eastAsia="en-GB"/>
              </w:rPr>
            </w:pPr>
          </w:p>
        </w:tc>
      </w:tr>
      <w:tr w:rsidRPr="00C32842" w:rsidR="0018120C" w:rsidTr="00E13391" w14:paraId="5781195B" w14:textId="77777777">
        <w:trPr>
          <w:trHeight w:val="300"/>
        </w:trPr>
        <w:tc>
          <w:tcPr>
            <w:tcW w:w="6804" w:type="dxa"/>
            <w:tcBorders>
              <w:top w:val="nil"/>
              <w:left w:val="nil"/>
              <w:bottom w:val="single" w:color="auto" w:sz="4" w:space="0"/>
              <w:right w:val="nil"/>
            </w:tcBorders>
            <w:noWrap/>
          </w:tcPr>
          <w:p w:rsidRPr="00C32842" w:rsidR="0018120C" w:rsidP="00E13391" w:rsidRDefault="0018120C" w14:paraId="33F0613E" w14:textId="77777777">
            <w:pPr>
              <w:ind w:firstLine="200" w:firstLineChars="100"/>
              <w:rPr>
                <w:rFonts w:ascii="Arial" w:hAnsi="Arial" w:eastAsia="Times New Roman" w:cs="Arial"/>
                <w:sz w:val="20"/>
                <w:szCs w:val="20"/>
                <w:lang w:eastAsia="en-GB"/>
              </w:rPr>
            </w:pPr>
          </w:p>
        </w:tc>
        <w:tc>
          <w:tcPr>
            <w:tcW w:w="2745" w:type="dxa"/>
            <w:tcBorders>
              <w:top w:val="nil"/>
              <w:left w:val="nil"/>
              <w:right w:val="nil"/>
            </w:tcBorders>
            <w:noWrap/>
          </w:tcPr>
          <w:p w:rsidRPr="00C32842" w:rsidR="0018120C" w:rsidP="00E13391" w:rsidRDefault="0018120C" w14:paraId="27CF51C7" w14:textId="77777777">
            <w:pPr>
              <w:jc w:val="right"/>
              <w:rPr>
                <w:rFonts w:ascii="Arial" w:hAnsi="Arial" w:eastAsia="Times New Roman" w:cs="Arial"/>
                <w:sz w:val="20"/>
                <w:szCs w:val="20"/>
                <w:lang w:eastAsia="en-GB"/>
              </w:rPr>
            </w:pPr>
          </w:p>
        </w:tc>
      </w:tr>
      <w:tr w:rsidRPr="00C32842" w:rsidR="0018120C" w:rsidTr="00E13391" w14:paraId="404039DF" w14:textId="77777777">
        <w:trPr>
          <w:trHeight w:val="300"/>
        </w:trPr>
        <w:tc>
          <w:tcPr>
            <w:tcW w:w="6804" w:type="dxa"/>
            <w:tcBorders>
              <w:left w:val="nil"/>
              <w:bottom w:val="single" w:color="auto" w:sz="4" w:space="0"/>
              <w:right w:val="nil"/>
            </w:tcBorders>
            <w:noWrap/>
          </w:tcPr>
          <w:p w:rsidRPr="00C32842" w:rsidR="0018120C" w:rsidP="00E13391" w:rsidRDefault="0018120C" w14:paraId="0EB69EA4" w14:textId="77777777">
            <w:pPr>
              <w:rPr>
                <w:rFonts w:ascii="Arial" w:hAnsi="Arial" w:eastAsia="Times New Roman" w:cs="Arial"/>
                <w:sz w:val="20"/>
                <w:szCs w:val="20"/>
              </w:rPr>
            </w:pPr>
            <w:r w:rsidRPr="00C32842">
              <w:rPr>
                <w:b/>
              </w:rPr>
              <w:lastRenderedPageBreak/>
              <w:t>Abschnitt 23 – Indikatorwerte (Überarbeitete Methode)</w:t>
            </w:r>
          </w:p>
        </w:tc>
        <w:tc>
          <w:tcPr>
            <w:tcW w:w="2745" w:type="dxa"/>
            <w:tcBorders>
              <w:left w:val="nil"/>
              <w:right w:val="nil"/>
            </w:tcBorders>
            <w:noWrap/>
          </w:tcPr>
          <w:p w:rsidRPr="00C32842" w:rsidR="0018120C" w:rsidP="00E13391" w:rsidRDefault="0018120C" w14:paraId="0EF0A03F" w14:textId="77777777">
            <w:pPr>
              <w:jc w:val="center"/>
              <w:rPr>
                <w:rFonts w:ascii="Arial" w:hAnsi="Arial" w:eastAsia="Times New Roman" w:cs="Arial"/>
                <w:sz w:val="20"/>
                <w:szCs w:val="20"/>
              </w:rPr>
            </w:pPr>
            <w:r w:rsidRPr="00C32842">
              <w:rPr>
                <w:b/>
              </w:rPr>
              <w:t>Indikatorwert in Meldewährung</w:t>
            </w:r>
          </w:p>
        </w:tc>
      </w:tr>
      <w:tr w:rsidRPr="00C32842" w:rsidR="0018120C" w:rsidTr="00E13391" w14:paraId="33C25D1B" w14:textId="77777777">
        <w:trPr>
          <w:trHeight w:val="300"/>
        </w:trPr>
        <w:tc>
          <w:tcPr>
            <w:tcW w:w="6804" w:type="dxa"/>
            <w:tcBorders>
              <w:left w:val="nil"/>
              <w:bottom w:val="single" w:color="auto" w:sz="4" w:space="0"/>
              <w:right w:val="nil"/>
            </w:tcBorders>
            <w:noWrap/>
          </w:tcPr>
          <w:p w:rsidRPr="00C32842" w:rsidR="0018120C" w:rsidP="00E13391" w:rsidRDefault="0018120C" w14:paraId="7AF9078F" w14:textId="77777777">
            <w:pPr>
              <w:ind w:left="171" w:firstLine="48" w:firstLineChars="22"/>
              <w:rPr>
                <w:rFonts w:ascii="Arial" w:hAnsi="Arial" w:eastAsia="Times New Roman" w:cs="Arial"/>
                <w:sz w:val="20"/>
                <w:szCs w:val="20"/>
              </w:rPr>
            </w:pPr>
            <w:r w:rsidRPr="00C32842">
              <w:t>a. Abschnitt 2 – Indikator für die Gesamtrisikoposition, einschließlich Versicherungstochtergesellschaften</w:t>
            </w:r>
          </w:p>
        </w:tc>
        <w:tc>
          <w:tcPr>
            <w:tcW w:w="2745" w:type="dxa"/>
            <w:tcBorders>
              <w:left w:val="nil"/>
              <w:right w:val="nil"/>
            </w:tcBorders>
            <w:noWrap/>
          </w:tcPr>
          <w:p w:rsidRPr="00C32842" w:rsidR="0018120C" w:rsidP="00E13391" w:rsidRDefault="0018120C" w14:paraId="3EA3FA33" w14:textId="77777777">
            <w:pPr>
              <w:jc w:val="right"/>
              <w:rPr>
                <w:rFonts w:ascii="Arial" w:hAnsi="Arial" w:eastAsia="Times New Roman" w:cs="Arial"/>
                <w:sz w:val="20"/>
                <w:szCs w:val="20"/>
                <w:lang w:eastAsia="en-GB"/>
              </w:rPr>
            </w:pPr>
          </w:p>
        </w:tc>
      </w:tr>
      <w:tr w:rsidRPr="00C32842" w:rsidR="0018120C" w:rsidTr="00E13391" w14:paraId="7DE97FE7" w14:textId="77777777">
        <w:trPr>
          <w:trHeight w:val="300"/>
        </w:trPr>
        <w:tc>
          <w:tcPr>
            <w:tcW w:w="6804" w:type="dxa"/>
            <w:tcBorders>
              <w:left w:val="nil"/>
              <w:bottom w:val="single" w:color="auto" w:sz="4" w:space="0"/>
              <w:right w:val="nil"/>
            </w:tcBorders>
            <w:noWrap/>
          </w:tcPr>
          <w:p w:rsidRPr="00C32842" w:rsidR="0018120C" w:rsidP="00E13391" w:rsidRDefault="0018120C" w14:paraId="427AA1D6" w14:textId="77777777">
            <w:pPr>
              <w:ind w:left="171" w:firstLine="48" w:firstLineChars="22"/>
              <w:rPr>
                <w:rFonts w:ascii="Arial" w:hAnsi="Arial" w:eastAsia="Times New Roman" w:cs="Arial"/>
                <w:sz w:val="20"/>
                <w:szCs w:val="20"/>
              </w:rPr>
            </w:pPr>
            <w:r w:rsidRPr="00C32842">
              <w:t>b. Abschnitt 3 – Indikator für Vermögenswerte innerhalb des Finanzsystems einschließlich Versicherungstochtergesellschaften</w:t>
            </w:r>
          </w:p>
        </w:tc>
        <w:tc>
          <w:tcPr>
            <w:tcW w:w="2745" w:type="dxa"/>
            <w:tcBorders>
              <w:left w:val="nil"/>
              <w:right w:val="nil"/>
            </w:tcBorders>
            <w:noWrap/>
          </w:tcPr>
          <w:p w:rsidRPr="00C32842" w:rsidR="0018120C" w:rsidP="00E13391" w:rsidRDefault="0018120C" w14:paraId="759F5E17" w14:textId="77777777">
            <w:pPr>
              <w:jc w:val="right"/>
              <w:rPr>
                <w:rFonts w:ascii="Arial" w:hAnsi="Arial" w:eastAsia="Times New Roman" w:cs="Arial"/>
                <w:sz w:val="20"/>
                <w:szCs w:val="20"/>
                <w:lang w:eastAsia="en-GB"/>
              </w:rPr>
            </w:pPr>
          </w:p>
        </w:tc>
      </w:tr>
      <w:tr w:rsidRPr="00C32842" w:rsidR="0018120C" w:rsidTr="00E13391" w14:paraId="5C468F56" w14:textId="77777777">
        <w:trPr>
          <w:trHeight w:val="300"/>
        </w:trPr>
        <w:tc>
          <w:tcPr>
            <w:tcW w:w="6804" w:type="dxa"/>
            <w:tcBorders>
              <w:left w:val="nil"/>
              <w:bottom w:val="single" w:color="auto" w:sz="4" w:space="0"/>
              <w:right w:val="nil"/>
            </w:tcBorders>
            <w:noWrap/>
          </w:tcPr>
          <w:p w:rsidRPr="00C32842" w:rsidR="0018120C" w:rsidP="00E13391" w:rsidRDefault="0018120C" w14:paraId="01DCC253" w14:textId="77777777">
            <w:pPr>
              <w:ind w:left="171" w:firstLine="48" w:firstLineChars="22"/>
              <w:rPr>
                <w:rFonts w:ascii="Arial" w:hAnsi="Arial" w:eastAsia="Times New Roman" w:cs="Arial"/>
                <w:sz w:val="20"/>
                <w:szCs w:val="20"/>
              </w:rPr>
            </w:pPr>
            <w:r w:rsidRPr="00C32842">
              <w:t>C. Abschnitt 4 – Indikator für Verbindlichkeiten innerhalb des Finanzsystems, einschließlich Versicherungstochtergesellschaften</w:t>
            </w:r>
          </w:p>
        </w:tc>
        <w:tc>
          <w:tcPr>
            <w:tcW w:w="2745" w:type="dxa"/>
            <w:tcBorders>
              <w:left w:val="nil"/>
              <w:right w:val="nil"/>
            </w:tcBorders>
            <w:noWrap/>
          </w:tcPr>
          <w:p w:rsidRPr="00C32842" w:rsidR="0018120C" w:rsidP="00E13391" w:rsidRDefault="0018120C" w14:paraId="0D1791F1" w14:textId="77777777">
            <w:pPr>
              <w:jc w:val="right"/>
              <w:rPr>
                <w:rFonts w:ascii="Arial" w:hAnsi="Arial" w:eastAsia="Times New Roman" w:cs="Arial"/>
                <w:sz w:val="20"/>
                <w:szCs w:val="20"/>
                <w:lang w:eastAsia="en-GB"/>
              </w:rPr>
            </w:pPr>
          </w:p>
        </w:tc>
      </w:tr>
      <w:tr w:rsidRPr="00C32842" w:rsidR="0018120C" w:rsidTr="00E13391" w14:paraId="144BA3D3" w14:textId="77777777">
        <w:trPr>
          <w:trHeight w:val="300"/>
        </w:trPr>
        <w:tc>
          <w:tcPr>
            <w:tcW w:w="6804" w:type="dxa"/>
            <w:tcBorders>
              <w:left w:val="nil"/>
              <w:bottom w:val="single" w:color="auto" w:sz="4" w:space="0"/>
              <w:right w:val="nil"/>
            </w:tcBorders>
            <w:noWrap/>
          </w:tcPr>
          <w:p w:rsidRPr="00C32842" w:rsidR="0018120C" w:rsidP="00E13391" w:rsidRDefault="0018120C" w14:paraId="19F5BD56" w14:textId="77777777">
            <w:pPr>
              <w:ind w:left="171" w:firstLine="48" w:firstLineChars="22"/>
              <w:rPr>
                <w:rFonts w:ascii="Arial" w:hAnsi="Arial" w:eastAsia="Times New Roman" w:cs="Arial"/>
                <w:sz w:val="20"/>
                <w:szCs w:val="20"/>
              </w:rPr>
            </w:pPr>
            <w:r w:rsidRPr="00C32842">
              <w:t>d. Abschnitt 5 – Indikator für ausstehende Wertpapiere, einschließlich Versicherungstochtergesellschaften</w:t>
            </w:r>
          </w:p>
        </w:tc>
        <w:tc>
          <w:tcPr>
            <w:tcW w:w="2745" w:type="dxa"/>
            <w:tcBorders>
              <w:left w:val="nil"/>
              <w:right w:val="nil"/>
            </w:tcBorders>
            <w:noWrap/>
          </w:tcPr>
          <w:p w:rsidRPr="00C32842" w:rsidR="0018120C" w:rsidP="00E13391" w:rsidRDefault="0018120C" w14:paraId="036D5467" w14:textId="77777777">
            <w:pPr>
              <w:jc w:val="right"/>
              <w:rPr>
                <w:rFonts w:ascii="Arial" w:hAnsi="Arial" w:eastAsia="Times New Roman" w:cs="Arial"/>
                <w:sz w:val="20"/>
                <w:szCs w:val="20"/>
                <w:lang w:eastAsia="en-GB"/>
              </w:rPr>
            </w:pPr>
          </w:p>
        </w:tc>
      </w:tr>
      <w:tr w:rsidRPr="00C32842" w:rsidR="0018120C" w:rsidTr="00E13391" w14:paraId="19908DC3" w14:textId="77777777">
        <w:trPr>
          <w:trHeight w:val="300"/>
        </w:trPr>
        <w:tc>
          <w:tcPr>
            <w:tcW w:w="6804" w:type="dxa"/>
            <w:tcBorders>
              <w:left w:val="nil"/>
              <w:bottom w:val="single" w:color="auto" w:sz="4" w:space="0"/>
              <w:right w:val="nil"/>
            </w:tcBorders>
            <w:noWrap/>
          </w:tcPr>
          <w:p w:rsidRPr="00C32842" w:rsidR="0018120C" w:rsidP="00E13391" w:rsidRDefault="0018120C" w14:paraId="34D8962B" w14:textId="77777777">
            <w:pPr>
              <w:ind w:firstLine="220" w:firstLineChars="100"/>
              <w:rPr>
                <w:rFonts w:ascii="Arial" w:hAnsi="Arial" w:eastAsia="Times New Roman" w:cs="Arial"/>
                <w:sz w:val="20"/>
                <w:szCs w:val="20"/>
              </w:rPr>
            </w:pPr>
            <w:r w:rsidRPr="00C32842">
              <w:t>e. Abschnitt 6 – Indikator für Zahlungsaktivität</w:t>
            </w:r>
          </w:p>
        </w:tc>
        <w:tc>
          <w:tcPr>
            <w:tcW w:w="2745" w:type="dxa"/>
            <w:tcBorders>
              <w:left w:val="nil"/>
              <w:right w:val="nil"/>
            </w:tcBorders>
            <w:noWrap/>
          </w:tcPr>
          <w:p w:rsidRPr="00C32842" w:rsidR="0018120C" w:rsidP="00E13391" w:rsidRDefault="0018120C" w14:paraId="7405B228" w14:textId="77777777">
            <w:pPr>
              <w:jc w:val="right"/>
              <w:rPr>
                <w:rFonts w:ascii="Arial" w:hAnsi="Arial" w:eastAsia="Times New Roman" w:cs="Arial"/>
                <w:sz w:val="20"/>
                <w:szCs w:val="20"/>
                <w:lang w:eastAsia="en-GB"/>
              </w:rPr>
            </w:pPr>
          </w:p>
        </w:tc>
      </w:tr>
      <w:tr w:rsidRPr="00C32842" w:rsidR="0018120C" w:rsidTr="00E13391" w14:paraId="07BD082C" w14:textId="77777777">
        <w:trPr>
          <w:trHeight w:val="300"/>
        </w:trPr>
        <w:tc>
          <w:tcPr>
            <w:tcW w:w="6804" w:type="dxa"/>
            <w:tcBorders>
              <w:left w:val="nil"/>
              <w:bottom w:val="single" w:color="auto" w:sz="4" w:space="0"/>
              <w:right w:val="nil"/>
            </w:tcBorders>
            <w:noWrap/>
          </w:tcPr>
          <w:p w:rsidRPr="00C32842" w:rsidR="0018120C" w:rsidP="00E13391" w:rsidRDefault="0018120C" w14:paraId="599B349A" w14:textId="77777777">
            <w:pPr>
              <w:ind w:firstLine="220" w:firstLineChars="100"/>
              <w:rPr>
                <w:rFonts w:ascii="Arial" w:hAnsi="Arial" w:eastAsia="Times New Roman" w:cs="Arial"/>
                <w:sz w:val="20"/>
                <w:szCs w:val="20"/>
              </w:rPr>
            </w:pPr>
            <w:r w:rsidRPr="00C32842">
              <w:t>f. Abschnitt 7 – Indikator für Custody-Vermögen</w:t>
            </w:r>
          </w:p>
        </w:tc>
        <w:tc>
          <w:tcPr>
            <w:tcW w:w="2745" w:type="dxa"/>
            <w:tcBorders>
              <w:left w:val="nil"/>
              <w:right w:val="nil"/>
            </w:tcBorders>
            <w:noWrap/>
          </w:tcPr>
          <w:p w:rsidRPr="00C32842" w:rsidR="0018120C" w:rsidP="00E13391" w:rsidRDefault="0018120C" w14:paraId="323DCBB7" w14:textId="77777777">
            <w:pPr>
              <w:jc w:val="right"/>
              <w:rPr>
                <w:rFonts w:ascii="Arial" w:hAnsi="Arial" w:eastAsia="Times New Roman" w:cs="Arial"/>
                <w:sz w:val="20"/>
                <w:szCs w:val="20"/>
                <w:lang w:eastAsia="en-GB"/>
              </w:rPr>
            </w:pPr>
          </w:p>
        </w:tc>
      </w:tr>
      <w:tr w:rsidRPr="00C32842" w:rsidR="0018120C" w:rsidTr="00E13391" w14:paraId="60F04DFB" w14:textId="77777777">
        <w:trPr>
          <w:trHeight w:val="300"/>
        </w:trPr>
        <w:tc>
          <w:tcPr>
            <w:tcW w:w="6804" w:type="dxa"/>
            <w:tcBorders>
              <w:left w:val="nil"/>
              <w:bottom w:val="single" w:color="auto" w:sz="4" w:space="0"/>
              <w:right w:val="nil"/>
            </w:tcBorders>
            <w:noWrap/>
          </w:tcPr>
          <w:p w:rsidRPr="00C32842" w:rsidR="0018120C" w:rsidP="00E13391" w:rsidRDefault="0018120C" w14:paraId="79EF278B" w14:textId="77777777">
            <w:pPr>
              <w:ind w:firstLine="220" w:firstLineChars="100"/>
              <w:rPr>
                <w:rFonts w:ascii="Arial" w:hAnsi="Arial" w:eastAsia="Times New Roman" w:cs="Arial"/>
                <w:sz w:val="20"/>
                <w:szCs w:val="20"/>
              </w:rPr>
            </w:pPr>
            <w:r w:rsidRPr="00C32842">
              <w:t>g. Abschnitt 8 – Indikator für Emissionsgeschäfte</w:t>
            </w:r>
          </w:p>
        </w:tc>
        <w:tc>
          <w:tcPr>
            <w:tcW w:w="2745" w:type="dxa"/>
            <w:tcBorders>
              <w:left w:val="nil"/>
              <w:right w:val="nil"/>
            </w:tcBorders>
            <w:noWrap/>
          </w:tcPr>
          <w:p w:rsidRPr="00C32842" w:rsidR="0018120C" w:rsidP="00E13391" w:rsidRDefault="0018120C" w14:paraId="66CCFC1A" w14:textId="77777777">
            <w:pPr>
              <w:jc w:val="right"/>
              <w:rPr>
                <w:rFonts w:ascii="Arial" w:hAnsi="Arial" w:eastAsia="Times New Roman" w:cs="Arial"/>
                <w:sz w:val="20"/>
                <w:szCs w:val="20"/>
                <w:lang w:eastAsia="en-GB"/>
              </w:rPr>
            </w:pPr>
          </w:p>
        </w:tc>
      </w:tr>
      <w:tr w:rsidRPr="00C32842" w:rsidR="0018120C" w:rsidTr="00E13391" w14:paraId="65960366" w14:textId="77777777">
        <w:trPr>
          <w:trHeight w:val="300"/>
        </w:trPr>
        <w:tc>
          <w:tcPr>
            <w:tcW w:w="6804" w:type="dxa"/>
            <w:tcBorders>
              <w:left w:val="nil"/>
              <w:bottom w:val="single" w:color="auto" w:sz="4" w:space="0"/>
              <w:right w:val="nil"/>
            </w:tcBorders>
            <w:noWrap/>
          </w:tcPr>
          <w:p w:rsidRPr="00C32842" w:rsidR="0018120C" w:rsidP="00E13391" w:rsidRDefault="0018120C" w14:paraId="7DEC7C88" w14:textId="77777777">
            <w:pPr>
              <w:ind w:firstLine="220" w:firstLineChars="100"/>
              <w:rPr>
                <w:rFonts w:ascii="Arial" w:hAnsi="Arial" w:eastAsia="Times New Roman" w:cs="Arial"/>
                <w:sz w:val="20"/>
                <w:szCs w:val="20"/>
              </w:rPr>
            </w:pPr>
            <w:r w:rsidRPr="00C32842">
              <w:t>h. Abschnitt 9.c – Teilindikator für das Handelsvolumen mit festen Erträgen</w:t>
            </w:r>
          </w:p>
        </w:tc>
        <w:tc>
          <w:tcPr>
            <w:tcW w:w="2745" w:type="dxa"/>
            <w:tcBorders>
              <w:left w:val="nil"/>
              <w:right w:val="nil"/>
            </w:tcBorders>
            <w:noWrap/>
          </w:tcPr>
          <w:p w:rsidRPr="00C32842" w:rsidR="0018120C" w:rsidP="00E13391" w:rsidRDefault="0018120C" w14:paraId="74727240" w14:textId="77777777">
            <w:pPr>
              <w:jc w:val="right"/>
              <w:rPr>
                <w:rFonts w:ascii="Arial" w:hAnsi="Arial" w:eastAsia="Times New Roman" w:cs="Arial"/>
                <w:sz w:val="20"/>
                <w:szCs w:val="20"/>
                <w:lang w:eastAsia="en-GB"/>
              </w:rPr>
            </w:pPr>
          </w:p>
        </w:tc>
      </w:tr>
      <w:tr w:rsidRPr="00C32842" w:rsidR="0018120C" w:rsidTr="00E13391" w14:paraId="69E07207" w14:textId="77777777">
        <w:trPr>
          <w:trHeight w:val="300"/>
        </w:trPr>
        <w:tc>
          <w:tcPr>
            <w:tcW w:w="6804" w:type="dxa"/>
            <w:tcBorders>
              <w:left w:val="nil"/>
              <w:bottom w:val="single" w:color="auto" w:sz="4" w:space="0"/>
              <w:right w:val="nil"/>
            </w:tcBorders>
            <w:noWrap/>
          </w:tcPr>
          <w:p w:rsidRPr="00C32842" w:rsidR="0018120C" w:rsidP="00E13391" w:rsidRDefault="0018120C" w14:paraId="470D4D86" w14:textId="77777777">
            <w:pPr>
              <w:ind w:left="171" w:firstLine="77" w:firstLineChars="35"/>
              <w:rPr>
                <w:rFonts w:ascii="Arial" w:hAnsi="Arial" w:eastAsia="Times New Roman" w:cs="Arial"/>
                <w:sz w:val="20"/>
                <w:szCs w:val="20"/>
              </w:rPr>
            </w:pPr>
            <w:r w:rsidRPr="00C32842">
              <w:t>i. Abschnitt 9.f – Teilindikator Handelsvolumen, Aktieninstrumente und sonstige Wertpapiere</w:t>
            </w:r>
          </w:p>
        </w:tc>
        <w:tc>
          <w:tcPr>
            <w:tcW w:w="2745" w:type="dxa"/>
            <w:tcBorders>
              <w:left w:val="nil"/>
              <w:right w:val="nil"/>
            </w:tcBorders>
            <w:noWrap/>
          </w:tcPr>
          <w:p w:rsidRPr="00C32842" w:rsidR="0018120C" w:rsidP="00E13391" w:rsidRDefault="0018120C" w14:paraId="6463F5FA" w14:textId="77777777">
            <w:pPr>
              <w:jc w:val="right"/>
              <w:rPr>
                <w:rFonts w:ascii="Arial" w:hAnsi="Arial" w:eastAsia="Times New Roman" w:cs="Arial"/>
                <w:sz w:val="20"/>
                <w:szCs w:val="20"/>
                <w:lang w:eastAsia="en-GB"/>
              </w:rPr>
            </w:pPr>
          </w:p>
        </w:tc>
      </w:tr>
      <w:tr w:rsidRPr="00C32842" w:rsidR="0018120C" w:rsidTr="00E13391" w14:paraId="726D337E" w14:textId="77777777">
        <w:trPr>
          <w:trHeight w:val="300"/>
        </w:trPr>
        <w:tc>
          <w:tcPr>
            <w:tcW w:w="6804" w:type="dxa"/>
            <w:tcBorders>
              <w:left w:val="nil"/>
              <w:bottom w:val="single" w:color="auto" w:sz="4" w:space="0"/>
              <w:right w:val="nil"/>
            </w:tcBorders>
            <w:noWrap/>
          </w:tcPr>
          <w:p w:rsidRPr="00C32842" w:rsidR="0018120C" w:rsidP="00E13391" w:rsidRDefault="0018120C" w14:paraId="62835A32" w14:textId="77777777">
            <w:pPr>
              <w:ind w:left="171" w:firstLine="77" w:firstLineChars="35"/>
              <w:rPr>
                <w:rFonts w:ascii="Arial" w:hAnsi="Arial" w:eastAsia="Times New Roman" w:cs="Arial"/>
                <w:sz w:val="20"/>
                <w:szCs w:val="20"/>
              </w:rPr>
            </w:pPr>
            <w:r w:rsidRPr="00C32842">
              <w:t>j. Abschnitt 10 – Indikator für außerbörslich gehandelte (OTC-)Derivate, einschließlich Versicherungstochtergesellschaften</w:t>
            </w:r>
          </w:p>
        </w:tc>
        <w:tc>
          <w:tcPr>
            <w:tcW w:w="2745" w:type="dxa"/>
            <w:tcBorders>
              <w:left w:val="nil"/>
              <w:right w:val="nil"/>
            </w:tcBorders>
            <w:noWrap/>
          </w:tcPr>
          <w:p w:rsidRPr="00C32842" w:rsidR="0018120C" w:rsidP="00E13391" w:rsidRDefault="0018120C" w14:paraId="64282054" w14:textId="77777777">
            <w:pPr>
              <w:jc w:val="right"/>
              <w:rPr>
                <w:rFonts w:ascii="Arial" w:hAnsi="Arial" w:eastAsia="Times New Roman" w:cs="Arial"/>
                <w:sz w:val="20"/>
                <w:szCs w:val="20"/>
                <w:lang w:eastAsia="en-GB"/>
              </w:rPr>
            </w:pPr>
          </w:p>
        </w:tc>
      </w:tr>
      <w:tr w:rsidRPr="00C32842" w:rsidR="0018120C" w:rsidTr="00E13391" w14:paraId="10E87459" w14:textId="77777777">
        <w:trPr>
          <w:trHeight w:val="300"/>
        </w:trPr>
        <w:tc>
          <w:tcPr>
            <w:tcW w:w="6804" w:type="dxa"/>
            <w:tcBorders>
              <w:left w:val="nil"/>
              <w:bottom w:val="single" w:color="auto" w:sz="4" w:space="0"/>
              <w:right w:val="nil"/>
            </w:tcBorders>
            <w:noWrap/>
          </w:tcPr>
          <w:p w:rsidRPr="00C32842" w:rsidR="0018120C" w:rsidP="00E13391" w:rsidRDefault="0018120C" w14:paraId="625D6813" w14:textId="77777777">
            <w:pPr>
              <w:ind w:firstLine="220" w:firstLineChars="100"/>
              <w:rPr>
                <w:rFonts w:ascii="Arial" w:hAnsi="Arial" w:eastAsia="Times New Roman" w:cs="Arial"/>
                <w:sz w:val="20"/>
                <w:szCs w:val="20"/>
              </w:rPr>
            </w:pPr>
            <w:r w:rsidRPr="00C32842">
              <w:t>k. Abschnitt 11 – Indikator für Wertpapiere des Handelsbestands und (AFS-)Wertpapiere</w:t>
            </w:r>
          </w:p>
        </w:tc>
        <w:tc>
          <w:tcPr>
            <w:tcW w:w="2745" w:type="dxa"/>
            <w:tcBorders>
              <w:left w:val="nil"/>
              <w:right w:val="nil"/>
            </w:tcBorders>
            <w:noWrap/>
          </w:tcPr>
          <w:p w:rsidRPr="00C32842" w:rsidR="0018120C" w:rsidP="00E13391" w:rsidRDefault="0018120C" w14:paraId="346E921F" w14:textId="77777777">
            <w:pPr>
              <w:jc w:val="right"/>
              <w:rPr>
                <w:rFonts w:ascii="Arial" w:hAnsi="Arial" w:eastAsia="Times New Roman" w:cs="Arial"/>
                <w:sz w:val="20"/>
                <w:szCs w:val="20"/>
                <w:lang w:eastAsia="en-GB"/>
              </w:rPr>
            </w:pPr>
          </w:p>
        </w:tc>
      </w:tr>
      <w:tr w:rsidRPr="00C32842" w:rsidR="0018120C" w:rsidTr="00E13391" w14:paraId="7CAF70F0" w14:textId="77777777">
        <w:trPr>
          <w:trHeight w:val="300"/>
        </w:trPr>
        <w:tc>
          <w:tcPr>
            <w:tcW w:w="6804" w:type="dxa"/>
            <w:tcBorders>
              <w:left w:val="nil"/>
              <w:bottom w:val="single" w:color="auto" w:sz="4" w:space="0"/>
              <w:right w:val="nil"/>
            </w:tcBorders>
            <w:noWrap/>
          </w:tcPr>
          <w:p w:rsidRPr="00C32842" w:rsidR="0018120C" w:rsidP="00E13391" w:rsidRDefault="0018120C" w14:paraId="40C43FF1" w14:textId="77777777">
            <w:pPr>
              <w:ind w:firstLine="220" w:firstLineChars="100"/>
              <w:rPr>
                <w:rFonts w:ascii="Arial" w:hAnsi="Arial" w:eastAsia="Times New Roman" w:cs="Arial"/>
                <w:sz w:val="20"/>
                <w:szCs w:val="20"/>
              </w:rPr>
            </w:pPr>
            <w:r w:rsidRPr="00C32842">
              <w:t>l. Abschnitt 12 – Indikator für Vermögenswerte der Stufe 3, einschließlich Versicherungstochtergesellschaften</w:t>
            </w:r>
          </w:p>
        </w:tc>
        <w:tc>
          <w:tcPr>
            <w:tcW w:w="2745" w:type="dxa"/>
            <w:tcBorders>
              <w:left w:val="nil"/>
              <w:right w:val="nil"/>
            </w:tcBorders>
            <w:noWrap/>
          </w:tcPr>
          <w:p w:rsidRPr="00C32842" w:rsidR="0018120C" w:rsidP="00E13391" w:rsidRDefault="0018120C" w14:paraId="43D5D093" w14:textId="77777777">
            <w:pPr>
              <w:jc w:val="right"/>
              <w:rPr>
                <w:rFonts w:ascii="Arial" w:hAnsi="Arial" w:eastAsia="Times New Roman" w:cs="Arial"/>
                <w:sz w:val="20"/>
                <w:szCs w:val="20"/>
                <w:lang w:eastAsia="en-GB"/>
              </w:rPr>
            </w:pPr>
          </w:p>
        </w:tc>
      </w:tr>
      <w:tr w:rsidRPr="00C32842" w:rsidR="0018120C" w:rsidTr="00E13391" w14:paraId="070160D2" w14:textId="77777777">
        <w:trPr>
          <w:trHeight w:val="300"/>
        </w:trPr>
        <w:tc>
          <w:tcPr>
            <w:tcW w:w="6804" w:type="dxa"/>
            <w:tcBorders>
              <w:left w:val="nil"/>
              <w:bottom w:val="single" w:color="auto" w:sz="4" w:space="0"/>
              <w:right w:val="nil"/>
            </w:tcBorders>
            <w:noWrap/>
          </w:tcPr>
          <w:p w:rsidRPr="00C32842" w:rsidR="0018120C" w:rsidP="00E13391" w:rsidRDefault="0018120C" w14:paraId="718CA9B6" w14:textId="77777777">
            <w:pPr>
              <w:ind w:firstLine="220" w:firstLineChars="100"/>
              <w:rPr>
                <w:rFonts w:ascii="Arial" w:hAnsi="Arial" w:eastAsia="Times New Roman" w:cs="Arial"/>
                <w:sz w:val="20"/>
                <w:szCs w:val="20"/>
              </w:rPr>
            </w:pPr>
            <w:r w:rsidRPr="00C32842">
              <w:t>m. Abschnitt 12 – Indikator für grenzüberschreitende Forderungen</w:t>
            </w:r>
          </w:p>
        </w:tc>
        <w:tc>
          <w:tcPr>
            <w:tcW w:w="2745" w:type="dxa"/>
            <w:tcBorders>
              <w:left w:val="nil"/>
              <w:right w:val="nil"/>
            </w:tcBorders>
            <w:noWrap/>
          </w:tcPr>
          <w:p w:rsidRPr="00C32842" w:rsidR="0018120C" w:rsidP="00E13391" w:rsidRDefault="0018120C" w14:paraId="3C579524" w14:textId="77777777">
            <w:pPr>
              <w:jc w:val="right"/>
              <w:rPr>
                <w:rFonts w:ascii="Arial" w:hAnsi="Arial" w:eastAsia="Times New Roman" w:cs="Arial"/>
                <w:sz w:val="20"/>
                <w:szCs w:val="20"/>
                <w:lang w:eastAsia="en-GB"/>
              </w:rPr>
            </w:pPr>
          </w:p>
        </w:tc>
      </w:tr>
      <w:tr w:rsidRPr="00C32842" w:rsidR="0018120C" w:rsidTr="00E13391" w14:paraId="466875A0" w14:textId="77777777">
        <w:trPr>
          <w:trHeight w:val="300"/>
        </w:trPr>
        <w:tc>
          <w:tcPr>
            <w:tcW w:w="6804" w:type="dxa"/>
            <w:tcBorders>
              <w:left w:val="nil"/>
              <w:bottom w:val="single" w:color="auto" w:sz="4" w:space="0"/>
              <w:right w:val="nil"/>
            </w:tcBorders>
            <w:noWrap/>
          </w:tcPr>
          <w:p w:rsidRPr="00C32842" w:rsidR="0018120C" w:rsidP="00E13391" w:rsidRDefault="0018120C" w14:paraId="5AEC0A7D" w14:textId="77777777">
            <w:pPr>
              <w:ind w:firstLine="220" w:firstLineChars="100"/>
              <w:rPr>
                <w:rFonts w:ascii="Arial" w:hAnsi="Arial" w:eastAsia="Times New Roman" w:cs="Arial"/>
                <w:sz w:val="20"/>
                <w:szCs w:val="20"/>
              </w:rPr>
            </w:pPr>
            <w:r w:rsidRPr="00C32842">
              <w:t>n. Abschnitt 13 – Indikator für grenzüberschreitende Verbindlichkeiten</w:t>
            </w:r>
          </w:p>
        </w:tc>
        <w:tc>
          <w:tcPr>
            <w:tcW w:w="2745" w:type="dxa"/>
            <w:tcBorders>
              <w:left w:val="nil"/>
              <w:right w:val="nil"/>
            </w:tcBorders>
            <w:noWrap/>
          </w:tcPr>
          <w:p w:rsidRPr="00C32842" w:rsidR="0018120C" w:rsidP="00E13391" w:rsidRDefault="0018120C" w14:paraId="2C5B5213" w14:textId="77777777">
            <w:pPr>
              <w:jc w:val="right"/>
              <w:rPr>
                <w:rFonts w:ascii="Arial" w:hAnsi="Arial" w:eastAsia="Times New Roman" w:cs="Arial"/>
                <w:sz w:val="20"/>
                <w:szCs w:val="20"/>
                <w:lang w:eastAsia="en-GB"/>
              </w:rPr>
            </w:pPr>
          </w:p>
        </w:tc>
      </w:tr>
      <w:tr w:rsidRPr="00C32842" w:rsidR="0018120C" w:rsidTr="00E13391" w14:paraId="56F4580C" w14:textId="77777777">
        <w:trPr>
          <w:trHeight w:val="300"/>
        </w:trPr>
        <w:tc>
          <w:tcPr>
            <w:tcW w:w="6804" w:type="dxa"/>
            <w:tcBorders>
              <w:left w:val="nil"/>
              <w:bottom w:val="single" w:color="auto" w:sz="4" w:space="0"/>
              <w:right w:val="nil"/>
            </w:tcBorders>
            <w:noWrap/>
          </w:tcPr>
          <w:p w:rsidRPr="00C32842" w:rsidR="0018120C" w:rsidP="00E13391" w:rsidRDefault="0018120C" w14:paraId="307542FC" w14:textId="77777777">
            <w:pPr>
              <w:ind w:firstLine="220" w:firstLineChars="100"/>
              <w:rPr>
                <w:rFonts w:ascii="Arial" w:hAnsi="Arial" w:eastAsia="Times New Roman" w:cs="Arial"/>
                <w:sz w:val="20"/>
                <w:szCs w:val="20"/>
              </w:rPr>
            </w:pPr>
            <w:r w:rsidRPr="00C32842">
              <w:t>o. Weitere Abschnitte</w:t>
            </w:r>
          </w:p>
        </w:tc>
        <w:tc>
          <w:tcPr>
            <w:tcW w:w="2745" w:type="dxa"/>
            <w:tcBorders>
              <w:left w:val="nil"/>
              <w:right w:val="nil"/>
            </w:tcBorders>
            <w:noWrap/>
          </w:tcPr>
          <w:p w:rsidRPr="00C32842" w:rsidR="0018120C" w:rsidP="00E13391" w:rsidRDefault="0018120C" w14:paraId="1D977871" w14:textId="77777777">
            <w:pPr>
              <w:jc w:val="right"/>
              <w:rPr>
                <w:rFonts w:ascii="Arial" w:hAnsi="Arial" w:eastAsia="Times New Roman" w:cs="Arial"/>
                <w:sz w:val="20"/>
                <w:szCs w:val="20"/>
                <w:lang w:eastAsia="en-GB"/>
              </w:rPr>
            </w:pPr>
          </w:p>
        </w:tc>
      </w:tr>
      <w:tr w:rsidRPr="00C32842" w:rsidR="0018120C" w:rsidTr="00E13391" w14:paraId="7B644833" w14:textId="77777777">
        <w:trPr>
          <w:trHeight w:val="300"/>
        </w:trPr>
        <w:tc>
          <w:tcPr>
            <w:tcW w:w="6804" w:type="dxa"/>
            <w:tcBorders>
              <w:left w:val="nil"/>
              <w:bottom w:val="single" w:color="auto" w:sz="4" w:space="0"/>
              <w:right w:val="nil"/>
            </w:tcBorders>
            <w:noWrap/>
          </w:tcPr>
          <w:p w:rsidRPr="00C32842" w:rsidR="0018120C" w:rsidP="00E13391" w:rsidRDefault="0018120C" w14:paraId="76E2ABC2" w14:textId="77777777">
            <w:pPr>
              <w:ind w:firstLine="220" w:firstLineChars="100"/>
              <w:rPr>
                <w:rFonts w:ascii="Arial" w:hAnsi="Arial" w:eastAsia="Times New Roman" w:cs="Arial"/>
                <w:sz w:val="20"/>
                <w:szCs w:val="20"/>
              </w:rPr>
            </w:pPr>
            <w:r w:rsidRPr="00C32842">
              <w:t>(1) Position 1.a – Allgemeine, von der Aufsichtsbehörde bereitgestellte Angaben</w:t>
            </w:r>
          </w:p>
        </w:tc>
        <w:tc>
          <w:tcPr>
            <w:tcW w:w="2745" w:type="dxa"/>
            <w:tcBorders>
              <w:left w:val="nil"/>
              <w:right w:val="nil"/>
            </w:tcBorders>
            <w:noWrap/>
          </w:tcPr>
          <w:p w:rsidRPr="00C32842" w:rsidR="0018120C" w:rsidP="00E13391" w:rsidRDefault="0018120C" w14:paraId="70E424CA" w14:textId="77777777">
            <w:pPr>
              <w:jc w:val="right"/>
              <w:rPr>
                <w:rFonts w:ascii="Arial" w:hAnsi="Arial" w:eastAsia="Times New Roman" w:cs="Arial"/>
                <w:sz w:val="20"/>
                <w:szCs w:val="20"/>
                <w:lang w:eastAsia="en-GB"/>
              </w:rPr>
            </w:pPr>
          </w:p>
        </w:tc>
      </w:tr>
      <w:tr w:rsidRPr="00C32842" w:rsidR="0018120C" w:rsidTr="00E13391" w14:paraId="74E2C63F" w14:textId="77777777">
        <w:trPr>
          <w:trHeight w:val="300"/>
        </w:trPr>
        <w:tc>
          <w:tcPr>
            <w:tcW w:w="6804" w:type="dxa"/>
            <w:tcBorders>
              <w:left w:val="nil"/>
              <w:bottom w:val="single" w:color="auto" w:sz="4" w:space="0"/>
              <w:right w:val="nil"/>
            </w:tcBorders>
            <w:noWrap/>
          </w:tcPr>
          <w:p w:rsidRPr="00C32842" w:rsidR="0018120C" w:rsidP="00E13391" w:rsidRDefault="0018120C" w14:paraId="5132BF3E" w14:textId="77777777">
            <w:pPr>
              <w:ind w:firstLine="220" w:firstLineChars="100"/>
              <w:rPr>
                <w:rFonts w:ascii="Arial" w:hAnsi="Arial" w:eastAsia="Times New Roman" w:cs="Arial"/>
                <w:sz w:val="20"/>
                <w:szCs w:val="20"/>
              </w:rPr>
            </w:pPr>
            <w:r w:rsidRPr="00C32842">
              <w:t>(2) Position 1.b – Allgemeine, vom meldenden Institut bereitgestellte Angaben</w:t>
            </w:r>
          </w:p>
        </w:tc>
        <w:tc>
          <w:tcPr>
            <w:tcW w:w="2745" w:type="dxa"/>
            <w:tcBorders>
              <w:left w:val="nil"/>
              <w:right w:val="nil"/>
            </w:tcBorders>
            <w:noWrap/>
          </w:tcPr>
          <w:p w:rsidRPr="00C32842" w:rsidR="0018120C" w:rsidP="00E13391" w:rsidRDefault="0018120C" w14:paraId="22DF8AF6" w14:textId="77777777">
            <w:pPr>
              <w:jc w:val="right"/>
              <w:rPr>
                <w:rFonts w:ascii="Arial" w:hAnsi="Arial" w:eastAsia="Times New Roman" w:cs="Arial"/>
                <w:sz w:val="20"/>
                <w:szCs w:val="20"/>
                <w:lang w:eastAsia="en-GB"/>
              </w:rPr>
            </w:pPr>
          </w:p>
        </w:tc>
      </w:tr>
      <w:tr w:rsidRPr="00C32842" w:rsidR="0018120C" w:rsidTr="00E13391" w14:paraId="18937E35" w14:textId="77777777">
        <w:trPr>
          <w:trHeight w:val="300"/>
        </w:trPr>
        <w:tc>
          <w:tcPr>
            <w:tcW w:w="6804" w:type="dxa"/>
            <w:tcBorders>
              <w:left w:val="nil"/>
              <w:bottom w:val="single" w:color="auto" w:sz="4" w:space="0"/>
              <w:right w:val="nil"/>
            </w:tcBorders>
            <w:noWrap/>
          </w:tcPr>
          <w:p w:rsidRPr="00C32842" w:rsidR="0018120C" w:rsidP="00E13391" w:rsidRDefault="0018120C" w14:paraId="3ADC58A5" w14:textId="77777777">
            <w:pPr>
              <w:ind w:firstLine="220" w:firstLineChars="100"/>
              <w:rPr>
                <w:rFonts w:ascii="Arial" w:hAnsi="Arial" w:eastAsia="Times New Roman" w:cs="Arial"/>
                <w:sz w:val="20"/>
                <w:szCs w:val="20"/>
              </w:rPr>
            </w:pPr>
            <w:r w:rsidRPr="00C32842">
              <w:t>(3) Abschnitt 15 – Hilfsindikatoren</w:t>
            </w:r>
          </w:p>
        </w:tc>
        <w:tc>
          <w:tcPr>
            <w:tcW w:w="2745" w:type="dxa"/>
            <w:tcBorders>
              <w:left w:val="nil"/>
              <w:right w:val="nil"/>
            </w:tcBorders>
            <w:noWrap/>
          </w:tcPr>
          <w:p w:rsidRPr="00C32842" w:rsidR="0018120C" w:rsidP="00E13391" w:rsidRDefault="0018120C" w14:paraId="3241923A" w14:textId="77777777">
            <w:pPr>
              <w:jc w:val="right"/>
              <w:rPr>
                <w:rFonts w:ascii="Arial" w:hAnsi="Arial" w:eastAsia="Times New Roman" w:cs="Arial"/>
                <w:sz w:val="20"/>
                <w:szCs w:val="20"/>
                <w:lang w:eastAsia="en-GB"/>
              </w:rPr>
            </w:pPr>
          </w:p>
        </w:tc>
      </w:tr>
      <w:tr w:rsidRPr="00C32842" w:rsidR="0018120C" w:rsidTr="00E13391" w14:paraId="5E1D3EDC" w14:textId="77777777">
        <w:trPr>
          <w:trHeight w:val="300"/>
        </w:trPr>
        <w:tc>
          <w:tcPr>
            <w:tcW w:w="6804" w:type="dxa"/>
            <w:tcBorders>
              <w:left w:val="nil"/>
              <w:bottom w:val="single" w:color="auto" w:sz="4" w:space="0"/>
              <w:right w:val="nil"/>
            </w:tcBorders>
            <w:noWrap/>
          </w:tcPr>
          <w:p w:rsidRPr="00C32842" w:rsidR="0018120C" w:rsidP="00E13391" w:rsidRDefault="0018120C" w14:paraId="6D5D8780" w14:textId="77777777">
            <w:pPr>
              <w:ind w:firstLine="220" w:firstLineChars="100"/>
              <w:rPr>
                <w:rFonts w:ascii="Arial" w:hAnsi="Arial" w:eastAsia="Times New Roman" w:cs="Arial"/>
                <w:sz w:val="20"/>
                <w:szCs w:val="20"/>
              </w:rPr>
            </w:pPr>
            <w:r w:rsidRPr="00C32842">
              <w:t>(4) Abschnitt 16 – Hilfspositionen</w:t>
            </w:r>
          </w:p>
        </w:tc>
        <w:tc>
          <w:tcPr>
            <w:tcW w:w="2745" w:type="dxa"/>
            <w:tcBorders>
              <w:left w:val="nil"/>
              <w:right w:val="nil"/>
            </w:tcBorders>
            <w:noWrap/>
          </w:tcPr>
          <w:p w:rsidRPr="00C32842" w:rsidR="0018120C" w:rsidP="00E13391" w:rsidRDefault="0018120C" w14:paraId="382427F2" w14:textId="77777777">
            <w:pPr>
              <w:jc w:val="right"/>
              <w:rPr>
                <w:rFonts w:ascii="Arial" w:hAnsi="Arial" w:eastAsia="Times New Roman" w:cs="Arial"/>
                <w:sz w:val="20"/>
                <w:szCs w:val="20"/>
                <w:lang w:eastAsia="en-GB"/>
              </w:rPr>
            </w:pPr>
          </w:p>
        </w:tc>
      </w:tr>
      <w:tr w:rsidRPr="00C32842" w:rsidR="0018120C" w:rsidTr="00E13391" w14:paraId="5D50149A" w14:textId="77777777">
        <w:trPr>
          <w:trHeight w:val="300"/>
        </w:trPr>
        <w:tc>
          <w:tcPr>
            <w:tcW w:w="6804" w:type="dxa"/>
            <w:tcBorders>
              <w:left w:val="nil"/>
              <w:bottom w:val="single" w:color="auto" w:sz="4" w:space="0"/>
              <w:right w:val="nil"/>
            </w:tcBorders>
            <w:noWrap/>
          </w:tcPr>
          <w:p w:rsidRPr="00C32842" w:rsidR="0018120C" w:rsidP="00E13391" w:rsidRDefault="0018120C" w14:paraId="230176DC" w14:textId="77777777">
            <w:pPr>
              <w:ind w:firstLine="220" w:firstLineChars="100"/>
              <w:rPr>
                <w:rFonts w:ascii="Arial" w:hAnsi="Arial" w:eastAsia="Times New Roman" w:cs="Arial"/>
                <w:sz w:val="20"/>
                <w:szCs w:val="20"/>
              </w:rPr>
            </w:pPr>
            <w:r w:rsidRPr="00C32842">
              <w:t>(5) Abschnitt 17 – Positionen zur Größe</w:t>
            </w:r>
          </w:p>
        </w:tc>
        <w:tc>
          <w:tcPr>
            <w:tcW w:w="2745" w:type="dxa"/>
            <w:tcBorders>
              <w:left w:val="nil"/>
              <w:right w:val="nil"/>
            </w:tcBorders>
            <w:noWrap/>
          </w:tcPr>
          <w:p w:rsidRPr="00C32842" w:rsidR="0018120C" w:rsidP="00E13391" w:rsidRDefault="0018120C" w14:paraId="0A398FD8" w14:textId="77777777">
            <w:pPr>
              <w:jc w:val="right"/>
              <w:rPr>
                <w:rFonts w:ascii="Arial" w:hAnsi="Arial" w:eastAsia="Times New Roman" w:cs="Arial"/>
                <w:sz w:val="20"/>
                <w:szCs w:val="20"/>
                <w:lang w:eastAsia="en-GB"/>
              </w:rPr>
            </w:pPr>
          </w:p>
        </w:tc>
      </w:tr>
      <w:tr w:rsidRPr="00C32842" w:rsidR="0018120C" w:rsidTr="00E13391" w14:paraId="495DDEB4" w14:textId="77777777">
        <w:trPr>
          <w:trHeight w:val="300"/>
        </w:trPr>
        <w:tc>
          <w:tcPr>
            <w:tcW w:w="6804" w:type="dxa"/>
            <w:tcBorders>
              <w:left w:val="nil"/>
              <w:bottom w:val="single" w:color="auto" w:sz="4" w:space="0"/>
              <w:right w:val="nil"/>
            </w:tcBorders>
            <w:noWrap/>
          </w:tcPr>
          <w:p w:rsidRPr="00C32842" w:rsidR="0018120C" w:rsidP="00E13391" w:rsidRDefault="0018120C" w14:paraId="64334E8E" w14:textId="77777777">
            <w:pPr>
              <w:ind w:firstLine="220" w:firstLineChars="100"/>
              <w:rPr>
                <w:rFonts w:ascii="Arial" w:hAnsi="Arial" w:eastAsia="Times New Roman" w:cs="Arial"/>
                <w:sz w:val="20"/>
                <w:szCs w:val="20"/>
              </w:rPr>
            </w:pPr>
            <w:r w:rsidRPr="00C32842">
              <w:t>(6) Abschnitt 18 – Positionen zu Verflechtungen</w:t>
            </w:r>
          </w:p>
        </w:tc>
        <w:tc>
          <w:tcPr>
            <w:tcW w:w="2745" w:type="dxa"/>
            <w:tcBorders>
              <w:left w:val="nil"/>
              <w:right w:val="nil"/>
            </w:tcBorders>
            <w:noWrap/>
          </w:tcPr>
          <w:p w:rsidRPr="00C32842" w:rsidR="0018120C" w:rsidP="00E13391" w:rsidRDefault="0018120C" w14:paraId="1F598C08" w14:textId="77777777">
            <w:pPr>
              <w:jc w:val="right"/>
              <w:rPr>
                <w:rFonts w:ascii="Arial" w:hAnsi="Arial" w:eastAsia="Times New Roman" w:cs="Arial"/>
                <w:sz w:val="20"/>
                <w:szCs w:val="20"/>
                <w:lang w:eastAsia="en-GB"/>
              </w:rPr>
            </w:pPr>
          </w:p>
        </w:tc>
      </w:tr>
      <w:tr w:rsidRPr="00C32842" w:rsidR="0018120C" w:rsidTr="00E13391" w14:paraId="32530429" w14:textId="77777777">
        <w:trPr>
          <w:trHeight w:val="300"/>
        </w:trPr>
        <w:tc>
          <w:tcPr>
            <w:tcW w:w="6804" w:type="dxa"/>
            <w:tcBorders>
              <w:left w:val="nil"/>
              <w:bottom w:val="single" w:color="auto" w:sz="4" w:space="0"/>
              <w:right w:val="nil"/>
            </w:tcBorders>
            <w:noWrap/>
          </w:tcPr>
          <w:p w:rsidRPr="00C32842" w:rsidR="0018120C" w:rsidP="00E13391" w:rsidRDefault="0018120C" w14:paraId="31358A64" w14:textId="77777777">
            <w:pPr>
              <w:ind w:firstLine="220" w:firstLineChars="100"/>
              <w:rPr>
                <w:rFonts w:ascii="Arial" w:hAnsi="Arial" w:eastAsia="Times New Roman" w:cs="Arial"/>
                <w:sz w:val="20"/>
                <w:szCs w:val="20"/>
              </w:rPr>
            </w:pPr>
            <w:r w:rsidRPr="00C32842">
              <w:t>(7) Abschnitt 19 – Positionen zur Ersetzbarkeit/Finanzinfrastruktur  </w:t>
            </w:r>
          </w:p>
        </w:tc>
        <w:tc>
          <w:tcPr>
            <w:tcW w:w="2745" w:type="dxa"/>
            <w:tcBorders>
              <w:left w:val="nil"/>
              <w:right w:val="nil"/>
            </w:tcBorders>
            <w:noWrap/>
          </w:tcPr>
          <w:p w:rsidRPr="00C32842" w:rsidR="0018120C" w:rsidP="00E13391" w:rsidRDefault="0018120C" w14:paraId="6E0AE07D" w14:textId="77777777">
            <w:pPr>
              <w:jc w:val="right"/>
              <w:rPr>
                <w:rFonts w:ascii="Arial" w:hAnsi="Arial" w:eastAsia="Times New Roman" w:cs="Arial"/>
                <w:sz w:val="20"/>
                <w:szCs w:val="20"/>
                <w:lang w:eastAsia="en-GB"/>
              </w:rPr>
            </w:pPr>
          </w:p>
        </w:tc>
      </w:tr>
      <w:tr w:rsidRPr="00C32842" w:rsidR="0018120C" w:rsidTr="00E13391" w14:paraId="320531FC" w14:textId="77777777">
        <w:trPr>
          <w:trHeight w:val="300"/>
        </w:trPr>
        <w:tc>
          <w:tcPr>
            <w:tcW w:w="6804" w:type="dxa"/>
            <w:tcBorders>
              <w:left w:val="nil"/>
              <w:bottom w:val="single" w:color="auto" w:sz="4" w:space="0"/>
              <w:right w:val="nil"/>
            </w:tcBorders>
            <w:noWrap/>
          </w:tcPr>
          <w:p w:rsidRPr="00C32842" w:rsidR="0018120C" w:rsidP="00E13391" w:rsidRDefault="0018120C" w14:paraId="35D37056" w14:textId="77777777">
            <w:pPr>
              <w:ind w:firstLine="220" w:firstLineChars="100"/>
              <w:rPr>
                <w:rFonts w:ascii="Arial" w:hAnsi="Arial" w:eastAsia="Times New Roman" w:cs="Arial"/>
                <w:sz w:val="20"/>
                <w:szCs w:val="20"/>
              </w:rPr>
            </w:pPr>
            <w:r w:rsidRPr="00C32842">
              <w:t>(8) Abschnitt 20 – Positionen zur Komplexität</w:t>
            </w:r>
          </w:p>
        </w:tc>
        <w:tc>
          <w:tcPr>
            <w:tcW w:w="2745" w:type="dxa"/>
            <w:tcBorders>
              <w:left w:val="nil"/>
              <w:right w:val="nil"/>
            </w:tcBorders>
            <w:noWrap/>
          </w:tcPr>
          <w:p w:rsidRPr="00C32842" w:rsidR="0018120C" w:rsidP="00E13391" w:rsidRDefault="0018120C" w14:paraId="0B896C1C" w14:textId="77777777">
            <w:pPr>
              <w:jc w:val="right"/>
              <w:rPr>
                <w:rFonts w:ascii="Arial" w:hAnsi="Arial" w:eastAsia="Times New Roman" w:cs="Arial"/>
                <w:sz w:val="20"/>
                <w:szCs w:val="20"/>
                <w:lang w:eastAsia="en-GB"/>
              </w:rPr>
            </w:pPr>
          </w:p>
        </w:tc>
      </w:tr>
      <w:tr w:rsidRPr="00C32842" w:rsidR="0018120C" w:rsidTr="00E13391" w14:paraId="255EE00C" w14:textId="77777777">
        <w:trPr>
          <w:trHeight w:val="300"/>
        </w:trPr>
        <w:tc>
          <w:tcPr>
            <w:tcW w:w="6804" w:type="dxa"/>
            <w:tcBorders>
              <w:left w:val="nil"/>
              <w:bottom w:val="single" w:color="auto" w:sz="4" w:space="0"/>
              <w:right w:val="nil"/>
            </w:tcBorders>
            <w:noWrap/>
          </w:tcPr>
          <w:p w:rsidRPr="00C32842" w:rsidR="0018120C" w:rsidP="00E13391" w:rsidRDefault="0018120C" w14:paraId="0C5B52C9" w14:textId="77777777">
            <w:pPr>
              <w:ind w:firstLine="220" w:firstLineChars="100"/>
              <w:rPr>
                <w:rFonts w:ascii="Arial" w:hAnsi="Arial" w:eastAsia="Times New Roman" w:cs="Arial"/>
                <w:sz w:val="20"/>
                <w:szCs w:val="20"/>
              </w:rPr>
            </w:pPr>
            <w:r w:rsidRPr="00C32842">
              <w:t>(9) Abschnitt 21 – Positionen zu grenzüberschreitenden Geschäften</w:t>
            </w:r>
          </w:p>
        </w:tc>
        <w:tc>
          <w:tcPr>
            <w:tcW w:w="2745" w:type="dxa"/>
            <w:tcBorders>
              <w:left w:val="nil"/>
              <w:right w:val="nil"/>
            </w:tcBorders>
            <w:noWrap/>
          </w:tcPr>
          <w:p w:rsidRPr="00C32842" w:rsidR="0018120C" w:rsidP="00E13391" w:rsidRDefault="0018120C" w14:paraId="2683B260" w14:textId="77777777">
            <w:pPr>
              <w:jc w:val="right"/>
              <w:rPr>
                <w:rFonts w:ascii="Arial" w:hAnsi="Arial" w:eastAsia="Times New Roman" w:cs="Arial"/>
                <w:sz w:val="20"/>
                <w:szCs w:val="20"/>
                <w:lang w:eastAsia="en-GB"/>
              </w:rPr>
            </w:pPr>
          </w:p>
        </w:tc>
      </w:tr>
      <w:tr w:rsidRPr="00C32842" w:rsidR="0018120C" w:rsidTr="00E13391" w14:paraId="4C93D321" w14:textId="77777777">
        <w:trPr>
          <w:trHeight w:val="300"/>
        </w:trPr>
        <w:tc>
          <w:tcPr>
            <w:tcW w:w="6804" w:type="dxa"/>
            <w:tcBorders>
              <w:left w:val="nil"/>
              <w:bottom w:val="single" w:color="auto" w:sz="4" w:space="0"/>
              <w:right w:val="nil"/>
            </w:tcBorders>
            <w:noWrap/>
          </w:tcPr>
          <w:p w:rsidRPr="00C32842" w:rsidR="0018120C" w:rsidP="00E13391" w:rsidRDefault="0018120C" w14:paraId="43C5F7AA" w14:textId="77777777">
            <w:pPr>
              <w:ind w:firstLine="220" w:firstLineChars="100"/>
              <w:rPr>
                <w:rFonts w:ascii="Arial" w:hAnsi="Arial" w:eastAsia="Times New Roman" w:cs="Arial"/>
                <w:sz w:val="20"/>
                <w:szCs w:val="20"/>
              </w:rPr>
            </w:pPr>
            <w:r w:rsidRPr="00C32842">
              <w:t>(10) Abschnitt 22 – Hilfsindikatoren</w:t>
            </w:r>
          </w:p>
        </w:tc>
        <w:tc>
          <w:tcPr>
            <w:tcW w:w="2745" w:type="dxa"/>
            <w:tcBorders>
              <w:left w:val="nil"/>
              <w:right w:val="nil"/>
            </w:tcBorders>
            <w:noWrap/>
          </w:tcPr>
          <w:p w:rsidRPr="00C32842" w:rsidR="0018120C" w:rsidP="00E13391" w:rsidRDefault="0018120C" w14:paraId="1CBAFD4A" w14:textId="77777777">
            <w:pPr>
              <w:jc w:val="right"/>
              <w:rPr>
                <w:rFonts w:ascii="Arial" w:hAnsi="Arial" w:eastAsia="Times New Roman" w:cs="Arial"/>
                <w:sz w:val="20"/>
                <w:szCs w:val="20"/>
                <w:lang w:eastAsia="en-GB"/>
              </w:rPr>
            </w:pPr>
          </w:p>
        </w:tc>
      </w:tr>
      <w:tr w:rsidRPr="00C32842" w:rsidR="0018120C" w:rsidTr="00E13391" w14:paraId="5468725E" w14:textId="77777777">
        <w:trPr>
          <w:trHeight w:val="300"/>
        </w:trPr>
        <w:tc>
          <w:tcPr>
            <w:tcW w:w="6804" w:type="dxa"/>
            <w:tcBorders>
              <w:left w:val="nil"/>
              <w:bottom w:val="single" w:color="auto" w:sz="4" w:space="0"/>
              <w:right w:val="nil"/>
            </w:tcBorders>
            <w:noWrap/>
          </w:tcPr>
          <w:p w:rsidRPr="00C32842" w:rsidR="0018120C" w:rsidP="00E13391" w:rsidRDefault="0018120C" w14:paraId="5E176B42" w14:textId="77777777">
            <w:pPr>
              <w:rPr>
                <w:b/>
                <w:bCs/>
              </w:rPr>
            </w:pPr>
          </w:p>
        </w:tc>
        <w:tc>
          <w:tcPr>
            <w:tcW w:w="2745" w:type="dxa"/>
            <w:tcBorders>
              <w:left w:val="nil"/>
              <w:right w:val="nil"/>
            </w:tcBorders>
            <w:noWrap/>
          </w:tcPr>
          <w:p w:rsidRPr="00C32842" w:rsidR="0018120C" w:rsidP="00E13391" w:rsidRDefault="0018120C" w14:paraId="437AADC0" w14:textId="77777777">
            <w:pPr>
              <w:jc w:val="center"/>
              <w:rPr>
                <w:b/>
                <w:bCs/>
              </w:rPr>
            </w:pPr>
          </w:p>
        </w:tc>
      </w:tr>
      <w:tr w:rsidRPr="00C32842" w:rsidR="0018120C" w:rsidTr="00E13391" w14:paraId="01248DB9" w14:textId="77777777">
        <w:trPr>
          <w:trHeight w:val="300"/>
        </w:trPr>
        <w:tc>
          <w:tcPr>
            <w:tcW w:w="6804" w:type="dxa"/>
            <w:tcBorders>
              <w:left w:val="nil"/>
              <w:bottom w:val="single" w:color="auto" w:sz="4" w:space="0"/>
              <w:right w:val="nil"/>
            </w:tcBorders>
            <w:noWrap/>
          </w:tcPr>
          <w:p w:rsidRPr="00C32842" w:rsidR="0018120C" w:rsidP="00E13391" w:rsidRDefault="0018120C" w14:paraId="45F87543" w14:textId="77777777">
            <w:pPr>
              <w:rPr>
                <w:rFonts w:ascii="Arial" w:hAnsi="Arial" w:eastAsia="Times New Roman" w:cs="Arial"/>
                <w:sz w:val="20"/>
                <w:szCs w:val="20"/>
              </w:rPr>
            </w:pPr>
            <w:r w:rsidRPr="00C32842">
              <w:rPr>
                <w:b/>
              </w:rPr>
              <w:t>Abschnitt 24 – Indikatorwerte (alte Methodik)</w:t>
            </w:r>
          </w:p>
        </w:tc>
        <w:tc>
          <w:tcPr>
            <w:tcW w:w="2745" w:type="dxa"/>
            <w:tcBorders>
              <w:left w:val="nil"/>
              <w:right w:val="nil"/>
            </w:tcBorders>
            <w:noWrap/>
          </w:tcPr>
          <w:p w:rsidRPr="00C32842" w:rsidR="0018120C" w:rsidP="00E13391" w:rsidRDefault="0018120C" w14:paraId="67B76181" w14:textId="77777777">
            <w:pPr>
              <w:jc w:val="center"/>
              <w:rPr>
                <w:rFonts w:ascii="Arial" w:hAnsi="Arial" w:eastAsia="Times New Roman" w:cs="Arial"/>
                <w:sz w:val="20"/>
                <w:szCs w:val="20"/>
              </w:rPr>
            </w:pPr>
            <w:r w:rsidRPr="00C32842">
              <w:rPr>
                <w:b/>
              </w:rPr>
              <w:t>Indikatorwert in Meldewährung</w:t>
            </w:r>
          </w:p>
        </w:tc>
      </w:tr>
      <w:tr w:rsidRPr="00C32842" w:rsidR="0018120C" w:rsidTr="00E13391" w14:paraId="5EBA3DC9" w14:textId="77777777">
        <w:trPr>
          <w:trHeight w:val="300"/>
        </w:trPr>
        <w:tc>
          <w:tcPr>
            <w:tcW w:w="6804" w:type="dxa"/>
            <w:tcBorders>
              <w:left w:val="nil"/>
              <w:bottom w:val="single" w:color="auto" w:sz="4" w:space="0"/>
              <w:right w:val="nil"/>
            </w:tcBorders>
            <w:noWrap/>
          </w:tcPr>
          <w:p w:rsidRPr="00C32842" w:rsidR="0018120C" w:rsidP="00E13391" w:rsidRDefault="0018120C" w14:paraId="725DAF59" w14:textId="77777777">
            <w:pPr>
              <w:ind w:firstLine="220" w:firstLineChars="100"/>
              <w:rPr>
                <w:rFonts w:ascii="Arial" w:hAnsi="Arial" w:eastAsia="Times New Roman" w:cs="Arial"/>
                <w:sz w:val="20"/>
                <w:szCs w:val="20"/>
              </w:rPr>
            </w:pPr>
            <w:r w:rsidRPr="00C32842">
              <w:t>a. Abschnitt 2 – Indikator für die Gesamtrisikoposition</w:t>
            </w:r>
          </w:p>
        </w:tc>
        <w:tc>
          <w:tcPr>
            <w:tcW w:w="2745" w:type="dxa"/>
            <w:tcBorders>
              <w:left w:val="nil"/>
              <w:right w:val="nil"/>
            </w:tcBorders>
            <w:noWrap/>
          </w:tcPr>
          <w:p w:rsidRPr="00C32842" w:rsidR="0018120C" w:rsidP="00E13391" w:rsidRDefault="0018120C" w14:paraId="0F1CCB91" w14:textId="77777777">
            <w:pPr>
              <w:jc w:val="right"/>
              <w:rPr>
                <w:rFonts w:ascii="Arial" w:hAnsi="Arial" w:eastAsia="Times New Roman" w:cs="Arial"/>
                <w:sz w:val="20"/>
                <w:szCs w:val="20"/>
                <w:lang w:eastAsia="en-GB"/>
              </w:rPr>
            </w:pPr>
          </w:p>
        </w:tc>
      </w:tr>
      <w:tr w:rsidRPr="00C32842" w:rsidR="0018120C" w:rsidTr="00E13391" w14:paraId="0A692261" w14:textId="77777777">
        <w:trPr>
          <w:trHeight w:val="300"/>
        </w:trPr>
        <w:tc>
          <w:tcPr>
            <w:tcW w:w="6804" w:type="dxa"/>
            <w:tcBorders>
              <w:left w:val="nil"/>
              <w:bottom w:val="single" w:color="auto" w:sz="4" w:space="0"/>
              <w:right w:val="nil"/>
            </w:tcBorders>
            <w:noWrap/>
          </w:tcPr>
          <w:p w:rsidRPr="00C32842" w:rsidR="0018120C" w:rsidP="00E13391" w:rsidRDefault="0018120C" w14:paraId="29E12622" w14:textId="77777777">
            <w:pPr>
              <w:ind w:firstLine="220" w:firstLineChars="100"/>
              <w:rPr>
                <w:rFonts w:ascii="Arial" w:hAnsi="Arial" w:eastAsia="Times New Roman" w:cs="Arial"/>
                <w:sz w:val="20"/>
                <w:szCs w:val="20"/>
              </w:rPr>
            </w:pPr>
            <w:r w:rsidRPr="00C32842">
              <w:t>b. Abschnitt 18 – Indikator für Vermögenswerte innerhalb des Finanzsystems</w:t>
            </w:r>
          </w:p>
        </w:tc>
        <w:tc>
          <w:tcPr>
            <w:tcW w:w="2745" w:type="dxa"/>
            <w:tcBorders>
              <w:left w:val="nil"/>
              <w:right w:val="nil"/>
            </w:tcBorders>
            <w:noWrap/>
          </w:tcPr>
          <w:p w:rsidRPr="00C32842" w:rsidR="0018120C" w:rsidP="00E13391" w:rsidRDefault="0018120C" w14:paraId="3D809F39" w14:textId="77777777">
            <w:pPr>
              <w:jc w:val="right"/>
              <w:rPr>
                <w:rFonts w:ascii="Arial" w:hAnsi="Arial" w:eastAsia="Times New Roman" w:cs="Arial"/>
                <w:sz w:val="20"/>
                <w:szCs w:val="20"/>
                <w:lang w:eastAsia="en-GB"/>
              </w:rPr>
            </w:pPr>
          </w:p>
        </w:tc>
      </w:tr>
      <w:tr w:rsidRPr="00C32842" w:rsidR="0018120C" w:rsidTr="00E13391" w14:paraId="75F2C357" w14:textId="77777777">
        <w:trPr>
          <w:trHeight w:val="300"/>
        </w:trPr>
        <w:tc>
          <w:tcPr>
            <w:tcW w:w="6804" w:type="dxa"/>
            <w:tcBorders>
              <w:left w:val="nil"/>
              <w:bottom w:val="single" w:color="auto" w:sz="4" w:space="0"/>
              <w:right w:val="nil"/>
            </w:tcBorders>
            <w:noWrap/>
          </w:tcPr>
          <w:p w:rsidRPr="00C32842" w:rsidR="0018120C" w:rsidP="00E13391" w:rsidRDefault="0018120C" w14:paraId="7E58A074" w14:textId="77777777">
            <w:pPr>
              <w:ind w:firstLine="220" w:firstLineChars="100"/>
              <w:rPr>
                <w:rFonts w:ascii="Arial" w:hAnsi="Arial" w:eastAsia="Times New Roman" w:cs="Arial"/>
                <w:sz w:val="20"/>
                <w:szCs w:val="20"/>
              </w:rPr>
            </w:pPr>
            <w:r w:rsidRPr="00C32842">
              <w:t>c. Abschnitt 18 – Indikator für Verbindlichkeiten innerhalb des Finanzsystems</w:t>
            </w:r>
          </w:p>
        </w:tc>
        <w:tc>
          <w:tcPr>
            <w:tcW w:w="2745" w:type="dxa"/>
            <w:tcBorders>
              <w:left w:val="nil"/>
              <w:right w:val="nil"/>
            </w:tcBorders>
            <w:noWrap/>
          </w:tcPr>
          <w:p w:rsidRPr="00C32842" w:rsidR="0018120C" w:rsidP="00E13391" w:rsidRDefault="0018120C" w14:paraId="29106B57" w14:textId="77777777">
            <w:pPr>
              <w:jc w:val="right"/>
              <w:rPr>
                <w:rFonts w:ascii="Arial" w:hAnsi="Arial" w:eastAsia="Times New Roman" w:cs="Arial"/>
                <w:sz w:val="20"/>
                <w:szCs w:val="20"/>
                <w:lang w:eastAsia="en-GB"/>
              </w:rPr>
            </w:pPr>
          </w:p>
        </w:tc>
      </w:tr>
      <w:tr w:rsidRPr="00C32842" w:rsidR="0018120C" w:rsidTr="00E13391" w14:paraId="0F639A14" w14:textId="77777777">
        <w:trPr>
          <w:trHeight w:val="300"/>
        </w:trPr>
        <w:tc>
          <w:tcPr>
            <w:tcW w:w="6804" w:type="dxa"/>
            <w:tcBorders>
              <w:left w:val="nil"/>
              <w:bottom w:val="single" w:color="auto" w:sz="4" w:space="0"/>
              <w:right w:val="nil"/>
            </w:tcBorders>
            <w:noWrap/>
          </w:tcPr>
          <w:p w:rsidRPr="00C32842" w:rsidR="0018120C" w:rsidP="00E13391" w:rsidRDefault="0018120C" w14:paraId="7D3CDF88" w14:textId="77777777">
            <w:pPr>
              <w:ind w:firstLine="220" w:firstLineChars="100"/>
              <w:rPr>
                <w:rFonts w:ascii="Arial" w:hAnsi="Arial" w:eastAsia="Times New Roman" w:cs="Arial"/>
                <w:sz w:val="20"/>
                <w:szCs w:val="20"/>
              </w:rPr>
            </w:pPr>
            <w:r w:rsidRPr="00C32842">
              <w:lastRenderedPageBreak/>
              <w:t>d. Abschnitt 18 – Indikator für ausstehende Wertpapiere</w:t>
            </w:r>
          </w:p>
        </w:tc>
        <w:tc>
          <w:tcPr>
            <w:tcW w:w="2745" w:type="dxa"/>
            <w:tcBorders>
              <w:left w:val="nil"/>
              <w:right w:val="nil"/>
            </w:tcBorders>
            <w:noWrap/>
          </w:tcPr>
          <w:p w:rsidRPr="00C32842" w:rsidR="0018120C" w:rsidP="00E13391" w:rsidRDefault="0018120C" w14:paraId="23585939" w14:textId="77777777">
            <w:pPr>
              <w:jc w:val="right"/>
              <w:rPr>
                <w:rFonts w:ascii="Arial" w:hAnsi="Arial" w:eastAsia="Times New Roman" w:cs="Arial"/>
                <w:sz w:val="20"/>
                <w:szCs w:val="20"/>
                <w:lang w:eastAsia="en-GB"/>
              </w:rPr>
            </w:pPr>
          </w:p>
        </w:tc>
      </w:tr>
      <w:tr w:rsidRPr="00C32842" w:rsidR="0018120C" w:rsidTr="00E13391" w14:paraId="2145A640" w14:textId="77777777">
        <w:trPr>
          <w:trHeight w:val="300"/>
        </w:trPr>
        <w:tc>
          <w:tcPr>
            <w:tcW w:w="6804" w:type="dxa"/>
            <w:tcBorders>
              <w:left w:val="nil"/>
              <w:bottom w:val="single" w:color="auto" w:sz="4" w:space="0"/>
              <w:right w:val="nil"/>
            </w:tcBorders>
            <w:noWrap/>
          </w:tcPr>
          <w:p w:rsidRPr="00C32842" w:rsidR="0018120C" w:rsidP="00E13391" w:rsidRDefault="0018120C" w14:paraId="7B1AB7D8" w14:textId="77777777">
            <w:pPr>
              <w:ind w:firstLine="220" w:firstLineChars="100"/>
              <w:rPr>
                <w:rFonts w:ascii="Arial" w:hAnsi="Arial" w:eastAsia="Times New Roman" w:cs="Arial"/>
                <w:sz w:val="20"/>
                <w:szCs w:val="20"/>
              </w:rPr>
            </w:pPr>
            <w:r w:rsidRPr="00C32842">
              <w:t>e. Abschnitt 6 – Indikator für Zahlungsaktivität</w:t>
            </w:r>
          </w:p>
        </w:tc>
        <w:tc>
          <w:tcPr>
            <w:tcW w:w="2745" w:type="dxa"/>
            <w:tcBorders>
              <w:left w:val="nil"/>
              <w:right w:val="nil"/>
            </w:tcBorders>
            <w:noWrap/>
          </w:tcPr>
          <w:p w:rsidRPr="00C32842" w:rsidR="0018120C" w:rsidP="00E13391" w:rsidRDefault="0018120C" w14:paraId="4B0BDDB8" w14:textId="77777777">
            <w:pPr>
              <w:jc w:val="right"/>
              <w:rPr>
                <w:rFonts w:ascii="Arial" w:hAnsi="Arial" w:eastAsia="Times New Roman" w:cs="Arial"/>
                <w:sz w:val="20"/>
                <w:szCs w:val="20"/>
                <w:lang w:eastAsia="en-GB"/>
              </w:rPr>
            </w:pPr>
          </w:p>
        </w:tc>
      </w:tr>
      <w:tr w:rsidRPr="00C32842" w:rsidR="0018120C" w:rsidTr="00E13391" w14:paraId="3E4EF640" w14:textId="77777777">
        <w:trPr>
          <w:trHeight w:val="300"/>
        </w:trPr>
        <w:tc>
          <w:tcPr>
            <w:tcW w:w="6804" w:type="dxa"/>
            <w:tcBorders>
              <w:left w:val="nil"/>
              <w:bottom w:val="single" w:color="auto" w:sz="4" w:space="0"/>
              <w:right w:val="nil"/>
            </w:tcBorders>
            <w:noWrap/>
          </w:tcPr>
          <w:p w:rsidRPr="00C32842" w:rsidR="0018120C" w:rsidP="00E13391" w:rsidRDefault="0018120C" w14:paraId="0807A6E4" w14:textId="77777777">
            <w:pPr>
              <w:ind w:firstLine="220" w:firstLineChars="100"/>
              <w:rPr>
                <w:rFonts w:ascii="Arial" w:hAnsi="Arial" w:eastAsia="Times New Roman" w:cs="Arial"/>
                <w:sz w:val="20"/>
                <w:szCs w:val="20"/>
              </w:rPr>
            </w:pPr>
            <w:r w:rsidRPr="00C32842">
              <w:t>f. Abschnitt 7 – Indikator für Custody-Vermögen</w:t>
            </w:r>
          </w:p>
        </w:tc>
        <w:tc>
          <w:tcPr>
            <w:tcW w:w="2745" w:type="dxa"/>
            <w:tcBorders>
              <w:left w:val="nil"/>
              <w:right w:val="nil"/>
            </w:tcBorders>
            <w:noWrap/>
          </w:tcPr>
          <w:p w:rsidRPr="00C32842" w:rsidR="0018120C" w:rsidP="00E13391" w:rsidRDefault="0018120C" w14:paraId="289A30CD" w14:textId="77777777">
            <w:pPr>
              <w:jc w:val="right"/>
              <w:rPr>
                <w:rFonts w:ascii="Arial" w:hAnsi="Arial" w:eastAsia="Times New Roman" w:cs="Arial"/>
                <w:sz w:val="20"/>
                <w:szCs w:val="20"/>
                <w:lang w:eastAsia="en-GB"/>
              </w:rPr>
            </w:pPr>
          </w:p>
        </w:tc>
      </w:tr>
      <w:tr w:rsidRPr="00C32842" w:rsidR="0018120C" w:rsidTr="00E13391" w14:paraId="5C785684" w14:textId="77777777">
        <w:trPr>
          <w:trHeight w:val="300"/>
        </w:trPr>
        <w:tc>
          <w:tcPr>
            <w:tcW w:w="6804" w:type="dxa"/>
            <w:tcBorders>
              <w:left w:val="nil"/>
              <w:bottom w:val="single" w:color="auto" w:sz="4" w:space="0"/>
              <w:right w:val="nil"/>
            </w:tcBorders>
            <w:noWrap/>
          </w:tcPr>
          <w:p w:rsidRPr="00C32842" w:rsidR="0018120C" w:rsidP="00E13391" w:rsidRDefault="0018120C" w14:paraId="7649BD8E" w14:textId="77777777">
            <w:pPr>
              <w:ind w:firstLine="220" w:firstLineChars="100"/>
              <w:rPr>
                <w:rFonts w:ascii="Arial" w:hAnsi="Arial" w:eastAsia="Times New Roman" w:cs="Arial"/>
                <w:sz w:val="20"/>
                <w:szCs w:val="20"/>
              </w:rPr>
            </w:pPr>
            <w:r w:rsidRPr="00C32842">
              <w:t>g. Abschnitt 8 – Indikator für Emissionsgeschäfte</w:t>
            </w:r>
          </w:p>
        </w:tc>
        <w:tc>
          <w:tcPr>
            <w:tcW w:w="2745" w:type="dxa"/>
            <w:tcBorders>
              <w:left w:val="nil"/>
              <w:right w:val="nil"/>
            </w:tcBorders>
            <w:noWrap/>
          </w:tcPr>
          <w:p w:rsidRPr="00C32842" w:rsidR="0018120C" w:rsidP="00E13391" w:rsidRDefault="0018120C" w14:paraId="05F9D54B" w14:textId="77777777">
            <w:pPr>
              <w:jc w:val="right"/>
              <w:rPr>
                <w:rFonts w:ascii="Arial" w:hAnsi="Arial" w:eastAsia="Times New Roman" w:cs="Arial"/>
                <w:sz w:val="20"/>
                <w:szCs w:val="20"/>
                <w:lang w:eastAsia="en-GB"/>
              </w:rPr>
            </w:pPr>
          </w:p>
        </w:tc>
      </w:tr>
      <w:tr w:rsidRPr="00C32842" w:rsidR="0018120C" w:rsidTr="00E13391" w14:paraId="7EEE6930" w14:textId="77777777">
        <w:trPr>
          <w:trHeight w:val="300"/>
        </w:trPr>
        <w:tc>
          <w:tcPr>
            <w:tcW w:w="6804" w:type="dxa"/>
            <w:tcBorders>
              <w:left w:val="nil"/>
              <w:bottom w:val="single" w:color="auto" w:sz="4" w:space="0"/>
              <w:right w:val="nil"/>
            </w:tcBorders>
            <w:noWrap/>
          </w:tcPr>
          <w:p w:rsidRPr="00C32842" w:rsidR="0018120C" w:rsidP="00E13391" w:rsidRDefault="0018120C" w14:paraId="0F9BEF9B" w14:textId="77777777">
            <w:pPr>
              <w:ind w:firstLine="220" w:firstLineChars="100"/>
              <w:rPr>
                <w:rFonts w:ascii="Arial" w:hAnsi="Arial" w:eastAsia="Times New Roman" w:cs="Arial"/>
                <w:sz w:val="20"/>
                <w:szCs w:val="20"/>
              </w:rPr>
            </w:pPr>
            <w:r w:rsidRPr="00C32842">
              <w:t>h. Abschnitt 9 – Indikator für OTC-Derivative</w:t>
            </w:r>
          </w:p>
        </w:tc>
        <w:tc>
          <w:tcPr>
            <w:tcW w:w="2745" w:type="dxa"/>
            <w:tcBorders>
              <w:left w:val="nil"/>
              <w:right w:val="nil"/>
            </w:tcBorders>
            <w:noWrap/>
          </w:tcPr>
          <w:p w:rsidRPr="00C32842" w:rsidR="0018120C" w:rsidP="00E13391" w:rsidRDefault="0018120C" w14:paraId="6C43C521" w14:textId="77777777">
            <w:pPr>
              <w:jc w:val="right"/>
              <w:rPr>
                <w:rFonts w:ascii="Arial" w:hAnsi="Arial" w:eastAsia="Times New Roman" w:cs="Arial"/>
                <w:sz w:val="20"/>
                <w:szCs w:val="20"/>
                <w:lang w:eastAsia="en-GB"/>
              </w:rPr>
            </w:pPr>
          </w:p>
        </w:tc>
      </w:tr>
      <w:tr w:rsidRPr="00C32842" w:rsidR="0018120C" w:rsidTr="00E13391" w14:paraId="1C493D12" w14:textId="77777777">
        <w:trPr>
          <w:trHeight w:val="300"/>
        </w:trPr>
        <w:tc>
          <w:tcPr>
            <w:tcW w:w="6804" w:type="dxa"/>
            <w:tcBorders>
              <w:left w:val="nil"/>
              <w:bottom w:val="single" w:color="auto" w:sz="4" w:space="0"/>
              <w:right w:val="nil"/>
            </w:tcBorders>
            <w:noWrap/>
          </w:tcPr>
          <w:p w:rsidRPr="00C32842" w:rsidR="0018120C" w:rsidP="00E13391" w:rsidRDefault="0018120C" w14:paraId="1B464D5A" w14:textId="77777777">
            <w:pPr>
              <w:ind w:firstLine="220" w:firstLineChars="100"/>
              <w:rPr>
                <w:rFonts w:ascii="Arial" w:hAnsi="Arial" w:eastAsia="Times New Roman" w:cs="Arial"/>
                <w:sz w:val="20"/>
                <w:szCs w:val="20"/>
              </w:rPr>
            </w:pPr>
            <w:r w:rsidRPr="00C32842">
              <w:t>i. Abschnitt 11 – Indikator für Wertpapiere des Handelsbestands und (AFS-)Wertpapiere</w:t>
            </w:r>
          </w:p>
        </w:tc>
        <w:tc>
          <w:tcPr>
            <w:tcW w:w="2745" w:type="dxa"/>
            <w:tcBorders>
              <w:left w:val="nil"/>
              <w:right w:val="nil"/>
            </w:tcBorders>
            <w:noWrap/>
          </w:tcPr>
          <w:p w:rsidRPr="00C32842" w:rsidR="0018120C" w:rsidP="00E13391" w:rsidRDefault="0018120C" w14:paraId="7312335C" w14:textId="77777777">
            <w:pPr>
              <w:jc w:val="right"/>
              <w:rPr>
                <w:rFonts w:ascii="Arial" w:hAnsi="Arial" w:eastAsia="Times New Roman" w:cs="Arial"/>
                <w:sz w:val="20"/>
                <w:szCs w:val="20"/>
                <w:lang w:eastAsia="en-GB"/>
              </w:rPr>
            </w:pPr>
          </w:p>
        </w:tc>
      </w:tr>
      <w:tr w:rsidRPr="00C32842" w:rsidR="0018120C" w:rsidTr="00E13391" w14:paraId="1E37DD96" w14:textId="77777777">
        <w:trPr>
          <w:trHeight w:val="300"/>
        </w:trPr>
        <w:tc>
          <w:tcPr>
            <w:tcW w:w="6804" w:type="dxa"/>
            <w:tcBorders>
              <w:left w:val="nil"/>
              <w:bottom w:val="single" w:color="auto" w:sz="4" w:space="0"/>
              <w:right w:val="nil"/>
            </w:tcBorders>
            <w:noWrap/>
          </w:tcPr>
          <w:p w:rsidRPr="00C32842" w:rsidR="0018120C" w:rsidP="00E13391" w:rsidRDefault="0018120C" w14:paraId="40B89DB3" w14:textId="77777777">
            <w:pPr>
              <w:ind w:firstLine="220" w:firstLineChars="100"/>
              <w:rPr>
                <w:rFonts w:ascii="Arial" w:hAnsi="Arial" w:eastAsia="Times New Roman" w:cs="Arial"/>
                <w:sz w:val="20"/>
                <w:szCs w:val="20"/>
              </w:rPr>
            </w:pPr>
            <w:r w:rsidRPr="00C32842">
              <w:t>f. Abschnitt 20 – Indikator für Vermögenswerte der Stufe 3</w:t>
            </w:r>
          </w:p>
        </w:tc>
        <w:tc>
          <w:tcPr>
            <w:tcW w:w="2745" w:type="dxa"/>
            <w:tcBorders>
              <w:left w:val="nil"/>
              <w:right w:val="nil"/>
            </w:tcBorders>
            <w:noWrap/>
          </w:tcPr>
          <w:p w:rsidRPr="00C32842" w:rsidR="0018120C" w:rsidP="00E13391" w:rsidRDefault="0018120C" w14:paraId="0586C4C8" w14:textId="77777777">
            <w:pPr>
              <w:jc w:val="right"/>
              <w:rPr>
                <w:rFonts w:ascii="Arial" w:hAnsi="Arial" w:eastAsia="Times New Roman" w:cs="Arial"/>
                <w:sz w:val="20"/>
                <w:szCs w:val="20"/>
                <w:lang w:eastAsia="en-GB"/>
              </w:rPr>
            </w:pPr>
          </w:p>
        </w:tc>
      </w:tr>
      <w:tr w:rsidRPr="00C32842" w:rsidR="0018120C" w:rsidTr="00E13391" w14:paraId="7842855E" w14:textId="77777777">
        <w:trPr>
          <w:trHeight w:val="300"/>
        </w:trPr>
        <w:tc>
          <w:tcPr>
            <w:tcW w:w="6804" w:type="dxa"/>
            <w:tcBorders>
              <w:left w:val="nil"/>
              <w:bottom w:val="single" w:color="auto" w:sz="4" w:space="0"/>
              <w:right w:val="nil"/>
            </w:tcBorders>
            <w:noWrap/>
          </w:tcPr>
          <w:p w:rsidRPr="00C32842" w:rsidR="0018120C" w:rsidP="00E13391" w:rsidRDefault="0018120C" w14:paraId="603C8E6B" w14:textId="77777777">
            <w:pPr>
              <w:ind w:firstLine="220" w:firstLineChars="100"/>
              <w:rPr>
                <w:rFonts w:ascii="Arial" w:hAnsi="Arial" w:eastAsia="Times New Roman" w:cs="Arial"/>
                <w:sz w:val="20"/>
                <w:szCs w:val="20"/>
              </w:rPr>
            </w:pPr>
            <w:r w:rsidRPr="00C32842">
              <w:t>k. Abschnitt 13 – Indikator für grenzüberschreitende Verbindlichkeiten</w:t>
            </w:r>
          </w:p>
        </w:tc>
        <w:tc>
          <w:tcPr>
            <w:tcW w:w="2745" w:type="dxa"/>
            <w:tcBorders>
              <w:left w:val="nil"/>
              <w:right w:val="nil"/>
            </w:tcBorders>
            <w:noWrap/>
          </w:tcPr>
          <w:p w:rsidRPr="00C32842" w:rsidR="0018120C" w:rsidP="00E13391" w:rsidRDefault="0018120C" w14:paraId="0E30914A" w14:textId="77777777">
            <w:pPr>
              <w:jc w:val="right"/>
              <w:rPr>
                <w:rFonts w:ascii="Arial" w:hAnsi="Arial" w:eastAsia="Times New Roman" w:cs="Arial"/>
                <w:sz w:val="20"/>
                <w:szCs w:val="20"/>
                <w:lang w:eastAsia="en-GB"/>
              </w:rPr>
            </w:pPr>
          </w:p>
        </w:tc>
      </w:tr>
      <w:tr w:rsidRPr="00C32842" w:rsidR="0018120C" w:rsidTr="00E13391" w14:paraId="364EE630" w14:textId="77777777">
        <w:trPr>
          <w:trHeight w:val="300"/>
        </w:trPr>
        <w:tc>
          <w:tcPr>
            <w:tcW w:w="6804" w:type="dxa"/>
            <w:tcBorders>
              <w:left w:val="nil"/>
              <w:bottom w:val="single" w:color="auto" w:sz="4" w:space="0"/>
              <w:right w:val="nil"/>
            </w:tcBorders>
            <w:noWrap/>
          </w:tcPr>
          <w:p w:rsidRPr="00C32842" w:rsidR="0018120C" w:rsidP="00E13391" w:rsidRDefault="0018120C" w14:paraId="2B035DE9" w14:textId="77777777">
            <w:pPr>
              <w:ind w:firstLine="220" w:firstLineChars="100"/>
              <w:rPr>
                <w:rFonts w:ascii="Arial" w:hAnsi="Arial" w:eastAsia="Times New Roman" w:cs="Arial"/>
                <w:sz w:val="20"/>
                <w:szCs w:val="20"/>
              </w:rPr>
            </w:pPr>
            <w:r w:rsidRPr="00C32842">
              <w:t>l. Abschnitt 13 – Indikator für grenzüberschreitende Verbindlichkeiten</w:t>
            </w:r>
          </w:p>
        </w:tc>
        <w:tc>
          <w:tcPr>
            <w:tcW w:w="2745" w:type="dxa"/>
            <w:tcBorders>
              <w:left w:val="nil"/>
              <w:right w:val="nil"/>
            </w:tcBorders>
            <w:noWrap/>
          </w:tcPr>
          <w:p w:rsidRPr="00C32842" w:rsidR="0018120C" w:rsidP="00E13391" w:rsidRDefault="0018120C" w14:paraId="3B3689BD" w14:textId="77777777">
            <w:pPr>
              <w:jc w:val="right"/>
              <w:rPr>
                <w:rFonts w:ascii="Arial" w:hAnsi="Arial" w:eastAsia="Times New Roman" w:cs="Arial"/>
                <w:sz w:val="20"/>
                <w:szCs w:val="20"/>
                <w:lang w:eastAsia="en-GB"/>
              </w:rPr>
            </w:pPr>
          </w:p>
        </w:tc>
      </w:tr>
    </w:tbl>
    <w:p w:rsidRPr="008C4546" w:rsidR="00B43E07" w:rsidP="00AF2BCB" w:rsidRDefault="00B43E07" w14:paraId="2BAE8127" w14:textId="5FE21A2A">
      <w:pPr>
        <w:pStyle w:val="TableParagraph"/>
        <w:spacing w:before="11"/>
        <w:ind w:left="381"/>
      </w:pPr>
    </w:p>
    <w:bookmarkEnd w:id="9"/>
    <w:bookmarkEnd w:id="8"/>
    <w:bookmarkEnd w:id="7"/>
    <w:bookmarkEnd w:id="6"/>
    <w:bookmarkEnd w:id="5"/>
    <w:bookmarkEnd w:id="4"/>
    <w:bookmarkEnd w:id="3"/>
    <w:bookmarkEnd w:id="2"/>
    <w:bookmarkEnd w:id="1"/>
    <w:bookmarkEnd w:id="0"/>
    <w:p w:rsidRPr="008C4546" w:rsidR="00B43E07" w:rsidP="00F9329F" w:rsidRDefault="00B43E07" w14:paraId="609D9107" w14:textId="34CF2015">
      <w:pPr>
        <w:pStyle w:val="TableParagraph"/>
        <w:spacing w:before="11"/>
      </w:pPr>
    </w:p>
    <w:sectPr w:rsidRPr="008C4546" w:rsidR="00B43E07" w:rsidSect="0073023F">
      <w:pgSz w:w="11900" w:h="16840"/>
      <w:pgMar w:top="2268" w:right="1418" w:bottom="1134" w:left="1701" w:header="709" w:footer="39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3733A" w14:textId="77777777" w:rsidR="0055280A" w:rsidRDefault="0055280A" w:rsidP="00A00E34">
      <w:r>
        <w:separator/>
      </w:r>
    </w:p>
    <w:p w14:paraId="3A285CED" w14:textId="77777777" w:rsidR="0055280A" w:rsidRDefault="0055280A"/>
  </w:endnote>
  <w:endnote w:type="continuationSeparator" w:id="0">
    <w:p w14:paraId="403BAFBE" w14:textId="77777777" w:rsidR="0055280A" w:rsidRDefault="0055280A" w:rsidP="00A00E34">
      <w:r>
        <w:continuationSeparator/>
      </w:r>
    </w:p>
    <w:p w14:paraId="4CD1EAF5" w14:textId="77777777" w:rsidR="0055280A" w:rsidRDefault="005528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00DA" w:rsidP="0017667F" w:rsidRDefault="005D00DA" w14:paraId="142C28E2" w14:textId="77777777">
    <w:pPr>
      <w:pStyle w:val="Footer"/>
      <w:rPr>
        <w:rStyle w:val="PageNumber"/>
        <w:noProof/>
      </w:rPr>
    </w:pPr>
    <w:r>
      <w:rPr>
        <w:rStyle w:val="PageNumber"/>
      </w:rPr>
      <w:fldChar w:fldCharType="begin"/>
    </w:r>
    <w:r>
      <w:rPr>
        <w:rStyle w:val="PageNumber"/>
      </w:rPr>
      <w:instrText xml:space="preserve">PAGE  </w:instrText>
    </w:r>
    <w:r>
      <w:rPr>
        <w:rStyle w:val="PageNumber"/>
      </w:rPr>
      <w:fldChar w:fldCharType="end"/>
    </w:r>
  </w:p>
  <w:p w:rsidR="005D00DA" w:rsidP="00610305" w:rsidRDefault="005D00DA" w14:paraId="7D2916CD" w14:textId="77777777">
    <w:pPr>
      <w:pStyle w:val="Footer"/>
      <w:ind w:right="360"/>
      <w:rPr>
        <w:noProof/>
      </w:rPr>
    </w:pPr>
  </w:p>
</w:ftr>
</file>

<file path=word/footer2.xml><?xml version="1.0" encoding="utf-8"?>
<w:ftr xmlns:a="http://schemas.openxmlformats.org/drawingml/2006/main" xmlns:ma14="http://schemas.microsoft.com/office/mac/drawingml/2011/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023F" w:rsidRDefault="0073023F" w14:paraId="26EFEB93" w14:textId="6EE2AD36">
    <w:pPr>
      <w:pStyle w:val="Footer"/>
      <w:jc w:val="right"/>
    </w:pPr>
    <w:r w:rsidRPr="008C4546">
      <w:rPr>
        <w:noProof/>
        <w:lang w:val="en-GB" w:eastAsia="en-GB"/>
      </w:rPr>
      <mc:AlternateContent>
        <mc:Choice Requires="wps">
          <w:drawing>
            <wp:anchor distT="4294967295" distB="4294967295" distL="114300" distR="114300" simplePos="0" relativeHeight="251673088" behindDoc="1" locked="1" layoutInCell="1" allowOverlap="1" wp14:editId="6E69E040" wp14:anchorId="27852072">
              <wp:simplePos x="0" y="0"/>
              <wp:positionH relativeFrom="column">
                <wp:posOffset>-76200</wp:posOffset>
              </wp:positionH>
              <wp:positionV relativeFrom="page">
                <wp:posOffset>10015855</wp:posOffset>
              </wp:positionV>
              <wp:extent cx="572389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a="http://schemas.openxmlformats.org/drawingml/2006/main">
          <w:pict>
            <v:line id="Straight Connector 10" style="position:absolute;z-index:-251643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o:spid="_x0000_s1026" strokecolor="#2f5773 [3204]"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" from="-6pt,788.65pt" to="444.7pt,788.65pt" w14:anchorId="5719D0C5">
              <o:lock v:ext="edit" shapetype="f"/>
              <w10:wrap anchory="page"/>
              <w10:anchorlock/>
            </v:line>
          </w:pict>
        </mc:Fallback>
      </mc:AlternateContent>
    </w:r>
    <w:sdt>
      <w:sdtPr>
        <w:id w:val="209512363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24474">
          <w:rPr>
            <w:noProof/>
          </w:rPr>
          <w:t>6</w:t>
        </w:r>
        <w:r>
          <w:rPr>
            <w:noProof/>
          </w:rPr>
          <w:fldChar w:fldCharType="end"/>
        </w:r>
      </w:sdtContent>
    </w:sdt>
  </w:p>
  <w:p w:rsidRPr="008C4546" w:rsidR="005D00DA" w:rsidP="00610305" w:rsidRDefault="005D00DA" w14:paraId="6EEDA3DB" w14:textId="7D8308A7">
    <w:pPr>
      <w:pStyle w:val="Footer"/>
      <w:ind w:right="360"/>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6AF82" w14:textId="77777777" w:rsidR="0055280A" w:rsidRPr="00DB5E8F" w:rsidRDefault="0055280A">
      <w:pPr>
        <w:rPr>
          <w:sz w:val="12"/>
          <w:szCs w:val="12"/>
        </w:rPr>
      </w:pPr>
      <w:r w:rsidRPr="00DB5E8F">
        <w:rPr>
          <w:sz w:val="12"/>
          <w:szCs w:val="12"/>
        </w:rPr>
        <w:separator/>
      </w:r>
    </w:p>
  </w:footnote>
  <w:footnote w:type="continuationSeparator" w:id="0">
    <w:p w14:paraId="611AB243" w14:textId="77777777" w:rsidR="0055280A" w:rsidRDefault="0055280A" w:rsidP="00A00E34">
      <w:r>
        <w:continuationSeparator/>
      </w:r>
    </w:p>
    <w:p w14:paraId="583599B7" w14:textId="77777777" w:rsidR="0055280A" w:rsidRDefault="0055280A"/>
  </w:footnote>
  <w:footnote w:type="continuationNotice" w:id="1">
    <w:p w14:paraId="7286D826" w14:textId="77777777" w:rsidR="0055280A" w:rsidRDefault="0055280A"/>
  </w:footnote>
  <w:footnote w:id="2">
    <w:p w14:paraId="2B9C6101" w14:textId="2B4968B2" w:rsidR="005D00DA" w:rsidRPr="008C4546" w:rsidRDefault="005D00DA" w:rsidP="00C92B4B">
      <w:pPr>
        <w:pStyle w:val="FootnoteText"/>
        <w:rPr>
          <w:rFonts w:ascii="Calibri" w:hAnsi="Calibri" w:cs="Calibri"/>
        </w:rPr>
      </w:pPr>
      <w:r w:rsidRPr="008C4546">
        <w:rPr>
          <w:rStyle w:val="FootnoteReference"/>
          <w:rFonts w:ascii="Calibri" w:hAnsi="Calibri" w:cs="Calibri"/>
          <w:sz w:val="18"/>
        </w:rPr>
        <w:footnoteRef/>
      </w:r>
      <w:r w:rsidRPr="008C4546">
        <w:rPr>
          <w:rFonts w:ascii="Calibri" w:hAnsi="Calibri"/>
        </w:rPr>
        <w:t xml:space="preserve"> Verordnung (EU) Nr. 1093/2010 des Europäischen Parlaments und des Rates vom 24. November 2010 zur Errichtung einer Europäischen Aufsichtsbehörde (Europäische Bankenaufsichtsbehörde), zur Änderung des Beschlusses Nr. 716/2009/EG und zur Aufhebung des Beschlusses 2009/78/EG der Kommission (ABl. L 331 vom 15.12.2010, S. 12).</w:t>
      </w:r>
    </w:p>
  </w:footnote>
  <w:footnote w:id="3">
    <w:p w14:paraId="744DD287" w14:textId="77777777" w:rsidR="0018120C" w:rsidRPr="00C32842" w:rsidRDefault="0018120C" w:rsidP="0018120C">
      <w:pPr>
        <w:pStyle w:val="FootnoteText"/>
      </w:pPr>
      <w:r w:rsidRPr="00C32842">
        <w:rPr>
          <w:rStyle w:val="FootnoteReference"/>
          <w:lang w:val="en-GB"/>
        </w:rPr>
        <w:footnoteRef/>
      </w:r>
      <w:r w:rsidRPr="00C32842">
        <w:t xml:space="preserve"> https://www.eba.europa.eu/risk-analysis-and-data/global-systemically-important-institutions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00DA" w:rsidRDefault="005D00DA" w14:paraId="41B1516F" w14:textId="12C57839">
    <w:pPr>
      <w:rPr>
        <w:noProof/>
      </w:rPr>
    </w:pPr>
    <w:r>
      <w:ptab w:alignment="center" w:relativeTo="margin" w:leader="none"/>
    </w:r>
    <w:r>
      <w:ptab w:alignment="right" w:relativeTo="margin" w:leader="none"/>
    </w:r>
  </w:p>
  <w:p w:rsidR="005D00DA" w:rsidRDefault="005D00DA" w14:paraId="4A8DE438" w14:textId="77777777">
    <w:pPr>
      <w:rPr>
        <w:noProof/>
      </w:rPr>
    </w:pPr>
  </w:p>
</w:hdr>
</file>

<file path=word/header2.xml><?xml version="1.0" encoding="utf-8"?>
<w:hdr xmlns:a="http://schemas.openxmlformats.org/drawingml/2006/main" xmlns:pic="http://schemas.openxmlformats.org/drawingml/2006/picture" xmlns:a14="http://schemas.microsoft.com/office/drawing/2010/main" xmlns:arto="http://schemas.microsoft.com/office/word/2006/arto" xmlns:mo="http://schemas.microsoft.com/office/mac/office/2008/main" xmlns:mv="urn:schemas-microsoft-com:mac:vml" xmlns:ma14="http://schemas.microsoft.com/office/mac/drawingml/2011/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C4546" w:rsidR="005D00DA" w:rsidP="002215B5" w:rsidRDefault="005D00DA" w14:paraId="233A6472" w14:textId="42F4713B">
    <w:pPr>
      <w:pStyle w:val="Runningtitle"/>
      <w:rPr>
        <w:noProof/>
      </w:rPr>
    </w:pPr>
    <w:r w:rsidRPr="008C4546">
      <w:rPr>
        <w:noProof/>
        <w:lang w:val="en-GB" w:eastAsia="en-GB"/>
      </w:rPr>
      <w:drawing>
        <wp:anchor distT="0" distB="0" distL="114300" distR="114300" simplePos="0" relativeHeight="251671040" behindDoc="0" locked="0" layoutInCell="1" allowOverlap="1" wp14:editId="234C082C" wp14:anchorId="427C9B91">
          <wp:simplePos x="0" y="0"/>
          <wp:positionH relativeFrom="column">
            <wp:posOffset>4739392</wp:posOffset>
          </wp:positionH>
          <wp:positionV relativeFrom="page">
            <wp:posOffset>450215</wp:posOffset>
          </wp:positionV>
          <wp:extent cx="1207770" cy="447675"/>
          <wp:effectExtent l="0" t="0" r="0" b="9525"/>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arto="http://schemas.microsoft.com/office/word/2006/arto"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14="http://schemas.microsoft.com/office/drawing/2010/main"/>
                    </a:ext>
                  </a:extLst>
                </pic:spPr>
              </pic:pic>
            </a:graphicData>
          </a:graphic>
        </wp:anchor>
      </w:drawing>
    </w:r>
    <w:r w:rsidRPr="008C4546">
      <w:t>EBA-Leitlinien zur Festlegung und Offenlegung</w:t>
    </w:r>
  </w:p>
  <w:p w:rsidRPr="008C4546" w:rsidR="005D00DA" w:rsidP="002215B5" w:rsidRDefault="005D00DA" w14:paraId="122C2463" w14:textId="77777777">
    <w:pPr>
      <w:pStyle w:val="Runningtitle"/>
      <w:rPr>
        <w:noProof/>
      </w:rPr>
    </w:pPr>
    <w:r w:rsidRPr="008C4546">
      <w:t>von Indikatoren für die globale systemische Relevanz</w:t>
    </w:r>
  </w:p>
  <w:p w:rsidRPr="008C4546" w:rsidR="005D00DA" w:rsidP="002215B5" w:rsidRDefault="005D00DA" w14:paraId="750CEC09" w14:textId="5D2D20C5">
    <w:pPr>
      <w:pStyle w:val="Header"/>
      <w:rPr>
        <w:noProof/>
      </w:rPr>
    </w:pPr>
  </w:p>
</w:hdr>
</file>

<file path=word/header3.xml><?xml version="1.0" encoding="utf-8"?>
<w:hdr xmlns:a="http://schemas.openxmlformats.org/drawingml/2006/main" xmlns:pic="http://schemas.openxmlformats.org/drawingml/2006/picture" xmlns:a14="http://schemas.microsoft.com/office/drawing/2010/main" xmlns:ma14="http://schemas.microsoft.com/office/mac/drawingml/2011/main" xmlns:mv="urn:schemas-microsoft-com:mac:vml" xmlns:mo="http://schemas.microsoft.com/office/mac/office/2008/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00DA" w:rsidP="00E677EF" w:rsidRDefault="005D00DA" w14:paraId="6E4DF7C2" w14:textId="77777777">
    <w:pPr>
      <w:pStyle w:val="Runningtitle"/>
      <w:rPr>
        <w:noProof/>
      </w:rPr>
    </w:pPr>
    <w:r>
      <w:t>Titel hier in Titelformat einfügen</w:t>
    </w:r>
    <w:r>
      <w:rPr>
        <w:noProof/>
        <w:lang w:val="en-GB" w:eastAsia="en-GB"/>
      </w:rPr>
      <w:drawing>
        <wp:anchor distT="0" distB="0" distL="114300" distR="114300" simplePos="0" relativeHeight="251653632" behindDoc="1" locked="1" layoutInCell="1" allowOverlap="0" wp14:editId="569AD1BD" wp14:anchorId="6E65E8A4">
          <wp:simplePos x="0" y="0"/>
          <wp:positionH relativeFrom="page">
            <wp:posOffset>4702175</wp:posOffset>
          </wp:positionH>
          <wp:positionV relativeFrom="page">
            <wp:posOffset>450215</wp:posOffset>
          </wp:positionV>
          <wp:extent cx="1941830" cy="719455"/>
          <wp:effectExtent l="0" t="0" r="0" b="0"/>
          <wp:wrapNone/>
          <wp:docPr id="124"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a14="http://schemas.microsoft.com/office/drawing/2010/main" val="1"/>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F008E"/>
    <w:multiLevelType w:val="hybridMultilevel"/>
    <w:tmpl w:val="0CEAE5E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5"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6"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435DEC"/>
    <w:multiLevelType w:val="hybridMultilevel"/>
    <w:tmpl w:val="BC245978"/>
    <w:lvl w:ilvl="0" w:tplc="0809000F">
      <w:start w:val="1"/>
      <w:numFmt w:val="decimal"/>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E684A36"/>
    <w:multiLevelType w:val="hybridMultilevel"/>
    <w:tmpl w:val="95C2B722"/>
    <w:lvl w:ilvl="0" w:tplc="770A29DE">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CD57BB"/>
    <w:multiLevelType w:val="multilevel"/>
    <w:tmpl w:val="201419E8"/>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2"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0A1380"/>
    <w:multiLevelType w:val="hybridMultilevel"/>
    <w:tmpl w:val="9D64AE7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2"/>
  </w:num>
  <w:num w:numId="3">
    <w:abstractNumId w:val="5"/>
  </w:num>
  <w:num w:numId="4">
    <w:abstractNumId w:val="6"/>
  </w:num>
  <w:num w:numId="5">
    <w:abstractNumId w:val="12"/>
  </w:num>
  <w:num w:numId="6">
    <w:abstractNumId w:val="1"/>
  </w:num>
  <w:num w:numId="7">
    <w:abstractNumId w:val="11"/>
  </w:num>
  <w:num w:numId="8">
    <w:abstractNumId w:val="10"/>
  </w:num>
  <w:num w:numId="9">
    <w:abstractNumId w:val="0"/>
  </w:num>
  <w:num w:numId="10">
    <w:abstractNumId w:val="13"/>
  </w:num>
  <w:num w:numId="11">
    <w:abstractNumId w:val="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6" w:nlCheck="1" w:checkStyle="0"/>
  <w:activeWritingStyle w:appName="MSWord" w:lang="fr-LU"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4096" w:nlCheck="1" w:checkStyle="0"/>
  <w:activeWritingStyle w:appName="MSWord" w:lang="fr-LU" w:vendorID="64" w:dllVersion="4096" w:nlCheck="1" w:checkStyle="0"/>
  <w:activeWritingStyle w:appName="MSWord" w:lang="en-GB" w:vendorID="64" w:dllVersion="4096" w:nlCheck="1" w:checkStyle="0"/>
  <w:activeWritingStyle w:appName="MSWord" w:lang="en-US" w:vendorID="64" w:dllVersion="4096" w:nlCheck="1" w:checkStyle="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BA GL-REC 20XX XX (FINAL GLS-REC ON"/>
  </w:docVars>
  <w:rsids>
    <w:rsidRoot w:val="006307A5"/>
    <w:rsid w:val="00001873"/>
    <w:rsid w:val="00002BCF"/>
    <w:rsid w:val="00003F50"/>
    <w:rsid w:val="0001213D"/>
    <w:rsid w:val="00013281"/>
    <w:rsid w:val="000204E9"/>
    <w:rsid w:val="00021E10"/>
    <w:rsid w:val="000231B7"/>
    <w:rsid w:val="00027CA0"/>
    <w:rsid w:val="00030D65"/>
    <w:rsid w:val="00040129"/>
    <w:rsid w:val="00051823"/>
    <w:rsid w:val="00060F40"/>
    <w:rsid w:val="00062830"/>
    <w:rsid w:val="0007574B"/>
    <w:rsid w:val="000774B3"/>
    <w:rsid w:val="000843CD"/>
    <w:rsid w:val="00087EEC"/>
    <w:rsid w:val="000A1C81"/>
    <w:rsid w:val="000A3851"/>
    <w:rsid w:val="000A5345"/>
    <w:rsid w:val="000B1645"/>
    <w:rsid w:val="000B2614"/>
    <w:rsid w:val="000C2B79"/>
    <w:rsid w:val="000C5A8A"/>
    <w:rsid w:val="000C7FD8"/>
    <w:rsid w:val="000D7A44"/>
    <w:rsid w:val="000E0C27"/>
    <w:rsid w:val="000E6D15"/>
    <w:rsid w:val="000F33D3"/>
    <w:rsid w:val="000F3C24"/>
    <w:rsid w:val="000F607B"/>
    <w:rsid w:val="000F6495"/>
    <w:rsid w:val="000F6FD8"/>
    <w:rsid w:val="001061FA"/>
    <w:rsid w:val="00111122"/>
    <w:rsid w:val="00112BF2"/>
    <w:rsid w:val="0011517F"/>
    <w:rsid w:val="00117062"/>
    <w:rsid w:val="0012173D"/>
    <w:rsid w:val="00121BB0"/>
    <w:rsid w:val="0012686C"/>
    <w:rsid w:val="0013090C"/>
    <w:rsid w:val="00131C5D"/>
    <w:rsid w:val="00132059"/>
    <w:rsid w:val="00132F74"/>
    <w:rsid w:val="0014310A"/>
    <w:rsid w:val="00143427"/>
    <w:rsid w:val="00145D24"/>
    <w:rsid w:val="00145E0A"/>
    <w:rsid w:val="00152832"/>
    <w:rsid w:val="001600FC"/>
    <w:rsid w:val="00160815"/>
    <w:rsid w:val="00172007"/>
    <w:rsid w:val="0017446F"/>
    <w:rsid w:val="0017667F"/>
    <w:rsid w:val="00177CB9"/>
    <w:rsid w:val="0018120C"/>
    <w:rsid w:val="001834D4"/>
    <w:rsid w:val="00192287"/>
    <w:rsid w:val="0019316A"/>
    <w:rsid w:val="00197E14"/>
    <w:rsid w:val="001A016C"/>
    <w:rsid w:val="001A2A81"/>
    <w:rsid w:val="001A32D5"/>
    <w:rsid w:val="001A47D0"/>
    <w:rsid w:val="001A5794"/>
    <w:rsid w:val="001A5BD4"/>
    <w:rsid w:val="001A70A8"/>
    <w:rsid w:val="001B2C0D"/>
    <w:rsid w:val="001B3341"/>
    <w:rsid w:val="001B6017"/>
    <w:rsid w:val="001B7A0B"/>
    <w:rsid w:val="001B7EB3"/>
    <w:rsid w:val="001C1FD9"/>
    <w:rsid w:val="001C5BC2"/>
    <w:rsid w:val="001D0179"/>
    <w:rsid w:val="001E0B2E"/>
    <w:rsid w:val="001E1188"/>
    <w:rsid w:val="001E3599"/>
    <w:rsid w:val="001F1CB9"/>
    <w:rsid w:val="001F7501"/>
    <w:rsid w:val="00205878"/>
    <w:rsid w:val="00213D7B"/>
    <w:rsid w:val="00214DEC"/>
    <w:rsid w:val="00215B80"/>
    <w:rsid w:val="002215B5"/>
    <w:rsid w:val="00224761"/>
    <w:rsid w:val="00224A3F"/>
    <w:rsid w:val="00224D96"/>
    <w:rsid w:val="002306C7"/>
    <w:rsid w:val="00231819"/>
    <w:rsid w:val="002351E9"/>
    <w:rsid w:val="00236329"/>
    <w:rsid w:val="00241BD8"/>
    <w:rsid w:val="002422FB"/>
    <w:rsid w:val="002434B0"/>
    <w:rsid w:val="00252B97"/>
    <w:rsid w:val="00254CA9"/>
    <w:rsid w:val="0026681D"/>
    <w:rsid w:val="00267452"/>
    <w:rsid w:val="00273421"/>
    <w:rsid w:val="0027418E"/>
    <w:rsid w:val="00290DA3"/>
    <w:rsid w:val="002A3A19"/>
    <w:rsid w:val="002A6F7C"/>
    <w:rsid w:val="002B19D7"/>
    <w:rsid w:val="002C06C1"/>
    <w:rsid w:val="002C0DCF"/>
    <w:rsid w:val="002C1673"/>
    <w:rsid w:val="002C2703"/>
    <w:rsid w:val="002D1867"/>
    <w:rsid w:val="002F2009"/>
    <w:rsid w:val="002F2269"/>
    <w:rsid w:val="00300924"/>
    <w:rsid w:val="003025A8"/>
    <w:rsid w:val="003129B6"/>
    <w:rsid w:val="00314D6E"/>
    <w:rsid w:val="00315AB3"/>
    <w:rsid w:val="003174BB"/>
    <w:rsid w:val="00320E57"/>
    <w:rsid w:val="003221EF"/>
    <w:rsid w:val="00322C23"/>
    <w:rsid w:val="003248A2"/>
    <w:rsid w:val="00352A51"/>
    <w:rsid w:val="0035477B"/>
    <w:rsid w:val="00355E53"/>
    <w:rsid w:val="003604AA"/>
    <w:rsid w:val="00362309"/>
    <w:rsid w:val="00363390"/>
    <w:rsid w:val="0036783B"/>
    <w:rsid w:val="00370D44"/>
    <w:rsid w:val="00372BEC"/>
    <w:rsid w:val="00392385"/>
    <w:rsid w:val="003953B5"/>
    <w:rsid w:val="003A2221"/>
    <w:rsid w:val="003A33B9"/>
    <w:rsid w:val="003C34A3"/>
    <w:rsid w:val="003C3DE8"/>
    <w:rsid w:val="003D29C4"/>
    <w:rsid w:val="003D403D"/>
    <w:rsid w:val="003D7A72"/>
    <w:rsid w:val="003E318D"/>
    <w:rsid w:val="003F3AA3"/>
    <w:rsid w:val="00412567"/>
    <w:rsid w:val="004172D1"/>
    <w:rsid w:val="00424474"/>
    <w:rsid w:val="00424530"/>
    <w:rsid w:val="0043577F"/>
    <w:rsid w:val="0043675A"/>
    <w:rsid w:val="00441F85"/>
    <w:rsid w:val="00446D76"/>
    <w:rsid w:val="00452CF3"/>
    <w:rsid w:val="0045301B"/>
    <w:rsid w:val="00454B24"/>
    <w:rsid w:val="00455E0E"/>
    <w:rsid w:val="004637D3"/>
    <w:rsid w:val="004719B4"/>
    <w:rsid w:val="00471CA1"/>
    <w:rsid w:val="00471CCE"/>
    <w:rsid w:val="00481AC4"/>
    <w:rsid w:val="00482FB6"/>
    <w:rsid w:val="00490251"/>
    <w:rsid w:val="004955E7"/>
    <w:rsid w:val="004A5D8B"/>
    <w:rsid w:val="004A76C6"/>
    <w:rsid w:val="004B2FC0"/>
    <w:rsid w:val="004B6655"/>
    <w:rsid w:val="004B7784"/>
    <w:rsid w:val="004C1B19"/>
    <w:rsid w:val="004C6392"/>
    <w:rsid w:val="004D3523"/>
    <w:rsid w:val="004D7668"/>
    <w:rsid w:val="004E405B"/>
    <w:rsid w:val="004F0AB6"/>
    <w:rsid w:val="004F63DB"/>
    <w:rsid w:val="005037F2"/>
    <w:rsid w:val="00505C64"/>
    <w:rsid w:val="005105EF"/>
    <w:rsid w:val="0051571A"/>
    <w:rsid w:val="00522627"/>
    <w:rsid w:val="00523895"/>
    <w:rsid w:val="00526B39"/>
    <w:rsid w:val="00532EBE"/>
    <w:rsid w:val="005410AB"/>
    <w:rsid w:val="00543A44"/>
    <w:rsid w:val="0055280A"/>
    <w:rsid w:val="005574DA"/>
    <w:rsid w:val="00565691"/>
    <w:rsid w:val="005706A6"/>
    <w:rsid w:val="00571BB6"/>
    <w:rsid w:val="00574B26"/>
    <w:rsid w:val="00575BA7"/>
    <w:rsid w:val="00582AA7"/>
    <w:rsid w:val="0058477C"/>
    <w:rsid w:val="0058568F"/>
    <w:rsid w:val="005A11A7"/>
    <w:rsid w:val="005A6911"/>
    <w:rsid w:val="005B3658"/>
    <w:rsid w:val="005B5C09"/>
    <w:rsid w:val="005B6300"/>
    <w:rsid w:val="005C3DFF"/>
    <w:rsid w:val="005C43A0"/>
    <w:rsid w:val="005C498B"/>
    <w:rsid w:val="005D00DA"/>
    <w:rsid w:val="005D033E"/>
    <w:rsid w:val="005D4005"/>
    <w:rsid w:val="005D40D1"/>
    <w:rsid w:val="005D6612"/>
    <w:rsid w:val="005E167D"/>
    <w:rsid w:val="005E4850"/>
    <w:rsid w:val="00600024"/>
    <w:rsid w:val="00600065"/>
    <w:rsid w:val="006017FA"/>
    <w:rsid w:val="006059B2"/>
    <w:rsid w:val="00606A0E"/>
    <w:rsid w:val="00610305"/>
    <w:rsid w:val="00610419"/>
    <w:rsid w:val="00611DDB"/>
    <w:rsid w:val="00612C7B"/>
    <w:rsid w:val="006209BD"/>
    <w:rsid w:val="006224C1"/>
    <w:rsid w:val="006241B4"/>
    <w:rsid w:val="006269B7"/>
    <w:rsid w:val="006307A5"/>
    <w:rsid w:val="006336C8"/>
    <w:rsid w:val="00633DC7"/>
    <w:rsid w:val="00636E1D"/>
    <w:rsid w:val="00641A7A"/>
    <w:rsid w:val="00645495"/>
    <w:rsid w:val="00655112"/>
    <w:rsid w:val="00663B0A"/>
    <w:rsid w:val="006641F8"/>
    <w:rsid w:val="0066422C"/>
    <w:rsid w:val="00670254"/>
    <w:rsid w:val="00675E42"/>
    <w:rsid w:val="00683BFB"/>
    <w:rsid w:val="006915A4"/>
    <w:rsid w:val="00692AB7"/>
    <w:rsid w:val="00692AD8"/>
    <w:rsid w:val="006973AC"/>
    <w:rsid w:val="006C186D"/>
    <w:rsid w:val="006C6D8E"/>
    <w:rsid w:val="006D4C7C"/>
    <w:rsid w:val="006D7393"/>
    <w:rsid w:val="006E0D7A"/>
    <w:rsid w:val="006E3CE5"/>
    <w:rsid w:val="006E55E1"/>
    <w:rsid w:val="006E5950"/>
    <w:rsid w:val="006F2E13"/>
    <w:rsid w:val="006F445D"/>
    <w:rsid w:val="006F72C6"/>
    <w:rsid w:val="006F7529"/>
    <w:rsid w:val="00703E4E"/>
    <w:rsid w:val="007071C6"/>
    <w:rsid w:val="00711E1C"/>
    <w:rsid w:val="00721D07"/>
    <w:rsid w:val="00721FBA"/>
    <w:rsid w:val="00723921"/>
    <w:rsid w:val="0073023F"/>
    <w:rsid w:val="00730352"/>
    <w:rsid w:val="00731463"/>
    <w:rsid w:val="0073336B"/>
    <w:rsid w:val="00734CF5"/>
    <w:rsid w:val="007373D2"/>
    <w:rsid w:val="00740F65"/>
    <w:rsid w:val="00742839"/>
    <w:rsid w:val="00755505"/>
    <w:rsid w:val="0076316D"/>
    <w:rsid w:val="00771BCE"/>
    <w:rsid w:val="00772993"/>
    <w:rsid w:val="007815FB"/>
    <w:rsid w:val="00781A37"/>
    <w:rsid w:val="00781D80"/>
    <w:rsid w:val="007850AB"/>
    <w:rsid w:val="00791EAE"/>
    <w:rsid w:val="007A0054"/>
    <w:rsid w:val="007A44A6"/>
    <w:rsid w:val="007A5353"/>
    <w:rsid w:val="007B3D63"/>
    <w:rsid w:val="007B6077"/>
    <w:rsid w:val="007B69D6"/>
    <w:rsid w:val="007B793D"/>
    <w:rsid w:val="007C08B0"/>
    <w:rsid w:val="007C3A00"/>
    <w:rsid w:val="007C55D0"/>
    <w:rsid w:val="007D2626"/>
    <w:rsid w:val="007E74E0"/>
    <w:rsid w:val="007F5092"/>
    <w:rsid w:val="007F6B00"/>
    <w:rsid w:val="007F7895"/>
    <w:rsid w:val="00804A88"/>
    <w:rsid w:val="00813BAC"/>
    <w:rsid w:val="00813CD4"/>
    <w:rsid w:val="00817C42"/>
    <w:rsid w:val="00821B9D"/>
    <w:rsid w:val="0084468C"/>
    <w:rsid w:val="00845378"/>
    <w:rsid w:val="008552A0"/>
    <w:rsid w:val="0085619C"/>
    <w:rsid w:val="008651AA"/>
    <w:rsid w:val="00865492"/>
    <w:rsid w:val="00865A3C"/>
    <w:rsid w:val="00867CB4"/>
    <w:rsid w:val="008708AB"/>
    <w:rsid w:val="00870A33"/>
    <w:rsid w:val="00871962"/>
    <w:rsid w:val="008725EC"/>
    <w:rsid w:val="00874549"/>
    <w:rsid w:val="00874ED5"/>
    <w:rsid w:val="00884F8C"/>
    <w:rsid w:val="008A4100"/>
    <w:rsid w:val="008A7288"/>
    <w:rsid w:val="008B6155"/>
    <w:rsid w:val="008C1A94"/>
    <w:rsid w:val="008C4546"/>
    <w:rsid w:val="008C567C"/>
    <w:rsid w:val="008C5B82"/>
    <w:rsid w:val="008E297F"/>
    <w:rsid w:val="008F3908"/>
    <w:rsid w:val="009014B6"/>
    <w:rsid w:val="009041D9"/>
    <w:rsid w:val="00907439"/>
    <w:rsid w:val="00907D57"/>
    <w:rsid w:val="00911860"/>
    <w:rsid w:val="0091231C"/>
    <w:rsid w:val="00912882"/>
    <w:rsid w:val="00912895"/>
    <w:rsid w:val="00913422"/>
    <w:rsid w:val="009210DE"/>
    <w:rsid w:val="00922ACA"/>
    <w:rsid w:val="009257BE"/>
    <w:rsid w:val="00943B87"/>
    <w:rsid w:val="00944AD8"/>
    <w:rsid w:val="009549FF"/>
    <w:rsid w:val="00954FC6"/>
    <w:rsid w:val="0096160F"/>
    <w:rsid w:val="009642A9"/>
    <w:rsid w:val="00965B80"/>
    <w:rsid w:val="009730FB"/>
    <w:rsid w:val="00976A15"/>
    <w:rsid w:val="00980519"/>
    <w:rsid w:val="009846C5"/>
    <w:rsid w:val="0099008B"/>
    <w:rsid w:val="00993B1E"/>
    <w:rsid w:val="00993BAA"/>
    <w:rsid w:val="00994F87"/>
    <w:rsid w:val="009A1966"/>
    <w:rsid w:val="009A294D"/>
    <w:rsid w:val="009A5AF6"/>
    <w:rsid w:val="009B7C11"/>
    <w:rsid w:val="009C12C9"/>
    <w:rsid w:val="009C1CE7"/>
    <w:rsid w:val="009C2147"/>
    <w:rsid w:val="009D55F7"/>
    <w:rsid w:val="009D663F"/>
    <w:rsid w:val="009E300F"/>
    <w:rsid w:val="009E38A2"/>
    <w:rsid w:val="009E697F"/>
    <w:rsid w:val="009E76BE"/>
    <w:rsid w:val="009E79BF"/>
    <w:rsid w:val="009F12DA"/>
    <w:rsid w:val="009F3FE6"/>
    <w:rsid w:val="009F53AF"/>
    <w:rsid w:val="00A00E34"/>
    <w:rsid w:val="00A02BBA"/>
    <w:rsid w:val="00A062C7"/>
    <w:rsid w:val="00A10257"/>
    <w:rsid w:val="00A13558"/>
    <w:rsid w:val="00A14332"/>
    <w:rsid w:val="00A2290D"/>
    <w:rsid w:val="00A23608"/>
    <w:rsid w:val="00A23D22"/>
    <w:rsid w:val="00A25403"/>
    <w:rsid w:val="00A27B9D"/>
    <w:rsid w:val="00A27D88"/>
    <w:rsid w:val="00A304D0"/>
    <w:rsid w:val="00A41338"/>
    <w:rsid w:val="00A4361D"/>
    <w:rsid w:val="00A44695"/>
    <w:rsid w:val="00A4607D"/>
    <w:rsid w:val="00A53EC9"/>
    <w:rsid w:val="00A725D6"/>
    <w:rsid w:val="00A72C7D"/>
    <w:rsid w:val="00A81586"/>
    <w:rsid w:val="00A92440"/>
    <w:rsid w:val="00AA435E"/>
    <w:rsid w:val="00AA796D"/>
    <w:rsid w:val="00AB104D"/>
    <w:rsid w:val="00AB21B0"/>
    <w:rsid w:val="00AB2476"/>
    <w:rsid w:val="00AB4B80"/>
    <w:rsid w:val="00AC2312"/>
    <w:rsid w:val="00AD0C73"/>
    <w:rsid w:val="00AD3179"/>
    <w:rsid w:val="00AE1A2D"/>
    <w:rsid w:val="00AE5347"/>
    <w:rsid w:val="00AE55F6"/>
    <w:rsid w:val="00AE56DB"/>
    <w:rsid w:val="00AF0781"/>
    <w:rsid w:val="00AF21F6"/>
    <w:rsid w:val="00AF2BCB"/>
    <w:rsid w:val="00AF4C86"/>
    <w:rsid w:val="00B025DB"/>
    <w:rsid w:val="00B13C87"/>
    <w:rsid w:val="00B1710D"/>
    <w:rsid w:val="00B2771A"/>
    <w:rsid w:val="00B32510"/>
    <w:rsid w:val="00B32B76"/>
    <w:rsid w:val="00B33222"/>
    <w:rsid w:val="00B3595C"/>
    <w:rsid w:val="00B36D5E"/>
    <w:rsid w:val="00B43E07"/>
    <w:rsid w:val="00B51926"/>
    <w:rsid w:val="00B51BB3"/>
    <w:rsid w:val="00B526A8"/>
    <w:rsid w:val="00B55FAB"/>
    <w:rsid w:val="00B56F17"/>
    <w:rsid w:val="00B6734E"/>
    <w:rsid w:val="00B728C0"/>
    <w:rsid w:val="00B73992"/>
    <w:rsid w:val="00B76198"/>
    <w:rsid w:val="00B77DC8"/>
    <w:rsid w:val="00B77F65"/>
    <w:rsid w:val="00B82515"/>
    <w:rsid w:val="00B83D9D"/>
    <w:rsid w:val="00B84529"/>
    <w:rsid w:val="00B954E5"/>
    <w:rsid w:val="00B96F7F"/>
    <w:rsid w:val="00BB0EAF"/>
    <w:rsid w:val="00BB2111"/>
    <w:rsid w:val="00BC1D4B"/>
    <w:rsid w:val="00BC3450"/>
    <w:rsid w:val="00BC7FD2"/>
    <w:rsid w:val="00BD1538"/>
    <w:rsid w:val="00BD1DD9"/>
    <w:rsid w:val="00BE2989"/>
    <w:rsid w:val="00BF4906"/>
    <w:rsid w:val="00BF4EC0"/>
    <w:rsid w:val="00BF78EE"/>
    <w:rsid w:val="00C03AE7"/>
    <w:rsid w:val="00C05D9D"/>
    <w:rsid w:val="00C12FA8"/>
    <w:rsid w:val="00C35592"/>
    <w:rsid w:val="00C356AF"/>
    <w:rsid w:val="00C41927"/>
    <w:rsid w:val="00C439D6"/>
    <w:rsid w:val="00C43FD9"/>
    <w:rsid w:val="00C44EB2"/>
    <w:rsid w:val="00C47E8F"/>
    <w:rsid w:val="00C57BC4"/>
    <w:rsid w:val="00C60915"/>
    <w:rsid w:val="00C60EEB"/>
    <w:rsid w:val="00C64E27"/>
    <w:rsid w:val="00C80AC8"/>
    <w:rsid w:val="00C84497"/>
    <w:rsid w:val="00C91A9F"/>
    <w:rsid w:val="00C92B4B"/>
    <w:rsid w:val="00C95F54"/>
    <w:rsid w:val="00C964B8"/>
    <w:rsid w:val="00CA1DF9"/>
    <w:rsid w:val="00CB6121"/>
    <w:rsid w:val="00CB6EBB"/>
    <w:rsid w:val="00CD4AF7"/>
    <w:rsid w:val="00CE3517"/>
    <w:rsid w:val="00CE3F04"/>
    <w:rsid w:val="00CF15C6"/>
    <w:rsid w:val="00D01670"/>
    <w:rsid w:val="00D0474C"/>
    <w:rsid w:val="00D05C26"/>
    <w:rsid w:val="00D062AC"/>
    <w:rsid w:val="00D152E7"/>
    <w:rsid w:val="00D21F91"/>
    <w:rsid w:val="00D251D0"/>
    <w:rsid w:val="00D3796C"/>
    <w:rsid w:val="00D43C43"/>
    <w:rsid w:val="00D44360"/>
    <w:rsid w:val="00D454F0"/>
    <w:rsid w:val="00D53948"/>
    <w:rsid w:val="00D549B9"/>
    <w:rsid w:val="00D557EE"/>
    <w:rsid w:val="00D56058"/>
    <w:rsid w:val="00D57F4B"/>
    <w:rsid w:val="00D656AD"/>
    <w:rsid w:val="00D6692C"/>
    <w:rsid w:val="00D76E91"/>
    <w:rsid w:val="00D823B5"/>
    <w:rsid w:val="00D849AA"/>
    <w:rsid w:val="00D872D1"/>
    <w:rsid w:val="00D873F3"/>
    <w:rsid w:val="00D90F63"/>
    <w:rsid w:val="00DA6122"/>
    <w:rsid w:val="00DB4809"/>
    <w:rsid w:val="00DB5E8F"/>
    <w:rsid w:val="00DC3E99"/>
    <w:rsid w:val="00DC5214"/>
    <w:rsid w:val="00DC7C3E"/>
    <w:rsid w:val="00DD247B"/>
    <w:rsid w:val="00DE0FE1"/>
    <w:rsid w:val="00DE30E0"/>
    <w:rsid w:val="00DE46D0"/>
    <w:rsid w:val="00E21FC7"/>
    <w:rsid w:val="00E22BCE"/>
    <w:rsid w:val="00E255BF"/>
    <w:rsid w:val="00E2590B"/>
    <w:rsid w:val="00E26355"/>
    <w:rsid w:val="00E326FF"/>
    <w:rsid w:val="00E337DC"/>
    <w:rsid w:val="00E35F55"/>
    <w:rsid w:val="00E361B0"/>
    <w:rsid w:val="00E410F0"/>
    <w:rsid w:val="00E5738D"/>
    <w:rsid w:val="00E5771C"/>
    <w:rsid w:val="00E62DB8"/>
    <w:rsid w:val="00E677EF"/>
    <w:rsid w:val="00E859DF"/>
    <w:rsid w:val="00E87041"/>
    <w:rsid w:val="00E90EDD"/>
    <w:rsid w:val="00E94506"/>
    <w:rsid w:val="00E95201"/>
    <w:rsid w:val="00EA13B4"/>
    <w:rsid w:val="00EA16F3"/>
    <w:rsid w:val="00EA1807"/>
    <w:rsid w:val="00EA4947"/>
    <w:rsid w:val="00EC0C41"/>
    <w:rsid w:val="00EC11F0"/>
    <w:rsid w:val="00EC1594"/>
    <w:rsid w:val="00ED2521"/>
    <w:rsid w:val="00ED2FB9"/>
    <w:rsid w:val="00ED41FD"/>
    <w:rsid w:val="00ED4A40"/>
    <w:rsid w:val="00ED675F"/>
    <w:rsid w:val="00EE143C"/>
    <w:rsid w:val="00EE456B"/>
    <w:rsid w:val="00EE7A33"/>
    <w:rsid w:val="00EF35BF"/>
    <w:rsid w:val="00F00C37"/>
    <w:rsid w:val="00F00C8E"/>
    <w:rsid w:val="00F01EA6"/>
    <w:rsid w:val="00F02D51"/>
    <w:rsid w:val="00F033B6"/>
    <w:rsid w:val="00F034AC"/>
    <w:rsid w:val="00F160D2"/>
    <w:rsid w:val="00F221AB"/>
    <w:rsid w:val="00F23DC0"/>
    <w:rsid w:val="00F311CD"/>
    <w:rsid w:val="00F3669D"/>
    <w:rsid w:val="00F42F3F"/>
    <w:rsid w:val="00F4748D"/>
    <w:rsid w:val="00F47C9F"/>
    <w:rsid w:val="00F56DC4"/>
    <w:rsid w:val="00F612B3"/>
    <w:rsid w:val="00F647A3"/>
    <w:rsid w:val="00F653FF"/>
    <w:rsid w:val="00F7064A"/>
    <w:rsid w:val="00F720FF"/>
    <w:rsid w:val="00F747AD"/>
    <w:rsid w:val="00F764A1"/>
    <w:rsid w:val="00F86AD4"/>
    <w:rsid w:val="00F87FF5"/>
    <w:rsid w:val="00F9329F"/>
    <w:rsid w:val="00F942CA"/>
    <w:rsid w:val="00F9452C"/>
    <w:rsid w:val="00FA0A8B"/>
    <w:rsid w:val="00FA459D"/>
    <w:rsid w:val="00FB28E1"/>
    <w:rsid w:val="00FB43F9"/>
    <w:rsid w:val="00FB7206"/>
    <w:rsid w:val="00FC1255"/>
    <w:rsid w:val="00FC1D72"/>
    <w:rsid w:val="00FE0C92"/>
    <w:rsid w:val="00FE0E60"/>
    <w:rsid w:val="00FE438F"/>
    <w:rsid w:val="00FE5577"/>
    <w:rsid w:val="00FF0C19"/>
    <w:rsid w:val="00FF34CA"/>
    <w:rsid w:val="00FF3644"/>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6184604"/>
  <w15:docId w15:val="{5360B0C9-EE82-4159-9B6F-36D4F774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DA3"/>
    <w:rPr>
      <w:sz w:val="22"/>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CD4AF7"/>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uiPriority w:val="99"/>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fr-LU"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215B80"/>
    <w:pPr>
      <w:keepNext/>
      <w:spacing w:before="360" w:after="360"/>
    </w:pPr>
    <w:rPr>
      <w:rFonts w:eastAsia="Times New Roman" w:cs="Times New Roman"/>
      <w:bCs/>
      <w:noProof/>
      <w:color w:val="2F5773" w:themeColor="text2"/>
      <w:szCs w:val="20"/>
      <w:lang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qFormat/>
    <w:rsid w:val="00C92B4B"/>
    <w:pPr>
      <w:spacing w:before="80" w:after="0" w:line="200" w:lineRule="exact"/>
    </w:pPr>
    <w:rPr>
      <w:rFonts w:ascii="Times New Roman" w:hAnsi="Times New Roman" w:cs="Times New Roman"/>
      <w:sz w:val="18"/>
      <w:szCs w:val="18"/>
    </w:rPr>
  </w:style>
  <w:style w:type="character" w:customStyle="1" w:styleId="FootnoteTextChar">
    <w:name w:val="Footnote Text Char"/>
    <w:basedOn w:val="DefaultParagraphFont"/>
    <w:link w:val="FootnoteText"/>
    <w:rsid w:val="00C92B4B"/>
    <w:rPr>
      <w:rFonts w:ascii="Times New Roman" w:hAnsi="Times New Roman" w:cs="Times New Roman"/>
      <w:sz w:val="18"/>
      <w:szCs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de-DE"/>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eastAsia="en-GB"/>
    </w:rPr>
  </w:style>
  <w:style w:type="paragraph" w:styleId="ListBullet">
    <w:name w:val="List Bullet"/>
    <w:basedOn w:val="Normal"/>
    <w:semiHidden/>
    <w:qFormat/>
    <w:rsid w:val="00A304D0"/>
    <w:pPr>
      <w:numPr>
        <w:numId w:val="9"/>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Default">
    <w:name w:val="Default"/>
    <w:rsid w:val="000C7FD8"/>
    <w:pPr>
      <w:autoSpaceDE w:val="0"/>
      <w:autoSpaceDN w:val="0"/>
      <w:adjustRightInd w:val="0"/>
    </w:pPr>
    <w:rPr>
      <w:rFonts w:ascii="Calibri" w:eastAsiaTheme="minorHAnsi" w:hAnsi="Calibri" w:cs="Calibri"/>
      <w:color w:val="000000"/>
    </w:rPr>
  </w:style>
  <w:style w:type="paragraph" w:styleId="TOCHeading">
    <w:name w:val="TOC Heading"/>
    <w:basedOn w:val="Heading1"/>
    <w:next w:val="Normal"/>
    <w:uiPriority w:val="39"/>
    <w:semiHidden/>
    <w:qFormat/>
    <w:rsid w:val="00B43E07"/>
    <w:pPr>
      <w:spacing w:before="480"/>
      <w:outlineLvl w:val="9"/>
    </w:pPr>
    <w:rPr>
      <w:caps w:val="0"/>
      <w:color w:val="234156" w:themeColor="accent1" w:themeShade="BF"/>
      <w:sz w:val="28"/>
      <w:szCs w:val="28"/>
    </w:rPr>
  </w:style>
  <w:style w:type="character" w:customStyle="1" w:styleId="Marker">
    <w:name w:val="Marker"/>
    <w:rsid w:val="00B43E07"/>
    <w:rPr>
      <w:color w:val="0000FF"/>
      <w:shd w:val="clear" w:color="auto" w:fill="auto"/>
    </w:rPr>
  </w:style>
  <w:style w:type="character" w:customStyle="1" w:styleId="Marker2">
    <w:name w:val="Marker2"/>
    <w:rsid w:val="00B43E07"/>
    <w:rPr>
      <w:color w:val="FF0000"/>
      <w:shd w:val="clear" w:color="auto" w:fill="auto"/>
    </w:rPr>
  </w:style>
  <w:style w:type="paragraph" w:customStyle="1" w:styleId="Annexetitre">
    <w:name w:val="Annexe titre"/>
    <w:basedOn w:val="Normal"/>
    <w:next w:val="Normal"/>
    <w:rsid w:val="00B43E07"/>
    <w:pPr>
      <w:spacing w:before="120" w:after="120"/>
      <w:jc w:val="center"/>
    </w:pPr>
    <w:rPr>
      <w:rFonts w:ascii="Times New Roman" w:eastAsia="Times New Roman" w:hAnsi="Times New Roman" w:cs="Times New Roman"/>
      <w:b/>
      <w:sz w:val="24"/>
      <w:u w:val="single"/>
    </w:rPr>
  </w:style>
  <w:style w:type="paragraph" w:customStyle="1" w:styleId="Applicationdirecte">
    <w:name w:val="Application directe"/>
    <w:basedOn w:val="Normal"/>
    <w:next w:val="Fait"/>
    <w:rsid w:val="00B43E07"/>
    <w:pPr>
      <w:spacing w:before="480" w:after="120"/>
      <w:jc w:val="both"/>
    </w:pPr>
    <w:rPr>
      <w:rFonts w:ascii="Times New Roman" w:eastAsia="Times New Roman" w:hAnsi="Times New Roman" w:cs="Times New Roman"/>
      <w:sz w:val="24"/>
    </w:rPr>
  </w:style>
  <w:style w:type="paragraph" w:customStyle="1" w:styleId="Considrant">
    <w:name w:val="Considérant"/>
    <w:basedOn w:val="Normal"/>
    <w:rsid w:val="00B43E07"/>
    <w:pPr>
      <w:numPr>
        <w:numId w:val="11"/>
      </w:numPr>
      <w:spacing w:before="120" w:after="120"/>
      <w:jc w:val="both"/>
    </w:pPr>
    <w:rPr>
      <w:rFonts w:ascii="Times New Roman" w:eastAsia="Times New Roman" w:hAnsi="Times New Roman" w:cs="Times New Roman"/>
      <w:sz w:val="24"/>
    </w:rPr>
  </w:style>
  <w:style w:type="paragraph" w:customStyle="1" w:styleId="Datedadoption">
    <w:name w:val="Date d'adoption"/>
    <w:basedOn w:val="Normal"/>
    <w:next w:val="Titreobjet"/>
    <w:rsid w:val="00B43E07"/>
    <w:pPr>
      <w:spacing w:before="360"/>
      <w:jc w:val="center"/>
    </w:pPr>
    <w:rPr>
      <w:rFonts w:ascii="Times New Roman" w:eastAsia="Times New Roman" w:hAnsi="Times New Roman" w:cs="Times New Roman"/>
      <w:b/>
      <w:sz w:val="24"/>
    </w:rPr>
  </w:style>
  <w:style w:type="paragraph" w:customStyle="1" w:styleId="Fait">
    <w:name w:val="Fait à"/>
    <w:basedOn w:val="Normal"/>
    <w:next w:val="Institutionquisigne"/>
    <w:rsid w:val="00B43E07"/>
    <w:pPr>
      <w:keepNext/>
      <w:spacing w:before="120"/>
      <w:jc w:val="both"/>
    </w:pPr>
    <w:rPr>
      <w:rFonts w:ascii="Times New Roman" w:eastAsia="Times New Roman" w:hAnsi="Times New Roman" w:cs="Times New Roman"/>
      <w:sz w:val="24"/>
    </w:rPr>
  </w:style>
  <w:style w:type="paragraph" w:customStyle="1" w:styleId="Formuledadoption">
    <w:name w:val="Formule d'adoption"/>
    <w:basedOn w:val="Normal"/>
    <w:next w:val="Titrearticle"/>
    <w:rsid w:val="00B43E07"/>
    <w:pPr>
      <w:keepNext/>
      <w:spacing w:before="120" w:after="120"/>
      <w:jc w:val="both"/>
    </w:pPr>
    <w:rPr>
      <w:rFonts w:ascii="Times New Roman" w:eastAsia="Times New Roman" w:hAnsi="Times New Roman" w:cs="Times New Roman"/>
      <w:sz w:val="24"/>
    </w:rPr>
  </w:style>
  <w:style w:type="paragraph" w:customStyle="1" w:styleId="Institutionquisigne">
    <w:name w:val="Institution qui signe"/>
    <w:basedOn w:val="Normal"/>
    <w:next w:val="Personnequisigne"/>
    <w:rsid w:val="00B43E07"/>
    <w:pPr>
      <w:keepNext/>
      <w:tabs>
        <w:tab w:val="left" w:pos="4252"/>
      </w:tabs>
      <w:spacing w:before="720"/>
      <w:jc w:val="both"/>
    </w:pPr>
    <w:rPr>
      <w:rFonts w:ascii="Times New Roman" w:eastAsia="Times New Roman" w:hAnsi="Times New Roman" w:cs="Times New Roman"/>
      <w:i/>
      <w:sz w:val="24"/>
    </w:rPr>
  </w:style>
  <w:style w:type="paragraph" w:customStyle="1" w:styleId="Personnequisigne">
    <w:name w:val="Personne qui signe"/>
    <w:basedOn w:val="Normal"/>
    <w:next w:val="Institutionquisigne"/>
    <w:rsid w:val="00B43E07"/>
    <w:pPr>
      <w:tabs>
        <w:tab w:val="left" w:pos="4252"/>
      </w:tabs>
    </w:pPr>
    <w:rPr>
      <w:rFonts w:ascii="Times New Roman" w:eastAsia="Times New Roman" w:hAnsi="Times New Roman" w:cs="Times New Roman"/>
      <w:i/>
      <w:sz w:val="24"/>
    </w:rPr>
  </w:style>
  <w:style w:type="paragraph" w:customStyle="1" w:styleId="Titrearticle">
    <w:name w:val="Titre article"/>
    <w:basedOn w:val="Normal"/>
    <w:next w:val="Normal"/>
    <w:rsid w:val="00B43E07"/>
    <w:pPr>
      <w:keepNext/>
      <w:spacing w:before="360" w:after="120"/>
      <w:jc w:val="center"/>
    </w:pPr>
    <w:rPr>
      <w:rFonts w:ascii="Times New Roman" w:eastAsia="Times New Roman" w:hAnsi="Times New Roman" w:cs="Times New Roman"/>
      <w:i/>
      <w:sz w:val="24"/>
    </w:rPr>
  </w:style>
  <w:style w:type="paragraph" w:customStyle="1" w:styleId="Titreobjet">
    <w:name w:val="Titre objet"/>
    <w:basedOn w:val="Normal"/>
    <w:next w:val="Normal"/>
    <w:rsid w:val="00B43E07"/>
    <w:pPr>
      <w:spacing w:before="360" w:after="360"/>
      <w:jc w:val="center"/>
    </w:pPr>
    <w:rPr>
      <w:rFonts w:ascii="Times New Roman" w:eastAsia="Times New Roman" w:hAnsi="Times New Roman" w:cs="Times New Roman"/>
      <w:b/>
      <w:sz w:val="24"/>
    </w:rPr>
  </w:style>
  <w:style w:type="paragraph" w:customStyle="1" w:styleId="Typedudocument">
    <w:name w:val="Type du document"/>
    <w:basedOn w:val="Normal"/>
    <w:next w:val="Titreobjet"/>
    <w:rsid w:val="00B43E07"/>
    <w:pPr>
      <w:spacing w:before="360"/>
      <w:jc w:val="center"/>
    </w:pPr>
    <w:rPr>
      <w:rFonts w:ascii="Times New Roman" w:eastAsia="Times New Roman" w:hAnsi="Times New Roman" w:cs="Times New Roman"/>
      <w:b/>
      <w:sz w:val="24"/>
    </w:rPr>
  </w:style>
  <w:style w:type="paragraph" w:customStyle="1" w:styleId="Pagedecouverture">
    <w:name w:val="Page de couverture"/>
    <w:basedOn w:val="Normal"/>
    <w:next w:val="Normal"/>
    <w:rsid w:val="00B43E07"/>
    <w:pPr>
      <w:spacing w:before="120" w:after="120"/>
      <w:jc w:val="both"/>
    </w:pPr>
    <w:rPr>
      <w:rFonts w:ascii="Times New Roman" w:eastAsia="Times New Roman" w:hAnsi="Times New Roman" w:cs="Times New Roman"/>
      <w:sz w:val="24"/>
    </w:rPr>
  </w:style>
  <w:style w:type="paragraph" w:customStyle="1" w:styleId="Institutionquiagit">
    <w:name w:val="Institution qui agit"/>
    <w:basedOn w:val="Normal"/>
    <w:next w:val="Normal"/>
    <w:rsid w:val="00B43E07"/>
    <w:pPr>
      <w:keepNext/>
      <w:spacing w:before="600" w:after="120"/>
      <w:jc w:val="both"/>
    </w:pPr>
    <w:rPr>
      <w:rFonts w:ascii="Times New Roman" w:eastAsia="Times New Roman" w:hAnsi="Times New Roman" w:cs="Times New Roman"/>
      <w:sz w:val="24"/>
    </w:rPr>
  </w:style>
  <w:style w:type="paragraph" w:styleId="ListParagraph">
    <w:name w:val="List Paragraph"/>
    <w:basedOn w:val="Normal"/>
    <w:uiPriority w:val="1"/>
    <w:qFormat/>
    <w:rsid w:val="009F12DA"/>
    <w:pPr>
      <w:ind w:left="720"/>
    </w:pPr>
    <w:rPr>
      <w:rFonts w:ascii="Calibri" w:eastAsia="Calibri" w:hAnsi="Calibri" w:cs="Times New Roman"/>
      <w:szCs w:val="22"/>
    </w:rPr>
  </w:style>
  <w:style w:type="character" w:styleId="CommentReference">
    <w:name w:val="annotation reference"/>
    <w:basedOn w:val="DefaultParagraphFont"/>
    <w:uiPriority w:val="99"/>
    <w:semiHidden/>
    <w:unhideWhenUsed/>
    <w:rsid w:val="006336C8"/>
    <w:rPr>
      <w:sz w:val="16"/>
      <w:szCs w:val="16"/>
    </w:rPr>
  </w:style>
  <w:style w:type="paragraph" w:styleId="CommentText">
    <w:name w:val="annotation text"/>
    <w:basedOn w:val="Normal"/>
    <w:link w:val="CommentTextChar"/>
    <w:uiPriority w:val="99"/>
    <w:unhideWhenUsed/>
    <w:rsid w:val="006336C8"/>
    <w:rPr>
      <w:sz w:val="20"/>
      <w:szCs w:val="20"/>
    </w:rPr>
  </w:style>
  <w:style w:type="character" w:customStyle="1" w:styleId="CommentTextChar">
    <w:name w:val="Comment Text Char"/>
    <w:basedOn w:val="DefaultParagraphFont"/>
    <w:link w:val="CommentText"/>
    <w:uiPriority w:val="99"/>
    <w:rsid w:val="006336C8"/>
    <w:rPr>
      <w:sz w:val="20"/>
      <w:szCs w:val="20"/>
      <w:lang w:val="de-DE"/>
    </w:rPr>
  </w:style>
  <w:style w:type="paragraph" w:styleId="CommentSubject">
    <w:name w:val="annotation subject"/>
    <w:basedOn w:val="CommentText"/>
    <w:next w:val="CommentText"/>
    <w:link w:val="CommentSubjectChar"/>
    <w:uiPriority w:val="99"/>
    <w:semiHidden/>
    <w:unhideWhenUsed/>
    <w:rsid w:val="00944AD8"/>
    <w:rPr>
      <w:b/>
      <w:bCs/>
    </w:rPr>
  </w:style>
  <w:style w:type="character" w:customStyle="1" w:styleId="CommentSubjectChar">
    <w:name w:val="Comment Subject Char"/>
    <w:basedOn w:val="CommentTextChar"/>
    <w:link w:val="CommentSubject"/>
    <w:uiPriority w:val="99"/>
    <w:semiHidden/>
    <w:rsid w:val="00944AD8"/>
    <w:rPr>
      <w:b/>
      <w:bCs/>
      <w:sz w:val="20"/>
      <w:szCs w:val="20"/>
      <w:lang w:val="de-DE"/>
    </w:rPr>
  </w:style>
  <w:style w:type="paragraph" w:styleId="Revision">
    <w:name w:val="Revision"/>
    <w:hidden/>
    <w:uiPriority w:val="99"/>
    <w:semiHidden/>
    <w:rsid w:val="00944AD8"/>
    <w:rPr>
      <w:sz w:val="22"/>
    </w:rPr>
  </w:style>
  <w:style w:type="paragraph" w:customStyle="1" w:styleId="Text1">
    <w:name w:val="Text 1"/>
    <w:basedOn w:val="Normal"/>
    <w:rsid w:val="00454B24"/>
    <w:pPr>
      <w:spacing w:before="120" w:after="120"/>
      <w:ind w:left="850"/>
      <w:jc w:val="both"/>
    </w:pPr>
    <w:rPr>
      <w:rFonts w:ascii="Times New Roman" w:eastAsia="Calibri" w:hAnsi="Times New Roman" w:cs="Times New Roman"/>
      <w:sz w:val="24"/>
      <w:szCs w:val="20"/>
      <w:lang w:eastAsia="en-GB"/>
    </w:rPr>
  </w:style>
  <w:style w:type="paragraph" w:customStyle="1" w:styleId="TableParagraph">
    <w:name w:val="Table Paragraph"/>
    <w:basedOn w:val="Normal"/>
    <w:uiPriority w:val="1"/>
    <w:qFormat/>
    <w:rsid w:val="00723921"/>
    <w:pPr>
      <w:widowControl w:val="0"/>
      <w:autoSpaceDE w:val="0"/>
      <w:autoSpaceDN w:val="0"/>
    </w:pPr>
    <w:rPr>
      <w:rFonts w:ascii="Calibri" w:eastAsia="Calibri" w:hAnsi="Calibri" w:cs="Calibri"/>
      <w:szCs w:val="22"/>
      <w:lang w:eastAsia="en-GB" w:bidi="en-GB"/>
    </w:rPr>
  </w:style>
  <w:style w:type="table" w:customStyle="1" w:styleId="TableGrid1">
    <w:name w:val="Table Grid1"/>
    <w:basedOn w:val="TableNormal"/>
    <w:next w:val="TableGrid"/>
    <w:uiPriority w:val="39"/>
    <w:rsid w:val="0018120C"/>
    <w:rPr>
      <w:rFonts w:eastAsiaTheme="minorHAns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204E9"/>
    <w:pPr>
      <w:widowControl w:val="0"/>
      <w:autoSpaceDE w:val="0"/>
      <w:autoSpaceDN w:val="0"/>
    </w:pPr>
    <w:rPr>
      <w:rFonts w:ascii="Calibri" w:eastAsia="Calibri" w:hAnsi="Calibri" w:cs="Calibri"/>
      <w:szCs w:val="22"/>
      <w:lang w:val="en-US"/>
    </w:rPr>
  </w:style>
  <w:style w:type="character" w:customStyle="1" w:styleId="BodyTextChar">
    <w:name w:val="Body Text Char"/>
    <w:basedOn w:val="DefaultParagraphFont"/>
    <w:link w:val="BodyText"/>
    <w:uiPriority w:val="1"/>
    <w:rsid w:val="000204E9"/>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63650">
      <w:bodyDiv w:val="1"/>
      <w:marLeft w:val="0"/>
      <w:marRight w:val="0"/>
      <w:marTop w:val="0"/>
      <w:marBottom w:val="0"/>
      <w:divBdr>
        <w:top w:val="none" w:sz="0" w:space="0" w:color="auto"/>
        <w:left w:val="none" w:sz="0" w:space="0" w:color="auto"/>
        <w:bottom w:val="none" w:sz="0" w:space="0" w:color="auto"/>
        <w:right w:val="none" w:sz="0" w:space="0" w:color="auto"/>
      </w:divBdr>
    </w:div>
    <w:div w:id="271674440">
      <w:bodyDiv w:val="1"/>
      <w:marLeft w:val="0"/>
      <w:marRight w:val="0"/>
      <w:marTop w:val="0"/>
      <w:marBottom w:val="0"/>
      <w:divBdr>
        <w:top w:val="none" w:sz="0" w:space="0" w:color="auto"/>
        <w:left w:val="none" w:sz="0" w:space="0" w:color="auto"/>
        <w:bottom w:val="none" w:sz="0" w:space="0" w:color="auto"/>
        <w:right w:val="none" w:sz="0" w:space="0" w:color="auto"/>
      </w:divBdr>
    </w:div>
    <w:div w:id="349382086">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268465551">
      <w:bodyDiv w:val="1"/>
      <w:marLeft w:val="0"/>
      <w:marRight w:val="0"/>
      <w:marTop w:val="0"/>
      <w:marBottom w:val="0"/>
      <w:divBdr>
        <w:top w:val="none" w:sz="0" w:space="0" w:color="auto"/>
        <w:left w:val="none" w:sz="0" w:space="0" w:color="auto"/>
        <w:bottom w:val="none" w:sz="0" w:space="0" w:color="auto"/>
        <w:right w:val="none" w:sz="0" w:space="0" w:color="auto"/>
      </w:divBdr>
    </w:div>
    <w:div w:id="1428304874">
      <w:bodyDiv w:val="1"/>
      <w:marLeft w:val="0"/>
      <w:marRight w:val="0"/>
      <w:marTop w:val="0"/>
      <w:marBottom w:val="0"/>
      <w:divBdr>
        <w:top w:val="none" w:sz="0" w:space="0" w:color="auto"/>
        <w:left w:val="none" w:sz="0" w:space="0" w:color="auto"/>
        <w:bottom w:val="none" w:sz="0" w:space="0" w:color="auto"/>
        <w:right w:val="none" w:sz="0" w:space="0" w:color="auto"/>
      </w:divBdr>
    </w:div>
    <w:div w:id="2018773254">
      <w:bodyDiv w:val="1"/>
      <w:marLeft w:val="0"/>
      <w:marRight w:val="0"/>
      <w:marTop w:val="0"/>
      <w:marBottom w:val="0"/>
      <w:divBdr>
        <w:top w:val="none" w:sz="0" w:space="0" w:color="auto"/>
        <w:left w:val="none" w:sz="0" w:space="0" w:color="auto"/>
        <w:bottom w:val="none" w:sz="0" w:space="0" w:color="auto"/>
        <w:right w:val="none" w:sz="0" w:space="0" w:color="auto"/>
      </w:divBdr>
    </w:div>
    <w:div w:id="2037929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F9BB2A5884800A4FB1B6255F1B4975A4" ma:contentTypeVersion="1" ma:contentTypeDescription="Ein neues Dokument erstellen." ma:contentTypeScope="" ma:versionID="0545f6f3a5e80999828db0759a00044d">
  <xsd:schema xmlns:xsd="http://www.w3.org/2001/XMLSchema" xmlns:xs="http://www.w3.org/2001/XMLSchema" xmlns:p="http://schemas.microsoft.com/office/2006/metadata/properties" xmlns:ns1="http://schemas.microsoft.com/sharepoint/v3" xmlns:ns2="c6be4610-03ee-4504-9e6f-efba8b9bb303" xmlns:ns3="CF979A76-87C8-4B49-B347-B93088FEC595" xmlns:ns4="77fb0f20-738e-4199-abfc-1400b68556c8" targetNamespace="http://schemas.microsoft.com/office/2006/metadata/properties" ma:root="true" ma:fieldsID="42ac6e629c3c62f2e14cf4ac77e6a6c9" ns1:_="" ns2:_="" ns3:_="" ns4:_="">
    <xsd:import namespace="http://schemas.microsoft.com/sharepoint/v3"/>
    <xsd:import namespace="c6be4610-03ee-4504-9e6f-efba8b9bb303"/>
    <xsd:import namespace="CF979A76-87C8-4B49-B347-B93088FEC595"/>
    <xsd:import namespace="77fb0f20-738e-4199-abfc-1400b68556c8"/>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fd92a9451dd3463abf9634d05b73128d" minOccurs="0"/>
                <xsd:element ref="ns2:TaxCatchAll" minOccurs="0"/>
                <xsd:element ref="ns2:TaxCatchAllLabe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2"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be4610-03ee-4504-9e6f-efba8b9bb303"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TaxCatchAll" ma:index="14" nillable="true" ma:displayName="Taxonomy Catch All Column" ma:hidden="true" ma:list="{b204dc90-93e0-4fb0-9887-b47b83682dfe}" ma:internalName="TaxCatchAll" ma:showField="CatchAllData" ma:web="c6be4610-03ee-4504-9e6f-efba8b9bb30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b204dc90-93e0-4fb0-9887-b47b83682dfe}" ma:internalName="TaxCatchAllLabel" ma:readOnly="true" ma:showField="CatchAllDataLabel" ma:web="c6be4610-03ee-4504-9e6f-efba8b9bb3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979A76-87C8-4B49-B347-B93088FEC595" elementFormDefault="qualified">
    <xsd:import namespace="http://schemas.microsoft.com/office/2006/documentManagement/types"/>
    <xsd:import namespace="http://schemas.microsoft.com/office/infopath/2007/PartnerControls"/>
    <xsd:element name="fd92a9451dd3463abf9634d05b73128d" ma:index="13" nillable="true" ma:taxonomy="true" ma:internalName="fd92a9451dd3463abf9634d05b73128d" ma:taxonomyFieldName="Kategorie" ma:displayName="Kategorie" ma:indexed="true" ma:default="588;#Standard|a52bd243-cec1-44e7-af4a-e2cb76028b9b" ma:fieldId="{fd92a945-1dd3-463a-bf96-34d05b73128d}" ma:sspId="42013fb3-0d78-41c4-a110-b51ebf36d4e5" ma:termSetId="0b989650-211b-432e-ac55-aab621b0c99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fb0f20-738e-4199-abfc-1400b68556c8" elementFormDefault="qualified">
    <xsd:import namespace="http://schemas.microsoft.com/office/2006/documentManagement/types"/>
    <xsd:import namespace="http://schemas.microsoft.com/office/infopath/2007/PartnerControls"/>
    <xsd:element name="SharedWithUsers" ma:index="17"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c6be4610-03ee-4504-9e6f-efba8b9bb303">THEMENRAUM-1767517434-803</_dlc_DocId>
    <TaxCatchAll xmlns="c6be4610-03ee-4504-9e6f-efba8b9bb303">
      <Value>588</Value>
    </TaxCatchAll>
    <_dlc_DocIdUrl xmlns="c6be4610-03ee-4504-9e6f-efba8b9bb303">
      <Url>https://sp16.fma.gv.at/sites/tr/544/_layouts/15/DocIdRedir.aspx?ID=THEMENRAUM-1767517434-803</Url>
      <Description>THEMENRAUM-1767517434-803</Description>
    </_dlc_DocIdUrl>
    <fd92a9451dd3463abf9634d05b73128d xmlns="CF979A76-87C8-4B49-B347-B93088FEC595">
      <Terms xmlns="http://schemas.microsoft.com/office/infopath/2007/PartnerControls">
        <TermInfo xmlns="http://schemas.microsoft.com/office/infopath/2007/PartnerControls">
          <TermName xmlns="http://schemas.microsoft.com/office/infopath/2007/PartnerControls">Standard</TermName>
          <TermId xmlns="http://schemas.microsoft.com/office/infopath/2007/PartnerControls">a52bd243-cec1-44e7-af4a-e2cb76028b9b</TermId>
        </TermInfo>
      </Terms>
    </fd92a9451dd3463abf9634d05b73128d>
  </documentManagement>
</p:properties>
</file>

<file path=customXml/itemProps1.xml><?xml version="1.0" encoding="utf-8"?>
<ds:datastoreItem xmlns:ds="http://schemas.openxmlformats.org/officeDocument/2006/customXml" ds:itemID="{DEE472F5-8189-4EF3-8AAC-A856D2D4F7E0}">
  <ds:schemaRefs>
    <ds:schemaRef ds:uri="http://schemas.openxmlformats.org/officeDocument/2006/bibliography"/>
  </ds:schemaRefs>
</ds:datastoreItem>
</file>

<file path=customXml/itemProps2.xml><?xml version="1.0" encoding="utf-8"?>
<ds:datastoreItem xmlns:ds="http://schemas.openxmlformats.org/officeDocument/2006/customXml" ds:itemID="{36B8734D-8301-4890-975D-2460BCF755A2}">
  <ds:schemaRefs>
    <ds:schemaRef ds:uri="http://schemas.microsoft.com/sharepoint/v3/contenttype/forms"/>
  </ds:schemaRefs>
</ds:datastoreItem>
</file>

<file path=customXml/itemProps3.xml><?xml version="1.0" encoding="utf-8"?>
<ds:datastoreItem xmlns:ds="http://schemas.openxmlformats.org/officeDocument/2006/customXml" ds:itemID="{C9A59BA5-0427-4655-AF8A-E752331E3C81}">
  <ds:schemaRefs>
    <ds:schemaRef ds:uri="http://schemas.microsoft.com/sharepoint/events"/>
  </ds:schemaRefs>
</ds:datastoreItem>
</file>

<file path=customXml/itemProps4.xml><?xml version="1.0" encoding="utf-8"?>
<ds:datastoreItem xmlns:ds="http://schemas.openxmlformats.org/officeDocument/2006/customXml" ds:itemID="{0D743BC4-CFE0-43B4-B652-A318B5C56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be4610-03ee-4504-9e6f-efba8b9bb303"/>
    <ds:schemaRef ds:uri="CF979A76-87C8-4B49-B347-B93088FEC595"/>
    <ds:schemaRef ds:uri="77fb0f20-738e-4199-abfc-1400b68556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37172BB-EBB3-4267-89DE-5544F9944566}">
  <ds:schemaRefs>
    <ds:schemaRef ds:uri="http://schemas.microsoft.com/office/2006/metadata/properties"/>
    <ds:schemaRef ds:uri="http://schemas.microsoft.com/office/infopath/2007/PartnerControls"/>
    <ds:schemaRef ds:uri="http://schemas.microsoft.com/sharepoint/v3"/>
    <ds:schemaRef ds:uri="c6be4610-03ee-4504-9e6f-efba8b9bb303"/>
    <ds:schemaRef ds:uri="CF979A76-87C8-4B49-B347-B93088FEC595"/>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23</ap:TotalTime>
  <ap:Pages>17</ap:Pages>
  <ap:Words>3228</ap:Words>
  <ap:Characters>25459</ap:Characters>
  <ap:Application>Microsoft Office Word</ap:Application>
  <ap:DocSecurity>0</ap:DocSecurity>
  <ap:Lines>212</ap:Lines>
  <ap:Paragraphs>57</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Company>CDT</ap:Company>
  <ap:LinksUpToDate>false</ap:LinksUpToDate>
  <ap:CharactersWithSpaces>28630</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creator>CDT</dc:creator>
  <lastModifiedBy>CDT</lastModifiedBy>
  <revision>8</revision>
  <lastPrinted>2020-11-04T10:23:00.0000000Z</lastPrinted>
  <dcterms:created xsi:type="dcterms:W3CDTF">2020-12-07T16:56:00.0000000Z</dcterms:created>
  <dcterms:modified xsi:type="dcterms:W3CDTF">2024-04-22T07:43:00.0000000Z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JobId">
    <vt:lpwstr>45185aca-4411-4e3d-86c8-ac6900effe05</vt:lpwstr>
  </property>
  <property fmtid="{D5CDD505-2E9C-101B-9397-08002B2CF9AE}" pid="3" name="Kategorie">
    <vt:lpwstr>588;#Standard|a52bd243-cec1-44e7-af4a-e2cb76028b9b</vt:lpwstr>
  </property>
  <property fmtid="{D5CDD505-2E9C-101B-9397-08002B2CF9AE}" pid="4" name="ContentTypeId">
    <vt:lpwstr>0x010100F9BB2A5884800A4FB1B6255F1B4975A4</vt:lpwstr>
  </property>
  <property fmtid="{D5CDD505-2E9C-101B-9397-08002B2CF9AE}" pid="5" name="_dlc_DocIdItemGuid">
    <vt:lpwstr>e5d66352-34d2-49a6-90dd-33e2e125ac23</vt:lpwstr>
  </property>
</Properties>
</file>